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156210</wp:posOffset>
            </wp:positionH>
            <wp:positionV relativeFrom="page">
              <wp:posOffset>434975</wp:posOffset>
            </wp:positionV>
            <wp:extent cx="724852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8525" cy="25400"/>
                    </a:xfrm>
                    <a:prstGeom prst="rect">
                      <a:avLst/>
                    </a:prstGeom>
                    <a:noFill/>
                  </pic:spPr>
                </pic:pic>
              </a:graphicData>
            </a:graphic>
          </wp:anchor>
        </w:drawing>
        <w:t>UNITED STATES</w:t>
      </w:r>
    </w:p>
    <w:p>
      <w:pPr>
        <w:spacing w:after="0" w:line="1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SECURITIES AND EXCHANGE COMMISSION</w:t>
      </w:r>
    </w:p>
    <w:p>
      <w:pPr>
        <w:spacing w:after="0" w:line="1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Washington, D.C. 20549</w:t>
      </w:r>
    </w:p>
    <w:p>
      <w:pPr>
        <w:spacing w:after="0" w:line="1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FORM 10-Q</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7" w:lineRule="exact"/>
        <w:rPr>
          <w:sz w:val="24"/>
          <w:szCs w:val="24"/>
          <w:color w:val="auto"/>
        </w:rPr>
      </w:pPr>
    </w:p>
    <w:p>
      <w:pPr>
        <w:ind w:left="640" w:hanging="634"/>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1" w:lineRule="exact"/>
        <w:rPr>
          <w:sz w:val="24"/>
          <w:szCs w:val="24"/>
          <w:color w:val="auto"/>
        </w:rPr>
      </w:pPr>
    </w:p>
    <w:p>
      <w:pPr>
        <w:ind w:left="640"/>
        <w:spacing w:after="0"/>
        <w:tabs>
          <w:tab w:leader="none" w:pos="6000" w:val="left"/>
        </w:tabs>
        <w:rPr>
          <w:sz w:val="20"/>
          <w:szCs w:val="20"/>
          <w:color w:val="auto"/>
        </w:rPr>
      </w:pPr>
      <w:r>
        <w:rPr>
          <w:rFonts w:ascii="Arial" w:cs="Arial" w:eastAsia="Arial" w:hAnsi="Arial"/>
          <w:sz w:val="18"/>
          <w:szCs w:val="18"/>
          <w:color w:val="auto"/>
        </w:rPr>
        <w:t>For the quarterly period ended</w:t>
      </w:r>
      <w:r>
        <w:rPr>
          <w:sz w:val="20"/>
          <w:szCs w:val="20"/>
          <w:color w:val="auto"/>
        </w:rPr>
        <w:tab/>
      </w:r>
      <w:r>
        <w:rPr>
          <w:rFonts w:ascii="Arial" w:cs="Arial" w:eastAsia="Arial" w:hAnsi="Arial"/>
          <w:sz w:val="14"/>
          <w:szCs w:val="14"/>
          <w:color w:val="auto"/>
        </w:rPr>
        <w:t>September 30,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3818255</wp:posOffset>
            </wp:positionH>
            <wp:positionV relativeFrom="paragraph">
              <wp:posOffset>11430</wp:posOffset>
            </wp:positionV>
            <wp:extent cx="34347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34715" cy="8255"/>
                    </a:xfrm>
                    <a:prstGeom prst="rect">
                      <a:avLst/>
                    </a:prstGeom>
                    <a:noFill/>
                  </pic:spPr>
                </pic:pic>
              </a:graphicData>
            </a:graphic>
          </wp:anchor>
        </w:drawing>
      </w:r>
    </w:p>
    <w:p>
      <w:pPr>
        <w:spacing w:after="0" w:line="251" w:lineRule="exact"/>
        <w:rPr>
          <w:sz w:val="24"/>
          <w:szCs w:val="24"/>
          <w:color w:val="auto"/>
        </w:rPr>
      </w:pPr>
    </w:p>
    <w:p>
      <w:pPr>
        <w:jc w:val="center"/>
        <w:ind w:left="560"/>
        <w:spacing w:after="0"/>
        <w:rPr>
          <w:sz w:val="20"/>
          <w:szCs w:val="20"/>
          <w:color w:val="auto"/>
        </w:rPr>
      </w:pPr>
      <w:r>
        <w:rPr>
          <w:rFonts w:ascii="Arial" w:cs="Arial" w:eastAsia="Arial" w:hAnsi="Arial"/>
          <w:sz w:val="18"/>
          <w:szCs w:val="18"/>
          <w:color w:val="auto"/>
        </w:rPr>
        <w:t>or</w:t>
      </w:r>
    </w:p>
    <w:p>
      <w:pPr>
        <w:spacing w:after="0" w:line="252" w:lineRule="exact"/>
        <w:rPr>
          <w:sz w:val="24"/>
          <w:szCs w:val="24"/>
          <w:color w:val="auto"/>
        </w:rPr>
      </w:pPr>
    </w:p>
    <w:p>
      <w:pPr>
        <w:ind w:left="200" w:hanging="194"/>
        <w:spacing w:after="0"/>
        <w:tabs>
          <w:tab w:leader="none" w:pos="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b w:val="1"/>
          <w:bCs w:val="1"/>
          <w:color w:val="auto"/>
        </w:rPr>
        <w:t>TRANSITION REPORT PURSUANT TO SECTION 13 OR 15(d) OF THE SECURITIES EXCHANGE ACT OF 1934</w:t>
      </w:r>
    </w:p>
    <w:p>
      <w:pPr>
        <w:spacing w:after="0" w:line="25" w:lineRule="exact"/>
        <w:rPr>
          <w:sz w:val="24"/>
          <w:szCs w:val="24"/>
          <w:color w:val="auto"/>
        </w:rPr>
      </w:pPr>
    </w:p>
    <w:tbl>
      <w:tblPr>
        <w:tblLayout w:type="fixed"/>
        <w:tblInd w:w="0" w:type="dxa"/>
        <w:tblCellMar>
          <w:top w:w="0" w:type="dxa"/>
          <w:left w:w="0" w:type="dxa"/>
          <w:bottom w:w="0" w:type="dxa"/>
          <w:right w:w="0" w:type="dxa"/>
        </w:tblCellMar>
      </w:tblPr>
      <w:tr>
        <w:trPr>
          <w:trHeight w:val="258"/>
        </w:trPr>
        <w:tc>
          <w:tcPr>
            <w:tcW w:w="6020" w:type="dxa"/>
            <w:vAlign w:val="bottom"/>
            <w:gridSpan w:val="3"/>
          </w:tcPr>
          <w:p>
            <w:pPr>
              <w:ind w:left="640"/>
              <w:spacing w:after="0"/>
              <w:rPr>
                <w:sz w:val="20"/>
                <w:szCs w:val="20"/>
                <w:color w:val="auto"/>
              </w:rPr>
            </w:pPr>
            <w:r>
              <w:rPr>
                <w:rFonts w:ascii="Arial" w:cs="Arial" w:eastAsia="Arial" w:hAnsi="Arial"/>
                <w:sz w:val="18"/>
                <w:szCs w:val="18"/>
                <w:color w:val="auto"/>
              </w:rPr>
              <w:t>For the transition period from</w:t>
            </w:r>
          </w:p>
        </w:tc>
        <w:tc>
          <w:tcPr>
            <w:tcW w:w="1960" w:type="dxa"/>
            <w:vAlign w:val="bottom"/>
            <w:gridSpan w:val="2"/>
          </w:tcPr>
          <w:p>
            <w:pPr>
              <w:ind w:left="600"/>
              <w:spacing w:after="0"/>
              <w:rPr>
                <w:sz w:val="20"/>
                <w:szCs w:val="20"/>
                <w:color w:val="auto"/>
              </w:rPr>
            </w:pPr>
            <w:r>
              <w:rPr>
                <w:rFonts w:ascii="Arial" w:cs="Arial" w:eastAsia="Arial" w:hAnsi="Arial"/>
                <w:sz w:val="18"/>
                <w:szCs w:val="18"/>
                <w:color w:val="auto"/>
              </w:rPr>
              <w:t>to</w:t>
            </w:r>
          </w:p>
        </w:tc>
        <w:tc>
          <w:tcPr>
            <w:tcW w:w="1600" w:type="dxa"/>
            <w:vAlign w:val="bottom"/>
          </w:tcPr>
          <w:p>
            <w:pPr>
              <w:spacing w:after="0"/>
              <w:rPr>
                <w:sz w:val="22"/>
                <w:szCs w:val="22"/>
                <w:color w:val="auto"/>
              </w:rPr>
            </w:pPr>
          </w:p>
        </w:tc>
        <w:tc>
          <w:tcPr>
            <w:tcW w:w="1840" w:type="dxa"/>
            <w:vAlign w:val="bottom"/>
          </w:tcPr>
          <w:p>
            <w:pPr>
              <w:spacing w:after="0"/>
              <w:rPr>
                <w:sz w:val="22"/>
                <w:szCs w:val="22"/>
                <w:color w:val="auto"/>
              </w:rPr>
            </w:pPr>
          </w:p>
        </w:tc>
      </w:tr>
      <w:tr>
        <w:trPr>
          <w:trHeight w:val="650"/>
        </w:trPr>
        <w:tc>
          <w:tcPr>
            <w:tcW w:w="20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300" w:type="dxa"/>
            <w:vAlign w:val="bottom"/>
            <w:tcBorders>
              <w:top w:val="single" w:sz="8" w:color="auto"/>
            </w:tcBorders>
          </w:tcPr>
          <w:p>
            <w:pPr>
              <w:spacing w:after="0"/>
              <w:rPr>
                <w:sz w:val="24"/>
                <w:szCs w:val="24"/>
                <w:color w:val="auto"/>
              </w:rPr>
            </w:pPr>
          </w:p>
        </w:tc>
        <w:tc>
          <w:tcPr>
            <w:tcW w:w="142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18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Former name, former</w:t>
            </w:r>
          </w:p>
        </w:tc>
      </w:tr>
      <w:tr>
        <w:trPr>
          <w:trHeight w:val="226"/>
        </w:trPr>
        <w:tc>
          <w:tcPr>
            <w:tcW w:w="20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7"/>
              </w:rPr>
              <w:t>address and former</w:t>
            </w:r>
          </w:p>
        </w:tc>
      </w:tr>
      <w:tr>
        <w:trPr>
          <w:trHeight w:val="226"/>
        </w:trPr>
        <w:tc>
          <w:tcPr>
            <w:tcW w:w="2000" w:type="dxa"/>
            <w:vAlign w:val="bottom"/>
          </w:tcPr>
          <w:p>
            <w:pPr>
              <w:spacing w:after="0"/>
              <w:rPr>
                <w:sz w:val="19"/>
                <w:szCs w:val="19"/>
                <w:color w:val="auto"/>
              </w:rPr>
            </w:pPr>
          </w:p>
        </w:tc>
        <w:tc>
          <w:tcPr>
            <w:tcW w:w="4020" w:type="dxa"/>
            <w:vAlign w:val="bottom"/>
            <w:gridSpan w:val="2"/>
          </w:tcPr>
          <w:p>
            <w:pPr>
              <w:ind w:left="380"/>
              <w:spacing w:after="0"/>
              <w:rPr>
                <w:sz w:val="20"/>
                <w:szCs w:val="20"/>
                <w:color w:val="auto"/>
              </w:rPr>
            </w:pPr>
            <w:r>
              <w:rPr>
                <w:rFonts w:ascii="Arial" w:cs="Arial" w:eastAsia="Arial" w:hAnsi="Arial"/>
                <w:sz w:val="18"/>
                <w:szCs w:val="18"/>
                <w:color w:val="auto"/>
                <w:w w:val="96"/>
              </w:rPr>
              <w:t>Exact Name of Registrants as Specified in their</w:t>
            </w:r>
          </w:p>
        </w:tc>
        <w:tc>
          <w:tcPr>
            <w:tcW w:w="1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I.R.S. Employer</w:t>
            </w: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fiscal year, if changed</w:t>
            </w:r>
          </w:p>
        </w:tc>
      </w:tr>
      <w:tr>
        <w:trPr>
          <w:trHeight w:val="226"/>
        </w:trPr>
        <w:tc>
          <w:tcPr>
            <w:tcW w:w="20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Commission File No.</w:t>
            </w:r>
          </w:p>
        </w:tc>
        <w:tc>
          <w:tcPr>
            <w:tcW w:w="402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Charters, Address and Telephone Number</w:t>
            </w:r>
          </w:p>
        </w:tc>
        <w:tc>
          <w:tcPr>
            <w:tcW w:w="19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States of Incorporation</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Identification Nos.</w:t>
            </w: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since last report</w:t>
            </w:r>
          </w:p>
        </w:tc>
      </w:tr>
      <w:tr>
        <w:trPr>
          <w:trHeight w:val="245"/>
        </w:trPr>
        <w:tc>
          <w:tcPr>
            <w:tcW w:w="2000" w:type="dxa"/>
            <w:vAlign w:val="bottom"/>
          </w:tcPr>
          <w:p>
            <w:pPr>
              <w:jc w:val="right"/>
              <w:ind w:right="1311"/>
              <w:spacing w:after="0"/>
              <w:rPr>
                <w:sz w:val="20"/>
                <w:szCs w:val="20"/>
                <w:color w:val="auto"/>
              </w:rPr>
            </w:pPr>
            <w:r>
              <w:rPr>
                <w:rFonts w:ascii="Arial" w:cs="Arial" w:eastAsia="Arial" w:hAnsi="Arial"/>
                <w:sz w:val="18"/>
                <w:szCs w:val="18"/>
                <w:color w:val="auto"/>
                <w:w w:val="87"/>
              </w:rPr>
              <w:t>1-14201</w:t>
            </w:r>
          </w:p>
        </w:tc>
        <w:tc>
          <w:tcPr>
            <w:tcW w:w="4020" w:type="dxa"/>
            <w:vAlign w:val="bottom"/>
            <w:gridSpan w:val="2"/>
          </w:tcPr>
          <w:p>
            <w:pPr>
              <w:ind w:left="180"/>
              <w:spacing w:after="0"/>
              <w:rPr>
                <w:sz w:val="20"/>
                <w:szCs w:val="20"/>
                <w:color w:val="auto"/>
              </w:rPr>
            </w:pPr>
            <w:r>
              <w:rPr>
                <w:rFonts w:ascii="Arial" w:cs="Arial" w:eastAsia="Arial" w:hAnsi="Arial"/>
                <w:sz w:val="18"/>
                <w:szCs w:val="18"/>
                <w:color w:val="auto"/>
              </w:rPr>
              <w:t>SEMPRA ENERGY</w:t>
            </w:r>
          </w:p>
        </w:tc>
        <w:tc>
          <w:tcPr>
            <w:tcW w:w="1960" w:type="dxa"/>
            <w:vAlign w:val="bottom"/>
            <w:gridSpan w:val="2"/>
          </w:tcPr>
          <w:p>
            <w:pPr>
              <w:jc w:val="center"/>
              <w:spacing w:after="0"/>
              <w:rPr>
                <w:sz w:val="20"/>
                <w:szCs w:val="20"/>
                <w:color w:val="auto"/>
              </w:rPr>
            </w:pPr>
            <w:r>
              <w:rPr>
                <w:rFonts w:ascii="Arial" w:cs="Arial" w:eastAsia="Arial" w:hAnsi="Arial"/>
                <w:sz w:val="18"/>
                <w:szCs w:val="18"/>
                <w:color w:val="auto"/>
                <w:w w:val="94"/>
              </w:rPr>
              <w:t>California</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33-0732627</w:t>
            </w:r>
          </w:p>
        </w:tc>
        <w:tc>
          <w:tcPr>
            <w:tcW w:w="1840" w:type="dxa"/>
            <w:vAlign w:val="bottom"/>
          </w:tcPr>
          <w:p>
            <w:pPr>
              <w:jc w:val="center"/>
              <w:spacing w:after="0"/>
              <w:rPr>
                <w:sz w:val="20"/>
                <w:szCs w:val="20"/>
                <w:color w:val="auto"/>
              </w:rPr>
            </w:pPr>
            <w:r>
              <w:rPr>
                <w:rFonts w:ascii="Arial" w:cs="Arial" w:eastAsia="Arial" w:hAnsi="Arial"/>
                <w:sz w:val="18"/>
                <w:szCs w:val="18"/>
                <w:color w:val="auto"/>
                <w:w w:val="87"/>
              </w:rPr>
              <w:t>No change</w:t>
            </w:r>
          </w:p>
        </w:tc>
      </w:tr>
      <w:tr>
        <w:trPr>
          <w:trHeight w:val="252"/>
        </w:trPr>
        <w:tc>
          <w:tcPr>
            <w:tcW w:w="2000" w:type="dxa"/>
            <w:vAlign w:val="bottom"/>
          </w:tcPr>
          <w:p>
            <w:pPr>
              <w:spacing w:after="0"/>
              <w:rPr>
                <w:sz w:val="21"/>
                <w:szCs w:val="21"/>
                <w:color w:val="auto"/>
              </w:rPr>
            </w:pPr>
          </w:p>
        </w:tc>
        <w:tc>
          <w:tcPr>
            <w:tcW w:w="4020" w:type="dxa"/>
            <w:vAlign w:val="bottom"/>
            <w:gridSpan w:val="2"/>
          </w:tcPr>
          <w:p>
            <w:pPr>
              <w:ind w:left="180"/>
              <w:spacing w:after="0"/>
              <w:rPr>
                <w:sz w:val="20"/>
                <w:szCs w:val="20"/>
                <w:color w:val="auto"/>
              </w:rPr>
            </w:pPr>
            <w:r>
              <w:rPr>
                <w:rFonts w:ascii="Arial" w:cs="Arial" w:eastAsia="Arial" w:hAnsi="Arial"/>
                <w:sz w:val="18"/>
                <w:szCs w:val="18"/>
                <w:color w:val="auto"/>
              </w:rPr>
              <w:t>101 Ash Street</w:t>
            </w:r>
          </w:p>
        </w:tc>
        <w:tc>
          <w:tcPr>
            <w:tcW w:w="1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26"/>
        </w:trPr>
        <w:tc>
          <w:tcPr>
            <w:tcW w:w="2000" w:type="dxa"/>
            <w:vAlign w:val="bottom"/>
          </w:tcPr>
          <w:p>
            <w:pPr>
              <w:spacing w:after="0"/>
              <w:rPr>
                <w:sz w:val="19"/>
                <w:szCs w:val="19"/>
                <w:color w:val="auto"/>
              </w:rPr>
            </w:pPr>
          </w:p>
        </w:tc>
        <w:tc>
          <w:tcPr>
            <w:tcW w:w="4020" w:type="dxa"/>
            <w:vAlign w:val="bottom"/>
            <w:gridSpan w:val="2"/>
          </w:tcPr>
          <w:p>
            <w:pPr>
              <w:ind w:left="180"/>
              <w:spacing w:after="0"/>
              <w:rPr>
                <w:sz w:val="20"/>
                <w:szCs w:val="20"/>
                <w:color w:val="auto"/>
              </w:rPr>
            </w:pPr>
            <w:r>
              <w:rPr>
                <w:rFonts w:ascii="Arial" w:cs="Arial" w:eastAsia="Arial" w:hAnsi="Arial"/>
                <w:sz w:val="18"/>
                <w:szCs w:val="18"/>
                <w:color w:val="auto"/>
              </w:rPr>
              <w:t>San Diego, California 92101</w:t>
            </w:r>
          </w:p>
        </w:tc>
        <w:tc>
          <w:tcPr>
            <w:tcW w:w="1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26"/>
        </w:trPr>
        <w:tc>
          <w:tcPr>
            <w:tcW w:w="2000" w:type="dxa"/>
            <w:vAlign w:val="bottom"/>
          </w:tcPr>
          <w:p>
            <w:pPr>
              <w:spacing w:after="0"/>
              <w:rPr>
                <w:sz w:val="19"/>
                <w:szCs w:val="19"/>
                <w:color w:val="auto"/>
              </w:rPr>
            </w:pPr>
          </w:p>
        </w:tc>
        <w:tc>
          <w:tcPr>
            <w:tcW w:w="1720" w:type="dxa"/>
            <w:vAlign w:val="bottom"/>
          </w:tcPr>
          <w:p>
            <w:pPr>
              <w:ind w:left="180"/>
              <w:spacing w:after="0"/>
              <w:rPr>
                <w:sz w:val="20"/>
                <w:szCs w:val="20"/>
                <w:color w:val="auto"/>
              </w:rPr>
            </w:pPr>
            <w:r>
              <w:rPr>
                <w:rFonts w:ascii="Arial" w:cs="Arial" w:eastAsia="Arial" w:hAnsi="Arial"/>
                <w:sz w:val="18"/>
                <w:szCs w:val="18"/>
                <w:color w:val="auto"/>
              </w:rPr>
              <w:t>(619)696-2000</w:t>
            </w:r>
          </w:p>
        </w:tc>
        <w:tc>
          <w:tcPr>
            <w:tcW w:w="2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40" w:type="dxa"/>
            <w:vAlign w:val="bottom"/>
          </w:tcPr>
          <w:p>
            <w:pPr>
              <w:spacing w:after="0"/>
              <w:rPr>
                <w:sz w:val="19"/>
                <w:szCs w:val="19"/>
                <w:color w:val="auto"/>
              </w:rPr>
            </w:pPr>
          </w:p>
        </w:tc>
      </w:tr>
    </w:tbl>
    <w:p>
      <w:pPr>
        <w:spacing w:after="0" w:line="200" w:lineRule="exact"/>
        <w:rPr>
          <w:sz w:val="24"/>
          <w:szCs w:val="24"/>
          <w:color w:val="auto"/>
        </w:rPr>
      </w:pPr>
    </w:p>
    <w:p>
      <w:pPr>
        <w:sectPr>
          <w:pgSz w:w="11900" w:h="16838" w:orient="portrait"/>
          <w:cols w:equalWidth="0" w:num="1">
            <w:col w:w="11420"/>
          </w:cols>
          <w:pgMar w:left="240" w:top="951" w:right="239" w:bottom="0" w:gutter="0" w:footer="0" w:header="0"/>
        </w:sectPr>
      </w:pPr>
    </w:p>
    <w:p>
      <w:pPr>
        <w:spacing w:after="0" w:line="15" w:lineRule="exact"/>
        <w:rPr>
          <w:sz w:val="24"/>
          <w:szCs w:val="24"/>
          <w:color w:val="auto"/>
        </w:rPr>
      </w:pPr>
    </w:p>
    <w:tbl>
      <w:tblPr>
        <w:tblLayout w:type="fixed"/>
        <w:tblInd w:w="0" w:type="dxa"/>
        <w:tblCellMar>
          <w:top w:w="0" w:type="dxa"/>
          <w:left w:w="0" w:type="dxa"/>
          <w:bottom w:w="0" w:type="dxa"/>
          <w:right w:w="0" w:type="dxa"/>
        </w:tblCellMar>
      </w:tblPr>
      <w:tr>
        <w:trPr>
          <w:trHeight w:val="224"/>
        </w:trPr>
        <w:tc>
          <w:tcPr>
            <w:tcW w:w="1380" w:type="dxa"/>
            <w:vAlign w:val="bottom"/>
          </w:tcPr>
          <w:p>
            <w:pPr>
              <w:jc w:val="right"/>
              <w:ind w:right="691"/>
              <w:spacing w:after="0"/>
              <w:rPr>
                <w:sz w:val="20"/>
                <w:szCs w:val="20"/>
                <w:color w:val="auto"/>
              </w:rPr>
            </w:pPr>
            <w:r>
              <w:rPr>
                <w:rFonts w:ascii="Arial" w:cs="Arial" w:eastAsia="Arial" w:hAnsi="Arial"/>
                <w:sz w:val="18"/>
                <w:szCs w:val="18"/>
                <w:color w:val="auto"/>
                <w:w w:val="87"/>
              </w:rPr>
              <w:t>1-03779</w:t>
            </w:r>
          </w:p>
        </w:tc>
        <w:tc>
          <w:tcPr>
            <w:tcW w:w="4160" w:type="dxa"/>
            <w:vAlign w:val="bottom"/>
          </w:tcPr>
          <w:p>
            <w:pPr>
              <w:ind w:left="800"/>
              <w:spacing w:after="0"/>
              <w:rPr>
                <w:sz w:val="20"/>
                <w:szCs w:val="20"/>
                <w:color w:val="auto"/>
              </w:rPr>
            </w:pPr>
            <w:r>
              <w:rPr>
                <w:rFonts w:ascii="Arial" w:cs="Arial" w:eastAsia="Arial" w:hAnsi="Arial"/>
                <w:sz w:val="18"/>
                <w:szCs w:val="18"/>
                <w:color w:val="auto"/>
                <w:w w:val="95"/>
              </w:rPr>
              <w:t>SAN DIEGO GAS &amp; ELECTRIC COMPANY</w:t>
            </w:r>
          </w:p>
        </w:tc>
      </w:tr>
      <w:tr>
        <w:trPr>
          <w:trHeight w:val="279"/>
        </w:trPr>
        <w:tc>
          <w:tcPr>
            <w:tcW w:w="1380" w:type="dxa"/>
            <w:vAlign w:val="bottom"/>
          </w:tcPr>
          <w:p>
            <w:pPr>
              <w:spacing w:after="0"/>
              <w:rPr>
                <w:sz w:val="24"/>
                <w:szCs w:val="24"/>
                <w:color w:val="auto"/>
              </w:rPr>
            </w:pPr>
          </w:p>
        </w:tc>
        <w:tc>
          <w:tcPr>
            <w:tcW w:w="4160" w:type="dxa"/>
            <w:vAlign w:val="bottom"/>
          </w:tcPr>
          <w:p>
            <w:pPr>
              <w:ind w:left="800"/>
              <w:spacing w:after="0"/>
              <w:rPr>
                <w:sz w:val="20"/>
                <w:szCs w:val="20"/>
                <w:color w:val="auto"/>
              </w:rPr>
            </w:pPr>
            <w:r>
              <w:rPr>
                <w:rFonts w:ascii="Arial" w:cs="Arial" w:eastAsia="Arial" w:hAnsi="Arial"/>
                <w:sz w:val="18"/>
                <w:szCs w:val="18"/>
                <w:color w:val="auto"/>
              </w:rPr>
              <w:t>8326 Century Park Court</w:t>
            </w:r>
          </w:p>
        </w:tc>
      </w:tr>
      <w:tr>
        <w:trPr>
          <w:trHeight w:val="226"/>
        </w:trPr>
        <w:tc>
          <w:tcPr>
            <w:tcW w:w="1380" w:type="dxa"/>
            <w:vAlign w:val="bottom"/>
          </w:tcPr>
          <w:p>
            <w:pPr>
              <w:spacing w:after="0"/>
              <w:rPr>
                <w:sz w:val="19"/>
                <w:szCs w:val="19"/>
                <w:color w:val="auto"/>
              </w:rPr>
            </w:pPr>
          </w:p>
        </w:tc>
        <w:tc>
          <w:tcPr>
            <w:tcW w:w="4160" w:type="dxa"/>
            <w:vAlign w:val="bottom"/>
          </w:tcPr>
          <w:p>
            <w:pPr>
              <w:ind w:left="800"/>
              <w:spacing w:after="0"/>
              <w:rPr>
                <w:sz w:val="20"/>
                <w:szCs w:val="20"/>
                <w:color w:val="auto"/>
              </w:rPr>
            </w:pPr>
            <w:r>
              <w:rPr>
                <w:rFonts w:ascii="Arial" w:cs="Arial" w:eastAsia="Arial" w:hAnsi="Arial"/>
                <w:sz w:val="18"/>
                <w:szCs w:val="18"/>
                <w:color w:val="auto"/>
              </w:rPr>
              <w:t>San Diego, California 92123</w:t>
            </w:r>
          </w:p>
        </w:tc>
      </w:tr>
      <w:tr>
        <w:trPr>
          <w:trHeight w:val="226"/>
        </w:trPr>
        <w:tc>
          <w:tcPr>
            <w:tcW w:w="1380" w:type="dxa"/>
            <w:vAlign w:val="bottom"/>
          </w:tcPr>
          <w:p>
            <w:pPr>
              <w:spacing w:after="0"/>
              <w:rPr>
                <w:sz w:val="19"/>
                <w:szCs w:val="19"/>
                <w:color w:val="auto"/>
              </w:rPr>
            </w:pPr>
          </w:p>
        </w:tc>
        <w:tc>
          <w:tcPr>
            <w:tcW w:w="4160" w:type="dxa"/>
            <w:vAlign w:val="bottom"/>
          </w:tcPr>
          <w:p>
            <w:pPr>
              <w:ind w:left="800"/>
              <w:spacing w:after="0"/>
              <w:rPr>
                <w:sz w:val="20"/>
                <w:szCs w:val="20"/>
                <w:color w:val="auto"/>
              </w:rPr>
            </w:pPr>
            <w:r>
              <w:rPr>
                <w:rFonts w:ascii="Arial" w:cs="Arial" w:eastAsia="Arial" w:hAnsi="Arial"/>
                <w:sz w:val="18"/>
                <w:szCs w:val="18"/>
                <w:color w:val="auto"/>
              </w:rPr>
              <w:t>(619)696-2000</w:t>
            </w:r>
          </w:p>
        </w:tc>
      </w:tr>
      <w:tr>
        <w:trPr>
          <w:trHeight w:val="439"/>
        </w:trPr>
        <w:tc>
          <w:tcPr>
            <w:tcW w:w="1380" w:type="dxa"/>
            <w:vAlign w:val="bottom"/>
          </w:tcPr>
          <w:p>
            <w:pPr>
              <w:jc w:val="right"/>
              <w:ind w:right="691"/>
              <w:spacing w:after="0"/>
              <w:rPr>
                <w:sz w:val="20"/>
                <w:szCs w:val="20"/>
                <w:color w:val="auto"/>
              </w:rPr>
            </w:pPr>
            <w:r>
              <w:rPr>
                <w:rFonts w:ascii="Arial" w:cs="Arial" w:eastAsia="Arial" w:hAnsi="Arial"/>
                <w:sz w:val="18"/>
                <w:szCs w:val="18"/>
                <w:color w:val="auto"/>
                <w:w w:val="87"/>
              </w:rPr>
              <w:t>1-01402</w:t>
            </w:r>
          </w:p>
        </w:tc>
        <w:tc>
          <w:tcPr>
            <w:tcW w:w="4160" w:type="dxa"/>
            <w:vAlign w:val="bottom"/>
          </w:tcPr>
          <w:p>
            <w:pPr>
              <w:ind w:left="800"/>
              <w:spacing w:after="0"/>
              <w:rPr>
                <w:sz w:val="20"/>
                <w:szCs w:val="20"/>
                <w:color w:val="auto"/>
              </w:rPr>
            </w:pPr>
            <w:r>
              <w:rPr>
                <w:rFonts w:ascii="Arial" w:cs="Arial" w:eastAsia="Arial" w:hAnsi="Arial"/>
                <w:sz w:val="18"/>
                <w:szCs w:val="18"/>
                <w:color w:val="auto"/>
                <w:w w:val="94"/>
              </w:rPr>
              <w:t>SOUTHERN CALIFORNIA GAS COMPANY</w:t>
            </w:r>
          </w:p>
        </w:tc>
      </w:tr>
      <w:tr>
        <w:trPr>
          <w:trHeight w:val="279"/>
        </w:trPr>
        <w:tc>
          <w:tcPr>
            <w:tcW w:w="1380" w:type="dxa"/>
            <w:vAlign w:val="bottom"/>
          </w:tcPr>
          <w:p>
            <w:pPr>
              <w:spacing w:after="0"/>
              <w:rPr>
                <w:sz w:val="24"/>
                <w:szCs w:val="24"/>
                <w:color w:val="auto"/>
              </w:rPr>
            </w:pPr>
          </w:p>
        </w:tc>
        <w:tc>
          <w:tcPr>
            <w:tcW w:w="4160" w:type="dxa"/>
            <w:vAlign w:val="bottom"/>
          </w:tcPr>
          <w:p>
            <w:pPr>
              <w:ind w:left="800"/>
              <w:spacing w:after="0"/>
              <w:rPr>
                <w:sz w:val="20"/>
                <w:szCs w:val="20"/>
                <w:color w:val="auto"/>
              </w:rPr>
            </w:pPr>
            <w:r>
              <w:rPr>
                <w:rFonts w:ascii="Arial" w:cs="Arial" w:eastAsia="Arial" w:hAnsi="Arial"/>
                <w:sz w:val="18"/>
                <w:szCs w:val="18"/>
                <w:color w:val="auto"/>
              </w:rPr>
              <w:t>555 West Fifth Street</w:t>
            </w:r>
          </w:p>
        </w:tc>
      </w:tr>
      <w:tr>
        <w:trPr>
          <w:trHeight w:val="226"/>
        </w:trPr>
        <w:tc>
          <w:tcPr>
            <w:tcW w:w="1380" w:type="dxa"/>
            <w:vAlign w:val="bottom"/>
          </w:tcPr>
          <w:p>
            <w:pPr>
              <w:spacing w:after="0"/>
              <w:rPr>
                <w:sz w:val="19"/>
                <w:szCs w:val="19"/>
                <w:color w:val="auto"/>
              </w:rPr>
            </w:pPr>
          </w:p>
        </w:tc>
        <w:tc>
          <w:tcPr>
            <w:tcW w:w="4160" w:type="dxa"/>
            <w:vAlign w:val="bottom"/>
          </w:tcPr>
          <w:p>
            <w:pPr>
              <w:ind w:left="800"/>
              <w:spacing w:after="0"/>
              <w:rPr>
                <w:sz w:val="20"/>
                <w:szCs w:val="20"/>
                <w:color w:val="auto"/>
              </w:rPr>
            </w:pPr>
            <w:r>
              <w:rPr>
                <w:rFonts w:ascii="Arial" w:cs="Arial" w:eastAsia="Arial" w:hAnsi="Arial"/>
                <w:sz w:val="18"/>
                <w:szCs w:val="18"/>
                <w:color w:val="auto"/>
              </w:rPr>
              <w:t>Los Angeles, California 90013</w:t>
            </w:r>
          </w:p>
        </w:tc>
      </w:tr>
      <w:tr>
        <w:trPr>
          <w:trHeight w:val="226"/>
        </w:trPr>
        <w:tc>
          <w:tcPr>
            <w:tcW w:w="1380" w:type="dxa"/>
            <w:vAlign w:val="bottom"/>
          </w:tcPr>
          <w:p>
            <w:pPr>
              <w:spacing w:after="0"/>
              <w:rPr>
                <w:sz w:val="19"/>
                <w:szCs w:val="19"/>
                <w:color w:val="auto"/>
              </w:rPr>
            </w:pPr>
          </w:p>
        </w:tc>
        <w:tc>
          <w:tcPr>
            <w:tcW w:w="4160" w:type="dxa"/>
            <w:vAlign w:val="bottom"/>
          </w:tcPr>
          <w:p>
            <w:pPr>
              <w:ind w:left="800"/>
              <w:spacing w:after="0"/>
              <w:rPr>
                <w:sz w:val="20"/>
                <w:szCs w:val="20"/>
                <w:color w:val="auto"/>
              </w:rPr>
            </w:pPr>
            <w:r>
              <w:rPr>
                <w:rFonts w:ascii="Arial" w:cs="Arial" w:eastAsia="Arial" w:hAnsi="Arial"/>
                <w:sz w:val="18"/>
                <w:szCs w:val="18"/>
                <w:color w:val="auto"/>
              </w:rPr>
              <w:t>(213)244-1200</w:t>
            </w:r>
          </w:p>
        </w:tc>
      </w:tr>
    </w:tbl>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tabs>
          <w:tab w:leader="none" w:pos="1720" w:val="left"/>
          <w:tab w:leader="none" w:pos="3440" w:val="left"/>
        </w:tabs>
        <w:rPr>
          <w:sz w:val="20"/>
          <w:szCs w:val="20"/>
          <w:color w:val="auto"/>
        </w:rPr>
      </w:pPr>
      <w:r>
        <w:rPr>
          <w:rFonts w:ascii="Arial" w:cs="Arial" w:eastAsia="Arial" w:hAnsi="Arial"/>
          <w:sz w:val="18"/>
          <w:szCs w:val="18"/>
          <w:color w:val="auto"/>
        </w:rPr>
        <w:t>California</w:t>
      </w:r>
      <w:r>
        <w:rPr>
          <w:sz w:val="20"/>
          <w:szCs w:val="20"/>
          <w:color w:val="auto"/>
        </w:rPr>
        <w:tab/>
      </w:r>
      <w:r>
        <w:rPr>
          <w:rFonts w:ascii="Arial" w:cs="Arial" w:eastAsia="Arial" w:hAnsi="Arial"/>
          <w:sz w:val="18"/>
          <w:szCs w:val="18"/>
          <w:color w:val="auto"/>
        </w:rPr>
        <w:t>95-1184800</w:t>
      </w:r>
      <w:r>
        <w:rPr>
          <w:sz w:val="20"/>
          <w:szCs w:val="20"/>
          <w:color w:val="auto"/>
        </w:rPr>
        <w:tab/>
      </w:r>
      <w:r>
        <w:rPr>
          <w:rFonts w:ascii="Arial" w:cs="Arial" w:eastAsia="Arial" w:hAnsi="Arial"/>
          <w:sz w:val="14"/>
          <w:szCs w:val="14"/>
          <w:color w:val="auto"/>
        </w:rPr>
        <w:t>No change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spacing w:after="0"/>
        <w:tabs>
          <w:tab w:leader="none" w:pos="1700" w:val="left"/>
          <w:tab w:leader="none" w:pos="3440" w:val="left"/>
        </w:tabs>
        <w:rPr>
          <w:sz w:val="20"/>
          <w:szCs w:val="20"/>
          <w:color w:val="auto"/>
        </w:rPr>
      </w:pPr>
      <w:r>
        <w:rPr>
          <w:rFonts w:ascii="Arial" w:cs="Arial" w:eastAsia="Arial" w:hAnsi="Arial"/>
          <w:sz w:val="18"/>
          <w:szCs w:val="18"/>
          <w:color w:val="auto"/>
        </w:rPr>
        <w:t>California</w:t>
      </w:r>
      <w:r>
        <w:rPr>
          <w:sz w:val="20"/>
          <w:szCs w:val="20"/>
          <w:color w:val="auto"/>
        </w:rPr>
        <w:tab/>
      </w:r>
      <w:r>
        <w:rPr>
          <w:rFonts w:ascii="Arial" w:cs="Arial" w:eastAsia="Arial" w:hAnsi="Arial"/>
          <w:sz w:val="18"/>
          <w:szCs w:val="18"/>
          <w:color w:val="auto"/>
        </w:rPr>
        <w:t>95-1240705</w:t>
      </w:r>
      <w:r>
        <w:rPr>
          <w:sz w:val="20"/>
          <w:szCs w:val="20"/>
          <w:color w:val="auto"/>
        </w:rPr>
        <w:tab/>
      </w:r>
      <w:r>
        <w:rPr>
          <w:rFonts w:ascii="Arial" w:cs="Arial" w:eastAsia="Arial" w:hAnsi="Arial"/>
          <w:sz w:val="14"/>
          <w:szCs w:val="14"/>
          <w:color w:val="auto"/>
        </w:rPr>
        <w:t>No change</w:t>
      </w:r>
    </w:p>
    <w:p>
      <w:pPr>
        <w:spacing w:after="0" w:line="921" w:lineRule="exact"/>
        <w:rPr>
          <w:sz w:val="24"/>
          <w:szCs w:val="24"/>
          <w:color w:val="auto"/>
        </w:rPr>
      </w:pPr>
    </w:p>
    <w:p>
      <w:pPr>
        <w:sectPr>
          <w:pgSz w:w="11900" w:h="16838" w:orient="portrait"/>
          <w:cols w:equalWidth="0" w:num="2">
            <w:col w:w="5920" w:space="720"/>
            <w:col w:w="4780"/>
          </w:cols>
          <w:pgMar w:left="240" w:top="951" w:right="239" w:bottom="0" w:gutter="0" w:footer="0" w:header="0"/>
          <w:type w:val="continuous"/>
        </w:sectPr>
      </w:pPr>
    </w:p>
    <w:p>
      <w:pPr>
        <w:spacing w:after="0" w:line="227" w:lineRule="exact"/>
        <w:rPr>
          <w:sz w:val="24"/>
          <w:szCs w:val="24"/>
          <w:color w:val="auto"/>
        </w:rPr>
      </w:pPr>
    </w:p>
    <w:p>
      <w:pPr>
        <w:ind w:right="480"/>
        <w:spacing w:after="0" w:line="271" w:lineRule="auto"/>
        <w:rPr>
          <w:sz w:val="20"/>
          <w:szCs w:val="20"/>
          <w:color w:val="auto"/>
        </w:rPr>
      </w:pPr>
      <w:r>
        <w:rPr>
          <w:rFonts w:ascii="Arial" w:cs="Arial" w:eastAsia="Arial" w:hAnsi="Arial"/>
          <w:sz w:val="18"/>
          <w:szCs w:val="18"/>
          <w:color w:val="auto"/>
        </w:rPr>
        <w:t>Indicate by check mark whether the registrants (1) have filed all reports required to be filed by Section 13 or 15(d) of the Securities Exchange Act of 1934 during the preceding 12 months (or for such shorter period that the registrants were required to file such reports), and (2) have been subject to such filing requirements for the past 90 days.</w:t>
      </w:r>
    </w:p>
    <w:p>
      <w:pPr>
        <w:spacing w:after="0" w:line="216" w:lineRule="exact"/>
        <w:rPr>
          <w:sz w:val="24"/>
          <w:szCs w:val="24"/>
          <w:color w:val="auto"/>
        </w:rPr>
      </w:pPr>
    </w:p>
    <w:p>
      <w:pPr>
        <w:ind w:left="7100"/>
        <w:spacing w:after="0"/>
        <w:tabs>
          <w:tab w:leader="none" w:pos="7940" w:val="left"/>
          <w:tab w:leader="none" w:pos="980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4721225</wp:posOffset>
            </wp:positionH>
            <wp:positionV relativeFrom="paragraph">
              <wp:posOffset>28575</wp:posOffset>
            </wp:positionV>
            <wp:extent cx="8102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1026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28575</wp:posOffset>
            </wp:positionV>
            <wp:extent cx="8267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6770" cy="8255"/>
                    </a:xfrm>
                    <a:prstGeom prst="rect">
                      <a:avLst/>
                    </a:prstGeom>
                    <a:noFill/>
                  </pic:spPr>
                </pic:pic>
              </a:graphicData>
            </a:graphic>
          </wp:anchor>
        </w:drawing>
      </w:r>
    </w:p>
    <w:p>
      <w:pPr>
        <w:spacing w:after="0" w:line="238" w:lineRule="exact"/>
        <w:rPr>
          <w:sz w:val="24"/>
          <w:szCs w:val="24"/>
          <w:color w:val="auto"/>
        </w:rPr>
      </w:pPr>
    </w:p>
    <w:p>
      <w:pPr>
        <w:jc w:val="both"/>
        <w:ind w:right="220"/>
        <w:spacing w:after="0" w:line="271"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189" w:lineRule="exact"/>
        <w:rPr>
          <w:sz w:val="24"/>
          <w:szCs w:val="24"/>
          <w:color w:val="auto"/>
        </w:rPr>
      </w:pPr>
    </w:p>
    <w:tbl>
      <w:tblPr>
        <w:tblLayout w:type="fixed"/>
        <w:tblInd w:w="0" w:type="dxa"/>
        <w:tblCellMar>
          <w:top w:w="0" w:type="dxa"/>
          <w:left w:w="0" w:type="dxa"/>
          <w:bottom w:w="0" w:type="dxa"/>
          <w:right w:w="0" w:type="dxa"/>
        </w:tblCellMar>
      </w:tblPr>
      <w:tr>
        <w:trPr>
          <w:trHeight w:val="250"/>
        </w:trPr>
        <w:tc>
          <w:tcPr>
            <w:tcW w:w="4860" w:type="dxa"/>
            <w:vAlign w:val="bottom"/>
          </w:tcPr>
          <w:p>
            <w:pPr>
              <w:spacing w:after="0"/>
              <w:rPr>
                <w:sz w:val="20"/>
                <w:szCs w:val="20"/>
                <w:color w:val="auto"/>
              </w:rPr>
            </w:pPr>
            <w:r>
              <w:rPr>
                <w:rFonts w:ascii="Arial" w:cs="Arial" w:eastAsia="Arial" w:hAnsi="Arial"/>
                <w:sz w:val="18"/>
                <w:szCs w:val="18"/>
                <w:color w:val="auto"/>
              </w:rPr>
              <w:t>Sempra Energy</w:t>
            </w:r>
          </w:p>
        </w:tc>
        <w:tc>
          <w:tcPr>
            <w:tcW w:w="2600" w:type="dxa"/>
            <w:vAlign w:val="bottom"/>
          </w:tcPr>
          <w:p>
            <w:pPr>
              <w:ind w:left="2260"/>
              <w:spacing w:after="0"/>
              <w:rPr>
                <w:sz w:val="20"/>
                <w:szCs w:val="20"/>
                <w:color w:val="auto"/>
              </w:rPr>
            </w:pPr>
            <w:r>
              <w:rPr>
                <w:rFonts w:ascii="Arial" w:cs="Arial" w:eastAsia="Arial" w:hAnsi="Arial"/>
                <w:sz w:val="18"/>
                <w:szCs w:val="18"/>
                <w:color w:val="auto"/>
              </w:rPr>
              <w:t>Yes</w:t>
            </w:r>
          </w:p>
        </w:tc>
        <w:tc>
          <w:tcPr>
            <w:tcW w:w="1260" w:type="dxa"/>
            <w:vAlign w:val="bottom"/>
          </w:tcPr>
          <w:p>
            <w:pPr>
              <w:ind w:left="520"/>
              <w:spacing w:after="0"/>
              <w:rPr>
                <w:sz w:val="20"/>
                <w:szCs w:val="20"/>
                <w:color w:val="auto"/>
              </w:rPr>
            </w:pPr>
            <w:r>
              <w:rPr>
                <w:rFonts w:ascii="Arial" w:cs="Arial" w:eastAsia="Arial" w:hAnsi="Arial"/>
                <w:sz w:val="18"/>
                <w:szCs w:val="18"/>
                <w:color w:val="auto"/>
              </w:rPr>
              <w:t>X</w:t>
            </w:r>
          </w:p>
        </w:tc>
        <w:tc>
          <w:tcPr>
            <w:tcW w:w="1320" w:type="dxa"/>
            <w:vAlign w:val="bottom"/>
          </w:tcPr>
          <w:p>
            <w:pPr>
              <w:ind w:left="1100"/>
              <w:spacing w:after="0"/>
              <w:rPr>
                <w:sz w:val="20"/>
                <w:szCs w:val="20"/>
                <w:color w:val="auto"/>
              </w:rPr>
            </w:pPr>
            <w:r>
              <w:rPr>
                <w:rFonts w:ascii="Arial" w:cs="Arial" w:eastAsia="Arial" w:hAnsi="Arial"/>
                <w:sz w:val="18"/>
                <w:szCs w:val="18"/>
                <w:color w:val="auto"/>
                <w:w w:val="86"/>
              </w:rPr>
              <w:t>No</w:t>
            </w:r>
          </w:p>
        </w:tc>
        <w:tc>
          <w:tcPr>
            <w:tcW w:w="0" w:type="dxa"/>
            <w:vAlign w:val="bottom"/>
          </w:tcPr>
          <w:p>
            <w:pPr>
              <w:spacing w:after="0"/>
              <w:rPr>
                <w:sz w:val="1"/>
                <w:szCs w:val="1"/>
                <w:color w:val="auto"/>
              </w:rPr>
            </w:pPr>
          </w:p>
        </w:tc>
      </w:tr>
      <w:tr>
        <w:trPr>
          <w:trHeight w:val="28"/>
        </w:trPr>
        <w:tc>
          <w:tcPr>
            <w:tcW w:w="4860" w:type="dxa"/>
            <w:vAlign w:val="bottom"/>
            <w:vMerge w:val="restart"/>
          </w:tcPr>
          <w:p>
            <w:pPr>
              <w:spacing w:after="0"/>
              <w:rPr>
                <w:sz w:val="20"/>
                <w:szCs w:val="20"/>
                <w:color w:val="auto"/>
              </w:rPr>
            </w:pPr>
            <w:r>
              <w:rPr>
                <w:rFonts w:ascii="Arial" w:cs="Arial" w:eastAsia="Arial" w:hAnsi="Arial"/>
                <w:sz w:val="18"/>
                <w:szCs w:val="18"/>
                <w:color w:val="auto"/>
              </w:rPr>
              <w:t>San Diego Gas &amp; Electric Company</w:t>
            </w:r>
          </w:p>
        </w:tc>
        <w:tc>
          <w:tcPr>
            <w:tcW w:w="26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4860" w:type="dxa"/>
            <w:vAlign w:val="bottom"/>
            <w:vMerge w:val="continue"/>
          </w:tcPr>
          <w:p>
            <w:pPr>
              <w:spacing w:after="0"/>
              <w:rPr>
                <w:sz w:val="21"/>
                <w:szCs w:val="21"/>
                <w:color w:val="auto"/>
              </w:rPr>
            </w:pPr>
          </w:p>
        </w:tc>
        <w:tc>
          <w:tcPr>
            <w:tcW w:w="2600" w:type="dxa"/>
            <w:vAlign w:val="bottom"/>
          </w:tcPr>
          <w:p>
            <w:pPr>
              <w:ind w:left="2260"/>
              <w:spacing w:after="0"/>
              <w:rPr>
                <w:sz w:val="20"/>
                <w:szCs w:val="20"/>
                <w:color w:val="auto"/>
              </w:rPr>
            </w:pPr>
            <w:r>
              <w:rPr>
                <w:rFonts w:ascii="Arial" w:cs="Arial" w:eastAsia="Arial" w:hAnsi="Arial"/>
                <w:sz w:val="18"/>
                <w:szCs w:val="18"/>
                <w:color w:val="auto"/>
              </w:rPr>
              <w:t>Yes</w:t>
            </w:r>
          </w:p>
        </w:tc>
        <w:tc>
          <w:tcPr>
            <w:tcW w:w="1260" w:type="dxa"/>
            <w:vAlign w:val="bottom"/>
          </w:tcPr>
          <w:p>
            <w:pPr>
              <w:ind w:left="520"/>
              <w:spacing w:after="0"/>
              <w:rPr>
                <w:sz w:val="20"/>
                <w:szCs w:val="20"/>
                <w:color w:val="auto"/>
              </w:rPr>
            </w:pPr>
            <w:r>
              <w:rPr>
                <w:rFonts w:ascii="Arial" w:cs="Arial" w:eastAsia="Arial" w:hAnsi="Arial"/>
                <w:sz w:val="18"/>
                <w:szCs w:val="18"/>
                <w:color w:val="auto"/>
              </w:rPr>
              <w:t>X</w:t>
            </w:r>
          </w:p>
        </w:tc>
        <w:tc>
          <w:tcPr>
            <w:tcW w:w="1320" w:type="dxa"/>
            <w:vAlign w:val="bottom"/>
          </w:tcPr>
          <w:p>
            <w:pPr>
              <w:ind w:left="1100"/>
              <w:spacing w:after="0"/>
              <w:rPr>
                <w:sz w:val="20"/>
                <w:szCs w:val="20"/>
                <w:color w:val="auto"/>
              </w:rPr>
            </w:pPr>
            <w:r>
              <w:rPr>
                <w:rFonts w:ascii="Arial" w:cs="Arial" w:eastAsia="Arial" w:hAnsi="Arial"/>
                <w:sz w:val="18"/>
                <w:szCs w:val="18"/>
                <w:color w:val="auto"/>
                <w:w w:val="86"/>
              </w:rPr>
              <w:t>No</w:t>
            </w:r>
          </w:p>
        </w:tc>
        <w:tc>
          <w:tcPr>
            <w:tcW w:w="0" w:type="dxa"/>
            <w:vAlign w:val="bottom"/>
          </w:tcPr>
          <w:p>
            <w:pPr>
              <w:spacing w:after="0"/>
              <w:rPr>
                <w:sz w:val="1"/>
                <w:szCs w:val="1"/>
                <w:color w:val="auto"/>
              </w:rPr>
            </w:pPr>
          </w:p>
        </w:tc>
      </w:tr>
      <w:tr>
        <w:trPr>
          <w:trHeight w:val="28"/>
        </w:trPr>
        <w:tc>
          <w:tcPr>
            <w:tcW w:w="4860" w:type="dxa"/>
            <w:vAlign w:val="bottom"/>
            <w:vMerge w:val="restart"/>
          </w:tcPr>
          <w:p>
            <w:pPr>
              <w:spacing w:after="0"/>
              <w:rPr>
                <w:sz w:val="20"/>
                <w:szCs w:val="20"/>
                <w:color w:val="auto"/>
              </w:rPr>
            </w:pPr>
            <w:r>
              <w:rPr>
                <w:rFonts w:ascii="Arial" w:cs="Arial" w:eastAsia="Arial" w:hAnsi="Arial"/>
                <w:sz w:val="18"/>
                <w:szCs w:val="18"/>
                <w:color w:val="auto"/>
              </w:rPr>
              <w:t>Southern California Gas Company</w:t>
            </w:r>
          </w:p>
        </w:tc>
        <w:tc>
          <w:tcPr>
            <w:tcW w:w="26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4860" w:type="dxa"/>
            <w:vAlign w:val="bottom"/>
            <w:vMerge w:val="continue"/>
          </w:tcPr>
          <w:p>
            <w:pPr>
              <w:spacing w:after="0"/>
              <w:rPr>
                <w:sz w:val="21"/>
                <w:szCs w:val="21"/>
                <w:color w:val="auto"/>
              </w:rPr>
            </w:pPr>
          </w:p>
        </w:tc>
        <w:tc>
          <w:tcPr>
            <w:tcW w:w="2600" w:type="dxa"/>
            <w:vAlign w:val="bottom"/>
          </w:tcPr>
          <w:p>
            <w:pPr>
              <w:ind w:left="2260"/>
              <w:spacing w:after="0"/>
              <w:rPr>
                <w:sz w:val="20"/>
                <w:szCs w:val="20"/>
                <w:color w:val="auto"/>
              </w:rPr>
            </w:pPr>
            <w:r>
              <w:rPr>
                <w:rFonts w:ascii="Arial" w:cs="Arial" w:eastAsia="Arial" w:hAnsi="Arial"/>
                <w:sz w:val="18"/>
                <w:szCs w:val="18"/>
                <w:color w:val="auto"/>
              </w:rPr>
              <w:t>Yes</w:t>
            </w:r>
          </w:p>
        </w:tc>
        <w:tc>
          <w:tcPr>
            <w:tcW w:w="1260" w:type="dxa"/>
            <w:vAlign w:val="bottom"/>
          </w:tcPr>
          <w:p>
            <w:pPr>
              <w:ind w:left="520"/>
              <w:spacing w:after="0"/>
              <w:rPr>
                <w:sz w:val="20"/>
                <w:szCs w:val="20"/>
                <w:color w:val="auto"/>
              </w:rPr>
            </w:pPr>
            <w:r>
              <w:rPr>
                <w:rFonts w:ascii="Arial" w:cs="Arial" w:eastAsia="Arial" w:hAnsi="Arial"/>
                <w:sz w:val="18"/>
                <w:szCs w:val="18"/>
                <w:color w:val="auto"/>
              </w:rPr>
              <w:t>X</w:t>
            </w:r>
          </w:p>
        </w:tc>
        <w:tc>
          <w:tcPr>
            <w:tcW w:w="1320" w:type="dxa"/>
            <w:vAlign w:val="bottom"/>
          </w:tcPr>
          <w:p>
            <w:pPr>
              <w:ind w:left="1100"/>
              <w:spacing w:after="0"/>
              <w:rPr>
                <w:sz w:val="20"/>
                <w:szCs w:val="20"/>
                <w:color w:val="auto"/>
              </w:rPr>
            </w:pPr>
            <w:r>
              <w:rPr>
                <w:rFonts w:ascii="Arial" w:cs="Arial" w:eastAsia="Arial" w:hAnsi="Arial"/>
                <w:sz w:val="18"/>
                <w:szCs w:val="18"/>
                <w:color w:val="auto"/>
                <w:w w:val="86"/>
              </w:rPr>
              <w:t>No</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6425565</wp:posOffset>
            </wp:positionH>
            <wp:positionV relativeFrom="paragraph">
              <wp:posOffset>-353060</wp:posOffset>
            </wp:positionV>
            <wp:extent cx="8267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677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-167640</wp:posOffset>
            </wp:positionV>
            <wp:extent cx="8267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6770" cy="8255"/>
                    </a:xfrm>
                    <a:prstGeom prst="rect">
                      <a:avLst/>
                    </a:prstGeom>
                    <a:noFill/>
                  </pic:spPr>
                </pic:pic>
              </a:graphicData>
            </a:graphic>
          </wp:anchor>
        </w:drawing>
        <w:drawing>
          <wp:anchor simplePos="0" relativeHeight="251657728" behindDoc="1" locked="0" layoutInCell="0" allowOverlap="1">
            <wp:simplePos x="0" y="0"/>
            <wp:positionH relativeFrom="column">
              <wp:posOffset>4738370</wp:posOffset>
            </wp:positionH>
            <wp:positionV relativeFrom="paragraph">
              <wp:posOffset>17780</wp:posOffset>
            </wp:positionV>
            <wp:extent cx="8013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0137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17780</wp:posOffset>
            </wp:positionV>
            <wp:extent cx="8267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6770" cy="8255"/>
                    </a:xfrm>
                    <a:prstGeom prst="rect">
                      <a:avLst/>
                    </a:prstGeom>
                    <a:noFill/>
                  </pic:spPr>
                </pic:pic>
              </a:graphicData>
            </a:graphic>
          </wp:anchor>
        </w:drawing>
      </w:r>
    </w:p>
    <w:p>
      <w:pPr>
        <w:spacing w:after="0" w:line="22" w:lineRule="exact"/>
        <w:rPr>
          <w:sz w:val="24"/>
          <w:szCs w:val="24"/>
          <w:color w:val="auto"/>
        </w:rPr>
      </w:pPr>
    </w:p>
    <w:p>
      <w:pPr>
        <w:ind w:right="360"/>
        <w:spacing w:after="0" w:line="312"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951" w:right="2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381" w:lineRule="exact"/>
        <w:rPr>
          <w:sz w:val="24"/>
          <w:szCs w:val="24"/>
          <w:color w:val="auto"/>
        </w:rPr>
      </w:pPr>
    </w:p>
    <w:p>
      <w:pPr>
        <w:spacing w:after="0"/>
        <w:rPr>
          <w:sz w:val="20"/>
          <w:szCs w:val="20"/>
          <w:color w:val="auto"/>
        </w:rPr>
      </w:pPr>
      <w:r>
        <w:rPr>
          <w:rFonts w:ascii="Arial" w:cs="Arial" w:eastAsia="Arial" w:hAnsi="Arial"/>
          <w:sz w:val="18"/>
          <w:szCs w:val="18"/>
          <w:color w:val="auto"/>
        </w:rPr>
        <w:t>Sempra Energy</w:t>
      </w:r>
    </w:p>
    <w:p>
      <w:pPr>
        <w:spacing w:after="0" w:line="19" w:lineRule="exact"/>
        <w:rPr>
          <w:sz w:val="24"/>
          <w:szCs w:val="24"/>
          <w:color w:val="auto"/>
        </w:rPr>
      </w:pPr>
    </w:p>
    <w:p>
      <w:pPr>
        <w:spacing w:after="0"/>
        <w:rPr>
          <w:sz w:val="20"/>
          <w:szCs w:val="20"/>
          <w:color w:val="auto"/>
        </w:rPr>
      </w:pPr>
      <w:r>
        <w:rPr>
          <w:rFonts w:ascii="Arial" w:cs="Arial" w:eastAsia="Arial" w:hAnsi="Arial"/>
          <w:sz w:val="16"/>
          <w:szCs w:val="16"/>
          <w:color w:val="auto"/>
        </w:rPr>
        <w:t>San Diego Gas &amp; Electric</w:t>
      </w:r>
    </w:p>
    <w:p>
      <w:pPr>
        <w:spacing w:after="0" w:line="42" w:lineRule="exact"/>
        <w:rPr>
          <w:sz w:val="24"/>
          <w:szCs w:val="24"/>
          <w:color w:val="auto"/>
        </w:rPr>
      </w:pPr>
    </w:p>
    <w:p>
      <w:pPr>
        <w:ind w:left="320"/>
        <w:spacing w:after="0"/>
        <w:rPr>
          <w:sz w:val="20"/>
          <w:szCs w:val="20"/>
          <w:color w:val="auto"/>
        </w:rPr>
      </w:pPr>
      <w:r>
        <w:rPr>
          <w:rFonts w:ascii="Arial" w:cs="Arial" w:eastAsia="Arial" w:hAnsi="Arial"/>
          <w:sz w:val="18"/>
          <w:szCs w:val="18"/>
          <w:color w:val="auto"/>
        </w:rPr>
        <w:t>Company</w:t>
      </w:r>
    </w:p>
    <w:p>
      <w:pPr>
        <w:spacing w:after="0" w:line="19" w:lineRule="exact"/>
        <w:rPr>
          <w:sz w:val="24"/>
          <w:szCs w:val="24"/>
          <w:color w:val="auto"/>
        </w:rPr>
      </w:pPr>
    </w:p>
    <w:p>
      <w:pPr>
        <w:spacing w:after="0"/>
        <w:rPr>
          <w:sz w:val="20"/>
          <w:szCs w:val="20"/>
          <w:color w:val="auto"/>
        </w:rPr>
      </w:pPr>
      <w:r>
        <w:rPr>
          <w:rFonts w:ascii="Arial" w:cs="Arial" w:eastAsia="Arial" w:hAnsi="Arial"/>
          <w:sz w:val="17"/>
          <w:szCs w:val="17"/>
          <w:color w:val="auto"/>
        </w:rPr>
        <w:t>Southern California Gas</w:t>
      </w:r>
    </w:p>
    <w:p>
      <w:pPr>
        <w:spacing w:after="0" w:line="30" w:lineRule="exact"/>
        <w:rPr>
          <w:sz w:val="24"/>
          <w:szCs w:val="24"/>
          <w:color w:val="auto"/>
        </w:rPr>
      </w:pPr>
    </w:p>
    <w:p>
      <w:pPr>
        <w:ind w:left="320"/>
        <w:spacing w:after="0"/>
        <w:rPr>
          <w:sz w:val="20"/>
          <w:szCs w:val="20"/>
          <w:color w:val="auto"/>
        </w:rPr>
      </w:pPr>
      <w:r>
        <w:rPr>
          <w:rFonts w:ascii="Arial" w:cs="Arial" w:eastAsia="Arial" w:hAnsi="Arial"/>
          <w:sz w:val="18"/>
          <w:szCs w:val="18"/>
          <w:color w:val="auto"/>
        </w:rPr>
        <w:t>Company</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4"/>
        </w:trPr>
        <w:tc>
          <w:tcPr>
            <w:tcW w:w="2240" w:type="dxa"/>
            <w:vAlign w:val="bottom"/>
            <w:gridSpan w:val="2"/>
          </w:tcPr>
          <w:p>
            <w:pPr>
              <w:ind w:left="780"/>
              <w:spacing w:after="0"/>
              <w:rPr>
                <w:sz w:val="20"/>
                <w:szCs w:val="20"/>
                <w:color w:val="auto"/>
              </w:rPr>
            </w:pPr>
            <w:r>
              <w:rPr>
                <w:rFonts w:ascii="Arial" w:cs="Arial" w:eastAsia="Arial" w:hAnsi="Arial"/>
                <w:sz w:val="18"/>
                <w:szCs w:val="18"/>
                <w:color w:val="auto"/>
              </w:rPr>
              <w:t>Large</w:t>
            </w:r>
          </w:p>
        </w:tc>
        <w:tc>
          <w:tcPr>
            <w:tcW w:w="1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40" w:type="dxa"/>
            <w:vAlign w:val="bottom"/>
            <w:gridSpan w:val="2"/>
          </w:tcPr>
          <w:p>
            <w:pPr>
              <w:jc w:val="right"/>
              <w:ind w:right="231"/>
              <w:spacing w:after="0"/>
              <w:rPr>
                <w:sz w:val="20"/>
                <w:szCs w:val="20"/>
                <w:color w:val="auto"/>
              </w:rPr>
            </w:pPr>
            <w:r>
              <w:rPr>
                <w:rFonts w:ascii="Arial" w:cs="Arial" w:eastAsia="Arial" w:hAnsi="Arial"/>
                <w:sz w:val="18"/>
                <w:szCs w:val="18"/>
                <w:color w:val="auto"/>
              </w:rPr>
              <w:t>Smaller reporting</w:t>
            </w:r>
          </w:p>
        </w:tc>
      </w:tr>
      <w:tr>
        <w:trPr>
          <w:trHeight w:val="279"/>
        </w:trPr>
        <w:tc>
          <w:tcPr>
            <w:tcW w:w="2240" w:type="dxa"/>
            <w:vAlign w:val="bottom"/>
            <w:gridSpan w:val="2"/>
          </w:tcPr>
          <w:p>
            <w:pPr>
              <w:ind w:left="400"/>
              <w:spacing w:after="0"/>
              <w:rPr>
                <w:sz w:val="20"/>
                <w:szCs w:val="20"/>
                <w:color w:val="auto"/>
              </w:rPr>
            </w:pPr>
            <w:r>
              <w:rPr>
                <w:rFonts w:ascii="Arial" w:cs="Arial" w:eastAsia="Arial" w:hAnsi="Arial"/>
                <w:sz w:val="18"/>
                <w:szCs w:val="18"/>
                <w:color w:val="auto"/>
              </w:rPr>
              <w:t>accelerated filer</w:t>
            </w:r>
          </w:p>
        </w:tc>
        <w:tc>
          <w:tcPr>
            <w:tcW w:w="2500" w:type="dxa"/>
            <w:vAlign w:val="bottom"/>
            <w:gridSpan w:val="2"/>
          </w:tcPr>
          <w:p>
            <w:pPr>
              <w:jc w:val="right"/>
              <w:ind w:right="511"/>
              <w:spacing w:after="0"/>
              <w:rPr>
                <w:sz w:val="20"/>
                <w:szCs w:val="20"/>
                <w:color w:val="auto"/>
              </w:rPr>
            </w:pPr>
            <w:r>
              <w:rPr>
                <w:rFonts w:ascii="Arial" w:cs="Arial" w:eastAsia="Arial" w:hAnsi="Arial"/>
                <w:sz w:val="18"/>
                <w:szCs w:val="18"/>
                <w:color w:val="auto"/>
              </w:rPr>
              <w:t>Accelerated filer</w:t>
            </w:r>
          </w:p>
        </w:tc>
        <w:tc>
          <w:tcPr>
            <w:tcW w:w="2380" w:type="dxa"/>
            <w:vAlign w:val="bottom"/>
            <w:gridSpan w:val="3"/>
          </w:tcPr>
          <w:p>
            <w:pPr>
              <w:jc w:val="center"/>
              <w:ind w:left="231"/>
              <w:spacing w:after="0"/>
              <w:rPr>
                <w:sz w:val="20"/>
                <w:szCs w:val="20"/>
                <w:color w:val="auto"/>
              </w:rPr>
            </w:pPr>
            <w:r>
              <w:rPr>
                <w:rFonts w:ascii="Arial" w:cs="Arial" w:eastAsia="Arial" w:hAnsi="Arial"/>
                <w:sz w:val="18"/>
                <w:szCs w:val="18"/>
                <w:color w:val="auto"/>
                <w:w w:val="90"/>
              </w:rPr>
              <w:t>Non-accelerated filer</w:t>
            </w:r>
          </w:p>
        </w:tc>
        <w:tc>
          <w:tcPr>
            <w:tcW w:w="1840" w:type="dxa"/>
            <w:vAlign w:val="bottom"/>
            <w:gridSpan w:val="2"/>
          </w:tcPr>
          <w:p>
            <w:pPr>
              <w:jc w:val="right"/>
              <w:ind w:right="531"/>
              <w:spacing w:after="0"/>
              <w:rPr>
                <w:sz w:val="20"/>
                <w:szCs w:val="20"/>
                <w:color w:val="auto"/>
              </w:rPr>
            </w:pPr>
            <w:r>
              <w:rPr>
                <w:rFonts w:ascii="Arial" w:cs="Arial" w:eastAsia="Arial" w:hAnsi="Arial"/>
                <w:sz w:val="18"/>
                <w:szCs w:val="18"/>
                <w:color w:val="auto"/>
              </w:rPr>
              <w:t>company</w:t>
            </w:r>
          </w:p>
        </w:tc>
      </w:tr>
      <w:tr>
        <w:trPr>
          <w:trHeight w:val="28"/>
        </w:trPr>
        <w:tc>
          <w:tcPr>
            <w:tcW w:w="10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5"/>
        </w:trPr>
        <w:tc>
          <w:tcPr>
            <w:tcW w:w="1080" w:type="dxa"/>
            <w:vAlign w:val="bottom"/>
          </w:tcPr>
          <w:p>
            <w:pPr>
              <w:ind w:left="760"/>
              <w:spacing w:after="0"/>
              <w:rPr>
                <w:sz w:val="20"/>
                <w:szCs w:val="20"/>
                <w:color w:val="auto"/>
              </w:rPr>
            </w:pPr>
            <w:r>
              <w:rPr>
                <w:rFonts w:ascii="Arial" w:cs="Arial" w:eastAsia="Arial" w:hAnsi="Arial"/>
                <w:sz w:val="18"/>
                <w:szCs w:val="18"/>
                <w:color w:val="auto"/>
              </w:rPr>
              <w:t>[ X</w:t>
            </w:r>
          </w:p>
        </w:tc>
        <w:tc>
          <w:tcPr>
            <w:tcW w:w="1160" w:type="dxa"/>
            <w:vAlign w:val="bottom"/>
          </w:tcPr>
          <w:p>
            <w:pPr>
              <w:jc w:val="right"/>
              <w:ind w:right="971"/>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11"/>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731"/>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671"/>
              <w:spacing w:after="0"/>
              <w:rPr>
                <w:sz w:val="20"/>
                <w:szCs w:val="20"/>
                <w:color w:val="auto"/>
              </w:rPr>
            </w:pPr>
            <w:r>
              <w:rPr>
                <w:rFonts w:ascii="Arial" w:cs="Arial" w:eastAsia="Arial" w:hAnsi="Arial"/>
                <w:sz w:val="18"/>
                <w:szCs w:val="18"/>
                <w:color w:val="auto"/>
              </w:rPr>
              <w:t>]</w:t>
            </w:r>
          </w:p>
        </w:tc>
      </w:tr>
      <w:tr>
        <w:trPr>
          <w:trHeight w:val="452"/>
        </w:trPr>
        <w:tc>
          <w:tcPr>
            <w:tcW w:w="1080" w:type="dxa"/>
            <w:vAlign w:val="bottom"/>
          </w:tcPr>
          <w:p>
            <w:pPr>
              <w:ind w:left="76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71"/>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11"/>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jc w:val="center"/>
              <w:spacing w:after="0"/>
              <w:rPr>
                <w:sz w:val="20"/>
                <w:szCs w:val="20"/>
                <w:color w:val="auto"/>
              </w:rPr>
            </w:pPr>
            <w:r>
              <w:rPr>
                <w:rFonts w:ascii="Arial" w:cs="Arial" w:eastAsia="Arial" w:hAnsi="Arial"/>
                <w:sz w:val="18"/>
                <w:szCs w:val="18"/>
                <w:color w:val="auto"/>
              </w:rPr>
              <w:t>X</w:t>
            </w:r>
          </w:p>
        </w:tc>
        <w:tc>
          <w:tcPr>
            <w:tcW w:w="920" w:type="dxa"/>
            <w:vAlign w:val="bottom"/>
          </w:tcPr>
          <w:p>
            <w:pPr>
              <w:jc w:val="right"/>
              <w:ind w:right="731"/>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671"/>
              <w:spacing w:after="0"/>
              <w:rPr>
                <w:sz w:val="20"/>
                <w:szCs w:val="20"/>
                <w:color w:val="auto"/>
              </w:rPr>
            </w:pPr>
            <w:r>
              <w:rPr>
                <w:rFonts w:ascii="Arial" w:cs="Arial" w:eastAsia="Arial" w:hAnsi="Arial"/>
                <w:sz w:val="18"/>
                <w:szCs w:val="18"/>
                <w:color w:val="auto"/>
              </w:rPr>
              <w:t>]</w:t>
            </w:r>
          </w:p>
        </w:tc>
      </w:tr>
      <w:tr>
        <w:trPr>
          <w:trHeight w:val="452"/>
        </w:trPr>
        <w:tc>
          <w:tcPr>
            <w:tcW w:w="1080" w:type="dxa"/>
            <w:vAlign w:val="bottom"/>
          </w:tcPr>
          <w:p>
            <w:pPr>
              <w:ind w:left="76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71"/>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11"/>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jc w:val="center"/>
              <w:spacing w:after="0"/>
              <w:rPr>
                <w:sz w:val="20"/>
                <w:szCs w:val="20"/>
                <w:color w:val="auto"/>
              </w:rPr>
            </w:pPr>
            <w:r>
              <w:rPr>
                <w:rFonts w:ascii="Arial" w:cs="Arial" w:eastAsia="Arial" w:hAnsi="Arial"/>
                <w:sz w:val="18"/>
                <w:szCs w:val="18"/>
                <w:color w:val="auto"/>
              </w:rPr>
              <w:t>X</w:t>
            </w:r>
          </w:p>
        </w:tc>
        <w:tc>
          <w:tcPr>
            <w:tcW w:w="920" w:type="dxa"/>
            <w:vAlign w:val="bottom"/>
          </w:tcPr>
          <w:p>
            <w:pPr>
              <w:jc w:val="right"/>
              <w:ind w:right="731"/>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671"/>
              <w:spacing w:after="0"/>
              <w:rPr>
                <w:sz w:val="20"/>
                <w:szCs w:val="20"/>
                <w:color w:val="auto"/>
              </w:rPr>
            </w:pPr>
            <w:r>
              <w:rPr>
                <w:rFonts w:ascii="Arial" w:cs="Arial" w:eastAsia="Arial" w:hAnsi="Arial"/>
                <w:sz w:val="18"/>
                <w:szCs w:val="18"/>
                <w:color w:val="auto"/>
              </w:rPr>
              <w:t>]</w:t>
            </w:r>
          </w:p>
        </w:tc>
      </w:tr>
    </w:tbl>
    <w:p>
      <w:pPr>
        <w:spacing w:after="0" w:line="28" w:lineRule="exact"/>
        <w:rPr>
          <w:sz w:val="24"/>
          <w:szCs w:val="24"/>
          <w:color w:val="auto"/>
        </w:rPr>
      </w:pPr>
    </w:p>
    <w:p>
      <w:pPr>
        <w:sectPr>
          <w:pgSz w:w="11900" w:h="16838" w:orient="portrait"/>
          <w:cols w:equalWidth="0" w:num="2">
            <w:col w:w="1840" w:space="620"/>
            <w:col w:w="8960"/>
          </w:cols>
          <w:pgMar w:left="240" w:top="951" w:right="239" w:bottom="0" w:gutter="0" w:footer="0" w:header="0"/>
          <w:type w:val="continuous"/>
        </w:sectPr>
      </w:pPr>
    </w:p>
    <w:tbl>
      <w:tblPr>
        <w:tblLayout w:type="fixed"/>
        <w:tblInd w:w="0" w:type="dxa"/>
        <w:tblCellMar>
          <w:top w:w="0" w:type="dxa"/>
          <w:left w:w="0" w:type="dxa"/>
          <w:bottom w:w="0" w:type="dxa"/>
          <w:right w:w="0" w:type="dxa"/>
        </w:tblCellMar>
      </w:tblPr>
      <w:tr>
        <w:trPr>
          <w:trHeight w:val="224"/>
        </w:trPr>
        <w:tc>
          <w:tcPr>
            <w:tcW w:w="8840" w:type="dxa"/>
            <w:vAlign w:val="bottom"/>
            <w:gridSpan w:val="3"/>
          </w:tcPr>
          <w:p>
            <w:pPr>
              <w:spacing w:after="0"/>
              <w:rPr>
                <w:sz w:val="20"/>
                <w:szCs w:val="20"/>
                <w:color w:val="auto"/>
              </w:rPr>
            </w:pPr>
            <w:r>
              <w:rPr>
                <w:rFonts w:ascii="Arial" w:cs="Arial" w:eastAsia="Arial" w:hAnsi="Arial"/>
                <w:sz w:val="18"/>
                <w:szCs w:val="18"/>
                <w:color w:val="auto"/>
                <w:w w:val="98"/>
              </w:rPr>
              <w:t>Indicate by check mark whether the registrant is a shell company (as defined in Rule 12b-2 of the Exchange Act).</w:t>
            </w:r>
          </w:p>
        </w:tc>
        <w:tc>
          <w:tcPr>
            <w:tcW w:w="1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5"/>
        </w:trPr>
        <w:tc>
          <w:tcPr>
            <w:tcW w:w="4980" w:type="dxa"/>
            <w:vAlign w:val="bottom"/>
          </w:tcPr>
          <w:p>
            <w:pPr>
              <w:spacing w:after="0"/>
              <w:rPr>
                <w:sz w:val="20"/>
                <w:szCs w:val="20"/>
                <w:color w:val="auto"/>
              </w:rPr>
            </w:pPr>
            <w:r>
              <w:rPr>
                <w:rFonts w:ascii="Arial" w:cs="Arial" w:eastAsia="Arial" w:hAnsi="Arial"/>
                <w:sz w:val="18"/>
                <w:szCs w:val="18"/>
                <w:color w:val="auto"/>
              </w:rPr>
              <w:t>Sempra Energy</w:t>
            </w:r>
          </w:p>
        </w:tc>
        <w:tc>
          <w:tcPr>
            <w:tcW w:w="3860" w:type="dxa"/>
            <w:vAlign w:val="bottom"/>
            <w:gridSpan w:val="2"/>
          </w:tcPr>
          <w:p>
            <w:pPr>
              <w:ind w:left="2380"/>
              <w:spacing w:after="0"/>
              <w:rPr>
                <w:sz w:val="20"/>
                <w:szCs w:val="20"/>
                <w:color w:val="auto"/>
              </w:rPr>
            </w:pPr>
            <w:r>
              <w:rPr>
                <w:rFonts w:ascii="Arial" w:cs="Arial" w:eastAsia="Arial" w:hAnsi="Arial"/>
                <w:sz w:val="18"/>
                <w:szCs w:val="18"/>
                <w:color w:val="auto"/>
              </w:rPr>
              <w:t>Yes</w:t>
            </w:r>
          </w:p>
        </w:tc>
        <w:tc>
          <w:tcPr>
            <w:tcW w:w="1280" w:type="dxa"/>
            <w:vAlign w:val="bottom"/>
          </w:tcPr>
          <w:p>
            <w:pPr>
              <w:ind w:left="980"/>
              <w:spacing w:after="0"/>
              <w:rPr>
                <w:sz w:val="20"/>
                <w:szCs w:val="20"/>
                <w:color w:val="auto"/>
              </w:rPr>
            </w:pPr>
            <w:r>
              <w:rPr>
                <w:rFonts w:ascii="Arial" w:cs="Arial" w:eastAsia="Arial" w:hAnsi="Arial"/>
                <w:sz w:val="18"/>
                <w:szCs w:val="18"/>
                <w:color w:val="auto"/>
              </w:rPr>
              <w:t>No</w:t>
            </w:r>
          </w:p>
        </w:tc>
        <w:tc>
          <w:tcPr>
            <w:tcW w:w="1300" w:type="dxa"/>
            <w:vAlign w:val="bottom"/>
          </w:tcPr>
          <w:p>
            <w:pPr>
              <w:ind w:left="5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8"/>
        </w:trPr>
        <w:tc>
          <w:tcPr>
            <w:tcW w:w="4980" w:type="dxa"/>
            <w:vAlign w:val="bottom"/>
            <w:vMerge w:val="restart"/>
          </w:tcPr>
          <w:p>
            <w:pPr>
              <w:spacing w:after="0"/>
              <w:rPr>
                <w:sz w:val="20"/>
                <w:szCs w:val="20"/>
                <w:color w:val="auto"/>
              </w:rPr>
            </w:pPr>
            <w:r>
              <w:rPr>
                <w:rFonts w:ascii="Arial" w:cs="Arial" w:eastAsia="Arial" w:hAnsi="Arial"/>
                <w:sz w:val="18"/>
                <w:szCs w:val="18"/>
                <w:color w:val="auto"/>
              </w:rPr>
              <w:t>San Diego Gas &amp; Electric Company</w:t>
            </w:r>
          </w:p>
        </w:tc>
        <w:tc>
          <w:tcPr>
            <w:tcW w:w="27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4980" w:type="dxa"/>
            <w:vAlign w:val="bottom"/>
            <w:vMerge w:val="continue"/>
          </w:tcPr>
          <w:p>
            <w:pPr>
              <w:spacing w:after="0"/>
              <w:rPr>
                <w:sz w:val="21"/>
                <w:szCs w:val="21"/>
                <w:color w:val="auto"/>
              </w:rPr>
            </w:pPr>
          </w:p>
        </w:tc>
        <w:tc>
          <w:tcPr>
            <w:tcW w:w="3860" w:type="dxa"/>
            <w:vAlign w:val="bottom"/>
            <w:gridSpan w:val="2"/>
          </w:tcPr>
          <w:p>
            <w:pPr>
              <w:ind w:left="2380"/>
              <w:spacing w:after="0"/>
              <w:rPr>
                <w:sz w:val="20"/>
                <w:szCs w:val="20"/>
                <w:color w:val="auto"/>
              </w:rPr>
            </w:pPr>
            <w:r>
              <w:rPr>
                <w:rFonts w:ascii="Arial" w:cs="Arial" w:eastAsia="Arial" w:hAnsi="Arial"/>
                <w:sz w:val="18"/>
                <w:szCs w:val="18"/>
                <w:color w:val="auto"/>
              </w:rPr>
              <w:t>Yes</w:t>
            </w:r>
          </w:p>
        </w:tc>
        <w:tc>
          <w:tcPr>
            <w:tcW w:w="1280" w:type="dxa"/>
            <w:vAlign w:val="bottom"/>
          </w:tcPr>
          <w:p>
            <w:pPr>
              <w:ind w:left="980"/>
              <w:spacing w:after="0"/>
              <w:rPr>
                <w:sz w:val="20"/>
                <w:szCs w:val="20"/>
                <w:color w:val="auto"/>
              </w:rPr>
            </w:pPr>
            <w:r>
              <w:rPr>
                <w:rFonts w:ascii="Arial" w:cs="Arial" w:eastAsia="Arial" w:hAnsi="Arial"/>
                <w:sz w:val="18"/>
                <w:szCs w:val="18"/>
                <w:color w:val="auto"/>
              </w:rPr>
              <w:t>No</w:t>
            </w:r>
          </w:p>
        </w:tc>
        <w:tc>
          <w:tcPr>
            <w:tcW w:w="1300" w:type="dxa"/>
            <w:vAlign w:val="bottom"/>
          </w:tcPr>
          <w:p>
            <w:pPr>
              <w:ind w:left="5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8"/>
        </w:trPr>
        <w:tc>
          <w:tcPr>
            <w:tcW w:w="4980" w:type="dxa"/>
            <w:vAlign w:val="bottom"/>
            <w:vMerge w:val="restart"/>
          </w:tcPr>
          <w:p>
            <w:pPr>
              <w:spacing w:after="0"/>
              <w:rPr>
                <w:sz w:val="20"/>
                <w:szCs w:val="20"/>
                <w:color w:val="auto"/>
              </w:rPr>
            </w:pPr>
            <w:r>
              <w:rPr>
                <w:rFonts w:ascii="Arial" w:cs="Arial" w:eastAsia="Arial" w:hAnsi="Arial"/>
                <w:sz w:val="18"/>
                <w:szCs w:val="18"/>
                <w:color w:val="auto"/>
              </w:rPr>
              <w:t>Southern California Gas Company</w:t>
            </w:r>
          </w:p>
        </w:tc>
        <w:tc>
          <w:tcPr>
            <w:tcW w:w="27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4980" w:type="dxa"/>
            <w:vAlign w:val="bottom"/>
            <w:vMerge w:val="continue"/>
          </w:tcPr>
          <w:p>
            <w:pPr>
              <w:spacing w:after="0"/>
              <w:rPr>
                <w:sz w:val="21"/>
                <w:szCs w:val="21"/>
                <w:color w:val="auto"/>
              </w:rPr>
            </w:pPr>
          </w:p>
        </w:tc>
        <w:tc>
          <w:tcPr>
            <w:tcW w:w="3860" w:type="dxa"/>
            <w:vAlign w:val="bottom"/>
            <w:gridSpan w:val="2"/>
          </w:tcPr>
          <w:p>
            <w:pPr>
              <w:ind w:left="2380"/>
              <w:spacing w:after="0"/>
              <w:rPr>
                <w:sz w:val="20"/>
                <w:szCs w:val="20"/>
                <w:color w:val="auto"/>
              </w:rPr>
            </w:pPr>
            <w:r>
              <w:rPr>
                <w:rFonts w:ascii="Arial" w:cs="Arial" w:eastAsia="Arial" w:hAnsi="Arial"/>
                <w:sz w:val="18"/>
                <w:szCs w:val="18"/>
                <w:color w:val="auto"/>
              </w:rPr>
              <w:t>Yes</w:t>
            </w:r>
          </w:p>
        </w:tc>
        <w:tc>
          <w:tcPr>
            <w:tcW w:w="1280" w:type="dxa"/>
            <w:vAlign w:val="bottom"/>
          </w:tcPr>
          <w:p>
            <w:pPr>
              <w:ind w:left="980"/>
              <w:spacing w:after="0"/>
              <w:rPr>
                <w:sz w:val="20"/>
                <w:szCs w:val="20"/>
                <w:color w:val="auto"/>
              </w:rPr>
            </w:pPr>
            <w:r>
              <w:rPr>
                <w:rFonts w:ascii="Arial" w:cs="Arial" w:eastAsia="Arial" w:hAnsi="Arial"/>
                <w:sz w:val="18"/>
                <w:szCs w:val="18"/>
                <w:color w:val="auto"/>
              </w:rPr>
              <w:t>No</w:t>
            </w:r>
          </w:p>
        </w:tc>
        <w:tc>
          <w:tcPr>
            <w:tcW w:w="1300" w:type="dxa"/>
            <w:vAlign w:val="bottom"/>
          </w:tcPr>
          <w:p>
            <w:pPr>
              <w:ind w:left="5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8"/>
        </w:trPr>
        <w:tc>
          <w:tcPr>
            <w:tcW w:w="49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4"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32" w:lineRule="exact"/>
        <w:rPr>
          <w:sz w:val="24"/>
          <w:szCs w:val="24"/>
          <w:color w:val="auto"/>
        </w:rPr>
      </w:pPr>
    </w:p>
    <w:p>
      <w:pPr>
        <w:spacing w:after="0"/>
        <w:rPr>
          <w:sz w:val="20"/>
          <w:szCs w:val="20"/>
          <w:color w:val="auto"/>
        </w:rPr>
      </w:pPr>
      <w:r>
        <w:rPr>
          <w:rFonts w:ascii="Arial" w:cs="Arial" w:eastAsia="Arial" w:hAnsi="Arial"/>
          <w:sz w:val="18"/>
          <w:szCs w:val="18"/>
          <w:color w:val="auto"/>
        </w:rPr>
        <w:t>Common stock outstanding on October 31, 2014:</w:t>
      </w:r>
    </w:p>
    <w:p>
      <w:pPr>
        <w:sectPr>
          <w:pgSz w:w="11900" w:h="16838" w:orient="portrait"/>
          <w:cols w:equalWidth="0" w:num="1">
            <w:col w:w="11420"/>
          </w:cols>
          <w:pgMar w:left="240" w:top="951"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4"/>
        </w:trPr>
        <w:tc>
          <w:tcPr>
            <w:tcW w:w="3020" w:type="dxa"/>
            <w:vAlign w:val="bottom"/>
          </w:tcPr>
          <w:p>
            <w:pPr>
              <w:spacing w:after="0"/>
              <w:rPr>
                <w:sz w:val="20"/>
                <w:szCs w:val="20"/>
                <w:color w:val="auto"/>
              </w:rPr>
            </w:pPr>
            <w:r>
              <w:rPr>
                <w:rFonts w:ascii="Arial" w:cs="Arial" w:eastAsia="Arial" w:hAnsi="Arial"/>
                <w:sz w:val="18"/>
                <w:szCs w:val="18"/>
                <w:color w:val="auto"/>
              </w:rPr>
              <w:t>Sempra Energy</w:t>
            </w:r>
          </w:p>
        </w:tc>
        <w:tc>
          <w:tcPr>
            <w:tcW w:w="8400" w:type="dxa"/>
            <w:vAlign w:val="bottom"/>
          </w:tcPr>
          <w:p>
            <w:pPr>
              <w:ind w:left="460"/>
              <w:spacing w:after="0"/>
              <w:rPr>
                <w:sz w:val="20"/>
                <w:szCs w:val="20"/>
                <w:color w:val="auto"/>
              </w:rPr>
            </w:pPr>
            <w:r>
              <w:rPr>
                <w:rFonts w:ascii="Arial" w:cs="Arial" w:eastAsia="Arial" w:hAnsi="Arial"/>
                <w:sz w:val="18"/>
                <w:szCs w:val="18"/>
                <w:color w:val="auto"/>
              </w:rPr>
              <w:t>246,218,250 shares</w:t>
            </w:r>
          </w:p>
        </w:tc>
      </w:tr>
      <w:tr>
        <w:trPr>
          <w:trHeight w:val="226"/>
        </w:trPr>
        <w:tc>
          <w:tcPr>
            <w:tcW w:w="3020" w:type="dxa"/>
            <w:vAlign w:val="bottom"/>
          </w:tcPr>
          <w:p>
            <w:pPr>
              <w:spacing w:after="0"/>
              <w:rPr>
                <w:sz w:val="20"/>
                <w:szCs w:val="20"/>
                <w:color w:val="auto"/>
              </w:rPr>
            </w:pPr>
            <w:r>
              <w:rPr>
                <w:rFonts w:ascii="Arial" w:cs="Arial" w:eastAsia="Arial" w:hAnsi="Arial"/>
                <w:sz w:val="18"/>
                <w:szCs w:val="18"/>
                <w:color w:val="auto"/>
              </w:rPr>
              <w:t>San Diego Gas &amp; Electric Company</w:t>
            </w:r>
          </w:p>
        </w:tc>
        <w:tc>
          <w:tcPr>
            <w:tcW w:w="8400" w:type="dxa"/>
            <w:vAlign w:val="bottom"/>
          </w:tcPr>
          <w:p>
            <w:pPr>
              <w:ind w:left="460"/>
              <w:spacing w:after="0"/>
              <w:rPr>
                <w:sz w:val="20"/>
                <w:szCs w:val="20"/>
                <w:color w:val="auto"/>
              </w:rPr>
            </w:pPr>
            <w:r>
              <w:rPr>
                <w:rFonts w:ascii="Arial" w:cs="Arial" w:eastAsia="Arial" w:hAnsi="Arial"/>
                <w:sz w:val="18"/>
                <w:szCs w:val="18"/>
                <w:color w:val="auto"/>
              </w:rPr>
              <w:t>Wholly owned by Enova Corporation, which is wholly owned by Sempra Energy</w:t>
            </w:r>
          </w:p>
        </w:tc>
      </w:tr>
      <w:tr>
        <w:trPr>
          <w:trHeight w:val="226"/>
        </w:trPr>
        <w:tc>
          <w:tcPr>
            <w:tcW w:w="3020" w:type="dxa"/>
            <w:vAlign w:val="bottom"/>
          </w:tcPr>
          <w:p>
            <w:pPr>
              <w:spacing w:after="0"/>
              <w:rPr>
                <w:sz w:val="20"/>
                <w:szCs w:val="20"/>
                <w:color w:val="auto"/>
              </w:rPr>
            </w:pPr>
            <w:r>
              <w:rPr>
                <w:rFonts w:ascii="Arial" w:cs="Arial" w:eastAsia="Arial" w:hAnsi="Arial"/>
                <w:sz w:val="18"/>
                <w:szCs w:val="18"/>
                <w:color w:val="auto"/>
              </w:rPr>
              <w:t>Southern California Gas Company</w:t>
            </w:r>
          </w:p>
        </w:tc>
        <w:tc>
          <w:tcPr>
            <w:tcW w:w="8400" w:type="dxa"/>
            <w:vAlign w:val="bottom"/>
          </w:tcPr>
          <w:p>
            <w:pPr>
              <w:ind w:left="460"/>
              <w:spacing w:after="0"/>
              <w:rPr>
                <w:sz w:val="20"/>
                <w:szCs w:val="20"/>
                <w:color w:val="auto"/>
              </w:rPr>
            </w:pPr>
            <w:r>
              <w:rPr>
                <w:rFonts w:ascii="Arial" w:cs="Arial" w:eastAsia="Arial" w:hAnsi="Arial"/>
                <w:sz w:val="18"/>
                <w:szCs w:val="18"/>
                <w:color w:val="auto"/>
              </w:rPr>
              <w:t>Wholly owned by Pacific Enterprises, which is wholly owned by Sempra Energy</w:t>
            </w:r>
          </w:p>
        </w:tc>
      </w:tr>
      <w:tr>
        <w:trPr>
          <w:trHeight w:val="446"/>
        </w:trPr>
        <w:tc>
          <w:tcPr>
            <w:tcW w:w="302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5"/>
          <w:szCs w:val="25"/>
          <w:color w:val="auto"/>
        </w:rPr>
        <w:t>SEMPRA ENERGY FORM 10-Q</w:t>
      </w:r>
    </w:p>
    <w:p>
      <w:pPr>
        <w:spacing w:after="0" w:line="232" w:lineRule="auto"/>
        <w:rPr>
          <w:sz w:val="20"/>
          <w:szCs w:val="20"/>
          <w:color w:val="auto"/>
        </w:rPr>
      </w:pPr>
      <w:r>
        <w:rPr>
          <w:rFonts w:ascii="Arial" w:cs="Arial" w:eastAsia="Arial" w:hAnsi="Arial"/>
          <w:sz w:val="25"/>
          <w:szCs w:val="25"/>
          <w:color w:val="auto"/>
        </w:rPr>
        <w:t>SAN DIEGO GAS &amp; ELECTRIC COMPANY FORM 10-Q</w:t>
      </w:r>
    </w:p>
    <w:p>
      <w:pPr>
        <w:spacing w:after="0" w:line="233" w:lineRule="auto"/>
        <w:rPr>
          <w:sz w:val="20"/>
          <w:szCs w:val="20"/>
          <w:color w:val="auto"/>
        </w:rPr>
      </w:pPr>
      <w:r>
        <w:rPr>
          <w:rFonts w:ascii="Arial" w:cs="Arial" w:eastAsia="Arial" w:hAnsi="Arial"/>
          <w:sz w:val="25"/>
          <w:szCs w:val="25"/>
          <w:color w:val="auto"/>
        </w:rPr>
        <w:t>SOUTHERN CALIFORNIA GAS COMPANY FORM 10-Q</w:t>
      </w:r>
    </w:p>
    <w:p>
      <w:pPr>
        <w:spacing w:after="0" w:line="1" w:lineRule="exact"/>
        <w:rPr>
          <w:sz w:val="20"/>
          <w:szCs w:val="20"/>
          <w:color w:val="auto"/>
        </w:rPr>
      </w:pPr>
    </w:p>
    <w:p>
      <w:pPr>
        <w:spacing w:after="0"/>
        <w:rPr>
          <w:sz w:val="20"/>
          <w:szCs w:val="20"/>
          <w:color w:val="auto"/>
        </w:rPr>
      </w:pPr>
      <w:r>
        <w:rPr>
          <w:rFonts w:ascii="Arial" w:cs="Arial" w:eastAsia="Arial" w:hAnsi="Arial"/>
          <w:sz w:val="25"/>
          <w:szCs w:val="25"/>
          <w:color w:val="auto"/>
        </w:rPr>
        <w:t>TABLE OF CONTENTS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20" w:type="dxa"/>
            <w:vAlign w:val="bottom"/>
            <w:tcBorders>
              <w:bottom w:val="single" w:sz="8" w:color="auto"/>
            </w:tcBorders>
          </w:tcPr>
          <w:p>
            <w:pPr>
              <w:spacing w:after="0"/>
              <w:rPr>
                <w:sz w:val="16"/>
                <w:szCs w:val="16"/>
                <w:color w:val="auto"/>
              </w:rPr>
            </w:pPr>
          </w:p>
        </w:tc>
        <w:tc>
          <w:tcPr>
            <w:tcW w:w="79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ind w:left="1020"/>
              <w:spacing w:after="0"/>
              <w:rPr>
                <w:sz w:val="20"/>
                <w:szCs w:val="20"/>
                <w:color w:val="auto"/>
              </w:rPr>
            </w:pPr>
            <w:r>
              <w:rPr>
                <w:rFonts w:ascii="Arial" w:cs="Arial" w:eastAsia="Arial" w:hAnsi="Arial"/>
                <w:sz w:val="16"/>
                <w:szCs w:val="16"/>
                <w:i w:val="1"/>
                <w:iCs w:val="1"/>
                <w:color w:val="auto"/>
              </w:rPr>
              <w:t>Page</w:t>
            </w:r>
          </w:p>
        </w:tc>
      </w:tr>
      <w:tr>
        <w:trPr>
          <w:trHeight w:val="206"/>
        </w:trPr>
        <w:tc>
          <w:tcPr>
            <w:tcW w:w="9340" w:type="dxa"/>
            <w:vAlign w:val="bottom"/>
            <w:gridSpan w:val="2"/>
          </w:tcPr>
          <w:p>
            <w:pPr>
              <w:spacing w:after="0"/>
              <w:rPr>
                <w:sz w:val="20"/>
                <w:szCs w:val="20"/>
                <w:color w:val="auto"/>
              </w:rPr>
            </w:pPr>
            <w:r>
              <w:rPr>
                <w:rFonts w:ascii="Arial" w:cs="Arial" w:eastAsia="Arial" w:hAnsi="Arial"/>
                <w:sz w:val="16"/>
                <w:szCs w:val="16"/>
                <w:b w:val="1"/>
                <w:bCs w:val="1"/>
                <w:color w:val="auto"/>
              </w:rPr>
              <w:t>Information Regarding Forward-Looking Statements</w:t>
            </w:r>
          </w:p>
        </w:tc>
        <w:tc>
          <w:tcPr>
            <w:tcW w:w="2080" w:type="dxa"/>
            <w:vAlign w:val="bottom"/>
          </w:tcPr>
          <w:p>
            <w:pPr>
              <w:jc w:val="center"/>
              <w:ind w:left="240"/>
              <w:spacing w:after="0"/>
              <w:rPr>
                <w:sz w:val="20"/>
                <w:szCs w:val="20"/>
                <w:color w:val="auto"/>
              </w:rPr>
            </w:pPr>
            <w:r>
              <w:rPr>
                <w:rFonts w:ascii="Arial" w:cs="Arial" w:eastAsia="Arial" w:hAnsi="Arial"/>
                <w:sz w:val="16"/>
                <w:szCs w:val="16"/>
                <w:color w:val="auto"/>
                <w:w w:val="89"/>
              </w:rPr>
              <w:t>4</w:t>
            </w:r>
          </w:p>
        </w:tc>
      </w:tr>
      <w:tr>
        <w:trPr>
          <w:trHeight w:val="160"/>
        </w:trPr>
        <w:tc>
          <w:tcPr>
            <w:tcW w:w="9340" w:type="dxa"/>
            <w:vAlign w:val="bottom"/>
            <w:tcBorders>
              <w:bottom w:val="single" w:sz="8" w:color="auto"/>
            </w:tcBorders>
            <w:gridSpan w:val="2"/>
          </w:tcPr>
          <w:p>
            <w:pPr>
              <w:spacing w:after="0"/>
              <w:rPr>
                <w:sz w:val="13"/>
                <w:szCs w:val="13"/>
                <w:color w:val="auto"/>
              </w:rPr>
            </w:pPr>
          </w:p>
        </w:tc>
        <w:tc>
          <w:tcPr>
            <w:tcW w:w="2080" w:type="dxa"/>
            <w:vAlign w:val="bottom"/>
            <w:tcBorders>
              <w:bottom w:val="single" w:sz="8" w:color="auto"/>
            </w:tcBorders>
          </w:tcPr>
          <w:p>
            <w:pPr>
              <w:spacing w:after="0"/>
              <w:rPr>
                <w:sz w:val="13"/>
                <w:szCs w:val="13"/>
                <w:color w:val="auto"/>
              </w:rPr>
            </w:pPr>
          </w:p>
        </w:tc>
      </w:tr>
      <w:tr>
        <w:trPr>
          <w:trHeight w:val="194"/>
        </w:trPr>
        <w:tc>
          <w:tcPr>
            <w:tcW w:w="9340" w:type="dxa"/>
            <w:vAlign w:val="bottom"/>
            <w:gridSpan w:val="2"/>
          </w:tcPr>
          <w:p>
            <w:pPr>
              <w:spacing w:after="0"/>
              <w:rPr>
                <w:sz w:val="20"/>
                <w:szCs w:val="20"/>
                <w:color w:val="auto"/>
              </w:rPr>
            </w:pPr>
            <w:r>
              <w:rPr>
                <w:rFonts w:ascii="Arial" w:cs="Arial" w:eastAsia="Arial" w:hAnsi="Arial"/>
                <w:sz w:val="16"/>
                <w:szCs w:val="16"/>
                <w:b w:val="1"/>
                <w:bCs w:val="1"/>
                <w:color w:val="auto"/>
              </w:rPr>
              <w:t>PART I – FINANCIAL INFORMATION</w:t>
            </w:r>
          </w:p>
        </w:tc>
        <w:tc>
          <w:tcPr>
            <w:tcW w:w="2080" w:type="dxa"/>
            <w:vAlign w:val="bottom"/>
          </w:tcPr>
          <w:p>
            <w:pPr>
              <w:spacing w:after="0"/>
              <w:rPr>
                <w:sz w:val="16"/>
                <w:szCs w:val="16"/>
                <w:color w:val="auto"/>
              </w:rPr>
            </w:pPr>
          </w:p>
        </w:tc>
      </w:tr>
      <w:tr>
        <w:trPr>
          <w:trHeight w:val="173"/>
        </w:trPr>
        <w:tc>
          <w:tcPr>
            <w:tcW w:w="1420" w:type="dxa"/>
            <w:vAlign w:val="bottom"/>
          </w:tcPr>
          <w:p>
            <w:pPr>
              <w:spacing w:after="0" w:line="173" w:lineRule="exact"/>
              <w:rPr>
                <w:sz w:val="20"/>
                <w:szCs w:val="20"/>
                <w:color w:val="auto"/>
              </w:rPr>
            </w:pPr>
            <w:r>
              <w:rPr>
                <w:rFonts w:ascii="Arial" w:cs="Arial" w:eastAsia="Arial" w:hAnsi="Arial"/>
                <w:sz w:val="16"/>
                <w:szCs w:val="16"/>
                <w:color w:val="auto"/>
              </w:rPr>
              <w:t>Item 1.</w:t>
            </w:r>
          </w:p>
        </w:tc>
        <w:tc>
          <w:tcPr>
            <w:tcW w:w="7920" w:type="dxa"/>
            <w:vAlign w:val="bottom"/>
          </w:tcPr>
          <w:p>
            <w:pPr>
              <w:ind w:left="640"/>
              <w:spacing w:after="0" w:line="173" w:lineRule="exact"/>
              <w:rPr>
                <w:sz w:val="20"/>
                <w:szCs w:val="20"/>
                <w:color w:val="auto"/>
              </w:rPr>
            </w:pPr>
            <w:r>
              <w:rPr>
                <w:rFonts w:ascii="Arial" w:cs="Arial" w:eastAsia="Arial" w:hAnsi="Arial"/>
                <w:sz w:val="16"/>
                <w:szCs w:val="16"/>
                <w:color w:val="auto"/>
              </w:rPr>
              <w:t>Financial Statements</w:t>
            </w:r>
          </w:p>
        </w:tc>
        <w:tc>
          <w:tcPr>
            <w:tcW w:w="2080" w:type="dxa"/>
            <w:vAlign w:val="bottom"/>
          </w:tcPr>
          <w:p>
            <w:pPr>
              <w:jc w:val="center"/>
              <w:ind w:left="240"/>
              <w:spacing w:after="0" w:line="173" w:lineRule="exact"/>
              <w:rPr>
                <w:sz w:val="20"/>
                <w:szCs w:val="20"/>
                <w:color w:val="auto"/>
              </w:rPr>
            </w:pPr>
            <w:r>
              <w:rPr>
                <w:rFonts w:ascii="Arial" w:cs="Arial" w:eastAsia="Arial" w:hAnsi="Arial"/>
                <w:sz w:val="16"/>
                <w:szCs w:val="16"/>
                <w:color w:val="auto"/>
                <w:w w:val="89"/>
              </w:rPr>
              <w:t>6</w:t>
            </w:r>
          </w:p>
        </w:tc>
      </w:tr>
      <w:tr>
        <w:trPr>
          <w:trHeight w:val="173"/>
        </w:trPr>
        <w:tc>
          <w:tcPr>
            <w:tcW w:w="1420" w:type="dxa"/>
            <w:vAlign w:val="bottom"/>
          </w:tcPr>
          <w:p>
            <w:pPr>
              <w:spacing w:after="0" w:line="173" w:lineRule="exact"/>
              <w:rPr>
                <w:sz w:val="20"/>
                <w:szCs w:val="20"/>
                <w:color w:val="auto"/>
              </w:rPr>
            </w:pPr>
            <w:r>
              <w:rPr>
                <w:rFonts w:ascii="Arial" w:cs="Arial" w:eastAsia="Arial" w:hAnsi="Arial"/>
                <w:sz w:val="16"/>
                <w:szCs w:val="16"/>
                <w:color w:val="auto"/>
              </w:rPr>
              <w:t>Item 2.</w:t>
            </w:r>
          </w:p>
        </w:tc>
        <w:tc>
          <w:tcPr>
            <w:tcW w:w="7920" w:type="dxa"/>
            <w:vAlign w:val="bottom"/>
          </w:tcPr>
          <w:p>
            <w:pPr>
              <w:ind w:left="640"/>
              <w:spacing w:after="0" w:line="173" w:lineRule="exact"/>
              <w:rPr>
                <w:sz w:val="20"/>
                <w:szCs w:val="20"/>
                <w:color w:val="auto"/>
              </w:rPr>
            </w:pPr>
            <w:r>
              <w:rPr>
                <w:rFonts w:ascii="Arial" w:cs="Arial" w:eastAsia="Arial" w:hAnsi="Arial"/>
                <w:sz w:val="16"/>
                <w:szCs w:val="16"/>
                <w:color w:val="auto"/>
              </w:rPr>
              <w:t>Management’s Discussion and Analysis of Financial Condition and Results of Operations</w:t>
            </w:r>
          </w:p>
        </w:tc>
        <w:tc>
          <w:tcPr>
            <w:tcW w:w="2080" w:type="dxa"/>
            <w:vAlign w:val="bottom"/>
          </w:tcPr>
          <w:p>
            <w:pPr>
              <w:jc w:val="center"/>
              <w:ind w:left="220"/>
              <w:spacing w:after="0" w:line="173" w:lineRule="exact"/>
              <w:rPr>
                <w:sz w:val="20"/>
                <w:szCs w:val="20"/>
                <w:color w:val="auto"/>
              </w:rPr>
            </w:pPr>
            <w:r>
              <w:rPr>
                <w:rFonts w:ascii="Arial" w:cs="Arial" w:eastAsia="Arial" w:hAnsi="Arial"/>
                <w:sz w:val="16"/>
                <w:szCs w:val="16"/>
                <w:color w:val="auto"/>
              </w:rPr>
              <w:t>84</w:t>
            </w:r>
          </w:p>
        </w:tc>
      </w:tr>
      <w:tr>
        <w:trPr>
          <w:trHeight w:val="173"/>
        </w:trPr>
        <w:tc>
          <w:tcPr>
            <w:tcW w:w="1420" w:type="dxa"/>
            <w:vAlign w:val="bottom"/>
          </w:tcPr>
          <w:p>
            <w:pPr>
              <w:spacing w:after="0" w:line="173" w:lineRule="exact"/>
              <w:rPr>
                <w:sz w:val="20"/>
                <w:szCs w:val="20"/>
                <w:color w:val="auto"/>
              </w:rPr>
            </w:pPr>
            <w:r>
              <w:rPr>
                <w:rFonts w:ascii="Arial" w:cs="Arial" w:eastAsia="Arial" w:hAnsi="Arial"/>
                <w:sz w:val="16"/>
                <w:szCs w:val="16"/>
                <w:color w:val="auto"/>
              </w:rPr>
              <w:t>Item 3.</w:t>
            </w:r>
          </w:p>
        </w:tc>
        <w:tc>
          <w:tcPr>
            <w:tcW w:w="7920" w:type="dxa"/>
            <w:vAlign w:val="bottom"/>
          </w:tcPr>
          <w:p>
            <w:pPr>
              <w:ind w:left="640"/>
              <w:spacing w:after="0" w:line="173" w:lineRule="exact"/>
              <w:rPr>
                <w:sz w:val="20"/>
                <w:szCs w:val="20"/>
                <w:color w:val="auto"/>
              </w:rPr>
            </w:pPr>
            <w:r>
              <w:rPr>
                <w:rFonts w:ascii="Arial" w:cs="Arial" w:eastAsia="Arial" w:hAnsi="Arial"/>
                <w:sz w:val="16"/>
                <w:szCs w:val="16"/>
                <w:color w:val="auto"/>
              </w:rPr>
              <w:t>Quantitative and Qualitative Disclosures About Market Risk</w:t>
            </w:r>
          </w:p>
        </w:tc>
        <w:tc>
          <w:tcPr>
            <w:tcW w:w="2080" w:type="dxa"/>
            <w:vAlign w:val="bottom"/>
          </w:tcPr>
          <w:p>
            <w:pPr>
              <w:jc w:val="center"/>
              <w:ind w:left="240"/>
              <w:spacing w:after="0" w:line="173" w:lineRule="exact"/>
              <w:rPr>
                <w:sz w:val="20"/>
                <w:szCs w:val="20"/>
                <w:color w:val="auto"/>
              </w:rPr>
            </w:pPr>
            <w:r>
              <w:rPr>
                <w:rFonts w:ascii="Arial" w:cs="Arial" w:eastAsia="Arial" w:hAnsi="Arial"/>
                <w:sz w:val="16"/>
                <w:szCs w:val="16"/>
                <w:color w:val="auto"/>
              </w:rPr>
              <w:t>125</w:t>
            </w:r>
          </w:p>
        </w:tc>
      </w:tr>
      <w:tr>
        <w:trPr>
          <w:trHeight w:val="192"/>
        </w:trPr>
        <w:tc>
          <w:tcPr>
            <w:tcW w:w="1420" w:type="dxa"/>
            <w:vAlign w:val="bottom"/>
          </w:tcPr>
          <w:p>
            <w:pPr>
              <w:spacing w:after="0"/>
              <w:rPr>
                <w:sz w:val="20"/>
                <w:szCs w:val="20"/>
                <w:color w:val="auto"/>
              </w:rPr>
            </w:pPr>
            <w:r>
              <w:rPr>
                <w:rFonts w:ascii="Arial" w:cs="Arial" w:eastAsia="Arial" w:hAnsi="Arial"/>
                <w:sz w:val="16"/>
                <w:szCs w:val="16"/>
                <w:color w:val="auto"/>
              </w:rPr>
              <w:t>Item 4.</w:t>
            </w:r>
          </w:p>
        </w:tc>
        <w:tc>
          <w:tcPr>
            <w:tcW w:w="7920" w:type="dxa"/>
            <w:vAlign w:val="bottom"/>
          </w:tcPr>
          <w:p>
            <w:pPr>
              <w:ind w:left="640"/>
              <w:spacing w:after="0"/>
              <w:rPr>
                <w:sz w:val="20"/>
                <w:szCs w:val="20"/>
                <w:color w:val="auto"/>
              </w:rPr>
            </w:pPr>
            <w:r>
              <w:rPr>
                <w:rFonts w:ascii="Arial" w:cs="Arial" w:eastAsia="Arial" w:hAnsi="Arial"/>
                <w:sz w:val="16"/>
                <w:szCs w:val="16"/>
                <w:color w:val="auto"/>
              </w:rPr>
              <w:t>Controls and Procedures</w:t>
            </w:r>
          </w:p>
        </w:tc>
        <w:tc>
          <w:tcPr>
            <w:tcW w:w="2080" w:type="dxa"/>
            <w:vAlign w:val="bottom"/>
          </w:tcPr>
          <w:p>
            <w:pPr>
              <w:jc w:val="center"/>
              <w:ind w:left="240"/>
              <w:spacing w:after="0"/>
              <w:rPr>
                <w:sz w:val="20"/>
                <w:szCs w:val="20"/>
                <w:color w:val="auto"/>
              </w:rPr>
            </w:pPr>
            <w:r>
              <w:rPr>
                <w:rFonts w:ascii="Arial" w:cs="Arial" w:eastAsia="Arial" w:hAnsi="Arial"/>
                <w:sz w:val="16"/>
                <w:szCs w:val="16"/>
                <w:color w:val="auto"/>
              </w:rPr>
              <w:t>126</w:t>
            </w:r>
          </w:p>
        </w:tc>
      </w:tr>
      <w:tr>
        <w:trPr>
          <w:trHeight w:val="191"/>
        </w:trPr>
        <w:tc>
          <w:tcPr>
            <w:tcW w:w="9340" w:type="dxa"/>
            <w:vAlign w:val="bottom"/>
            <w:tcBorders>
              <w:bottom w:val="single" w:sz="8" w:color="auto"/>
            </w:tcBorders>
            <w:gridSpan w:val="2"/>
          </w:tcPr>
          <w:p>
            <w:pPr>
              <w:spacing w:after="0"/>
              <w:rPr>
                <w:sz w:val="16"/>
                <w:szCs w:val="16"/>
                <w:color w:val="auto"/>
              </w:rPr>
            </w:pPr>
          </w:p>
        </w:tc>
        <w:tc>
          <w:tcPr>
            <w:tcW w:w="2080" w:type="dxa"/>
            <w:vAlign w:val="bottom"/>
            <w:tcBorders>
              <w:bottom w:val="single" w:sz="8" w:color="auto"/>
            </w:tcBorders>
          </w:tcPr>
          <w:p>
            <w:pPr>
              <w:spacing w:after="0"/>
              <w:rPr>
                <w:sz w:val="16"/>
                <w:szCs w:val="16"/>
                <w:color w:val="auto"/>
              </w:rPr>
            </w:pPr>
          </w:p>
        </w:tc>
      </w:tr>
      <w:tr>
        <w:trPr>
          <w:trHeight w:val="194"/>
        </w:trPr>
        <w:tc>
          <w:tcPr>
            <w:tcW w:w="9340" w:type="dxa"/>
            <w:vAlign w:val="bottom"/>
            <w:gridSpan w:val="2"/>
          </w:tcPr>
          <w:p>
            <w:pPr>
              <w:spacing w:after="0"/>
              <w:rPr>
                <w:sz w:val="20"/>
                <w:szCs w:val="20"/>
                <w:color w:val="auto"/>
              </w:rPr>
            </w:pPr>
            <w:r>
              <w:rPr>
                <w:rFonts w:ascii="Arial" w:cs="Arial" w:eastAsia="Arial" w:hAnsi="Arial"/>
                <w:sz w:val="16"/>
                <w:szCs w:val="16"/>
                <w:b w:val="1"/>
                <w:bCs w:val="1"/>
                <w:color w:val="auto"/>
              </w:rPr>
              <w:t>PART II – OTHER INFORMATION</w:t>
            </w:r>
          </w:p>
        </w:tc>
        <w:tc>
          <w:tcPr>
            <w:tcW w:w="2080" w:type="dxa"/>
            <w:vAlign w:val="bottom"/>
          </w:tcPr>
          <w:p>
            <w:pPr>
              <w:spacing w:after="0"/>
              <w:rPr>
                <w:sz w:val="16"/>
                <w:szCs w:val="16"/>
                <w:color w:val="auto"/>
              </w:rPr>
            </w:pPr>
          </w:p>
        </w:tc>
      </w:tr>
      <w:tr>
        <w:trPr>
          <w:trHeight w:val="173"/>
        </w:trPr>
        <w:tc>
          <w:tcPr>
            <w:tcW w:w="1420" w:type="dxa"/>
            <w:vAlign w:val="bottom"/>
          </w:tcPr>
          <w:p>
            <w:pPr>
              <w:spacing w:after="0" w:line="173" w:lineRule="exact"/>
              <w:rPr>
                <w:sz w:val="20"/>
                <w:szCs w:val="20"/>
                <w:color w:val="auto"/>
              </w:rPr>
            </w:pPr>
            <w:r>
              <w:rPr>
                <w:rFonts w:ascii="Arial" w:cs="Arial" w:eastAsia="Arial" w:hAnsi="Arial"/>
                <w:sz w:val="16"/>
                <w:szCs w:val="16"/>
                <w:color w:val="auto"/>
              </w:rPr>
              <w:t>Item 1.</w:t>
            </w:r>
          </w:p>
        </w:tc>
        <w:tc>
          <w:tcPr>
            <w:tcW w:w="7920" w:type="dxa"/>
            <w:vAlign w:val="bottom"/>
          </w:tcPr>
          <w:p>
            <w:pPr>
              <w:ind w:left="640"/>
              <w:spacing w:after="0" w:line="173" w:lineRule="exact"/>
              <w:rPr>
                <w:sz w:val="20"/>
                <w:szCs w:val="20"/>
                <w:color w:val="auto"/>
              </w:rPr>
            </w:pPr>
            <w:r>
              <w:rPr>
                <w:rFonts w:ascii="Arial" w:cs="Arial" w:eastAsia="Arial" w:hAnsi="Arial"/>
                <w:sz w:val="16"/>
                <w:szCs w:val="16"/>
                <w:color w:val="auto"/>
              </w:rPr>
              <w:t>Legal Proceedings</w:t>
            </w:r>
          </w:p>
        </w:tc>
        <w:tc>
          <w:tcPr>
            <w:tcW w:w="2080" w:type="dxa"/>
            <w:vAlign w:val="bottom"/>
          </w:tcPr>
          <w:p>
            <w:pPr>
              <w:jc w:val="center"/>
              <w:ind w:left="240"/>
              <w:spacing w:after="0" w:line="173" w:lineRule="exact"/>
              <w:rPr>
                <w:sz w:val="20"/>
                <w:szCs w:val="20"/>
                <w:color w:val="auto"/>
              </w:rPr>
            </w:pPr>
            <w:r>
              <w:rPr>
                <w:rFonts w:ascii="Arial" w:cs="Arial" w:eastAsia="Arial" w:hAnsi="Arial"/>
                <w:sz w:val="16"/>
                <w:szCs w:val="16"/>
                <w:color w:val="auto"/>
              </w:rPr>
              <w:t>127</w:t>
            </w:r>
          </w:p>
        </w:tc>
      </w:tr>
      <w:tr>
        <w:trPr>
          <w:trHeight w:val="173"/>
        </w:trPr>
        <w:tc>
          <w:tcPr>
            <w:tcW w:w="1420" w:type="dxa"/>
            <w:vAlign w:val="bottom"/>
          </w:tcPr>
          <w:p>
            <w:pPr>
              <w:spacing w:after="0" w:line="173" w:lineRule="exact"/>
              <w:rPr>
                <w:sz w:val="20"/>
                <w:szCs w:val="20"/>
                <w:color w:val="auto"/>
              </w:rPr>
            </w:pPr>
            <w:r>
              <w:rPr>
                <w:rFonts w:ascii="Arial" w:cs="Arial" w:eastAsia="Arial" w:hAnsi="Arial"/>
                <w:sz w:val="16"/>
                <w:szCs w:val="16"/>
                <w:color w:val="auto"/>
              </w:rPr>
              <w:t>Item 1A.</w:t>
            </w:r>
          </w:p>
        </w:tc>
        <w:tc>
          <w:tcPr>
            <w:tcW w:w="7920" w:type="dxa"/>
            <w:vAlign w:val="bottom"/>
          </w:tcPr>
          <w:p>
            <w:pPr>
              <w:ind w:left="640"/>
              <w:spacing w:after="0" w:line="173" w:lineRule="exact"/>
              <w:rPr>
                <w:sz w:val="20"/>
                <w:szCs w:val="20"/>
                <w:color w:val="auto"/>
              </w:rPr>
            </w:pPr>
            <w:r>
              <w:rPr>
                <w:rFonts w:ascii="Arial" w:cs="Arial" w:eastAsia="Arial" w:hAnsi="Arial"/>
                <w:sz w:val="16"/>
                <w:szCs w:val="16"/>
                <w:color w:val="auto"/>
              </w:rPr>
              <w:t>Risk Factors</w:t>
            </w:r>
          </w:p>
        </w:tc>
        <w:tc>
          <w:tcPr>
            <w:tcW w:w="2080" w:type="dxa"/>
            <w:vAlign w:val="bottom"/>
          </w:tcPr>
          <w:p>
            <w:pPr>
              <w:jc w:val="center"/>
              <w:ind w:left="240"/>
              <w:spacing w:after="0" w:line="173" w:lineRule="exact"/>
              <w:rPr>
                <w:sz w:val="20"/>
                <w:szCs w:val="20"/>
                <w:color w:val="auto"/>
              </w:rPr>
            </w:pPr>
            <w:r>
              <w:rPr>
                <w:rFonts w:ascii="Arial" w:cs="Arial" w:eastAsia="Arial" w:hAnsi="Arial"/>
                <w:sz w:val="16"/>
                <w:szCs w:val="16"/>
                <w:color w:val="auto"/>
              </w:rPr>
              <w:t>127</w:t>
            </w:r>
          </w:p>
        </w:tc>
      </w:tr>
      <w:tr>
        <w:trPr>
          <w:trHeight w:val="192"/>
        </w:trPr>
        <w:tc>
          <w:tcPr>
            <w:tcW w:w="1420" w:type="dxa"/>
            <w:vAlign w:val="bottom"/>
          </w:tcPr>
          <w:p>
            <w:pPr>
              <w:spacing w:after="0"/>
              <w:rPr>
                <w:sz w:val="20"/>
                <w:szCs w:val="20"/>
                <w:color w:val="auto"/>
              </w:rPr>
            </w:pPr>
            <w:r>
              <w:rPr>
                <w:rFonts w:ascii="Arial" w:cs="Arial" w:eastAsia="Arial" w:hAnsi="Arial"/>
                <w:sz w:val="16"/>
                <w:szCs w:val="16"/>
                <w:color w:val="auto"/>
              </w:rPr>
              <w:t>Item 6.</w:t>
            </w:r>
          </w:p>
        </w:tc>
        <w:tc>
          <w:tcPr>
            <w:tcW w:w="7920" w:type="dxa"/>
            <w:vAlign w:val="bottom"/>
          </w:tcPr>
          <w:p>
            <w:pPr>
              <w:ind w:left="640"/>
              <w:spacing w:after="0"/>
              <w:rPr>
                <w:sz w:val="20"/>
                <w:szCs w:val="20"/>
                <w:color w:val="auto"/>
              </w:rPr>
            </w:pPr>
            <w:r>
              <w:rPr>
                <w:rFonts w:ascii="Arial" w:cs="Arial" w:eastAsia="Arial" w:hAnsi="Arial"/>
                <w:sz w:val="16"/>
                <w:szCs w:val="16"/>
                <w:color w:val="auto"/>
              </w:rPr>
              <w:t>Exhibits</w:t>
            </w:r>
          </w:p>
        </w:tc>
        <w:tc>
          <w:tcPr>
            <w:tcW w:w="2080" w:type="dxa"/>
            <w:vAlign w:val="bottom"/>
          </w:tcPr>
          <w:p>
            <w:pPr>
              <w:jc w:val="center"/>
              <w:ind w:left="240"/>
              <w:spacing w:after="0"/>
              <w:rPr>
                <w:sz w:val="20"/>
                <w:szCs w:val="20"/>
                <w:color w:val="auto"/>
              </w:rPr>
            </w:pPr>
            <w:r>
              <w:rPr>
                <w:rFonts w:ascii="Arial" w:cs="Arial" w:eastAsia="Arial" w:hAnsi="Arial"/>
                <w:sz w:val="16"/>
                <w:szCs w:val="16"/>
                <w:color w:val="auto"/>
              </w:rPr>
              <w:t>127</w:t>
            </w:r>
          </w:p>
        </w:tc>
      </w:tr>
      <w:tr>
        <w:trPr>
          <w:trHeight w:val="384"/>
        </w:trPr>
        <w:tc>
          <w:tcPr>
            <w:tcW w:w="14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Signatures</w:t>
            </w:r>
          </w:p>
        </w:tc>
        <w:tc>
          <w:tcPr>
            <w:tcW w:w="79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jc w:val="center"/>
              <w:ind w:left="240"/>
              <w:spacing w:after="0"/>
              <w:rPr>
                <w:sz w:val="20"/>
                <w:szCs w:val="20"/>
                <w:color w:val="auto"/>
              </w:rPr>
            </w:pPr>
            <w:r>
              <w:rPr>
                <w:rFonts w:ascii="Arial" w:cs="Arial" w:eastAsia="Arial" w:hAnsi="Arial"/>
                <w:sz w:val="16"/>
                <w:szCs w:val="16"/>
                <w:color w:val="auto"/>
              </w:rPr>
              <w:t>130</w:t>
            </w:r>
          </w:p>
        </w:tc>
      </w:tr>
    </w:tbl>
    <w:p>
      <w:pPr>
        <w:spacing w:after="0" w:line="389" w:lineRule="exact"/>
        <w:rPr>
          <w:sz w:val="20"/>
          <w:szCs w:val="20"/>
          <w:color w:val="auto"/>
        </w:rPr>
      </w:pPr>
    </w:p>
    <w:p>
      <w:pPr>
        <w:jc w:val="both"/>
        <w:ind w:left="480" w:right="40"/>
        <w:spacing w:after="0" w:line="255" w:lineRule="auto"/>
        <w:rPr>
          <w:sz w:val="20"/>
          <w:szCs w:val="20"/>
          <w:color w:val="auto"/>
        </w:rPr>
      </w:pPr>
      <w:r>
        <w:rPr>
          <w:rFonts w:ascii="Arial" w:cs="Arial" w:eastAsia="Arial" w:hAnsi="Arial"/>
          <w:sz w:val="14"/>
          <w:szCs w:val="14"/>
          <w:b w:val="1"/>
          <w:bCs w:val="1"/>
          <w:color w:val="auto"/>
        </w:rPr>
        <w:t>This combined Form 10-Q is separately filed by Sempra Energy, San Diego Gas &amp; Electric Company and Southern California Gas Company. Information contained herein relating to any individual company is filed by such company on its own behalf. Each company makes representations only as to itself and makes no other representation whatsoever as to any other company.</w:t>
      </w:r>
    </w:p>
    <w:p>
      <w:pPr>
        <w:spacing w:after="0" w:line="125" w:lineRule="exact"/>
        <w:rPr>
          <w:sz w:val="20"/>
          <w:szCs w:val="20"/>
          <w:color w:val="auto"/>
        </w:rPr>
      </w:pPr>
    </w:p>
    <w:p>
      <w:pPr>
        <w:ind w:left="480"/>
        <w:spacing w:after="0"/>
        <w:rPr>
          <w:sz w:val="20"/>
          <w:szCs w:val="20"/>
          <w:color w:val="auto"/>
        </w:rPr>
      </w:pPr>
      <w:r>
        <w:rPr>
          <w:rFonts w:ascii="Arial" w:cs="Arial" w:eastAsia="Arial" w:hAnsi="Arial"/>
          <w:sz w:val="12"/>
          <w:szCs w:val="12"/>
          <w:b w:val="1"/>
          <w:bCs w:val="1"/>
          <w:color w:val="auto"/>
        </w:rPr>
        <w:t>You should read this report in its entirety as it pertains to each respective reporting company. No one section of the report deals with all aspects of the subject matter. Separate Part I</w:t>
      </w:r>
    </w:p>
    <w:p>
      <w:pPr>
        <w:spacing w:after="0" w:line="37" w:lineRule="exact"/>
        <w:rPr>
          <w:sz w:val="20"/>
          <w:szCs w:val="20"/>
          <w:color w:val="auto"/>
        </w:rPr>
      </w:pPr>
    </w:p>
    <w:p>
      <w:pPr>
        <w:ind w:left="480" w:right="180"/>
        <w:spacing w:after="0" w:line="248" w:lineRule="auto"/>
        <w:rPr>
          <w:sz w:val="20"/>
          <w:szCs w:val="20"/>
          <w:color w:val="auto"/>
        </w:rPr>
      </w:pPr>
      <w:r>
        <w:rPr>
          <w:rFonts w:ascii="Arial" w:cs="Arial" w:eastAsia="Arial" w:hAnsi="Arial"/>
          <w:sz w:val="14"/>
          <w:szCs w:val="14"/>
          <w:b w:val="1"/>
          <w:bCs w:val="1"/>
          <w:color w:val="auto"/>
        </w:rPr>
        <w:t>– Item 1 sections are provided for each reporting company, except for the Notes to Condensed Consolidated Financial Statements. The Notes to Condensed Consolidated Financial Statements for all of the reporting companies are combined. All Items other than Part I – Item 1 are combined for the reporting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1008380</wp:posOffset>
            </wp:positionV>
            <wp:extent cx="72656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5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color w:val="auto"/>
        </w:rPr>
        <w:t>INFORMATION REGARDING FORWARD-LOOKING STATEMENTS</w:t>
      </w:r>
    </w:p>
    <w:p>
      <w:pPr>
        <w:spacing w:after="0" w:line="198"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We make statements in this report that are not historical fact and constitute forward-looking statements within the meaning of the Private Securities Litigation Reform Act of 1995. Forward-looking statements are necessarily based upon assumptions with respect to the future, involve risks and uncertainties, and are not guarantees of performance. These forward-looking statements represent our estimates and assumptions only as of the filing date of this report. We assume no obligation to update or revise any forward-looking statement as a result of new information, future events or other factors.</w:t>
      </w:r>
    </w:p>
    <w:p>
      <w:pPr>
        <w:spacing w:after="0" w:line="162" w:lineRule="exact"/>
        <w:rPr>
          <w:sz w:val="20"/>
          <w:szCs w:val="20"/>
          <w:color w:val="auto"/>
        </w:rPr>
      </w:pPr>
    </w:p>
    <w:p>
      <w:pPr>
        <w:ind w:right="100"/>
        <w:spacing w:after="0" w:line="303" w:lineRule="auto"/>
        <w:rPr>
          <w:sz w:val="20"/>
          <w:szCs w:val="20"/>
          <w:color w:val="auto"/>
        </w:rPr>
      </w:pPr>
      <w:r>
        <w:rPr>
          <w:rFonts w:ascii="Arial" w:cs="Arial" w:eastAsia="Arial" w:hAnsi="Arial"/>
          <w:sz w:val="16"/>
          <w:szCs w:val="16"/>
          <w:color w:val="auto"/>
        </w:rPr>
        <w:t>In this report, when we use words such as “believes,” “expects,” “anticipates,” “plans,” “estimates,” “projects,” “forecasts,” “contemplates,” “intends,” “depends,” “should,” “could,” “would,” “will,” “confident,” “may,” “potential,” “target,” “pursue,” “goals,” “outlook,” “maintain,” or similar expressions, or when we discuss our guidance, strategy, plans, goals, opportunities, projections, initiatives, objectives or intentions, we are making forward-looking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Factors, among others, that could cause our actual results and future actions to differ materially from those described in forward-looking statements include</w:t>
      </w:r>
    </w:p>
    <w:p>
      <w:pPr>
        <w:spacing w:after="0" w:line="241" w:lineRule="exact"/>
        <w:rPr>
          <w:sz w:val="20"/>
          <w:szCs w:val="20"/>
          <w:color w:val="auto"/>
        </w:rPr>
      </w:pPr>
    </w:p>
    <w:p>
      <w:pPr>
        <w:ind w:left="320" w:hanging="17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local, regional, national and international economic, competitive, political, legislative and regulatory conditions and developments;</w:t>
      </w:r>
    </w:p>
    <w:p>
      <w:pPr>
        <w:spacing w:after="0" w:line="244" w:lineRule="exact"/>
        <w:rPr>
          <w:rFonts w:ascii="Arial" w:cs="Arial" w:eastAsia="Arial" w:hAnsi="Arial"/>
          <w:sz w:val="18"/>
          <w:szCs w:val="18"/>
          <w:color w:val="auto"/>
        </w:rPr>
      </w:pPr>
    </w:p>
    <w:p>
      <w:pPr>
        <w:jc w:val="both"/>
        <w:ind w:left="320" w:hanging="172"/>
        <w:spacing w:after="0" w:line="272" w:lineRule="auto"/>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actions and the timing of actions, including issuances of permits to construct and licenses for operation, by the California Public Utilities Commission, California State Legislature, U.S. Department of Energy, Federal Energy Regulatory Commission, Nuclear Regulatory Commission, Atomic Safety and Licensing Board, California Energy Commission, U.S. Environmental Protection Agency, California Air Resources Board, and other regulatory, governmental and environmental bodies in the United States and other countries in which we operate;</w:t>
      </w:r>
    </w:p>
    <w:p>
      <w:pPr>
        <w:spacing w:after="0" w:line="203" w:lineRule="exact"/>
        <w:rPr>
          <w:rFonts w:ascii="Arial" w:cs="Arial" w:eastAsia="Arial" w:hAnsi="Arial"/>
          <w:sz w:val="17"/>
          <w:szCs w:val="17"/>
          <w:color w:val="auto"/>
        </w:rPr>
      </w:pPr>
    </w:p>
    <w:p>
      <w:pPr>
        <w:ind w:left="320" w:hanging="17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capital markets conditions, including the availability of credit and the liquidity of our investments;</w:t>
      </w:r>
    </w:p>
    <w:p>
      <w:pPr>
        <w:spacing w:after="0" w:line="244" w:lineRule="exact"/>
        <w:rPr>
          <w:rFonts w:ascii="Arial" w:cs="Arial" w:eastAsia="Arial" w:hAnsi="Arial"/>
          <w:sz w:val="18"/>
          <w:szCs w:val="18"/>
          <w:color w:val="auto"/>
        </w:rPr>
      </w:pPr>
    </w:p>
    <w:p>
      <w:pPr>
        <w:ind w:left="320" w:hanging="172"/>
        <w:spacing w:after="0" w:line="295" w:lineRule="auto"/>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timing and success of business development efforts and construction, maintenance and capital projects, including risks in obtaining permits, licenses, certificates and other authorizations on a timely basis and risks in obtaining adequate and competitive financing for such projects;</w:t>
      </w:r>
    </w:p>
    <w:p>
      <w:pPr>
        <w:spacing w:after="0" w:line="183" w:lineRule="exact"/>
        <w:rPr>
          <w:rFonts w:ascii="Arial" w:cs="Arial" w:eastAsia="Arial" w:hAnsi="Arial"/>
          <w:sz w:val="17"/>
          <w:szCs w:val="17"/>
          <w:color w:val="auto"/>
        </w:rPr>
      </w:pPr>
    </w:p>
    <w:p>
      <w:pPr>
        <w:ind w:left="320" w:hanging="17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delays in the timing of costs incurred and the timing of the regulatory agency authorization to recover such costs in rates from customers;</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inflation, interest and exchange rates;</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benchmark interest rates, generally Moody’s A-rated utility bond yields, on our California Utilities’ cost of capital;</w:t>
      </w:r>
    </w:p>
    <w:p>
      <w:pPr>
        <w:sectPr>
          <w:pgSz w:w="11900" w:h="16838" w:orient="portrait"/>
          <w:cols w:equalWidth="0" w:num="1">
            <w:col w:w="11420"/>
          </w:cols>
          <w:pgMar w:left="240" w:top="353" w:right="239" w:bottom="0" w:gutter="0" w:footer="0" w:header="0"/>
        </w:sectPr>
      </w:pPr>
    </w:p>
    <w:bookmarkStart w:id="2" w:name="page3"/>
    <w:bookmarkEnd w:id="2"/>
    <w:p>
      <w:pPr>
        <w:spacing w:after="0" w:line="20" w:lineRule="exact"/>
        <w:rPr>
          <w:sz w:val="20"/>
          <w:szCs w:val="20"/>
          <w:color w:val="auto"/>
        </w:rPr>
      </w:pPr>
    </w:p>
    <w:p>
      <w:pPr>
        <w:ind w:left="320" w:hanging="17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energy markets, including the timing and extent of changes and volatility in commodity prices;</w:t>
      </w:r>
    </w:p>
    <w:p>
      <w:pPr>
        <w:spacing w:after="0" w:line="244" w:lineRule="exact"/>
        <w:rPr>
          <w:rFonts w:ascii="Arial" w:cs="Arial" w:eastAsia="Arial" w:hAnsi="Arial"/>
          <w:sz w:val="18"/>
          <w:szCs w:val="18"/>
          <w:color w:val="auto"/>
        </w:rPr>
      </w:pPr>
    </w:p>
    <w:p>
      <w:pPr>
        <w:ind w:left="320" w:hanging="172"/>
        <w:spacing w:after="0" w:line="295" w:lineRule="auto"/>
        <w:tabs>
          <w:tab w:leader="none" w:pos="3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availability of electric power, natural gas and liquefied natural gas, including disruptions caused by failures in the North American transmission grid, pipeline explosions and equipment failures and the decommissioning of San Onofre Nuclear Generating Station (SONGS);</w:t>
      </w:r>
    </w:p>
    <w:p>
      <w:pPr>
        <w:spacing w:after="0" w:line="183" w:lineRule="exact"/>
        <w:rPr>
          <w:rFonts w:ascii="Arial" w:cs="Arial" w:eastAsia="Arial" w:hAnsi="Arial"/>
          <w:sz w:val="17"/>
          <w:szCs w:val="17"/>
          <w:color w:val="auto"/>
        </w:rPr>
      </w:pPr>
    </w:p>
    <w:p>
      <w:pPr>
        <w:ind w:left="320" w:hanging="17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weather conditions, natural disasters, catastrophic accidents, and conservation efforts;</w:t>
      </w:r>
    </w:p>
    <w:p>
      <w:pPr>
        <w:spacing w:after="0" w:line="244" w:lineRule="exact"/>
        <w:rPr>
          <w:rFonts w:ascii="Arial" w:cs="Arial" w:eastAsia="Arial" w:hAnsi="Arial"/>
          <w:sz w:val="18"/>
          <w:szCs w:val="18"/>
          <w:color w:val="auto"/>
        </w:rPr>
      </w:pPr>
    </w:p>
    <w:p>
      <w:pPr>
        <w:ind w:left="320" w:hanging="172"/>
        <w:spacing w:after="0" w:line="266" w:lineRule="auto"/>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cybersecurity threats to the energy grid and the confidentiality of our proprietary information and the personal information of our customers, terrorist attacks that threaten system operations and critical infrastructure, and wars;</w:t>
      </w:r>
    </w:p>
    <w:p>
      <w:pPr>
        <w:spacing w:after="0" w:line="205" w:lineRule="exact"/>
        <w:rPr>
          <w:rFonts w:ascii="Arial" w:cs="Arial" w:eastAsia="Arial" w:hAnsi="Arial"/>
          <w:sz w:val="18"/>
          <w:szCs w:val="18"/>
          <w:color w:val="auto"/>
        </w:rPr>
      </w:pPr>
    </w:p>
    <w:p>
      <w:pPr>
        <w:ind w:left="320" w:hanging="172"/>
        <w:spacing w:after="0" w:line="329" w:lineRule="auto"/>
        <w:tabs>
          <w:tab w:leader="none" w:pos="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risks inherent with nuclear power facilities and radioactive materials storage, including the catastrophic release of such materials, the disallowance of the recovery of the investment in, or operating costs of, the nuclear facility due to an extended outage and facility closure, and increased regulatory oversight;</w:t>
      </w:r>
    </w:p>
    <w:p>
      <w:pPr>
        <w:spacing w:after="0" w:line="160" w:lineRule="exact"/>
        <w:rPr>
          <w:rFonts w:ascii="Arial" w:cs="Arial" w:eastAsia="Arial" w:hAnsi="Arial"/>
          <w:sz w:val="16"/>
          <w:szCs w:val="16"/>
          <w:color w:val="auto"/>
        </w:rPr>
      </w:pPr>
    </w:p>
    <w:p>
      <w:pPr>
        <w:ind w:left="320" w:hanging="17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that our partners or counterparties will be unable or unwilling to fulfill their contractual commitments;</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5"/>
        </w:numPr>
        <w:rPr>
          <w:rFonts w:ascii="Arial" w:cs="Arial" w:eastAsia="Arial" w:hAnsi="Arial"/>
          <w:sz w:val="17"/>
          <w:szCs w:val="17"/>
          <w:color w:val="auto"/>
        </w:rPr>
      </w:pPr>
      <w:r>
        <w:rPr>
          <w:rFonts w:ascii="Arial" w:cs="Arial" w:eastAsia="Arial" w:hAnsi="Arial"/>
          <w:sz w:val="17"/>
          <w:szCs w:val="17"/>
          <w:color w:val="auto"/>
        </w:rPr>
        <w:t>risks posed by decisions and actions of third parties who control the operations of investments in which we do not have a controlling interest;</w:t>
      </w:r>
    </w:p>
    <w:p>
      <w:pPr>
        <w:spacing w:after="0" w:line="256" w:lineRule="exact"/>
        <w:rPr>
          <w:rFonts w:ascii="Arial" w:cs="Arial" w:eastAsia="Arial" w:hAnsi="Arial"/>
          <w:sz w:val="17"/>
          <w:szCs w:val="17"/>
          <w:color w:val="auto"/>
        </w:rPr>
      </w:pPr>
    </w:p>
    <w:p>
      <w:pPr>
        <w:ind w:left="320" w:hanging="17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business, regulatory, environmental and legal decisions and requirements;</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expropriation of assets by foreign governments and title and other property disputes;</w:t>
      </w:r>
    </w:p>
    <w:p>
      <w:pPr>
        <w:spacing w:after="0" w:line="244" w:lineRule="exact"/>
        <w:rPr>
          <w:rFonts w:ascii="Arial" w:cs="Arial" w:eastAsia="Arial" w:hAnsi="Arial"/>
          <w:sz w:val="18"/>
          <w:szCs w:val="18"/>
          <w:color w:val="auto"/>
        </w:rPr>
      </w:pPr>
    </w:p>
    <w:p>
      <w:pPr>
        <w:ind w:left="320" w:right="20" w:hanging="172"/>
        <w:spacing w:after="0" w:line="266" w:lineRule="auto"/>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on reliability of San Diego Gas &amp; Electric Company’s (SDG&amp;E) electric transmission and distribution system due to increased amount and variability of power supply from renewable energy sources;</w:t>
      </w:r>
    </w:p>
    <w:p>
      <w:pPr>
        <w:spacing w:after="0" w:line="205" w:lineRule="exact"/>
        <w:rPr>
          <w:rFonts w:ascii="Arial" w:cs="Arial" w:eastAsia="Arial" w:hAnsi="Arial"/>
          <w:sz w:val="18"/>
          <w:szCs w:val="18"/>
          <w:color w:val="auto"/>
        </w:rPr>
      </w:pPr>
    </w:p>
    <w:p>
      <w:pPr>
        <w:ind w:left="320" w:hanging="172"/>
        <w:spacing w:after="0" w:line="266" w:lineRule="auto"/>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on competitive customer rates of the growth in distributed and local power generation and the corresponding decrease in demand for power delivered through SDG&amp;E’s electric transmission and distribution system;</w:t>
      </w:r>
    </w:p>
    <w:p>
      <w:pPr>
        <w:spacing w:after="0" w:line="205" w:lineRule="exact"/>
        <w:rPr>
          <w:rFonts w:ascii="Arial" w:cs="Arial" w:eastAsia="Arial" w:hAnsi="Arial"/>
          <w:sz w:val="18"/>
          <w:szCs w:val="18"/>
          <w:color w:val="auto"/>
        </w:rPr>
      </w:pPr>
    </w:p>
    <w:p>
      <w:pPr>
        <w:ind w:left="320" w:hanging="172"/>
        <w:spacing w:after="0" w:line="266" w:lineRule="auto"/>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inability or determination not to enter into long-term supply and sales agreements or long-term firm capacity agreements due to insufficient market interest, unattractive pricing or other factors;</w:t>
      </w:r>
    </w:p>
    <w:p>
      <w:pPr>
        <w:spacing w:after="0" w:line="205" w:lineRule="exact"/>
        <w:rPr>
          <w:rFonts w:ascii="Arial" w:cs="Arial" w:eastAsia="Arial" w:hAnsi="Arial"/>
          <w:sz w:val="18"/>
          <w:szCs w:val="18"/>
          <w:color w:val="auto"/>
        </w:rPr>
      </w:pPr>
    </w:p>
    <w:p>
      <w:pPr>
        <w:ind w:left="320" w:hanging="17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resolution of litigation; and</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uncertainties, all of which are difficult to predict and many of which are beyond our control.</w:t>
      </w:r>
    </w:p>
    <w:p>
      <w:pPr>
        <w:spacing w:after="0" w:line="245" w:lineRule="exact"/>
        <w:rPr>
          <w:sz w:val="20"/>
          <w:szCs w:val="20"/>
          <w:color w:val="auto"/>
        </w:rPr>
      </w:pPr>
    </w:p>
    <w:p>
      <w:pPr>
        <w:ind w:right="260"/>
        <w:spacing w:after="0" w:line="329" w:lineRule="auto"/>
        <w:rPr>
          <w:sz w:val="20"/>
          <w:szCs w:val="20"/>
          <w:color w:val="auto"/>
        </w:rPr>
      </w:pPr>
      <w:r>
        <w:rPr>
          <w:rFonts w:ascii="Arial" w:cs="Arial" w:eastAsia="Arial" w:hAnsi="Arial"/>
          <w:sz w:val="16"/>
          <w:szCs w:val="16"/>
          <w:color w:val="auto"/>
        </w:rPr>
        <w:t>We caution you not to rely unduly on any forward-looking statements. You should review and consider carefully the risks, uncertainties and other factors that affect our business as described in this report and in our most recent Annual Report on Form 10-K filed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3"/>
          <w:szCs w:val="23"/>
          <w:color w:val="auto"/>
        </w:rPr>
        <w:t>PART I – FINANCIAL INFORMATION</w:t>
      </w:r>
    </w:p>
    <w:p>
      <w:pPr>
        <w:spacing w:after="0" w:line="241" w:lineRule="exact"/>
        <w:rPr>
          <w:sz w:val="20"/>
          <w:szCs w:val="20"/>
          <w:color w:val="auto"/>
        </w:rPr>
      </w:pPr>
    </w:p>
    <w:p>
      <w:pPr>
        <w:spacing w:after="0"/>
        <w:rPr>
          <w:sz w:val="20"/>
          <w:szCs w:val="20"/>
          <w:color w:val="auto"/>
        </w:rPr>
      </w:pPr>
      <w:r>
        <w:rPr>
          <w:rFonts w:ascii="Arial" w:cs="Arial" w:eastAsia="Arial" w:hAnsi="Arial"/>
          <w:sz w:val="23"/>
          <w:szCs w:val="23"/>
          <w:color w:val="auto"/>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267970</wp:posOffset>
            </wp:positionV>
            <wp:extent cx="7248525" cy="4133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8525" cy="41338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040" w:type="dxa"/>
            <w:vAlign w:val="bottom"/>
          </w:tcPr>
          <w:p>
            <w:pPr>
              <w:spacing w:after="0"/>
              <w:rPr>
                <w:sz w:val="20"/>
                <w:szCs w:val="20"/>
                <w:color w:val="auto"/>
              </w:rPr>
            </w:pPr>
            <w:r>
              <w:rPr>
                <w:rFonts w:ascii="Arial" w:cs="Arial" w:eastAsia="Arial" w:hAnsi="Arial"/>
                <w:sz w:val="14"/>
                <w:szCs w:val="14"/>
                <w:i w:val="1"/>
                <w:iCs w:val="1"/>
                <w:color w:val="auto"/>
              </w:rPr>
              <w:t>(Dollars in millions, except per share amounts)</w:t>
            </w:r>
          </w:p>
        </w:tc>
        <w:tc>
          <w:tcPr>
            <w:tcW w:w="860" w:type="dxa"/>
            <w:vAlign w:val="bottom"/>
            <w:shd w:val="clear" w:color="auto" w:fill="C0C0C0"/>
          </w:tcPr>
          <w:p>
            <w:pPr>
              <w:spacing w:after="0"/>
              <w:rPr>
                <w:sz w:val="16"/>
                <w:szCs w:val="16"/>
                <w:color w:val="auto"/>
              </w:rPr>
            </w:pPr>
          </w:p>
        </w:tc>
        <w:tc>
          <w:tcPr>
            <w:tcW w:w="620" w:type="dxa"/>
            <w:vAlign w:val="bottom"/>
            <w:shd w:val="clear" w:color="auto" w:fill="C0C0C0"/>
          </w:tcPr>
          <w:p>
            <w:pPr>
              <w:spacing w:after="0"/>
              <w:rPr>
                <w:sz w:val="16"/>
                <w:szCs w:val="16"/>
                <w:color w:val="auto"/>
              </w:rPr>
            </w:pPr>
          </w:p>
        </w:tc>
        <w:tc>
          <w:tcPr>
            <w:tcW w:w="740" w:type="dxa"/>
            <w:vAlign w:val="bottom"/>
            <w:shd w:val="clear" w:color="auto" w:fill="C0C0C0"/>
          </w:tcPr>
          <w:p>
            <w:pPr>
              <w:spacing w:after="0"/>
              <w:rPr>
                <w:sz w:val="16"/>
                <w:szCs w:val="16"/>
                <w:color w:val="auto"/>
              </w:rPr>
            </w:pPr>
          </w:p>
        </w:tc>
        <w:tc>
          <w:tcPr>
            <w:tcW w:w="460" w:type="dxa"/>
            <w:vAlign w:val="bottom"/>
            <w:shd w:val="clear" w:color="auto" w:fill="C0C0C0"/>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shd w:val="clear" w:color="auto" w:fill="C2C2C2"/>
          </w:tcPr>
          <w:p>
            <w:pPr>
              <w:spacing w:after="0"/>
              <w:rPr>
                <w:sz w:val="16"/>
                <w:szCs w:val="16"/>
                <w:color w:val="auto"/>
              </w:rPr>
            </w:pPr>
          </w:p>
        </w:tc>
        <w:tc>
          <w:tcPr>
            <w:tcW w:w="640" w:type="dxa"/>
            <w:vAlign w:val="bottom"/>
            <w:shd w:val="clear" w:color="auto" w:fill="C2C2C2"/>
          </w:tcPr>
          <w:p>
            <w:pPr>
              <w:spacing w:after="0"/>
              <w:rPr>
                <w:sz w:val="16"/>
                <w:szCs w:val="16"/>
                <w:color w:val="auto"/>
              </w:rPr>
            </w:pPr>
          </w:p>
        </w:tc>
        <w:tc>
          <w:tcPr>
            <w:tcW w:w="700" w:type="dxa"/>
            <w:vAlign w:val="bottom"/>
            <w:shd w:val="clear" w:color="auto" w:fill="C2C2C2"/>
          </w:tcPr>
          <w:p>
            <w:pPr>
              <w:spacing w:after="0"/>
              <w:rPr>
                <w:sz w:val="16"/>
                <w:szCs w:val="16"/>
                <w:color w:val="auto"/>
              </w:rPr>
            </w:pPr>
          </w:p>
        </w:tc>
        <w:tc>
          <w:tcPr>
            <w:tcW w:w="520" w:type="dxa"/>
            <w:vAlign w:val="bottom"/>
            <w:shd w:val="clear" w:color="auto" w:fill="C2C2C2"/>
          </w:tcPr>
          <w:p>
            <w:pPr>
              <w:spacing w:after="0"/>
              <w:rPr>
                <w:sz w:val="16"/>
                <w:szCs w:val="16"/>
                <w:color w:val="auto"/>
              </w:rPr>
            </w:pPr>
          </w:p>
        </w:tc>
      </w:tr>
      <w:tr>
        <w:trPr>
          <w:trHeight w:val="228"/>
        </w:trPr>
        <w:tc>
          <w:tcPr>
            <w:tcW w:w="6040" w:type="dxa"/>
            <w:vAlign w:val="bottom"/>
          </w:tcPr>
          <w:p>
            <w:pPr>
              <w:spacing w:after="0"/>
              <w:rPr>
                <w:sz w:val="19"/>
                <w:szCs w:val="19"/>
                <w:color w:val="auto"/>
              </w:rPr>
            </w:pPr>
          </w:p>
        </w:tc>
        <w:tc>
          <w:tcPr>
            <w:tcW w:w="2220" w:type="dxa"/>
            <w:vAlign w:val="bottom"/>
            <w:gridSpan w:val="3"/>
          </w:tcPr>
          <w:p>
            <w:pPr>
              <w:jc w:val="center"/>
              <w:ind w:left="386"/>
              <w:spacing w:after="0"/>
              <w:rPr>
                <w:sz w:val="20"/>
                <w:szCs w:val="20"/>
                <w:color w:val="auto"/>
              </w:rPr>
            </w:pPr>
            <w:r>
              <w:rPr>
                <w:rFonts w:ascii="Arial" w:cs="Arial" w:eastAsia="Arial" w:hAnsi="Arial"/>
                <w:sz w:val="14"/>
                <w:szCs w:val="14"/>
                <w:color w:val="auto"/>
              </w:rPr>
              <w:t>Three months ended</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gridSpan w:val="3"/>
          </w:tcPr>
          <w:p>
            <w:pPr>
              <w:jc w:val="center"/>
              <w:ind w:left="89"/>
              <w:spacing w:after="0"/>
              <w:rPr>
                <w:sz w:val="20"/>
                <w:szCs w:val="20"/>
                <w:color w:val="auto"/>
              </w:rPr>
            </w:pPr>
            <w:r>
              <w:rPr>
                <w:rFonts w:ascii="Arial" w:cs="Arial" w:eastAsia="Arial" w:hAnsi="Arial"/>
                <w:sz w:val="14"/>
                <w:szCs w:val="14"/>
                <w:color w:val="auto"/>
              </w:rPr>
              <w:t>Nine months ended</w:t>
            </w:r>
          </w:p>
        </w:tc>
        <w:tc>
          <w:tcPr>
            <w:tcW w:w="520" w:type="dxa"/>
            <w:vAlign w:val="bottom"/>
          </w:tcPr>
          <w:p>
            <w:pPr>
              <w:spacing w:after="0"/>
              <w:rPr>
                <w:sz w:val="19"/>
                <w:szCs w:val="19"/>
                <w:color w:val="auto"/>
              </w:rPr>
            </w:pPr>
          </w:p>
        </w:tc>
      </w:tr>
      <w:tr>
        <w:trPr>
          <w:trHeight w:val="184"/>
        </w:trPr>
        <w:tc>
          <w:tcPr>
            <w:tcW w:w="604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center"/>
              <w:ind w:right="325"/>
              <w:spacing w:after="0"/>
              <w:rPr>
                <w:sz w:val="20"/>
                <w:szCs w:val="20"/>
                <w:color w:val="auto"/>
              </w:rPr>
            </w:pPr>
            <w:r>
              <w:rPr>
                <w:rFonts w:ascii="Arial" w:cs="Arial" w:eastAsia="Arial" w:hAnsi="Arial"/>
                <w:sz w:val="14"/>
                <w:szCs w:val="14"/>
                <w:color w:val="auto"/>
              </w:rPr>
              <w:t>September 30,</w:t>
            </w:r>
          </w:p>
        </w:tc>
        <w:tc>
          <w:tcPr>
            <w:tcW w:w="4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center"/>
              <w:ind w:right="245"/>
              <w:spacing w:after="0"/>
              <w:rPr>
                <w:sz w:val="20"/>
                <w:szCs w:val="20"/>
                <w:color w:val="auto"/>
              </w:rPr>
            </w:pPr>
            <w:r>
              <w:rPr>
                <w:rFonts w:ascii="Arial" w:cs="Arial" w:eastAsia="Arial" w:hAnsi="Arial"/>
                <w:sz w:val="14"/>
                <w:szCs w:val="14"/>
                <w:color w:val="auto"/>
              </w:rPr>
              <w:t>September 30,</w:t>
            </w:r>
          </w:p>
        </w:tc>
        <w:tc>
          <w:tcPr>
            <w:tcW w:w="520" w:type="dxa"/>
            <w:vAlign w:val="bottom"/>
            <w:tcBorders>
              <w:bottom w:val="single" w:sz="8" w:color="auto"/>
            </w:tcBorders>
          </w:tcPr>
          <w:p>
            <w:pPr>
              <w:spacing w:after="0"/>
              <w:rPr>
                <w:sz w:val="15"/>
                <w:szCs w:val="15"/>
                <w:color w:val="auto"/>
              </w:rPr>
            </w:pPr>
          </w:p>
        </w:tc>
      </w:tr>
      <w:tr>
        <w:trPr>
          <w:trHeight w:val="206"/>
        </w:trPr>
        <w:tc>
          <w:tcPr>
            <w:tcW w:w="60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2014</w:t>
            </w:r>
          </w:p>
        </w:tc>
        <w:tc>
          <w:tcPr>
            <w:tcW w:w="6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2013</w:t>
            </w:r>
          </w:p>
        </w:tc>
        <w:tc>
          <w:tcPr>
            <w:tcW w:w="4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2014</w:t>
            </w:r>
          </w:p>
        </w:tc>
        <w:tc>
          <w:tcPr>
            <w:tcW w:w="6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2013</w:t>
            </w:r>
          </w:p>
        </w:tc>
        <w:tc>
          <w:tcPr>
            <w:tcW w:w="520" w:type="dxa"/>
            <w:vAlign w:val="bottom"/>
            <w:tcBorders>
              <w:bottom w:val="single" w:sz="8" w:color="auto"/>
            </w:tcBorders>
          </w:tcPr>
          <w:p>
            <w:pPr>
              <w:spacing w:after="0"/>
              <w:rPr>
                <w:sz w:val="17"/>
                <w:szCs w:val="17"/>
                <w:color w:val="auto"/>
              </w:rPr>
            </w:pPr>
          </w:p>
        </w:tc>
      </w:tr>
      <w:tr>
        <w:trPr>
          <w:trHeight w:val="221"/>
        </w:trPr>
        <w:tc>
          <w:tcPr>
            <w:tcW w:w="60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gridSpan w:val="4"/>
          </w:tcPr>
          <w:p>
            <w:pPr>
              <w:jc w:val="right"/>
              <w:ind w:right="409"/>
              <w:spacing w:after="0"/>
              <w:rPr>
                <w:sz w:val="20"/>
                <w:szCs w:val="20"/>
                <w:color w:val="auto"/>
              </w:rPr>
            </w:pPr>
            <w:r>
              <w:rPr>
                <w:rFonts w:ascii="Arial" w:cs="Arial" w:eastAsia="Arial" w:hAnsi="Arial"/>
                <w:sz w:val="14"/>
                <w:szCs w:val="14"/>
                <w:color w:val="auto"/>
              </w:rPr>
              <w:t>(unaudited)</w:t>
            </w: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186"/>
        </w:trPr>
        <w:tc>
          <w:tcPr>
            <w:tcW w:w="6040" w:type="dxa"/>
            <w:vAlign w:val="bottom"/>
          </w:tcPr>
          <w:p>
            <w:pPr>
              <w:spacing w:after="0"/>
              <w:rPr>
                <w:sz w:val="20"/>
                <w:szCs w:val="20"/>
                <w:color w:val="auto"/>
              </w:rPr>
            </w:pPr>
            <w:r>
              <w:rPr>
                <w:rFonts w:ascii="Arial" w:cs="Arial" w:eastAsia="Arial" w:hAnsi="Arial"/>
                <w:sz w:val="16"/>
                <w:szCs w:val="16"/>
                <w:color w:val="auto"/>
              </w:rPr>
              <w:t>REVENUES</w:t>
            </w:r>
          </w:p>
        </w:tc>
        <w:tc>
          <w:tcPr>
            <w:tcW w:w="8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Arial" w:cs="Arial" w:eastAsia="Arial" w:hAnsi="Arial"/>
                <w:sz w:val="16"/>
                <w:szCs w:val="16"/>
                <w:color w:val="auto"/>
              </w:rPr>
              <w:t>Utilities</w:t>
            </w:r>
          </w:p>
        </w:tc>
        <w:tc>
          <w:tcPr>
            <w:tcW w:w="860" w:type="dxa"/>
            <w:vAlign w:val="bottom"/>
          </w:tcPr>
          <w:p>
            <w:pPr>
              <w:jc w:val="right"/>
              <w:ind w:right="426"/>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61"/>
              <w:spacing w:after="0"/>
              <w:rPr>
                <w:sz w:val="20"/>
                <w:szCs w:val="20"/>
                <w:color w:val="auto"/>
              </w:rPr>
            </w:pPr>
            <w:r>
              <w:rPr>
                <w:rFonts w:ascii="Arial" w:cs="Arial" w:eastAsia="Arial" w:hAnsi="Arial"/>
                <w:sz w:val="16"/>
                <w:szCs w:val="16"/>
                <w:color w:val="auto"/>
              </w:rPr>
              <w:t>2,463</w:t>
            </w:r>
          </w:p>
        </w:tc>
        <w:tc>
          <w:tcPr>
            <w:tcW w:w="740" w:type="dxa"/>
            <w:vAlign w:val="bottom"/>
          </w:tcPr>
          <w:p>
            <w:pPr>
              <w:jc w:val="right"/>
              <w:ind w:right="445"/>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2,223</w:t>
            </w:r>
          </w:p>
        </w:tc>
        <w:tc>
          <w:tcPr>
            <w:tcW w:w="700" w:type="dxa"/>
            <w:vAlign w:val="bottom"/>
            <w:gridSpan w:val="2"/>
          </w:tcPr>
          <w:p>
            <w:pPr>
              <w:jc w:val="right"/>
              <w:ind w:right="40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61"/>
              <w:spacing w:after="0"/>
              <w:rPr>
                <w:sz w:val="20"/>
                <w:szCs w:val="20"/>
                <w:color w:val="auto"/>
              </w:rPr>
            </w:pPr>
            <w:r>
              <w:rPr>
                <w:rFonts w:ascii="Arial" w:cs="Arial" w:eastAsia="Arial" w:hAnsi="Arial"/>
                <w:sz w:val="16"/>
                <w:szCs w:val="16"/>
                <w:color w:val="auto"/>
              </w:rPr>
              <w:t>7,318</w:t>
            </w:r>
          </w:p>
        </w:tc>
        <w:tc>
          <w:tcPr>
            <w:tcW w:w="700" w:type="dxa"/>
            <w:vAlign w:val="bottom"/>
          </w:tcPr>
          <w:p>
            <w:pPr>
              <w:jc w:val="right"/>
              <w:ind w:right="405"/>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6,889</w:t>
            </w:r>
          </w:p>
        </w:tc>
      </w:tr>
      <w:tr>
        <w:trPr>
          <w:trHeight w:val="204"/>
        </w:trPr>
        <w:tc>
          <w:tcPr>
            <w:tcW w:w="6040" w:type="dxa"/>
            <w:vAlign w:val="bottom"/>
          </w:tcPr>
          <w:p>
            <w:pPr>
              <w:spacing w:after="0"/>
              <w:rPr>
                <w:sz w:val="20"/>
                <w:szCs w:val="20"/>
                <w:color w:val="auto"/>
              </w:rPr>
            </w:pPr>
            <w:r>
              <w:rPr>
                <w:rFonts w:ascii="Arial" w:cs="Arial" w:eastAsia="Arial" w:hAnsi="Arial"/>
                <w:sz w:val="16"/>
                <w:szCs w:val="16"/>
                <w:color w:val="auto"/>
              </w:rPr>
              <w:t>Energy-related businesses</w:t>
            </w:r>
          </w:p>
        </w:tc>
        <w:tc>
          <w:tcPr>
            <w:tcW w:w="8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352</w:t>
            </w:r>
          </w:p>
        </w:tc>
        <w:tc>
          <w:tcPr>
            <w:tcW w:w="7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328</w:t>
            </w:r>
          </w:p>
        </w:tc>
        <w:tc>
          <w:tcPr>
            <w:tcW w:w="2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970</w:t>
            </w:r>
          </w:p>
        </w:tc>
        <w:tc>
          <w:tcPr>
            <w:tcW w:w="7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963</w:t>
            </w:r>
          </w:p>
        </w:tc>
      </w:tr>
      <w:tr>
        <w:trPr>
          <w:trHeight w:val="214"/>
        </w:trPr>
        <w:tc>
          <w:tcPr>
            <w:tcW w:w="6040" w:type="dxa"/>
            <w:vAlign w:val="bottom"/>
          </w:tcPr>
          <w:p>
            <w:pPr>
              <w:ind w:left="180"/>
              <w:spacing w:after="0"/>
              <w:rPr>
                <w:sz w:val="20"/>
                <w:szCs w:val="20"/>
                <w:color w:val="auto"/>
              </w:rPr>
            </w:pPr>
            <w:r>
              <w:rPr>
                <w:rFonts w:ascii="Arial" w:cs="Arial" w:eastAsia="Arial" w:hAnsi="Arial"/>
                <w:sz w:val="16"/>
                <w:szCs w:val="16"/>
                <w:color w:val="auto"/>
              </w:rPr>
              <w:t>Total revenues</w:t>
            </w:r>
          </w:p>
        </w:tc>
        <w:tc>
          <w:tcPr>
            <w:tcW w:w="860" w:type="dxa"/>
            <w:vAlign w:val="bottom"/>
          </w:tcPr>
          <w:p>
            <w:pPr>
              <w:spacing w:after="0"/>
              <w:rPr>
                <w:sz w:val="18"/>
                <w:szCs w:val="18"/>
                <w:color w:val="auto"/>
              </w:rPr>
            </w:pPr>
          </w:p>
        </w:tc>
        <w:tc>
          <w:tcPr>
            <w:tcW w:w="620" w:type="dxa"/>
            <w:vAlign w:val="bottom"/>
          </w:tcPr>
          <w:p>
            <w:pPr>
              <w:jc w:val="right"/>
              <w:ind w:right="61"/>
              <w:spacing w:after="0"/>
              <w:rPr>
                <w:sz w:val="20"/>
                <w:szCs w:val="20"/>
                <w:color w:val="auto"/>
              </w:rPr>
            </w:pPr>
            <w:r>
              <w:rPr>
                <w:rFonts w:ascii="Arial" w:cs="Arial" w:eastAsia="Arial" w:hAnsi="Arial"/>
                <w:sz w:val="16"/>
                <w:szCs w:val="16"/>
                <w:color w:val="auto"/>
              </w:rPr>
              <w:t>2,815</w:t>
            </w:r>
          </w:p>
        </w:tc>
        <w:tc>
          <w:tcPr>
            <w:tcW w:w="7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2,551</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jc w:val="right"/>
              <w:ind w:right="61"/>
              <w:spacing w:after="0"/>
              <w:rPr>
                <w:sz w:val="20"/>
                <w:szCs w:val="20"/>
                <w:color w:val="auto"/>
              </w:rPr>
            </w:pPr>
            <w:r>
              <w:rPr>
                <w:rFonts w:ascii="Arial" w:cs="Arial" w:eastAsia="Arial" w:hAnsi="Arial"/>
                <w:sz w:val="16"/>
                <w:szCs w:val="16"/>
                <w:color w:val="auto"/>
              </w:rPr>
              <w:t>8,288</w:t>
            </w:r>
          </w:p>
        </w:tc>
        <w:tc>
          <w:tcPr>
            <w:tcW w:w="7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7,852</w:t>
            </w:r>
          </w:p>
        </w:tc>
      </w:tr>
      <w:tr>
        <w:trPr>
          <w:trHeight w:val="213"/>
        </w:trPr>
        <w:tc>
          <w:tcPr>
            <w:tcW w:w="6040" w:type="dxa"/>
            <w:vAlign w:val="bottom"/>
          </w:tcPr>
          <w:p>
            <w:pPr>
              <w:spacing w:after="0"/>
              <w:rPr>
                <w:sz w:val="20"/>
                <w:szCs w:val="20"/>
                <w:color w:val="auto"/>
              </w:rPr>
            </w:pPr>
            <w:r>
              <w:rPr>
                <w:rFonts w:ascii="Arial" w:cs="Arial" w:eastAsia="Arial" w:hAnsi="Arial"/>
                <w:sz w:val="16"/>
                <w:szCs w:val="16"/>
                <w:color w:val="auto"/>
              </w:rPr>
              <w:t>EXPENSES AND OTHER INCOME</w:t>
            </w: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3"/>
        </w:trPr>
        <w:tc>
          <w:tcPr>
            <w:tcW w:w="6040" w:type="dxa"/>
            <w:vAlign w:val="bottom"/>
          </w:tcPr>
          <w:p>
            <w:pPr>
              <w:spacing w:after="0"/>
              <w:rPr>
                <w:sz w:val="20"/>
                <w:szCs w:val="20"/>
                <w:color w:val="auto"/>
              </w:rPr>
            </w:pPr>
            <w:r>
              <w:rPr>
                <w:rFonts w:ascii="Arial" w:cs="Arial" w:eastAsia="Arial" w:hAnsi="Arial"/>
                <w:sz w:val="16"/>
                <w:szCs w:val="16"/>
                <w:color w:val="auto"/>
              </w:rPr>
              <w:t>Utilities:</w:t>
            </w: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3"/>
        </w:trPr>
        <w:tc>
          <w:tcPr>
            <w:tcW w:w="6040" w:type="dxa"/>
            <w:vAlign w:val="bottom"/>
          </w:tcPr>
          <w:p>
            <w:pPr>
              <w:ind w:left="180"/>
              <w:spacing w:after="0"/>
              <w:rPr>
                <w:sz w:val="20"/>
                <w:szCs w:val="20"/>
                <w:color w:val="auto"/>
              </w:rPr>
            </w:pPr>
            <w:r>
              <w:rPr>
                <w:rFonts w:ascii="Arial" w:cs="Arial" w:eastAsia="Arial" w:hAnsi="Arial"/>
                <w:sz w:val="16"/>
                <w:szCs w:val="16"/>
                <w:color w:val="auto"/>
              </w:rPr>
              <w:t>Cost of natural gas</w:t>
            </w:r>
          </w:p>
        </w:tc>
        <w:tc>
          <w:tcPr>
            <w:tcW w:w="860" w:type="dxa"/>
            <w:vAlign w:val="bottom"/>
          </w:tcPr>
          <w:p>
            <w:pPr>
              <w:spacing w:after="0"/>
              <w:rPr>
                <w:sz w:val="18"/>
                <w:szCs w:val="18"/>
                <w:color w:val="auto"/>
              </w:rPr>
            </w:pPr>
          </w:p>
        </w:tc>
        <w:tc>
          <w:tcPr>
            <w:tcW w:w="620" w:type="dxa"/>
            <w:vAlign w:val="bottom"/>
          </w:tcPr>
          <w:p>
            <w:pPr>
              <w:jc w:val="right"/>
              <w:ind w:right="61"/>
              <w:spacing w:after="0"/>
              <w:rPr>
                <w:sz w:val="20"/>
                <w:szCs w:val="20"/>
                <w:color w:val="auto"/>
              </w:rPr>
            </w:pPr>
            <w:r>
              <w:rPr>
                <w:rFonts w:ascii="Arial" w:cs="Arial" w:eastAsia="Arial" w:hAnsi="Arial"/>
                <w:sz w:val="16"/>
                <w:szCs w:val="16"/>
                <w:color w:val="auto"/>
              </w:rPr>
              <w:t>(293)</w:t>
            </w:r>
          </w:p>
        </w:tc>
        <w:tc>
          <w:tcPr>
            <w:tcW w:w="7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(261)</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jc w:val="right"/>
              <w:ind w:right="61"/>
              <w:spacing w:after="0"/>
              <w:rPr>
                <w:sz w:val="20"/>
                <w:szCs w:val="20"/>
                <w:color w:val="auto"/>
              </w:rPr>
            </w:pPr>
            <w:r>
              <w:rPr>
                <w:rFonts w:ascii="Arial" w:cs="Arial" w:eastAsia="Arial" w:hAnsi="Arial"/>
                <w:sz w:val="16"/>
                <w:szCs w:val="16"/>
                <w:color w:val="auto"/>
                <w:w w:val="94"/>
              </w:rPr>
              <w:t>(1,308)</w:t>
            </w:r>
          </w:p>
        </w:tc>
        <w:tc>
          <w:tcPr>
            <w:tcW w:w="7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8"/>
              </w:rPr>
              <w:t>(1,182)</w:t>
            </w:r>
          </w:p>
        </w:tc>
      </w:tr>
      <w:tr>
        <w:trPr>
          <w:trHeight w:val="213"/>
        </w:trPr>
        <w:tc>
          <w:tcPr>
            <w:tcW w:w="6040" w:type="dxa"/>
            <w:vAlign w:val="bottom"/>
          </w:tcPr>
          <w:p>
            <w:pPr>
              <w:ind w:left="180"/>
              <w:spacing w:after="0"/>
              <w:rPr>
                <w:sz w:val="20"/>
                <w:szCs w:val="20"/>
                <w:color w:val="auto"/>
              </w:rPr>
            </w:pPr>
            <w:r>
              <w:rPr>
                <w:rFonts w:ascii="Arial" w:cs="Arial" w:eastAsia="Arial" w:hAnsi="Arial"/>
                <w:sz w:val="16"/>
                <w:szCs w:val="16"/>
                <w:color w:val="auto"/>
              </w:rPr>
              <w:t>Cost of electric fuel and purchased power</w:t>
            </w:r>
          </w:p>
        </w:tc>
        <w:tc>
          <w:tcPr>
            <w:tcW w:w="860" w:type="dxa"/>
            <w:vAlign w:val="bottom"/>
          </w:tcPr>
          <w:p>
            <w:pPr>
              <w:spacing w:after="0"/>
              <w:rPr>
                <w:sz w:val="18"/>
                <w:szCs w:val="18"/>
                <w:color w:val="auto"/>
              </w:rPr>
            </w:pPr>
          </w:p>
        </w:tc>
        <w:tc>
          <w:tcPr>
            <w:tcW w:w="620" w:type="dxa"/>
            <w:vAlign w:val="bottom"/>
          </w:tcPr>
          <w:p>
            <w:pPr>
              <w:jc w:val="right"/>
              <w:ind w:right="61"/>
              <w:spacing w:after="0"/>
              <w:rPr>
                <w:sz w:val="20"/>
                <w:szCs w:val="20"/>
                <w:color w:val="auto"/>
              </w:rPr>
            </w:pPr>
            <w:r>
              <w:rPr>
                <w:rFonts w:ascii="Arial" w:cs="Arial" w:eastAsia="Arial" w:hAnsi="Arial"/>
                <w:sz w:val="16"/>
                <w:szCs w:val="16"/>
                <w:color w:val="auto"/>
              </w:rPr>
              <w:t>(680)</w:t>
            </w:r>
          </w:p>
        </w:tc>
        <w:tc>
          <w:tcPr>
            <w:tcW w:w="7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(537)</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jc w:val="right"/>
              <w:ind w:right="61"/>
              <w:spacing w:after="0"/>
              <w:rPr>
                <w:sz w:val="20"/>
                <w:szCs w:val="20"/>
                <w:color w:val="auto"/>
              </w:rPr>
            </w:pPr>
            <w:r>
              <w:rPr>
                <w:rFonts w:ascii="Arial" w:cs="Arial" w:eastAsia="Arial" w:hAnsi="Arial"/>
                <w:sz w:val="16"/>
                <w:szCs w:val="16"/>
                <w:color w:val="auto"/>
                <w:w w:val="94"/>
              </w:rPr>
              <w:t>(1,761)</w:t>
            </w:r>
          </w:p>
        </w:tc>
        <w:tc>
          <w:tcPr>
            <w:tcW w:w="7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8"/>
              </w:rPr>
              <w:t>(1,461)</w:t>
            </w:r>
          </w:p>
        </w:tc>
      </w:tr>
      <w:tr>
        <w:trPr>
          <w:trHeight w:val="213"/>
        </w:trPr>
        <w:tc>
          <w:tcPr>
            <w:tcW w:w="6040" w:type="dxa"/>
            <w:vAlign w:val="bottom"/>
          </w:tcPr>
          <w:p>
            <w:pPr>
              <w:spacing w:after="0"/>
              <w:rPr>
                <w:sz w:val="20"/>
                <w:szCs w:val="20"/>
                <w:color w:val="auto"/>
              </w:rPr>
            </w:pPr>
            <w:r>
              <w:rPr>
                <w:rFonts w:ascii="Arial" w:cs="Arial" w:eastAsia="Arial" w:hAnsi="Arial"/>
                <w:sz w:val="16"/>
                <w:szCs w:val="16"/>
                <w:color w:val="auto"/>
              </w:rPr>
              <w:t>Energy-related businesses:</w:t>
            </w: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3"/>
        </w:trPr>
        <w:tc>
          <w:tcPr>
            <w:tcW w:w="6040" w:type="dxa"/>
            <w:vAlign w:val="bottom"/>
          </w:tcPr>
          <w:p>
            <w:pPr>
              <w:ind w:left="180"/>
              <w:spacing w:after="0"/>
              <w:rPr>
                <w:sz w:val="20"/>
                <w:szCs w:val="20"/>
                <w:color w:val="auto"/>
              </w:rPr>
            </w:pPr>
            <w:r>
              <w:rPr>
                <w:rFonts w:ascii="Arial" w:cs="Arial" w:eastAsia="Arial" w:hAnsi="Arial"/>
                <w:sz w:val="16"/>
                <w:szCs w:val="16"/>
                <w:color w:val="auto"/>
              </w:rPr>
              <w:t>Cost of natural gas, electric fuel and purchased power</w:t>
            </w:r>
          </w:p>
        </w:tc>
        <w:tc>
          <w:tcPr>
            <w:tcW w:w="860" w:type="dxa"/>
            <w:vAlign w:val="bottom"/>
          </w:tcPr>
          <w:p>
            <w:pPr>
              <w:spacing w:after="0"/>
              <w:rPr>
                <w:sz w:val="18"/>
                <w:szCs w:val="18"/>
                <w:color w:val="auto"/>
              </w:rPr>
            </w:pPr>
          </w:p>
        </w:tc>
        <w:tc>
          <w:tcPr>
            <w:tcW w:w="620" w:type="dxa"/>
            <w:vAlign w:val="bottom"/>
          </w:tcPr>
          <w:p>
            <w:pPr>
              <w:jc w:val="right"/>
              <w:ind w:right="61"/>
              <w:spacing w:after="0"/>
              <w:rPr>
                <w:sz w:val="20"/>
                <w:szCs w:val="20"/>
                <w:color w:val="auto"/>
              </w:rPr>
            </w:pPr>
            <w:r>
              <w:rPr>
                <w:rFonts w:ascii="Arial" w:cs="Arial" w:eastAsia="Arial" w:hAnsi="Arial"/>
                <w:sz w:val="16"/>
                <w:szCs w:val="16"/>
                <w:color w:val="auto"/>
              </w:rPr>
              <w:t>(163)</w:t>
            </w:r>
          </w:p>
        </w:tc>
        <w:tc>
          <w:tcPr>
            <w:tcW w:w="7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(120)</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jc w:val="right"/>
              <w:ind w:right="61"/>
              <w:spacing w:after="0"/>
              <w:rPr>
                <w:sz w:val="20"/>
                <w:szCs w:val="20"/>
                <w:color w:val="auto"/>
              </w:rPr>
            </w:pPr>
            <w:r>
              <w:rPr>
                <w:rFonts w:ascii="Arial" w:cs="Arial" w:eastAsia="Arial" w:hAnsi="Arial"/>
                <w:sz w:val="16"/>
                <w:szCs w:val="16"/>
                <w:color w:val="auto"/>
              </w:rPr>
              <w:t>(427)</w:t>
            </w:r>
          </w:p>
        </w:tc>
        <w:tc>
          <w:tcPr>
            <w:tcW w:w="7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(325)</w:t>
            </w:r>
          </w:p>
        </w:tc>
      </w:tr>
      <w:tr>
        <w:trPr>
          <w:trHeight w:val="213"/>
        </w:trPr>
        <w:tc>
          <w:tcPr>
            <w:tcW w:w="6040" w:type="dxa"/>
            <w:vAlign w:val="bottom"/>
          </w:tcPr>
          <w:p>
            <w:pPr>
              <w:ind w:left="180"/>
              <w:spacing w:after="0"/>
              <w:rPr>
                <w:sz w:val="20"/>
                <w:szCs w:val="20"/>
                <w:color w:val="auto"/>
              </w:rPr>
            </w:pPr>
            <w:r>
              <w:rPr>
                <w:rFonts w:ascii="Arial" w:cs="Arial" w:eastAsia="Arial" w:hAnsi="Arial"/>
                <w:sz w:val="16"/>
                <w:szCs w:val="16"/>
                <w:color w:val="auto"/>
              </w:rPr>
              <w:t>Other cost of sales</w:t>
            </w:r>
          </w:p>
        </w:tc>
        <w:tc>
          <w:tcPr>
            <w:tcW w:w="860" w:type="dxa"/>
            <w:vAlign w:val="bottom"/>
          </w:tcPr>
          <w:p>
            <w:pPr>
              <w:spacing w:after="0"/>
              <w:rPr>
                <w:sz w:val="18"/>
                <w:szCs w:val="18"/>
                <w:color w:val="auto"/>
              </w:rPr>
            </w:pPr>
          </w:p>
        </w:tc>
        <w:tc>
          <w:tcPr>
            <w:tcW w:w="620" w:type="dxa"/>
            <w:vAlign w:val="bottom"/>
          </w:tcPr>
          <w:p>
            <w:pPr>
              <w:jc w:val="right"/>
              <w:ind w:right="61"/>
              <w:spacing w:after="0"/>
              <w:rPr>
                <w:sz w:val="20"/>
                <w:szCs w:val="20"/>
                <w:color w:val="auto"/>
              </w:rPr>
            </w:pPr>
            <w:r>
              <w:rPr>
                <w:rFonts w:ascii="Arial" w:cs="Arial" w:eastAsia="Arial" w:hAnsi="Arial"/>
                <w:sz w:val="16"/>
                <w:szCs w:val="16"/>
                <w:color w:val="auto"/>
              </w:rPr>
              <w:t>(42)</w:t>
            </w:r>
          </w:p>
        </w:tc>
        <w:tc>
          <w:tcPr>
            <w:tcW w:w="7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(47)</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jc w:val="right"/>
              <w:ind w:right="61"/>
              <w:spacing w:after="0"/>
              <w:rPr>
                <w:sz w:val="20"/>
                <w:szCs w:val="20"/>
                <w:color w:val="auto"/>
              </w:rPr>
            </w:pPr>
            <w:r>
              <w:rPr>
                <w:rFonts w:ascii="Arial" w:cs="Arial" w:eastAsia="Arial" w:hAnsi="Arial"/>
                <w:sz w:val="16"/>
                <w:szCs w:val="16"/>
                <w:color w:val="auto"/>
              </w:rPr>
              <w:t>(122)</w:t>
            </w:r>
          </w:p>
        </w:tc>
        <w:tc>
          <w:tcPr>
            <w:tcW w:w="7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(144)</w:t>
            </w:r>
          </w:p>
        </w:tc>
      </w:tr>
      <w:tr>
        <w:trPr>
          <w:trHeight w:val="213"/>
        </w:trPr>
        <w:tc>
          <w:tcPr>
            <w:tcW w:w="6040" w:type="dxa"/>
            <w:vAlign w:val="bottom"/>
          </w:tcPr>
          <w:p>
            <w:pPr>
              <w:spacing w:after="0"/>
              <w:rPr>
                <w:sz w:val="20"/>
                <w:szCs w:val="20"/>
                <w:color w:val="auto"/>
              </w:rPr>
            </w:pPr>
            <w:r>
              <w:rPr>
                <w:rFonts w:ascii="Arial" w:cs="Arial" w:eastAsia="Arial" w:hAnsi="Arial"/>
                <w:sz w:val="16"/>
                <w:szCs w:val="16"/>
                <w:color w:val="auto"/>
              </w:rPr>
              <w:t>Operation and maintenance</w:t>
            </w:r>
          </w:p>
        </w:tc>
        <w:tc>
          <w:tcPr>
            <w:tcW w:w="860" w:type="dxa"/>
            <w:vAlign w:val="bottom"/>
          </w:tcPr>
          <w:p>
            <w:pPr>
              <w:spacing w:after="0"/>
              <w:rPr>
                <w:sz w:val="18"/>
                <w:szCs w:val="18"/>
                <w:color w:val="auto"/>
              </w:rPr>
            </w:pPr>
          </w:p>
        </w:tc>
        <w:tc>
          <w:tcPr>
            <w:tcW w:w="620" w:type="dxa"/>
            <w:vAlign w:val="bottom"/>
          </w:tcPr>
          <w:p>
            <w:pPr>
              <w:jc w:val="right"/>
              <w:ind w:right="61"/>
              <w:spacing w:after="0"/>
              <w:rPr>
                <w:sz w:val="20"/>
                <w:szCs w:val="20"/>
                <w:color w:val="auto"/>
              </w:rPr>
            </w:pPr>
            <w:r>
              <w:rPr>
                <w:rFonts w:ascii="Arial" w:cs="Arial" w:eastAsia="Arial" w:hAnsi="Arial"/>
                <w:sz w:val="16"/>
                <w:szCs w:val="16"/>
                <w:color w:val="auto"/>
              </w:rPr>
              <w:t>(726)</w:t>
            </w:r>
          </w:p>
        </w:tc>
        <w:tc>
          <w:tcPr>
            <w:tcW w:w="7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(698)</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jc w:val="right"/>
              <w:ind w:right="61"/>
              <w:spacing w:after="0"/>
              <w:rPr>
                <w:sz w:val="20"/>
                <w:szCs w:val="20"/>
                <w:color w:val="auto"/>
              </w:rPr>
            </w:pPr>
            <w:r>
              <w:rPr>
                <w:rFonts w:ascii="Arial" w:cs="Arial" w:eastAsia="Arial" w:hAnsi="Arial"/>
                <w:sz w:val="16"/>
                <w:szCs w:val="16"/>
                <w:color w:val="auto"/>
                <w:w w:val="94"/>
              </w:rPr>
              <w:t>(2,131)</w:t>
            </w:r>
          </w:p>
        </w:tc>
        <w:tc>
          <w:tcPr>
            <w:tcW w:w="7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8"/>
              </w:rPr>
              <w:t>(2,162)</w:t>
            </w:r>
          </w:p>
        </w:tc>
      </w:tr>
      <w:tr>
        <w:trPr>
          <w:trHeight w:val="213"/>
        </w:trPr>
        <w:tc>
          <w:tcPr>
            <w:tcW w:w="604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860" w:type="dxa"/>
            <w:vAlign w:val="bottom"/>
          </w:tcPr>
          <w:p>
            <w:pPr>
              <w:spacing w:after="0"/>
              <w:rPr>
                <w:sz w:val="18"/>
                <w:szCs w:val="18"/>
                <w:color w:val="auto"/>
              </w:rPr>
            </w:pPr>
          </w:p>
        </w:tc>
        <w:tc>
          <w:tcPr>
            <w:tcW w:w="620" w:type="dxa"/>
            <w:vAlign w:val="bottom"/>
          </w:tcPr>
          <w:p>
            <w:pPr>
              <w:jc w:val="right"/>
              <w:ind w:right="61"/>
              <w:spacing w:after="0"/>
              <w:rPr>
                <w:sz w:val="20"/>
                <w:szCs w:val="20"/>
                <w:color w:val="auto"/>
              </w:rPr>
            </w:pPr>
            <w:r>
              <w:rPr>
                <w:rFonts w:ascii="Arial" w:cs="Arial" w:eastAsia="Arial" w:hAnsi="Arial"/>
                <w:sz w:val="16"/>
                <w:szCs w:val="16"/>
                <w:color w:val="auto"/>
              </w:rPr>
              <w:t>(292)</w:t>
            </w:r>
          </w:p>
        </w:tc>
        <w:tc>
          <w:tcPr>
            <w:tcW w:w="7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(286)</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jc w:val="right"/>
              <w:ind w:right="61"/>
              <w:spacing w:after="0"/>
              <w:rPr>
                <w:sz w:val="20"/>
                <w:szCs w:val="20"/>
                <w:color w:val="auto"/>
              </w:rPr>
            </w:pPr>
            <w:r>
              <w:rPr>
                <w:rFonts w:ascii="Arial" w:cs="Arial" w:eastAsia="Arial" w:hAnsi="Arial"/>
                <w:sz w:val="16"/>
                <w:szCs w:val="16"/>
                <w:color w:val="auto"/>
              </w:rPr>
              <w:t>(866)</w:t>
            </w:r>
          </w:p>
        </w:tc>
        <w:tc>
          <w:tcPr>
            <w:tcW w:w="7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(828)</w:t>
            </w:r>
          </w:p>
        </w:tc>
      </w:tr>
      <w:tr>
        <w:trPr>
          <w:trHeight w:val="213"/>
        </w:trPr>
        <w:tc>
          <w:tcPr>
            <w:tcW w:w="6040" w:type="dxa"/>
            <w:vAlign w:val="bottom"/>
          </w:tcPr>
          <w:p>
            <w:pPr>
              <w:spacing w:after="0"/>
              <w:rPr>
                <w:sz w:val="20"/>
                <w:szCs w:val="20"/>
                <w:color w:val="auto"/>
              </w:rPr>
            </w:pPr>
            <w:r>
              <w:rPr>
                <w:rFonts w:ascii="Arial" w:cs="Arial" w:eastAsia="Arial" w:hAnsi="Arial"/>
                <w:sz w:val="16"/>
                <w:szCs w:val="16"/>
                <w:color w:val="auto"/>
              </w:rPr>
              <w:t>Franchise fees and other taxes</w:t>
            </w:r>
          </w:p>
        </w:tc>
        <w:tc>
          <w:tcPr>
            <w:tcW w:w="860" w:type="dxa"/>
            <w:vAlign w:val="bottom"/>
          </w:tcPr>
          <w:p>
            <w:pPr>
              <w:spacing w:after="0"/>
              <w:rPr>
                <w:sz w:val="18"/>
                <w:szCs w:val="18"/>
                <w:color w:val="auto"/>
              </w:rPr>
            </w:pPr>
          </w:p>
        </w:tc>
        <w:tc>
          <w:tcPr>
            <w:tcW w:w="620" w:type="dxa"/>
            <w:vAlign w:val="bottom"/>
          </w:tcPr>
          <w:p>
            <w:pPr>
              <w:jc w:val="right"/>
              <w:ind w:right="61"/>
              <w:spacing w:after="0"/>
              <w:rPr>
                <w:sz w:val="20"/>
                <w:szCs w:val="20"/>
                <w:color w:val="auto"/>
              </w:rPr>
            </w:pPr>
            <w:r>
              <w:rPr>
                <w:rFonts w:ascii="Arial" w:cs="Arial" w:eastAsia="Arial" w:hAnsi="Arial"/>
                <w:sz w:val="16"/>
                <w:szCs w:val="16"/>
                <w:color w:val="auto"/>
              </w:rPr>
              <w:t>(104)</w:t>
            </w:r>
          </w:p>
        </w:tc>
        <w:tc>
          <w:tcPr>
            <w:tcW w:w="7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(96)</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jc w:val="right"/>
              <w:ind w:right="61"/>
              <w:spacing w:after="0"/>
              <w:rPr>
                <w:sz w:val="20"/>
                <w:szCs w:val="20"/>
                <w:color w:val="auto"/>
              </w:rPr>
            </w:pPr>
            <w:r>
              <w:rPr>
                <w:rFonts w:ascii="Arial" w:cs="Arial" w:eastAsia="Arial" w:hAnsi="Arial"/>
                <w:sz w:val="16"/>
                <w:szCs w:val="16"/>
                <w:color w:val="auto"/>
              </w:rPr>
              <w:t>(301)</w:t>
            </w:r>
          </w:p>
        </w:tc>
        <w:tc>
          <w:tcPr>
            <w:tcW w:w="7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(283)</w:t>
            </w:r>
          </w:p>
        </w:tc>
      </w:tr>
      <w:tr>
        <w:trPr>
          <w:trHeight w:val="213"/>
        </w:trPr>
        <w:tc>
          <w:tcPr>
            <w:tcW w:w="6040" w:type="dxa"/>
            <w:vAlign w:val="bottom"/>
          </w:tcPr>
          <w:p>
            <w:pPr>
              <w:spacing w:after="0"/>
              <w:rPr>
                <w:sz w:val="20"/>
                <w:szCs w:val="20"/>
                <w:color w:val="auto"/>
              </w:rPr>
            </w:pPr>
            <w:r>
              <w:rPr>
                <w:rFonts w:ascii="Arial" w:cs="Arial" w:eastAsia="Arial" w:hAnsi="Arial"/>
                <w:sz w:val="16"/>
                <w:szCs w:val="16"/>
                <w:color w:val="auto"/>
              </w:rPr>
              <w:t>Plant closure adjustment (loss)</w:t>
            </w:r>
          </w:p>
        </w:tc>
        <w:tc>
          <w:tcPr>
            <w:tcW w:w="860" w:type="dxa"/>
            <w:vAlign w:val="bottom"/>
          </w:tcPr>
          <w:p>
            <w:pPr>
              <w:spacing w:after="0"/>
              <w:rPr>
                <w:sz w:val="18"/>
                <w:szCs w:val="18"/>
                <w:color w:val="auto"/>
              </w:rPr>
            </w:pPr>
          </w:p>
        </w:tc>
        <w:tc>
          <w:tcPr>
            <w:tcW w:w="62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jc w:val="right"/>
              <w:ind w:right="61"/>
              <w:spacing w:after="0"/>
              <w:rPr>
                <w:sz w:val="20"/>
                <w:szCs w:val="20"/>
                <w:color w:val="auto"/>
              </w:rPr>
            </w:pPr>
            <w:r>
              <w:rPr>
                <w:rFonts w:ascii="Arial" w:cs="Arial" w:eastAsia="Arial" w:hAnsi="Arial"/>
                <w:sz w:val="16"/>
                <w:szCs w:val="16"/>
                <w:color w:val="auto"/>
              </w:rPr>
              <w:t>13</w:t>
            </w:r>
          </w:p>
        </w:tc>
        <w:tc>
          <w:tcPr>
            <w:tcW w:w="7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(200)</w:t>
            </w:r>
          </w:p>
        </w:tc>
      </w:tr>
      <w:tr>
        <w:trPr>
          <w:trHeight w:val="213"/>
        </w:trPr>
        <w:tc>
          <w:tcPr>
            <w:tcW w:w="6040" w:type="dxa"/>
            <w:vAlign w:val="bottom"/>
          </w:tcPr>
          <w:p>
            <w:pPr>
              <w:spacing w:after="0"/>
              <w:rPr>
                <w:sz w:val="20"/>
                <w:szCs w:val="20"/>
                <w:color w:val="auto"/>
              </w:rPr>
            </w:pPr>
            <w:r>
              <w:rPr>
                <w:rFonts w:ascii="Arial" w:cs="Arial" w:eastAsia="Arial" w:hAnsi="Arial"/>
                <w:sz w:val="16"/>
                <w:szCs w:val="16"/>
                <w:color w:val="auto"/>
              </w:rPr>
              <w:t>Gain on sale of equity interests and assets</w:t>
            </w:r>
          </w:p>
        </w:tc>
        <w:tc>
          <w:tcPr>
            <w:tcW w:w="860" w:type="dxa"/>
            <w:vAlign w:val="bottom"/>
          </w:tcPr>
          <w:p>
            <w:pPr>
              <w:spacing w:after="0"/>
              <w:rPr>
                <w:sz w:val="18"/>
                <w:szCs w:val="18"/>
                <w:color w:val="auto"/>
              </w:rPr>
            </w:pPr>
          </w:p>
        </w:tc>
        <w:tc>
          <w:tcPr>
            <w:tcW w:w="620" w:type="dxa"/>
            <w:vAlign w:val="bottom"/>
          </w:tcPr>
          <w:p>
            <w:pPr>
              <w:jc w:val="right"/>
              <w:ind w:right="61"/>
              <w:spacing w:after="0"/>
              <w:rPr>
                <w:sz w:val="20"/>
                <w:szCs w:val="20"/>
                <w:color w:val="auto"/>
              </w:rPr>
            </w:pPr>
            <w:r>
              <w:rPr>
                <w:rFonts w:ascii="Arial" w:cs="Arial" w:eastAsia="Arial" w:hAnsi="Arial"/>
                <w:sz w:val="16"/>
                <w:szCs w:val="16"/>
                <w:color w:val="auto"/>
              </w:rPr>
              <w:t>19</w:t>
            </w:r>
          </w:p>
        </w:tc>
        <w:tc>
          <w:tcPr>
            <w:tcW w:w="7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39</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jc w:val="right"/>
              <w:ind w:right="61"/>
              <w:spacing w:after="0"/>
              <w:rPr>
                <w:sz w:val="20"/>
                <w:szCs w:val="20"/>
                <w:color w:val="auto"/>
              </w:rPr>
            </w:pPr>
            <w:r>
              <w:rPr>
                <w:rFonts w:ascii="Arial" w:cs="Arial" w:eastAsia="Arial" w:hAnsi="Arial"/>
                <w:sz w:val="16"/>
                <w:szCs w:val="16"/>
                <w:color w:val="auto"/>
              </w:rPr>
              <w:t>48</w:t>
            </w:r>
          </w:p>
        </w:tc>
        <w:tc>
          <w:tcPr>
            <w:tcW w:w="7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113</w:t>
            </w:r>
          </w:p>
        </w:tc>
      </w:tr>
      <w:tr>
        <w:trPr>
          <w:trHeight w:val="213"/>
        </w:trPr>
        <w:tc>
          <w:tcPr>
            <w:tcW w:w="6040" w:type="dxa"/>
            <w:vAlign w:val="bottom"/>
          </w:tcPr>
          <w:p>
            <w:pPr>
              <w:spacing w:after="0"/>
              <w:rPr>
                <w:sz w:val="20"/>
                <w:szCs w:val="20"/>
                <w:color w:val="auto"/>
              </w:rPr>
            </w:pPr>
            <w:r>
              <w:rPr>
                <w:rFonts w:ascii="Arial" w:cs="Arial" w:eastAsia="Arial" w:hAnsi="Arial"/>
                <w:sz w:val="16"/>
                <w:szCs w:val="16"/>
                <w:color w:val="auto"/>
              </w:rPr>
              <w:t>Equity earnings, before income tax</w:t>
            </w:r>
          </w:p>
        </w:tc>
        <w:tc>
          <w:tcPr>
            <w:tcW w:w="860" w:type="dxa"/>
            <w:vAlign w:val="bottom"/>
          </w:tcPr>
          <w:p>
            <w:pPr>
              <w:spacing w:after="0"/>
              <w:rPr>
                <w:sz w:val="18"/>
                <w:szCs w:val="18"/>
                <w:color w:val="auto"/>
              </w:rPr>
            </w:pPr>
          </w:p>
        </w:tc>
        <w:tc>
          <w:tcPr>
            <w:tcW w:w="620" w:type="dxa"/>
            <w:vAlign w:val="bottom"/>
          </w:tcPr>
          <w:p>
            <w:pPr>
              <w:jc w:val="right"/>
              <w:ind w:right="61"/>
              <w:spacing w:after="0"/>
              <w:rPr>
                <w:sz w:val="20"/>
                <w:szCs w:val="20"/>
                <w:color w:val="auto"/>
              </w:rPr>
            </w:pPr>
            <w:r>
              <w:rPr>
                <w:rFonts w:ascii="Arial" w:cs="Arial" w:eastAsia="Arial" w:hAnsi="Arial"/>
                <w:sz w:val="16"/>
                <w:szCs w:val="16"/>
                <w:color w:val="auto"/>
              </w:rPr>
              <w:t>22</w:t>
            </w:r>
          </w:p>
        </w:tc>
        <w:tc>
          <w:tcPr>
            <w:tcW w:w="7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jc w:val="right"/>
              <w:ind w:right="61"/>
              <w:spacing w:after="0"/>
              <w:rPr>
                <w:sz w:val="20"/>
                <w:szCs w:val="20"/>
                <w:color w:val="auto"/>
              </w:rPr>
            </w:pPr>
            <w:r>
              <w:rPr>
                <w:rFonts w:ascii="Arial" w:cs="Arial" w:eastAsia="Arial" w:hAnsi="Arial"/>
                <w:sz w:val="16"/>
                <w:szCs w:val="16"/>
                <w:color w:val="auto"/>
              </w:rPr>
              <w:t>62</w:t>
            </w:r>
          </w:p>
        </w:tc>
        <w:tc>
          <w:tcPr>
            <w:tcW w:w="7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13"/>
        </w:trPr>
        <w:tc>
          <w:tcPr>
            <w:tcW w:w="6040" w:type="dxa"/>
            <w:vAlign w:val="bottom"/>
          </w:tcPr>
          <w:p>
            <w:pPr>
              <w:spacing w:after="0"/>
              <w:rPr>
                <w:sz w:val="20"/>
                <w:szCs w:val="20"/>
                <w:color w:val="auto"/>
              </w:rPr>
            </w:pPr>
            <w:r>
              <w:rPr>
                <w:rFonts w:ascii="Arial" w:cs="Arial" w:eastAsia="Arial" w:hAnsi="Arial"/>
                <w:sz w:val="16"/>
                <w:szCs w:val="16"/>
                <w:color w:val="auto"/>
              </w:rPr>
              <w:t>Other income, net</w:t>
            </w:r>
          </w:p>
        </w:tc>
        <w:tc>
          <w:tcPr>
            <w:tcW w:w="860" w:type="dxa"/>
            <w:vAlign w:val="bottom"/>
          </w:tcPr>
          <w:p>
            <w:pPr>
              <w:spacing w:after="0"/>
              <w:rPr>
                <w:sz w:val="18"/>
                <w:szCs w:val="18"/>
                <w:color w:val="auto"/>
              </w:rPr>
            </w:pPr>
          </w:p>
        </w:tc>
        <w:tc>
          <w:tcPr>
            <w:tcW w:w="620" w:type="dxa"/>
            <w:vAlign w:val="bottom"/>
          </w:tcPr>
          <w:p>
            <w:pPr>
              <w:jc w:val="right"/>
              <w:ind w:right="61"/>
              <w:spacing w:after="0"/>
              <w:rPr>
                <w:sz w:val="20"/>
                <w:szCs w:val="20"/>
                <w:color w:val="auto"/>
              </w:rPr>
            </w:pPr>
            <w:r>
              <w:rPr>
                <w:rFonts w:ascii="Arial" w:cs="Arial" w:eastAsia="Arial" w:hAnsi="Arial"/>
                <w:sz w:val="16"/>
                <w:szCs w:val="16"/>
                <w:color w:val="auto"/>
              </w:rPr>
              <w:t>29</w:t>
            </w:r>
          </w:p>
        </w:tc>
        <w:tc>
          <w:tcPr>
            <w:tcW w:w="7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16</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jc w:val="right"/>
              <w:ind w:right="61"/>
              <w:spacing w:after="0"/>
              <w:rPr>
                <w:sz w:val="20"/>
                <w:szCs w:val="20"/>
                <w:color w:val="auto"/>
              </w:rPr>
            </w:pPr>
            <w:r>
              <w:rPr>
                <w:rFonts w:ascii="Arial" w:cs="Arial" w:eastAsia="Arial" w:hAnsi="Arial"/>
                <w:sz w:val="16"/>
                <w:szCs w:val="16"/>
                <w:color w:val="auto"/>
              </w:rPr>
              <w:t>118</w:t>
            </w:r>
          </w:p>
        </w:tc>
        <w:tc>
          <w:tcPr>
            <w:tcW w:w="7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79</w:t>
            </w:r>
          </w:p>
        </w:tc>
      </w:tr>
      <w:tr>
        <w:trPr>
          <w:trHeight w:val="213"/>
        </w:trPr>
        <w:tc>
          <w:tcPr>
            <w:tcW w:w="6040" w:type="dxa"/>
            <w:vAlign w:val="bottom"/>
          </w:tcPr>
          <w:p>
            <w:pPr>
              <w:spacing w:after="0"/>
              <w:rPr>
                <w:sz w:val="20"/>
                <w:szCs w:val="20"/>
                <w:color w:val="auto"/>
              </w:rPr>
            </w:pPr>
            <w:r>
              <w:rPr>
                <w:rFonts w:ascii="Arial" w:cs="Arial" w:eastAsia="Arial" w:hAnsi="Arial"/>
                <w:sz w:val="16"/>
                <w:szCs w:val="16"/>
                <w:color w:val="auto"/>
              </w:rPr>
              <w:t>Interest income</w:t>
            </w:r>
          </w:p>
        </w:tc>
        <w:tc>
          <w:tcPr>
            <w:tcW w:w="860" w:type="dxa"/>
            <w:vAlign w:val="bottom"/>
          </w:tcPr>
          <w:p>
            <w:pPr>
              <w:spacing w:after="0"/>
              <w:rPr>
                <w:sz w:val="18"/>
                <w:szCs w:val="18"/>
                <w:color w:val="auto"/>
              </w:rPr>
            </w:pPr>
          </w:p>
        </w:tc>
        <w:tc>
          <w:tcPr>
            <w:tcW w:w="620" w:type="dxa"/>
            <w:vAlign w:val="bottom"/>
          </w:tcPr>
          <w:p>
            <w:pPr>
              <w:jc w:val="right"/>
              <w:ind w:right="61"/>
              <w:spacing w:after="0"/>
              <w:rPr>
                <w:sz w:val="20"/>
                <w:szCs w:val="20"/>
                <w:color w:val="auto"/>
              </w:rPr>
            </w:pPr>
            <w:r>
              <w:rPr>
                <w:rFonts w:ascii="Arial" w:cs="Arial" w:eastAsia="Arial" w:hAnsi="Arial"/>
                <w:sz w:val="16"/>
                <w:szCs w:val="16"/>
                <w:color w:val="auto"/>
              </w:rPr>
              <w:t>6</w:t>
            </w:r>
          </w:p>
        </w:tc>
        <w:tc>
          <w:tcPr>
            <w:tcW w:w="7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jc w:val="right"/>
              <w:ind w:right="61"/>
              <w:spacing w:after="0"/>
              <w:rPr>
                <w:sz w:val="20"/>
                <w:szCs w:val="20"/>
                <w:color w:val="auto"/>
              </w:rPr>
            </w:pPr>
            <w:r>
              <w:rPr>
                <w:rFonts w:ascii="Arial" w:cs="Arial" w:eastAsia="Arial" w:hAnsi="Arial"/>
                <w:sz w:val="16"/>
                <w:szCs w:val="16"/>
                <w:color w:val="auto"/>
              </w:rPr>
              <w:t>15</w:t>
            </w:r>
          </w:p>
        </w:tc>
        <w:tc>
          <w:tcPr>
            <w:tcW w:w="7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04"/>
        </w:trPr>
        <w:tc>
          <w:tcPr>
            <w:tcW w:w="6040" w:type="dxa"/>
            <w:vAlign w:val="bottom"/>
          </w:tcPr>
          <w:p>
            <w:pPr>
              <w:spacing w:after="0"/>
              <w:rPr>
                <w:sz w:val="20"/>
                <w:szCs w:val="20"/>
                <w:color w:val="auto"/>
              </w:rPr>
            </w:pPr>
            <w:r>
              <w:rPr>
                <w:rFonts w:ascii="Arial" w:cs="Arial" w:eastAsia="Arial" w:hAnsi="Arial"/>
                <w:sz w:val="16"/>
                <w:szCs w:val="16"/>
                <w:color w:val="auto"/>
              </w:rPr>
              <w:t>Interest expense</w:t>
            </w:r>
          </w:p>
        </w:tc>
        <w:tc>
          <w:tcPr>
            <w:tcW w:w="8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(144)</w:t>
            </w:r>
          </w:p>
        </w:tc>
        <w:tc>
          <w:tcPr>
            <w:tcW w:w="7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(137)</w:t>
            </w:r>
          </w:p>
        </w:tc>
        <w:tc>
          <w:tcPr>
            <w:tcW w:w="2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(418)</w:t>
            </w:r>
          </w:p>
        </w:tc>
        <w:tc>
          <w:tcPr>
            <w:tcW w:w="7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w:t>
            </w:r>
          </w:p>
        </w:tc>
      </w:tr>
    </w:tbl>
    <w:p>
      <w:pPr>
        <w:sectPr>
          <w:pgSz w:w="11900" w:h="16858" w:orient="portrait"/>
          <w:cols w:equalWidth="0" w:num="1">
            <w:col w:w="11420"/>
          </w:cols>
          <w:pgMar w:left="240" w:top="127"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040" w:type="dxa"/>
            <w:vAlign w:val="bottom"/>
          </w:tcPr>
          <w:p>
            <w:pPr>
              <w:spacing w:after="0"/>
              <w:rPr>
                <w:sz w:val="20"/>
                <w:szCs w:val="20"/>
                <w:color w:val="auto"/>
              </w:rPr>
            </w:pPr>
            <w:r>
              <w:rPr>
                <w:rFonts w:ascii="Arial" w:cs="Arial" w:eastAsia="Arial" w:hAnsi="Arial"/>
                <w:sz w:val="16"/>
                <w:szCs w:val="16"/>
                <w:color w:val="auto"/>
              </w:rPr>
              <w:t>Income before income taxes and equity earnings</w:t>
            </w:r>
          </w:p>
        </w:tc>
        <w:tc>
          <w:tcPr>
            <w:tcW w:w="5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2"/>
        </w:trPr>
        <w:tc>
          <w:tcPr>
            <w:tcW w:w="6040" w:type="dxa"/>
            <w:vAlign w:val="bottom"/>
          </w:tcPr>
          <w:p>
            <w:pPr>
              <w:ind w:left="180"/>
              <w:spacing w:after="0"/>
              <w:rPr>
                <w:sz w:val="20"/>
                <w:szCs w:val="20"/>
                <w:color w:val="auto"/>
              </w:rPr>
            </w:pPr>
            <w:r>
              <w:rPr>
                <w:rFonts w:ascii="Arial" w:cs="Arial" w:eastAsia="Arial" w:hAnsi="Arial"/>
                <w:sz w:val="16"/>
                <w:szCs w:val="16"/>
                <w:color w:val="auto"/>
              </w:rPr>
              <w:t>of certain unconsolidated subsidiaries</w:t>
            </w:r>
          </w:p>
        </w:tc>
        <w:tc>
          <w:tcPr>
            <w:tcW w:w="560" w:type="dxa"/>
            <w:vAlign w:val="bottom"/>
          </w:tcPr>
          <w:p>
            <w:pPr>
              <w:spacing w:after="0"/>
              <w:rPr>
                <w:sz w:val="21"/>
                <w:szCs w:val="21"/>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447</w:t>
            </w:r>
          </w:p>
        </w:tc>
        <w:tc>
          <w:tcPr>
            <w:tcW w:w="420" w:type="dxa"/>
            <w:vAlign w:val="bottom"/>
          </w:tcPr>
          <w:p>
            <w:pPr>
              <w:spacing w:after="0"/>
              <w:rPr>
                <w:sz w:val="21"/>
                <w:szCs w:val="21"/>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432</w:t>
            </w:r>
          </w:p>
        </w:tc>
        <w:tc>
          <w:tcPr>
            <w:tcW w:w="420" w:type="dxa"/>
            <w:vAlign w:val="bottom"/>
          </w:tcPr>
          <w:p>
            <w:pPr>
              <w:spacing w:after="0"/>
              <w:rPr>
                <w:sz w:val="21"/>
                <w:szCs w:val="21"/>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1,210</w:t>
            </w:r>
          </w:p>
        </w:tc>
        <w:tc>
          <w:tcPr>
            <w:tcW w:w="4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1,082</w:t>
            </w:r>
          </w:p>
        </w:tc>
        <w:tc>
          <w:tcPr>
            <w:tcW w:w="20" w:type="dxa"/>
            <w:vAlign w:val="bottom"/>
          </w:tcPr>
          <w:p>
            <w:pPr>
              <w:spacing w:after="0"/>
              <w:rPr>
                <w:sz w:val="21"/>
                <w:szCs w:val="21"/>
                <w:color w:val="auto"/>
              </w:rPr>
            </w:pPr>
          </w:p>
        </w:tc>
      </w:tr>
      <w:tr>
        <w:trPr>
          <w:trHeight w:val="213"/>
        </w:trPr>
        <w:tc>
          <w:tcPr>
            <w:tcW w:w="6040" w:type="dxa"/>
            <w:vAlign w:val="bottom"/>
          </w:tcPr>
          <w:p>
            <w:pPr>
              <w:spacing w:after="0"/>
              <w:rPr>
                <w:sz w:val="20"/>
                <w:szCs w:val="20"/>
                <w:color w:val="auto"/>
              </w:rPr>
            </w:pPr>
            <w:r>
              <w:rPr>
                <w:rFonts w:ascii="Arial" w:cs="Arial" w:eastAsia="Arial" w:hAnsi="Arial"/>
                <w:sz w:val="16"/>
                <w:szCs w:val="16"/>
                <w:color w:val="auto"/>
              </w:rPr>
              <w:t>Income tax expense</w:t>
            </w:r>
          </w:p>
        </w:tc>
        <w:tc>
          <w:tcPr>
            <w:tcW w:w="560" w:type="dxa"/>
            <w:vAlign w:val="bottom"/>
          </w:tcPr>
          <w:p>
            <w:pPr>
              <w:spacing w:after="0"/>
              <w:rPr>
                <w:sz w:val="18"/>
                <w:szCs w:val="18"/>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(71)</w:t>
            </w:r>
          </w:p>
        </w:tc>
        <w:tc>
          <w:tcPr>
            <w:tcW w:w="420" w:type="dxa"/>
            <w:vAlign w:val="bottom"/>
          </w:tcPr>
          <w:p>
            <w:pPr>
              <w:spacing w:after="0"/>
              <w:rPr>
                <w:sz w:val="18"/>
                <w:szCs w:val="18"/>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(117)</w:t>
            </w:r>
          </w:p>
        </w:tc>
        <w:tc>
          <w:tcPr>
            <w:tcW w:w="420" w:type="dxa"/>
            <w:vAlign w:val="bottom"/>
          </w:tcPr>
          <w:p>
            <w:pPr>
              <w:spacing w:after="0"/>
              <w:rPr>
                <w:sz w:val="18"/>
                <w:szCs w:val="18"/>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(291)</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(327)</w:t>
            </w:r>
          </w:p>
        </w:tc>
        <w:tc>
          <w:tcPr>
            <w:tcW w:w="20" w:type="dxa"/>
            <w:vAlign w:val="bottom"/>
          </w:tcPr>
          <w:p>
            <w:pPr>
              <w:spacing w:after="0"/>
              <w:rPr>
                <w:sz w:val="18"/>
                <w:szCs w:val="18"/>
                <w:color w:val="auto"/>
              </w:rPr>
            </w:pPr>
          </w:p>
        </w:tc>
      </w:tr>
      <w:tr>
        <w:trPr>
          <w:trHeight w:val="204"/>
        </w:trPr>
        <w:tc>
          <w:tcPr>
            <w:tcW w:w="6040" w:type="dxa"/>
            <w:vAlign w:val="bottom"/>
          </w:tcPr>
          <w:p>
            <w:pPr>
              <w:spacing w:after="0"/>
              <w:rPr>
                <w:sz w:val="20"/>
                <w:szCs w:val="20"/>
                <w:color w:val="auto"/>
              </w:rPr>
            </w:pPr>
            <w:r>
              <w:rPr>
                <w:rFonts w:ascii="Arial" w:cs="Arial" w:eastAsia="Arial" w:hAnsi="Arial"/>
                <w:sz w:val="16"/>
                <w:szCs w:val="16"/>
                <w:color w:val="auto"/>
              </w:rPr>
              <w:t>Equity earnings, net of income tax</w:t>
            </w:r>
          </w:p>
        </w:tc>
        <w:tc>
          <w:tcPr>
            <w:tcW w:w="5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7</w:t>
            </w:r>
          </w:p>
        </w:tc>
        <w:tc>
          <w:tcPr>
            <w:tcW w:w="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8</w:t>
            </w:r>
          </w:p>
        </w:tc>
        <w:tc>
          <w:tcPr>
            <w:tcW w:w="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22</w:t>
            </w: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13</w:t>
            </w:r>
          </w:p>
        </w:tc>
      </w:tr>
      <w:tr>
        <w:trPr>
          <w:trHeight w:val="214"/>
        </w:trPr>
        <w:tc>
          <w:tcPr>
            <w:tcW w:w="6040" w:type="dxa"/>
            <w:vAlign w:val="bottom"/>
          </w:tcPr>
          <w:p>
            <w:pPr>
              <w:spacing w:after="0"/>
              <w:rPr>
                <w:sz w:val="20"/>
                <w:szCs w:val="20"/>
                <w:color w:val="auto"/>
              </w:rPr>
            </w:pPr>
            <w:r>
              <w:rPr>
                <w:rFonts w:ascii="Arial" w:cs="Arial" w:eastAsia="Arial" w:hAnsi="Arial"/>
                <w:sz w:val="16"/>
                <w:szCs w:val="16"/>
                <w:color w:val="auto"/>
              </w:rPr>
              <w:t>Net income</w:t>
            </w:r>
          </w:p>
        </w:tc>
        <w:tc>
          <w:tcPr>
            <w:tcW w:w="560" w:type="dxa"/>
            <w:vAlign w:val="bottom"/>
          </w:tcPr>
          <w:p>
            <w:pPr>
              <w:spacing w:after="0"/>
              <w:rPr>
                <w:sz w:val="18"/>
                <w:szCs w:val="18"/>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383</w:t>
            </w:r>
          </w:p>
        </w:tc>
        <w:tc>
          <w:tcPr>
            <w:tcW w:w="420" w:type="dxa"/>
            <w:vAlign w:val="bottom"/>
          </w:tcPr>
          <w:p>
            <w:pPr>
              <w:spacing w:after="0"/>
              <w:rPr>
                <w:sz w:val="18"/>
                <w:szCs w:val="18"/>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323</w:t>
            </w:r>
          </w:p>
        </w:tc>
        <w:tc>
          <w:tcPr>
            <w:tcW w:w="420" w:type="dxa"/>
            <w:vAlign w:val="bottom"/>
          </w:tcPr>
          <w:p>
            <w:pPr>
              <w:spacing w:after="0"/>
              <w:rPr>
                <w:sz w:val="18"/>
                <w:szCs w:val="18"/>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941</w:t>
            </w:r>
          </w:p>
        </w:tc>
        <w:tc>
          <w:tcPr>
            <w:tcW w:w="4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768</w:t>
            </w:r>
          </w:p>
        </w:tc>
      </w:tr>
      <w:tr>
        <w:trPr>
          <w:trHeight w:val="213"/>
        </w:trPr>
        <w:tc>
          <w:tcPr>
            <w:tcW w:w="6040" w:type="dxa"/>
            <w:vAlign w:val="bottom"/>
          </w:tcPr>
          <w:p>
            <w:pPr>
              <w:spacing w:after="0"/>
              <w:rPr>
                <w:sz w:val="20"/>
                <w:szCs w:val="20"/>
                <w:color w:val="auto"/>
              </w:rPr>
            </w:pPr>
            <w:r>
              <w:rPr>
                <w:rFonts w:ascii="Arial" w:cs="Arial" w:eastAsia="Arial" w:hAnsi="Arial"/>
                <w:sz w:val="16"/>
                <w:szCs w:val="16"/>
                <w:color w:val="auto"/>
              </w:rPr>
              <w:t>Earnings attributable to noncontrolling interests</w:t>
            </w:r>
          </w:p>
        </w:tc>
        <w:tc>
          <w:tcPr>
            <w:tcW w:w="560" w:type="dxa"/>
            <w:vAlign w:val="bottom"/>
          </w:tcPr>
          <w:p>
            <w:pPr>
              <w:spacing w:after="0"/>
              <w:rPr>
                <w:sz w:val="18"/>
                <w:szCs w:val="18"/>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(35)</w:t>
            </w:r>
          </w:p>
        </w:tc>
        <w:tc>
          <w:tcPr>
            <w:tcW w:w="420" w:type="dxa"/>
            <w:vAlign w:val="bottom"/>
          </w:tcPr>
          <w:p>
            <w:pPr>
              <w:spacing w:after="0"/>
              <w:rPr>
                <w:sz w:val="18"/>
                <w:szCs w:val="18"/>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(22)</w:t>
            </w:r>
          </w:p>
        </w:tc>
        <w:tc>
          <w:tcPr>
            <w:tcW w:w="420" w:type="dxa"/>
            <w:vAlign w:val="bottom"/>
          </w:tcPr>
          <w:p>
            <w:pPr>
              <w:spacing w:after="0"/>
              <w:rPr>
                <w:sz w:val="18"/>
                <w:szCs w:val="18"/>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(76)</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w:t>
            </w:r>
          </w:p>
        </w:tc>
        <w:tc>
          <w:tcPr>
            <w:tcW w:w="20" w:type="dxa"/>
            <w:vAlign w:val="bottom"/>
          </w:tcPr>
          <w:p>
            <w:pPr>
              <w:spacing w:after="0"/>
              <w:rPr>
                <w:sz w:val="18"/>
                <w:szCs w:val="18"/>
                <w:color w:val="auto"/>
              </w:rPr>
            </w:pPr>
          </w:p>
        </w:tc>
      </w:tr>
      <w:tr>
        <w:trPr>
          <w:trHeight w:val="213"/>
        </w:trPr>
        <w:tc>
          <w:tcPr>
            <w:tcW w:w="6040" w:type="dxa"/>
            <w:vAlign w:val="bottom"/>
          </w:tcPr>
          <w:p>
            <w:pPr>
              <w:spacing w:after="0"/>
              <w:rPr>
                <w:sz w:val="20"/>
                <w:szCs w:val="20"/>
                <w:color w:val="auto"/>
              </w:rPr>
            </w:pPr>
            <w:r>
              <w:rPr>
                <w:rFonts w:ascii="Arial" w:cs="Arial" w:eastAsia="Arial" w:hAnsi="Arial"/>
                <w:sz w:val="16"/>
                <w:szCs w:val="16"/>
                <w:color w:val="auto"/>
              </w:rPr>
              <w:t>Call premium on preferred stock of subsidiary</w:t>
            </w:r>
          </w:p>
        </w:tc>
        <w:tc>
          <w:tcPr>
            <w:tcW w:w="560" w:type="dxa"/>
            <w:vAlign w:val="bottom"/>
          </w:tcPr>
          <w:p>
            <w:pPr>
              <w:spacing w:after="0"/>
              <w:rPr>
                <w:sz w:val="18"/>
                <w:szCs w:val="18"/>
                <w:color w:val="auto"/>
              </w:rPr>
            </w:pPr>
          </w:p>
        </w:tc>
        <w:tc>
          <w:tcPr>
            <w:tcW w:w="92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(3)</w:t>
            </w:r>
          </w:p>
        </w:tc>
        <w:tc>
          <w:tcPr>
            <w:tcW w:w="420" w:type="dxa"/>
            <w:vAlign w:val="bottom"/>
          </w:tcPr>
          <w:p>
            <w:pPr>
              <w:spacing w:after="0"/>
              <w:rPr>
                <w:sz w:val="18"/>
                <w:szCs w:val="18"/>
                <w:color w:val="auto"/>
              </w:rPr>
            </w:pPr>
          </w:p>
        </w:tc>
        <w:tc>
          <w:tcPr>
            <w:tcW w:w="92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8"/>
                <w:szCs w:val="18"/>
                <w:color w:val="auto"/>
              </w:rPr>
            </w:pPr>
          </w:p>
        </w:tc>
      </w:tr>
      <w:tr>
        <w:trPr>
          <w:trHeight w:val="204"/>
        </w:trPr>
        <w:tc>
          <w:tcPr>
            <w:tcW w:w="6040" w:type="dxa"/>
            <w:vAlign w:val="bottom"/>
          </w:tcPr>
          <w:p>
            <w:pPr>
              <w:spacing w:after="0"/>
              <w:rPr>
                <w:sz w:val="20"/>
                <w:szCs w:val="20"/>
                <w:color w:val="auto"/>
              </w:rPr>
            </w:pPr>
            <w:r>
              <w:rPr>
                <w:rFonts w:ascii="Arial" w:cs="Arial" w:eastAsia="Arial" w:hAnsi="Arial"/>
                <w:sz w:val="16"/>
                <w:szCs w:val="16"/>
                <w:color w:val="auto"/>
              </w:rPr>
              <w:t>Preferred dividends of subsidiaries</w:t>
            </w:r>
          </w:p>
        </w:tc>
        <w:tc>
          <w:tcPr>
            <w:tcW w:w="5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w:t>
            </w:r>
          </w:p>
        </w:tc>
        <w:tc>
          <w:tcPr>
            <w:tcW w:w="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w:t>
            </w: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17"/>
                <w:szCs w:val="17"/>
                <w:color w:val="auto"/>
              </w:rPr>
            </w:pPr>
          </w:p>
        </w:tc>
      </w:tr>
      <w:tr>
        <w:trPr>
          <w:trHeight w:val="173"/>
        </w:trPr>
        <w:tc>
          <w:tcPr>
            <w:tcW w:w="6040" w:type="dxa"/>
            <w:vAlign w:val="bottom"/>
          </w:tcPr>
          <w:p>
            <w:pPr>
              <w:spacing w:after="0" w:line="166" w:lineRule="exact"/>
              <w:rPr>
                <w:sz w:val="20"/>
                <w:szCs w:val="20"/>
                <w:color w:val="auto"/>
              </w:rPr>
            </w:pPr>
            <w:r>
              <w:rPr>
                <w:rFonts w:ascii="Arial" w:cs="Arial" w:eastAsia="Arial" w:hAnsi="Arial"/>
                <w:sz w:val="16"/>
                <w:szCs w:val="16"/>
                <w:color w:val="auto"/>
              </w:rPr>
              <w:t>Earnings</w:t>
            </w:r>
          </w:p>
        </w:tc>
        <w:tc>
          <w:tcPr>
            <w:tcW w:w="560" w:type="dxa"/>
            <w:vAlign w:val="bottom"/>
            <w:tcBorders>
              <w:bottom w:val="single" w:sz="8" w:color="auto"/>
            </w:tcBorders>
          </w:tcPr>
          <w:p>
            <w:pPr>
              <w:jc w:val="right"/>
              <w:ind w:right="120"/>
              <w:spacing w:after="0" w:line="166"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60"/>
              <w:spacing w:after="0" w:line="166" w:lineRule="exact"/>
              <w:rPr>
                <w:sz w:val="20"/>
                <w:szCs w:val="20"/>
                <w:color w:val="auto"/>
              </w:rPr>
            </w:pPr>
            <w:r>
              <w:rPr>
                <w:rFonts w:ascii="Arial" w:cs="Arial" w:eastAsia="Arial" w:hAnsi="Arial"/>
                <w:sz w:val="16"/>
                <w:szCs w:val="16"/>
                <w:color w:val="auto"/>
              </w:rPr>
              <w:t>348</w:t>
            </w:r>
          </w:p>
        </w:tc>
        <w:tc>
          <w:tcPr>
            <w:tcW w:w="420" w:type="dxa"/>
            <w:vAlign w:val="bottom"/>
            <w:tcBorders>
              <w:bottom w:val="single" w:sz="8" w:color="auto"/>
            </w:tcBorders>
          </w:tcPr>
          <w:p>
            <w:pPr>
              <w:jc w:val="right"/>
              <w:ind w:right="120"/>
              <w:spacing w:after="0" w:line="166"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60"/>
              <w:spacing w:after="0" w:line="166" w:lineRule="exact"/>
              <w:rPr>
                <w:sz w:val="20"/>
                <w:szCs w:val="20"/>
                <w:color w:val="auto"/>
              </w:rPr>
            </w:pPr>
            <w:r>
              <w:rPr>
                <w:rFonts w:ascii="Arial" w:cs="Arial" w:eastAsia="Arial" w:hAnsi="Arial"/>
                <w:sz w:val="16"/>
                <w:szCs w:val="16"/>
                <w:color w:val="auto"/>
              </w:rPr>
              <w:t>296</w:t>
            </w:r>
          </w:p>
        </w:tc>
        <w:tc>
          <w:tcPr>
            <w:tcW w:w="420" w:type="dxa"/>
            <w:vAlign w:val="bottom"/>
            <w:tcBorders>
              <w:bottom w:val="single" w:sz="8" w:color="auto"/>
            </w:tcBorders>
          </w:tcPr>
          <w:p>
            <w:pPr>
              <w:jc w:val="right"/>
              <w:ind w:right="120"/>
              <w:spacing w:after="0" w:line="166"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60"/>
              <w:spacing w:after="0" w:line="166" w:lineRule="exact"/>
              <w:rPr>
                <w:sz w:val="20"/>
                <w:szCs w:val="20"/>
                <w:color w:val="auto"/>
              </w:rPr>
            </w:pPr>
            <w:r>
              <w:rPr>
                <w:rFonts w:ascii="Arial" w:cs="Arial" w:eastAsia="Arial" w:hAnsi="Arial"/>
                <w:sz w:val="16"/>
                <w:szCs w:val="16"/>
                <w:color w:val="auto"/>
              </w:rPr>
              <w:t>864</w:t>
            </w:r>
          </w:p>
        </w:tc>
        <w:tc>
          <w:tcPr>
            <w:tcW w:w="440" w:type="dxa"/>
            <w:vAlign w:val="bottom"/>
            <w:tcBorders>
              <w:bottom w:val="single" w:sz="8" w:color="auto"/>
            </w:tcBorders>
          </w:tcPr>
          <w:p>
            <w:pPr>
              <w:jc w:val="right"/>
              <w:ind w:right="140"/>
              <w:spacing w:after="0" w:line="166" w:lineRule="exact"/>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719</w:t>
            </w:r>
          </w:p>
        </w:tc>
        <w:tc>
          <w:tcPr>
            <w:tcW w:w="20" w:type="dxa"/>
            <w:vAlign w:val="bottom"/>
          </w:tcPr>
          <w:p>
            <w:pPr>
              <w:spacing w:after="0"/>
              <w:rPr>
                <w:sz w:val="15"/>
                <w:szCs w:val="15"/>
                <w:color w:val="auto"/>
              </w:rPr>
            </w:pPr>
          </w:p>
        </w:tc>
      </w:tr>
      <w:tr>
        <w:trPr>
          <w:trHeight w:val="392"/>
        </w:trPr>
        <w:tc>
          <w:tcPr>
            <w:tcW w:w="6040" w:type="dxa"/>
            <w:vAlign w:val="bottom"/>
          </w:tcPr>
          <w:p>
            <w:pPr>
              <w:spacing w:after="0"/>
              <w:rPr>
                <w:sz w:val="20"/>
                <w:szCs w:val="20"/>
                <w:color w:val="auto"/>
              </w:rPr>
            </w:pPr>
            <w:r>
              <w:rPr>
                <w:rFonts w:ascii="Arial" w:cs="Arial" w:eastAsia="Arial" w:hAnsi="Arial"/>
                <w:sz w:val="16"/>
                <w:szCs w:val="16"/>
                <w:color w:val="auto"/>
              </w:rPr>
              <w:t>Basic earnings per common share</w:t>
            </w:r>
          </w:p>
        </w:tc>
        <w:tc>
          <w:tcPr>
            <w:tcW w:w="5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1.41</w:t>
            </w:r>
          </w:p>
        </w:tc>
        <w:tc>
          <w:tcPr>
            <w:tcW w:w="4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1.21</w:t>
            </w:r>
          </w:p>
        </w:tc>
        <w:tc>
          <w:tcPr>
            <w:tcW w:w="4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3.52</w:t>
            </w:r>
          </w:p>
        </w:tc>
        <w:tc>
          <w:tcPr>
            <w:tcW w:w="4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w:t>
            </w:r>
          </w:p>
        </w:tc>
        <w:tc>
          <w:tcPr>
            <w:tcW w:w="20" w:type="dxa"/>
            <w:vAlign w:val="bottom"/>
          </w:tcPr>
          <w:p>
            <w:pPr>
              <w:spacing w:after="0"/>
              <w:rPr>
                <w:sz w:val="24"/>
                <w:szCs w:val="24"/>
                <w:color w:val="auto"/>
              </w:rPr>
            </w:pPr>
          </w:p>
        </w:tc>
      </w:tr>
      <w:tr>
        <w:trPr>
          <w:trHeight w:val="432"/>
        </w:trPr>
        <w:tc>
          <w:tcPr>
            <w:tcW w:w="6040" w:type="dxa"/>
            <w:vAlign w:val="bottom"/>
          </w:tcPr>
          <w:p>
            <w:pPr>
              <w:spacing w:after="0"/>
              <w:rPr>
                <w:sz w:val="20"/>
                <w:szCs w:val="20"/>
                <w:color w:val="auto"/>
              </w:rPr>
            </w:pPr>
            <w:r>
              <w:rPr>
                <w:rFonts w:ascii="Arial" w:cs="Arial" w:eastAsia="Arial" w:hAnsi="Arial"/>
                <w:sz w:val="16"/>
                <w:szCs w:val="16"/>
                <w:color w:val="auto"/>
              </w:rPr>
              <w:t>Weighted-average number of shares outstanding, basic (thousands)</w:t>
            </w:r>
          </w:p>
        </w:tc>
        <w:tc>
          <w:tcPr>
            <w:tcW w:w="5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246,137</w:t>
            </w:r>
          </w:p>
        </w:tc>
        <w:tc>
          <w:tcPr>
            <w:tcW w:w="4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244,140</w:t>
            </w:r>
          </w:p>
        </w:tc>
        <w:tc>
          <w:tcPr>
            <w:tcW w:w="4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245,703</w:t>
            </w:r>
          </w:p>
        </w:tc>
        <w:tc>
          <w:tcPr>
            <w:tcW w:w="4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243,682</w:t>
            </w:r>
          </w:p>
        </w:tc>
        <w:tc>
          <w:tcPr>
            <w:tcW w:w="20" w:type="dxa"/>
            <w:vAlign w:val="bottom"/>
          </w:tcPr>
          <w:p>
            <w:pPr>
              <w:spacing w:after="0"/>
              <w:rPr>
                <w:sz w:val="24"/>
                <w:szCs w:val="24"/>
                <w:color w:val="auto"/>
              </w:rPr>
            </w:pPr>
          </w:p>
        </w:tc>
      </w:tr>
      <w:tr>
        <w:trPr>
          <w:trHeight w:val="392"/>
        </w:trPr>
        <w:tc>
          <w:tcPr>
            <w:tcW w:w="6040" w:type="dxa"/>
            <w:vAlign w:val="bottom"/>
          </w:tcPr>
          <w:p>
            <w:pPr>
              <w:spacing w:after="0"/>
              <w:rPr>
                <w:sz w:val="20"/>
                <w:szCs w:val="20"/>
                <w:color w:val="auto"/>
              </w:rPr>
            </w:pPr>
            <w:r>
              <w:rPr>
                <w:rFonts w:ascii="Arial" w:cs="Arial" w:eastAsia="Arial" w:hAnsi="Arial"/>
                <w:sz w:val="16"/>
                <w:szCs w:val="16"/>
                <w:color w:val="auto"/>
              </w:rPr>
              <w:t>Diluted earnings per common share</w:t>
            </w:r>
          </w:p>
        </w:tc>
        <w:tc>
          <w:tcPr>
            <w:tcW w:w="5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1.39</w:t>
            </w:r>
          </w:p>
        </w:tc>
        <w:tc>
          <w:tcPr>
            <w:tcW w:w="4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1.19</w:t>
            </w:r>
          </w:p>
        </w:tc>
        <w:tc>
          <w:tcPr>
            <w:tcW w:w="4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3.45</w:t>
            </w:r>
          </w:p>
        </w:tc>
        <w:tc>
          <w:tcPr>
            <w:tcW w:w="4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w:t>
            </w:r>
          </w:p>
        </w:tc>
        <w:tc>
          <w:tcPr>
            <w:tcW w:w="20" w:type="dxa"/>
            <w:vAlign w:val="bottom"/>
          </w:tcPr>
          <w:p>
            <w:pPr>
              <w:spacing w:after="0"/>
              <w:rPr>
                <w:sz w:val="24"/>
                <w:szCs w:val="24"/>
                <w:color w:val="auto"/>
              </w:rPr>
            </w:pPr>
          </w:p>
        </w:tc>
      </w:tr>
      <w:tr>
        <w:trPr>
          <w:trHeight w:val="432"/>
        </w:trPr>
        <w:tc>
          <w:tcPr>
            <w:tcW w:w="6040" w:type="dxa"/>
            <w:vAlign w:val="bottom"/>
          </w:tcPr>
          <w:p>
            <w:pPr>
              <w:spacing w:after="0"/>
              <w:rPr>
                <w:sz w:val="20"/>
                <w:szCs w:val="20"/>
                <w:color w:val="auto"/>
              </w:rPr>
            </w:pPr>
            <w:r>
              <w:rPr>
                <w:rFonts w:ascii="Arial" w:cs="Arial" w:eastAsia="Arial" w:hAnsi="Arial"/>
                <w:sz w:val="16"/>
                <w:szCs w:val="16"/>
                <w:color w:val="auto"/>
              </w:rPr>
              <w:t>Weighted-average number of shares outstanding, diluted (thousands)</w:t>
            </w:r>
          </w:p>
        </w:tc>
        <w:tc>
          <w:tcPr>
            <w:tcW w:w="5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250,771</w:t>
            </w:r>
          </w:p>
        </w:tc>
        <w:tc>
          <w:tcPr>
            <w:tcW w:w="4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249,259</w:t>
            </w:r>
          </w:p>
        </w:tc>
        <w:tc>
          <w:tcPr>
            <w:tcW w:w="4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250,278</w:t>
            </w:r>
          </w:p>
        </w:tc>
        <w:tc>
          <w:tcPr>
            <w:tcW w:w="4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248,723</w:t>
            </w:r>
          </w:p>
        </w:tc>
        <w:tc>
          <w:tcPr>
            <w:tcW w:w="20" w:type="dxa"/>
            <w:vAlign w:val="bottom"/>
          </w:tcPr>
          <w:p>
            <w:pPr>
              <w:spacing w:after="0"/>
              <w:rPr>
                <w:sz w:val="24"/>
                <w:szCs w:val="24"/>
                <w:color w:val="auto"/>
              </w:rPr>
            </w:pPr>
          </w:p>
        </w:tc>
      </w:tr>
      <w:tr>
        <w:trPr>
          <w:trHeight w:val="392"/>
        </w:trPr>
        <w:tc>
          <w:tcPr>
            <w:tcW w:w="60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Dividends declared per share of common stock</w:t>
            </w:r>
          </w:p>
        </w:tc>
        <w:tc>
          <w:tcPr>
            <w:tcW w:w="5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0.66</w:t>
            </w:r>
          </w:p>
        </w:tc>
        <w:tc>
          <w:tcPr>
            <w:tcW w:w="4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0.63</w:t>
            </w:r>
          </w:p>
        </w:tc>
        <w:tc>
          <w:tcPr>
            <w:tcW w:w="4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1.98</w:t>
            </w:r>
          </w:p>
        </w:tc>
        <w:tc>
          <w:tcPr>
            <w:tcW w:w="4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w:t>
            </w:r>
          </w:p>
        </w:tc>
        <w:tc>
          <w:tcPr>
            <w:tcW w:w="20" w:type="dxa"/>
            <w:vAlign w:val="bottom"/>
          </w:tcPr>
          <w:p>
            <w:pPr>
              <w:spacing w:after="0"/>
              <w:rPr>
                <w:sz w:val="24"/>
                <w:szCs w:val="24"/>
                <w:color w:val="auto"/>
              </w:rPr>
            </w:pPr>
          </w:p>
        </w:tc>
      </w:tr>
    </w:tbl>
    <w:p>
      <w:pPr>
        <w:spacing w:after="0" w:line="4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-104775</wp:posOffset>
            </wp:positionV>
            <wp:extent cx="7248525" cy="3289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8525" cy="328930"/>
                    </a:xfrm>
                    <a:prstGeom prst="rect">
                      <a:avLst/>
                    </a:prstGeom>
                    <a:noFill/>
                  </pic:spPr>
                </pic:pic>
              </a:graphicData>
            </a:graphic>
          </wp:anchor>
        </w:drawing>
      </w:r>
    </w:p>
    <w:p>
      <w:pPr>
        <w:ind w:right="5600"/>
        <w:spacing w:after="0" w:line="234" w:lineRule="auto"/>
        <w:rPr>
          <w:sz w:val="20"/>
          <w:szCs w:val="20"/>
          <w:color w:val="auto"/>
        </w:rPr>
      </w:pPr>
      <w:r>
        <w:rPr>
          <w:rFonts w:ascii="Arial" w:cs="Arial" w:eastAsia="Arial" w:hAnsi="Arial"/>
          <w:sz w:val="16"/>
          <w:szCs w:val="16"/>
          <w:b w:val="1"/>
          <w:bCs w:val="1"/>
          <w:color w:val="auto"/>
        </w:rPr>
        <w:t xml:space="preserve">CONDENSED CONSOLIDATED STATEMENTS OF COMPREHENSIVE INCOME </w:t>
      </w:r>
      <w:r>
        <w:rPr>
          <w:rFonts w:ascii="Arial" w:cs="Arial" w:eastAsia="Arial" w:hAnsi="Arial"/>
          <w:sz w:val="14"/>
          <w:szCs w:val="14"/>
          <w:i w:val="1"/>
          <w:iCs w:val="1"/>
          <w:color w:val="auto"/>
        </w:rPr>
        <w:t>(Dollars in millions)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720" w:type="dxa"/>
            <w:vAlign w:val="bottom"/>
            <w:tcBorders>
              <w:bottom w:val="single" w:sz="8" w:color="auto"/>
            </w:tcBorders>
            <w:gridSpan w:val="5"/>
          </w:tcPr>
          <w:p>
            <w:pPr>
              <w:jc w:val="right"/>
              <w:ind w:right="183"/>
              <w:spacing w:after="0"/>
              <w:rPr>
                <w:sz w:val="20"/>
                <w:szCs w:val="20"/>
                <w:color w:val="auto"/>
              </w:rPr>
            </w:pPr>
            <w:r>
              <w:rPr>
                <w:rFonts w:ascii="Arial" w:cs="Arial" w:eastAsia="Arial" w:hAnsi="Arial"/>
                <w:sz w:val="14"/>
                <w:szCs w:val="14"/>
                <w:color w:val="auto"/>
              </w:rPr>
              <w:t>Three months ended September 30, 2014 and 2013</w:t>
            </w: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93"/>
        </w:trPr>
        <w:tc>
          <w:tcPr>
            <w:tcW w:w="44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color w:val="auto"/>
              </w:rPr>
              <w:t>(unaudited)</w:t>
            </w:r>
          </w:p>
        </w:tc>
        <w:tc>
          <w:tcPr>
            <w:tcW w:w="12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93"/>
        </w:trPr>
        <w:tc>
          <w:tcPr>
            <w:tcW w:w="4460" w:type="dxa"/>
            <w:vAlign w:val="bottom"/>
          </w:tcPr>
          <w:p>
            <w:pPr>
              <w:spacing w:after="0"/>
              <w:rPr>
                <w:sz w:val="16"/>
                <w:szCs w:val="16"/>
                <w:color w:val="auto"/>
              </w:rPr>
            </w:pPr>
          </w:p>
        </w:tc>
        <w:tc>
          <w:tcPr>
            <w:tcW w:w="3660" w:type="dxa"/>
            <w:vAlign w:val="bottom"/>
            <w:tcBorders>
              <w:bottom w:val="single" w:sz="8" w:color="auto"/>
            </w:tcBorders>
            <w:gridSpan w:val="5"/>
          </w:tcPr>
          <w:p>
            <w:pPr>
              <w:jc w:val="center"/>
              <w:ind w:left="304"/>
              <w:spacing w:after="0"/>
              <w:rPr>
                <w:sz w:val="20"/>
                <w:szCs w:val="20"/>
                <w:color w:val="auto"/>
              </w:rPr>
            </w:pPr>
            <w:r>
              <w:rPr>
                <w:rFonts w:ascii="Arial" w:cs="Arial" w:eastAsia="Arial" w:hAnsi="Arial"/>
                <w:sz w:val="14"/>
                <w:szCs w:val="14"/>
                <w:color w:val="auto"/>
              </w:rPr>
              <w:t>Sempra Energy Shareholders' Equity</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1"/>
        </w:trPr>
        <w:tc>
          <w:tcPr>
            <w:tcW w:w="4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Pretax</w:t>
            </w: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center"/>
              <w:ind w:right="441"/>
              <w:spacing w:after="0"/>
              <w:rPr>
                <w:sz w:val="20"/>
                <w:szCs w:val="20"/>
                <w:color w:val="auto"/>
              </w:rPr>
            </w:pPr>
            <w:r>
              <w:rPr>
                <w:rFonts w:ascii="Arial" w:cs="Arial" w:eastAsia="Arial" w:hAnsi="Arial"/>
                <w:sz w:val="14"/>
                <w:szCs w:val="14"/>
                <w:color w:val="auto"/>
                <w:w w:val="98"/>
              </w:rPr>
              <w:t>Income Tax</w:t>
            </w:r>
          </w:p>
        </w:tc>
        <w:tc>
          <w:tcPr>
            <w:tcW w:w="1220" w:type="dxa"/>
            <w:vAlign w:val="bottom"/>
            <w:gridSpan w:val="3"/>
          </w:tcPr>
          <w:p>
            <w:pPr>
              <w:ind w:left="160"/>
              <w:spacing w:after="0"/>
              <w:rPr>
                <w:sz w:val="20"/>
                <w:szCs w:val="20"/>
                <w:color w:val="auto"/>
              </w:rPr>
            </w:pPr>
            <w:r>
              <w:rPr>
                <w:rFonts w:ascii="Arial" w:cs="Arial" w:eastAsia="Arial" w:hAnsi="Arial"/>
                <w:sz w:val="14"/>
                <w:szCs w:val="14"/>
                <w:color w:val="auto"/>
              </w:rPr>
              <w:t>Net-of-Tax</w:t>
            </w:r>
          </w:p>
        </w:tc>
        <w:tc>
          <w:tcPr>
            <w:tcW w:w="1220" w:type="dxa"/>
            <w:vAlign w:val="bottom"/>
          </w:tcPr>
          <w:p>
            <w:pPr>
              <w:jc w:val="right"/>
              <w:spacing w:after="0"/>
              <w:rPr>
                <w:sz w:val="20"/>
                <w:szCs w:val="20"/>
                <w:color w:val="auto"/>
              </w:rPr>
            </w:pPr>
            <w:r>
              <w:rPr>
                <w:rFonts w:ascii="Arial" w:cs="Arial" w:eastAsia="Arial" w:hAnsi="Arial"/>
                <w:sz w:val="14"/>
                <w:szCs w:val="14"/>
                <w:color w:val="auto"/>
              </w:rPr>
              <w:t>Noncontrolling</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7"/>
        </w:trPr>
        <w:tc>
          <w:tcPr>
            <w:tcW w:w="44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Amount</w:t>
            </w:r>
          </w:p>
        </w:tc>
        <w:tc>
          <w:tcPr>
            <w:tcW w:w="480" w:type="dxa"/>
            <w:vAlign w:val="bottom"/>
          </w:tcPr>
          <w:p>
            <w:pPr>
              <w:spacing w:after="0"/>
              <w:rPr>
                <w:sz w:val="17"/>
                <w:szCs w:val="17"/>
                <w:color w:val="auto"/>
              </w:rPr>
            </w:pPr>
          </w:p>
        </w:tc>
        <w:tc>
          <w:tcPr>
            <w:tcW w:w="1560" w:type="dxa"/>
            <w:vAlign w:val="bottom"/>
            <w:gridSpan w:val="2"/>
          </w:tcPr>
          <w:p>
            <w:pPr>
              <w:jc w:val="center"/>
              <w:ind w:right="161"/>
              <w:spacing w:after="0"/>
              <w:rPr>
                <w:sz w:val="20"/>
                <w:szCs w:val="20"/>
                <w:color w:val="auto"/>
              </w:rPr>
            </w:pPr>
            <w:r>
              <w:rPr>
                <w:rFonts w:ascii="Arial" w:cs="Arial" w:eastAsia="Arial" w:hAnsi="Arial"/>
                <w:sz w:val="14"/>
                <w:szCs w:val="14"/>
                <w:color w:val="auto"/>
              </w:rPr>
              <w:t>(Expense) Benefit</w:t>
            </w:r>
          </w:p>
        </w:tc>
        <w:tc>
          <w:tcPr>
            <w:tcW w:w="740" w:type="dxa"/>
            <w:vAlign w:val="bottom"/>
          </w:tcPr>
          <w:p>
            <w:pPr>
              <w:ind w:left="240"/>
              <w:spacing w:after="0"/>
              <w:rPr>
                <w:sz w:val="20"/>
                <w:szCs w:val="20"/>
                <w:color w:val="auto"/>
              </w:rPr>
            </w:pPr>
            <w:r>
              <w:rPr>
                <w:rFonts w:ascii="Arial" w:cs="Arial" w:eastAsia="Arial" w:hAnsi="Arial"/>
                <w:sz w:val="14"/>
                <w:szCs w:val="14"/>
                <w:color w:val="auto"/>
                <w:w w:val="99"/>
              </w:rPr>
              <w:t>Amount</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4"/>
                <w:szCs w:val="14"/>
                <w:color w:val="auto"/>
              </w:rPr>
              <w:t>Interests (After-Tax)</w:t>
            </w:r>
          </w:p>
        </w:tc>
        <w:tc>
          <w:tcPr>
            <w:tcW w:w="300" w:type="dxa"/>
            <w:vAlign w:val="bottom"/>
          </w:tcPr>
          <w:p>
            <w:pPr>
              <w:spacing w:after="0"/>
              <w:rPr>
                <w:sz w:val="17"/>
                <w:szCs w:val="17"/>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4"/>
                <w:szCs w:val="14"/>
                <w:color w:val="auto"/>
              </w:rPr>
              <w:t>Total</w:t>
            </w:r>
          </w:p>
        </w:tc>
      </w:tr>
      <w:tr>
        <w:trPr>
          <w:trHeight w:val="194"/>
        </w:trPr>
        <w:tc>
          <w:tcPr>
            <w:tcW w:w="44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2014:</w:t>
            </w:r>
          </w:p>
        </w:tc>
        <w:tc>
          <w:tcPr>
            <w:tcW w:w="88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84"/>
        </w:trPr>
        <w:tc>
          <w:tcPr>
            <w:tcW w:w="4460" w:type="dxa"/>
            <w:vAlign w:val="bottom"/>
          </w:tcPr>
          <w:p>
            <w:pPr>
              <w:spacing w:after="0"/>
              <w:rPr>
                <w:sz w:val="20"/>
                <w:szCs w:val="20"/>
                <w:color w:val="auto"/>
              </w:rPr>
            </w:pPr>
            <w:r>
              <w:rPr>
                <w:rFonts w:ascii="Arial" w:cs="Arial" w:eastAsia="Arial" w:hAnsi="Arial"/>
                <w:sz w:val="16"/>
                <w:szCs w:val="16"/>
                <w:color w:val="auto"/>
              </w:rPr>
              <w:t>Net income</w:t>
            </w:r>
          </w:p>
        </w:tc>
        <w:tc>
          <w:tcPr>
            <w:tcW w:w="880" w:type="dxa"/>
            <w:vAlign w:val="bottom"/>
          </w:tcPr>
          <w:p>
            <w:pPr>
              <w:jc w:val="right"/>
              <w:ind w:right="424"/>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20"/>
              <w:spacing w:after="0"/>
              <w:rPr>
                <w:sz w:val="20"/>
                <w:szCs w:val="20"/>
                <w:color w:val="auto"/>
              </w:rPr>
            </w:pPr>
            <w:r>
              <w:rPr>
                <w:rFonts w:ascii="Arial" w:cs="Arial" w:eastAsia="Arial" w:hAnsi="Arial"/>
                <w:sz w:val="16"/>
                <w:szCs w:val="16"/>
                <w:color w:val="auto"/>
              </w:rPr>
              <w:t>419</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(71)</w:t>
            </w:r>
          </w:p>
        </w:tc>
        <w:tc>
          <w:tcPr>
            <w:tcW w:w="740" w:type="dxa"/>
            <w:vAlign w:val="bottom"/>
          </w:tcPr>
          <w:p>
            <w:pPr>
              <w:ind w:left="140"/>
              <w:spacing w:after="0"/>
              <w:rPr>
                <w:sz w:val="20"/>
                <w:szCs w:val="20"/>
                <w:color w:val="auto"/>
              </w:rPr>
            </w:pPr>
            <w:r>
              <w:rPr>
                <w:rFonts w:ascii="Arial" w:cs="Arial" w:eastAsia="Arial" w:hAnsi="Arial"/>
                <w:sz w:val="16"/>
                <w:szCs w:val="16"/>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6"/>
                <w:szCs w:val="16"/>
                <w:color w:val="auto"/>
              </w:rPr>
              <w:t>348</w:t>
            </w:r>
          </w:p>
        </w:tc>
        <w:tc>
          <w:tcPr>
            <w:tcW w:w="1220" w:type="dxa"/>
            <w:vAlign w:val="bottom"/>
          </w:tcPr>
          <w:p>
            <w:pPr>
              <w:jc w:val="right"/>
              <w:ind w:right="863"/>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60"/>
              <w:spacing w:after="0"/>
              <w:rPr>
                <w:sz w:val="20"/>
                <w:szCs w:val="20"/>
                <w:color w:val="auto"/>
              </w:rPr>
            </w:pPr>
            <w:r>
              <w:rPr>
                <w:rFonts w:ascii="Arial" w:cs="Arial" w:eastAsia="Arial" w:hAnsi="Arial"/>
                <w:sz w:val="16"/>
                <w:szCs w:val="16"/>
                <w:color w:val="auto"/>
              </w:rPr>
              <w:t>35</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383</w:t>
            </w:r>
          </w:p>
        </w:tc>
      </w:tr>
      <w:tr>
        <w:trPr>
          <w:trHeight w:val="214"/>
        </w:trPr>
        <w:tc>
          <w:tcPr>
            <w:tcW w:w="4460" w:type="dxa"/>
            <w:vAlign w:val="bottom"/>
          </w:tcPr>
          <w:p>
            <w:pPr>
              <w:spacing w:after="0"/>
              <w:rPr>
                <w:sz w:val="20"/>
                <w:szCs w:val="20"/>
                <w:color w:val="auto"/>
              </w:rPr>
            </w:pPr>
            <w:r>
              <w:rPr>
                <w:rFonts w:ascii="Arial" w:cs="Arial" w:eastAsia="Arial" w:hAnsi="Arial"/>
                <w:sz w:val="16"/>
                <w:szCs w:val="16"/>
                <w:color w:val="auto"/>
              </w:rPr>
              <w:t>Other comprehensive income (loss):</w:t>
            </w:r>
          </w:p>
        </w:tc>
        <w:tc>
          <w:tcPr>
            <w:tcW w:w="8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4460" w:type="dxa"/>
            <w:vAlign w:val="bottom"/>
          </w:tcPr>
          <w:p>
            <w:pPr>
              <w:ind w:left="180"/>
              <w:spacing w:after="0"/>
              <w:rPr>
                <w:sz w:val="20"/>
                <w:szCs w:val="20"/>
                <w:color w:val="auto"/>
              </w:rPr>
            </w:pPr>
            <w:r>
              <w:rPr>
                <w:rFonts w:ascii="Arial" w:cs="Arial" w:eastAsia="Arial" w:hAnsi="Arial"/>
                <w:sz w:val="16"/>
                <w:szCs w:val="16"/>
                <w:color w:val="auto"/>
              </w:rPr>
              <w:t>Foreign currency translation adjustments</w:t>
            </w:r>
          </w:p>
        </w:tc>
        <w:tc>
          <w:tcPr>
            <w:tcW w:w="880" w:type="dxa"/>
            <w:vAlign w:val="bottom"/>
          </w:tcPr>
          <w:p>
            <w:pPr>
              <w:spacing w:after="0"/>
              <w:rPr>
                <w:sz w:val="18"/>
                <w:szCs w:val="18"/>
                <w:color w:val="auto"/>
              </w:rPr>
            </w:pPr>
          </w:p>
        </w:tc>
        <w:tc>
          <w:tcPr>
            <w:tcW w:w="480" w:type="dxa"/>
            <w:vAlign w:val="bottom"/>
          </w:tcPr>
          <w:p>
            <w:pPr>
              <w:jc w:val="right"/>
              <w:ind w:right="20"/>
              <w:spacing w:after="0"/>
              <w:rPr>
                <w:sz w:val="20"/>
                <w:szCs w:val="20"/>
                <w:color w:val="auto"/>
              </w:rPr>
            </w:pPr>
            <w:r>
              <w:rPr>
                <w:rFonts w:ascii="Arial" w:cs="Arial" w:eastAsia="Arial" w:hAnsi="Arial"/>
                <w:sz w:val="16"/>
                <w:szCs w:val="16"/>
                <w:color w:val="auto"/>
                <w:w w:val="96"/>
              </w:rPr>
              <w:t>(100)</w:t>
            </w:r>
          </w:p>
        </w:tc>
        <w:tc>
          <w:tcPr>
            <w:tcW w:w="280" w:type="dxa"/>
            <w:vAlign w:val="bottom"/>
          </w:tcPr>
          <w:p>
            <w:pPr>
              <w:spacing w:after="0"/>
              <w:rPr>
                <w:sz w:val="18"/>
                <w:szCs w:val="18"/>
                <w:color w:val="auto"/>
              </w:rPr>
            </w:pPr>
          </w:p>
        </w:tc>
        <w:tc>
          <w:tcPr>
            <w:tcW w:w="128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w w:val="96"/>
              </w:rPr>
              <w:t>(100)</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60" w:type="dxa"/>
            <w:vAlign w:val="bottom"/>
          </w:tcPr>
          <w:p>
            <w:pPr>
              <w:jc w:val="right"/>
              <w:ind w:right="60"/>
              <w:spacing w:after="0"/>
              <w:rPr>
                <w:sz w:val="20"/>
                <w:szCs w:val="20"/>
                <w:color w:val="auto"/>
              </w:rPr>
            </w:pPr>
            <w:r>
              <w:rPr>
                <w:rFonts w:ascii="Arial" w:cs="Arial" w:eastAsia="Arial" w:hAnsi="Arial"/>
                <w:sz w:val="16"/>
                <w:szCs w:val="16"/>
                <w:color w:val="auto"/>
              </w:rPr>
              <w:t>(11)</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(111)</w:t>
            </w:r>
          </w:p>
        </w:tc>
        <w:tc>
          <w:tcPr>
            <w:tcW w:w="20" w:type="dxa"/>
            <w:vAlign w:val="bottom"/>
          </w:tcPr>
          <w:p>
            <w:pPr>
              <w:spacing w:after="0"/>
              <w:rPr>
                <w:sz w:val="18"/>
                <w:szCs w:val="18"/>
                <w:color w:val="auto"/>
              </w:rPr>
            </w:pPr>
          </w:p>
        </w:tc>
      </w:tr>
      <w:tr>
        <w:trPr>
          <w:trHeight w:val="213"/>
        </w:trPr>
        <w:tc>
          <w:tcPr>
            <w:tcW w:w="4460" w:type="dxa"/>
            <w:vAlign w:val="bottom"/>
          </w:tcPr>
          <w:p>
            <w:pPr>
              <w:ind w:left="180"/>
              <w:spacing w:after="0"/>
              <w:rPr>
                <w:sz w:val="20"/>
                <w:szCs w:val="20"/>
                <w:color w:val="auto"/>
              </w:rPr>
            </w:pPr>
            <w:r>
              <w:rPr>
                <w:rFonts w:ascii="Arial" w:cs="Arial" w:eastAsia="Arial" w:hAnsi="Arial"/>
                <w:sz w:val="16"/>
                <w:szCs w:val="16"/>
                <w:color w:val="auto"/>
              </w:rPr>
              <w:t>Pension and other postretirement benefits</w:t>
            </w:r>
          </w:p>
        </w:tc>
        <w:tc>
          <w:tcPr>
            <w:tcW w:w="880" w:type="dxa"/>
            <w:vAlign w:val="bottom"/>
          </w:tcPr>
          <w:p>
            <w:pPr>
              <w:spacing w:after="0"/>
              <w:rPr>
                <w:sz w:val="18"/>
                <w:szCs w:val="18"/>
                <w:color w:val="auto"/>
              </w:rPr>
            </w:pPr>
          </w:p>
        </w:tc>
        <w:tc>
          <w:tcPr>
            <w:tcW w:w="480" w:type="dxa"/>
            <w:vAlign w:val="bottom"/>
          </w:tcPr>
          <w:p>
            <w:pPr>
              <w:jc w:val="right"/>
              <w:ind w:right="20"/>
              <w:spacing w:after="0"/>
              <w:rPr>
                <w:sz w:val="20"/>
                <w:szCs w:val="20"/>
                <w:color w:val="auto"/>
              </w:rPr>
            </w:pPr>
            <w:r>
              <w:rPr>
                <w:rFonts w:ascii="Arial" w:cs="Arial" w:eastAsia="Arial" w:hAnsi="Arial"/>
                <w:sz w:val="16"/>
                <w:szCs w:val="16"/>
                <w:color w:val="auto"/>
              </w:rPr>
              <w:t>8</w:t>
            </w:r>
          </w:p>
        </w:tc>
        <w:tc>
          <w:tcPr>
            <w:tcW w:w="280" w:type="dxa"/>
            <w:vAlign w:val="bottom"/>
          </w:tcPr>
          <w:p>
            <w:pPr>
              <w:spacing w:after="0"/>
              <w:rPr>
                <w:sz w:val="18"/>
                <w:szCs w:val="18"/>
                <w:color w:val="auto"/>
              </w:rPr>
            </w:pP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(3)</w:t>
            </w:r>
          </w:p>
        </w:tc>
        <w:tc>
          <w:tcPr>
            <w:tcW w:w="74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6"/>
                <w:szCs w:val="16"/>
                <w:color w:val="auto"/>
              </w:rPr>
              <w:t>5</w:t>
            </w:r>
          </w:p>
        </w:tc>
        <w:tc>
          <w:tcPr>
            <w:tcW w:w="1220" w:type="dxa"/>
            <w:vAlign w:val="bottom"/>
          </w:tcPr>
          <w:p>
            <w:pPr>
              <w:spacing w:after="0"/>
              <w:rPr>
                <w:sz w:val="18"/>
                <w:szCs w:val="18"/>
                <w:color w:val="auto"/>
              </w:rPr>
            </w:pPr>
          </w:p>
        </w:tc>
        <w:tc>
          <w:tcPr>
            <w:tcW w:w="46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5</w:t>
            </w:r>
          </w:p>
        </w:tc>
      </w:tr>
      <w:tr>
        <w:trPr>
          <w:trHeight w:val="204"/>
        </w:trPr>
        <w:tc>
          <w:tcPr>
            <w:tcW w:w="4460" w:type="dxa"/>
            <w:vAlign w:val="bottom"/>
          </w:tcPr>
          <w:p>
            <w:pPr>
              <w:ind w:left="180"/>
              <w:spacing w:after="0"/>
              <w:rPr>
                <w:sz w:val="20"/>
                <w:szCs w:val="20"/>
                <w:color w:val="auto"/>
              </w:rPr>
            </w:pPr>
            <w:r>
              <w:rPr>
                <w:rFonts w:ascii="Arial" w:cs="Arial" w:eastAsia="Arial" w:hAnsi="Arial"/>
                <w:sz w:val="16"/>
                <w:szCs w:val="16"/>
                <w:color w:val="auto"/>
              </w:rPr>
              <w:t>Financial instruments</w:t>
            </w:r>
          </w:p>
        </w:tc>
        <w:tc>
          <w:tcPr>
            <w:tcW w:w="880" w:type="dxa"/>
            <w:vAlign w:val="bottom"/>
          </w:tcPr>
          <w:p>
            <w:pPr>
              <w:spacing w:after="0"/>
              <w:rPr>
                <w:sz w:val="17"/>
                <w:szCs w:val="17"/>
                <w:color w:val="auto"/>
              </w:rPr>
            </w:pPr>
          </w:p>
        </w:tc>
        <w:tc>
          <w:tcPr>
            <w:tcW w:w="480" w:type="dxa"/>
            <w:vAlign w:val="bottom"/>
          </w:tcPr>
          <w:p>
            <w:pPr>
              <w:jc w:val="right"/>
              <w:ind w:right="20"/>
              <w:spacing w:after="0"/>
              <w:rPr>
                <w:sz w:val="20"/>
                <w:szCs w:val="20"/>
                <w:color w:val="auto"/>
              </w:rPr>
            </w:pPr>
            <w:r>
              <w:rPr>
                <w:rFonts w:ascii="Arial" w:cs="Arial" w:eastAsia="Arial" w:hAnsi="Arial"/>
                <w:sz w:val="16"/>
                <w:szCs w:val="16"/>
                <w:color w:val="auto"/>
              </w:rPr>
              <w:t>(4)</w:t>
            </w:r>
          </w:p>
        </w:tc>
        <w:tc>
          <w:tcPr>
            <w:tcW w:w="280" w:type="dxa"/>
            <w:vAlign w:val="bottom"/>
          </w:tcPr>
          <w:p>
            <w:pPr>
              <w:spacing w:after="0"/>
              <w:rPr>
                <w:sz w:val="17"/>
                <w:szCs w:val="17"/>
                <w:color w:val="auto"/>
              </w:rPr>
            </w:pP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1</w:t>
            </w:r>
          </w:p>
        </w:tc>
        <w:tc>
          <w:tcPr>
            <w:tcW w:w="7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Pr>
          <w:p>
            <w:pPr>
              <w:jc w:val="right"/>
              <w:ind w:right="60"/>
              <w:spacing w:after="0"/>
              <w:rPr>
                <w:sz w:val="20"/>
                <w:szCs w:val="20"/>
                <w:color w:val="auto"/>
              </w:rPr>
            </w:pPr>
            <w:r>
              <w:rPr>
                <w:rFonts w:ascii="Arial" w:cs="Arial" w:eastAsia="Arial" w:hAnsi="Arial"/>
                <w:sz w:val="16"/>
                <w:szCs w:val="16"/>
                <w:color w:val="auto"/>
              </w:rPr>
              <w:t>3</w:t>
            </w:r>
          </w:p>
        </w:tc>
        <w:tc>
          <w:tcPr>
            <w:tcW w:w="3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06"/>
        </w:trPr>
        <w:tc>
          <w:tcPr>
            <w:tcW w:w="4460" w:type="dxa"/>
            <w:vAlign w:val="bottom"/>
          </w:tcPr>
          <w:p>
            <w:pPr>
              <w:ind w:left="180"/>
              <w:spacing w:after="0"/>
              <w:rPr>
                <w:sz w:val="20"/>
                <w:szCs w:val="20"/>
                <w:color w:val="auto"/>
              </w:rPr>
            </w:pPr>
            <w:r>
              <w:rPr>
                <w:rFonts w:ascii="Arial" w:cs="Arial" w:eastAsia="Arial" w:hAnsi="Arial"/>
                <w:sz w:val="16"/>
                <w:szCs w:val="16"/>
                <w:color w:val="auto"/>
              </w:rPr>
              <w:t>Total other comprehensive loss</w:t>
            </w:r>
          </w:p>
        </w:tc>
        <w:tc>
          <w:tcPr>
            <w:tcW w:w="88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(96)</w:t>
            </w:r>
          </w:p>
        </w:tc>
        <w:tc>
          <w:tcPr>
            <w:tcW w:w="28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(2)</w:t>
            </w:r>
          </w:p>
        </w:tc>
        <w:tc>
          <w:tcPr>
            <w:tcW w:w="74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10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(8)</w:t>
            </w:r>
          </w:p>
        </w:tc>
        <w:tc>
          <w:tcPr>
            <w:tcW w:w="3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20" w:type="dxa"/>
            <w:vAlign w:val="bottom"/>
          </w:tcPr>
          <w:p>
            <w:pPr>
              <w:spacing w:after="0"/>
              <w:rPr>
                <w:sz w:val="17"/>
                <w:szCs w:val="17"/>
                <w:color w:val="auto"/>
              </w:rPr>
            </w:pPr>
          </w:p>
        </w:tc>
      </w:tr>
      <w:tr>
        <w:trPr>
          <w:trHeight w:val="173"/>
        </w:trPr>
        <w:tc>
          <w:tcPr>
            <w:tcW w:w="4460" w:type="dxa"/>
            <w:vAlign w:val="bottom"/>
            <w:tcBorders>
              <w:bottom w:val="single" w:sz="8" w:color="auto"/>
            </w:tcBorders>
          </w:tcPr>
          <w:p>
            <w:pPr>
              <w:spacing w:after="0" w:line="166" w:lineRule="exact"/>
              <w:rPr>
                <w:sz w:val="20"/>
                <w:szCs w:val="20"/>
                <w:color w:val="auto"/>
              </w:rPr>
            </w:pPr>
            <w:r>
              <w:rPr>
                <w:rFonts w:ascii="Arial" w:cs="Arial" w:eastAsia="Arial" w:hAnsi="Arial"/>
                <w:sz w:val="16"/>
                <w:szCs w:val="16"/>
                <w:color w:val="auto"/>
              </w:rPr>
              <w:t>Comprehensive income</w:t>
            </w:r>
          </w:p>
        </w:tc>
        <w:tc>
          <w:tcPr>
            <w:tcW w:w="880" w:type="dxa"/>
            <w:vAlign w:val="bottom"/>
            <w:tcBorders>
              <w:bottom w:val="single" w:sz="8" w:color="auto"/>
            </w:tcBorders>
          </w:tcPr>
          <w:p>
            <w:pPr>
              <w:jc w:val="right"/>
              <w:ind w:right="424"/>
              <w:spacing w:after="0" w:line="166" w:lineRule="exact"/>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ind w:right="20"/>
              <w:spacing w:after="0" w:line="166" w:lineRule="exact"/>
              <w:rPr>
                <w:sz w:val="20"/>
                <w:szCs w:val="20"/>
                <w:color w:val="auto"/>
              </w:rPr>
            </w:pPr>
            <w:r>
              <w:rPr>
                <w:rFonts w:ascii="Arial" w:cs="Arial" w:eastAsia="Arial" w:hAnsi="Arial"/>
                <w:sz w:val="16"/>
                <w:szCs w:val="16"/>
                <w:color w:val="auto"/>
              </w:rPr>
              <w:t>323</w:t>
            </w:r>
          </w:p>
        </w:tc>
        <w:tc>
          <w:tcPr>
            <w:tcW w:w="28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61"/>
              <w:spacing w:after="0" w:line="166" w:lineRule="exact"/>
              <w:rPr>
                <w:sz w:val="20"/>
                <w:szCs w:val="20"/>
                <w:color w:val="auto"/>
              </w:rPr>
            </w:pPr>
            <w:r>
              <w:rPr>
                <w:rFonts w:ascii="Arial" w:cs="Arial" w:eastAsia="Arial" w:hAnsi="Arial"/>
                <w:sz w:val="16"/>
                <w:szCs w:val="16"/>
                <w:color w:val="auto"/>
              </w:rPr>
              <w:t>(73)</w:t>
            </w:r>
          </w:p>
        </w:tc>
        <w:tc>
          <w:tcPr>
            <w:tcW w:w="740" w:type="dxa"/>
            <w:vAlign w:val="bottom"/>
            <w:tcBorders>
              <w:bottom w:val="single" w:sz="8" w:color="auto"/>
            </w:tcBorders>
          </w:tcPr>
          <w:p>
            <w:pPr>
              <w:ind w:left="140"/>
              <w:spacing w:after="0" w:line="166" w:lineRule="exact"/>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gridSpan w:val="2"/>
          </w:tcPr>
          <w:p>
            <w:pPr>
              <w:jc w:val="right"/>
              <w:ind w:right="100"/>
              <w:spacing w:after="0" w:line="166" w:lineRule="exact"/>
              <w:rPr>
                <w:sz w:val="20"/>
                <w:szCs w:val="20"/>
                <w:color w:val="auto"/>
              </w:rPr>
            </w:pPr>
            <w:r>
              <w:rPr>
                <w:rFonts w:ascii="Arial" w:cs="Arial" w:eastAsia="Arial" w:hAnsi="Arial"/>
                <w:sz w:val="16"/>
                <w:szCs w:val="16"/>
                <w:color w:val="auto"/>
              </w:rPr>
              <w:t>250</w:t>
            </w:r>
          </w:p>
        </w:tc>
        <w:tc>
          <w:tcPr>
            <w:tcW w:w="1220" w:type="dxa"/>
            <w:vAlign w:val="bottom"/>
            <w:tcBorders>
              <w:bottom w:val="single" w:sz="8" w:color="auto"/>
            </w:tcBorders>
          </w:tcPr>
          <w:p>
            <w:pPr>
              <w:jc w:val="right"/>
              <w:ind w:right="863"/>
              <w:spacing w:after="0" w:line="166" w:lineRule="exact"/>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jc w:val="right"/>
              <w:ind w:right="60"/>
              <w:spacing w:after="0" w:line="166" w:lineRule="exact"/>
              <w:rPr>
                <w:sz w:val="20"/>
                <w:szCs w:val="20"/>
                <w:color w:val="auto"/>
              </w:rPr>
            </w:pPr>
            <w:r>
              <w:rPr>
                <w:rFonts w:ascii="Arial" w:cs="Arial" w:eastAsia="Arial" w:hAnsi="Arial"/>
                <w:sz w:val="16"/>
                <w:szCs w:val="16"/>
                <w:color w:val="auto"/>
              </w:rPr>
              <w:t>27</w:t>
            </w:r>
          </w:p>
        </w:tc>
        <w:tc>
          <w:tcPr>
            <w:tcW w:w="30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277</w:t>
            </w:r>
          </w:p>
        </w:tc>
        <w:tc>
          <w:tcPr>
            <w:tcW w:w="20" w:type="dxa"/>
            <w:vAlign w:val="bottom"/>
          </w:tcPr>
          <w:p>
            <w:pPr>
              <w:spacing w:after="0"/>
              <w:rPr>
                <w:sz w:val="15"/>
                <w:szCs w:val="15"/>
                <w:color w:val="auto"/>
              </w:rPr>
            </w:pPr>
          </w:p>
        </w:tc>
      </w:tr>
      <w:tr>
        <w:trPr>
          <w:trHeight w:val="201"/>
        </w:trPr>
        <w:tc>
          <w:tcPr>
            <w:tcW w:w="4460" w:type="dxa"/>
            <w:vAlign w:val="bottom"/>
          </w:tcPr>
          <w:p>
            <w:pPr>
              <w:spacing w:after="0"/>
              <w:rPr>
                <w:sz w:val="20"/>
                <w:szCs w:val="20"/>
                <w:color w:val="auto"/>
              </w:rPr>
            </w:pPr>
            <w:r>
              <w:rPr>
                <w:rFonts w:ascii="Arial" w:cs="Arial" w:eastAsia="Arial" w:hAnsi="Arial"/>
                <w:sz w:val="16"/>
                <w:szCs w:val="16"/>
                <w:b w:val="1"/>
                <w:bCs w:val="1"/>
                <w:color w:val="auto"/>
              </w:rPr>
              <w:t>2013:</w:t>
            </w: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84"/>
        </w:trPr>
        <w:tc>
          <w:tcPr>
            <w:tcW w:w="4460" w:type="dxa"/>
            <w:vAlign w:val="bottom"/>
          </w:tcPr>
          <w:p>
            <w:pPr>
              <w:spacing w:after="0"/>
              <w:rPr>
                <w:sz w:val="20"/>
                <w:szCs w:val="20"/>
                <w:color w:val="auto"/>
              </w:rPr>
            </w:pPr>
            <w:r>
              <w:rPr>
                <w:rFonts w:ascii="Arial" w:cs="Arial" w:eastAsia="Arial" w:hAnsi="Arial"/>
                <w:sz w:val="16"/>
                <w:szCs w:val="16"/>
                <w:color w:val="auto"/>
              </w:rPr>
              <w:t>Net income</w:t>
            </w:r>
          </w:p>
        </w:tc>
        <w:tc>
          <w:tcPr>
            <w:tcW w:w="880" w:type="dxa"/>
            <w:vAlign w:val="bottom"/>
          </w:tcPr>
          <w:p>
            <w:pPr>
              <w:jc w:val="right"/>
              <w:ind w:right="424"/>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20"/>
              <w:spacing w:after="0"/>
              <w:rPr>
                <w:sz w:val="20"/>
                <w:szCs w:val="20"/>
                <w:color w:val="auto"/>
              </w:rPr>
            </w:pPr>
            <w:r>
              <w:rPr>
                <w:rFonts w:ascii="Arial" w:cs="Arial" w:eastAsia="Arial" w:hAnsi="Arial"/>
                <w:sz w:val="16"/>
                <w:szCs w:val="16"/>
                <w:color w:val="auto"/>
              </w:rPr>
              <w:t>418</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(117)</w:t>
            </w:r>
          </w:p>
        </w:tc>
        <w:tc>
          <w:tcPr>
            <w:tcW w:w="740" w:type="dxa"/>
            <w:vAlign w:val="bottom"/>
          </w:tcPr>
          <w:p>
            <w:pPr>
              <w:ind w:left="140"/>
              <w:spacing w:after="0"/>
              <w:rPr>
                <w:sz w:val="20"/>
                <w:szCs w:val="20"/>
                <w:color w:val="auto"/>
              </w:rPr>
            </w:pPr>
            <w:r>
              <w:rPr>
                <w:rFonts w:ascii="Arial" w:cs="Arial" w:eastAsia="Arial" w:hAnsi="Arial"/>
                <w:sz w:val="16"/>
                <w:szCs w:val="16"/>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6"/>
                <w:szCs w:val="16"/>
                <w:color w:val="auto"/>
              </w:rPr>
              <w:t>301</w:t>
            </w:r>
          </w:p>
        </w:tc>
        <w:tc>
          <w:tcPr>
            <w:tcW w:w="1220" w:type="dxa"/>
            <w:vAlign w:val="bottom"/>
          </w:tcPr>
          <w:p>
            <w:pPr>
              <w:jc w:val="right"/>
              <w:ind w:right="863"/>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60"/>
              <w:spacing w:after="0"/>
              <w:rPr>
                <w:sz w:val="20"/>
                <w:szCs w:val="20"/>
                <w:color w:val="auto"/>
              </w:rPr>
            </w:pPr>
            <w:r>
              <w:rPr>
                <w:rFonts w:ascii="Arial" w:cs="Arial" w:eastAsia="Arial" w:hAnsi="Arial"/>
                <w:sz w:val="16"/>
                <w:szCs w:val="16"/>
                <w:color w:val="auto"/>
              </w:rPr>
              <w:t>22</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323</w:t>
            </w:r>
          </w:p>
        </w:tc>
      </w:tr>
      <w:tr>
        <w:trPr>
          <w:trHeight w:val="214"/>
        </w:trPr>
        <w:tc>
          <w:tcPr>
            <w:tcW w:w="4460" w:type="dxa"/>
            <w:vAlign w:val="bottom"/>
          </w:tcPr>
          <w:p>
            <w:pPr>
              <w:spacing w:after="0"/>
              <w:rPr>
                <w:sz w:val="20"/>
                <w:szCs w:val="20"/>
                <w:color w:val="auto"/>
              </w:rPr>
            </w:pPr>
            <w:r>
              <w:rPr>
                <w:rFonts w:ascii="Arial" w:cs="Arial" w:eastAsia="Arial" w:hAnsi="Arial"/>
                <w:sz w:val="16"/>
                <w:szCs w:val="16"/>
                <w:color w:val="auto"/>
              </w:rPr>
              <w:t>Other comprehensive income (loss):</w:t>
            </w:r>
          </w:p>
        </w:tc>
        <w:tc>
          <w:tcPr>
            <w:tcW w:w="8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4460" w:type="dxa"/>
            <w:vAlign w:val="bottom"/>
          </w:tcPr>
          <w:p>
            <w:pPr>
              <w:ind w:left="180"/>
              <w:spacing w:after="0"/>
              <w:rPr>
                <w:sz w:val="20"/>
                <w:szCs w:val="20"/>
                <w:color w:val="auto"/>
              </w:rPr>
            </w:pPr>
            <w:r>
              <w:rPr>
                <w:rFonts w:ascii="Arial" w:cs="Arial" w:eastAsia="Arial" w:hAnsi="Arial"/>
                <w:sz w:val="16"/>
                <w:szCs w:val="16"/>
                <w:color w:val="auto"/>
              </w:rPr>
              <w:t>Foreign currency translation adjustments</w:t>
            </w:r>
          </w:p>
        </w:tc>
        <w:tc>
          <w:tcPr>
            <w:tcW w:w="880" w:type="dxa"/>
            <w:vAlign w:val="bottom"/>
          </w:tcPr>
          <w:p>
            <w:pPr>
              <w:spacing w:after="0"/>
              <w:rPr>
                <w:sz w:val="18"/>
                <w:szCs w:val="18"/>
                <w:color w:val="auto"/>
              </w:rPr>
            </w:pPr>
          </w:p>
        </w:tc>
        <w:tc>
          <w:tcPr>
            <w:tcW w:w="48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280" w:type="dxa"/>
            <w:vAlign w:val="bottom"/>
          </w:tcPr>
          <w:p>
            <w:pPr>
              <w:spacing w:after="0"/>
              <w:rPr>
                <w:sz w:val="18"/>
                <w:szCs w:val="18"/>
                <w:color w:val="auto"/>
              </w:rPr>
            </w:pPr>
          </w:p>
        </w:tc>
        <w:tc>
          <w:tcPr>
            <w:tcW w:w="128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6"/>
                <w:szCs w:val="16"/>
                <w:color w:val="auto"/>
              </w:rPr>
              <w:t>5</w:t>
            </w:r>
          </w:p>
        </w:tc>
        <w:tc>
          <w:tcPr>
            <w:tcW w:w="1220" w:type="dxa"/>
            <w:vAlign w:val="bottom"/>
          </w:tcPr>
          <w:p>
            <w:pPr>
              <w:spacing w:after="0"/>
              <w:rPr>
                <w:sz w:val="18"/>
                <w:szCs w:val="18"/>
                <w:color w:val="auto"/>
              </w:rPr>
            </w:pPr>
          </w:p>
        </w:tc>
        <w:tc>
          <w:tcPr>
            <w:tcW w:w="46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5</w:t>
            </w:r>
          </w:p>
        </w:tc>
      </w:tr>
      <w:tr>
        <w:trPr>
          <w:trHeight w:val="213"/>
        </w:trPr>
        <w:tc>
          <w:tcPr>
            <w:tcW w:w="4460" w:type="dxa"/>
            <w:vAlign w:val="bottom"/>
          </w:tcPr>
          <w:p>
            <w:pPr>
              <w:ind w:left="180"/>
              <w:spacing w:after="0"/>
              <w:rPr>
                <w:sz w:val="20"/>
                <w:szCs w:val="20"/>
                <w:color w:val="auto"/>
              </w:rPr>
            </w:pPr>
            <w:r>
              <w:rPr>
                <w:rFonts w:ascii="Arial" w:cs="Arial" w:eastAsia="Arial" w:hAnsi="Arial"/>
                <w:sz w:val="16"/>
                <w:szCs w:val="16"/>
                <w:color w:val="auto"/>
              </w:rPr>
              <w:t>Pension and other postretirement benefits</w:t>
            </w:r>
          </w:p>
        </w:tc>
        <w:tc>
          <w:tcPr>
            <w:tcW w:w="880" w:type="dxa"/>
            <w:vAlign w:val="bottom"/>
          </w:tcPr>
          <w:p>
            <w:pPr>
              <w:spacing w:after="0"/>
              <w:rPr>
                <w:sz w:val="18"/>
                <w:szCs w:val="18"/>
                <w:color w:val="auto"/>
              </w:rPr>
            </w:pPr>
          </w:p>
        </w:tc>
        <w:tc>
          <w:tcPr>
            <w:tcW w:w="48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280" w:type="dxa"/>
            <w:vAlign w:val="bottom"/>
          </w:tcPr>
          <w:p>
            <w:pPr>
              <w:spacing w:after="0"/>
              <w:rPr>
                <w:sz w:val="18"/>
                <w:szCs w:val="18"/>
                <w:color w:val="auto"/>
              </w:rPr>
            </w:pP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(2)</w:t>
            </w:r>
          </w:p>
        </w:tc>
        <w:tc>
          <w:tcPr>
            <w:tcW w:w="74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6"/>
                <w:szCs w:val="16"/>
                <w:color w:val="auto"/>
              </w:rPr>
              <w:t>3</w:t>
            </w:r>
          </w:p>
        </w:tc>
        <w:tc>
          <w:tcPr>
            <w:tcW w:w="1220" w:type="dxa"/>
            <w:vAlign w:val="bottom"/>
          </w:tcPr>
          <w:p>
            <w:pPr>
              <w:spacing w:after="0"/>
              <w:rPr>
                <w:sz w:val="18"/>
                <w:szCs w:val="18"/>
                <w:color w:val="auto"/>
              </w:rPr>
            </w:pPr>
          </w:p>
        </w:tc>
        <w:tc>
          <w:tcPr>
            <w:tcW w:w="46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3</w:t>
            </w:r>
          </w:p>
        </w:tc>
      </w:tr>
      <w:tr>
        <w:trPr>
          <w:trHeight w:val="204"/>
        </w:trPr>
        <w:tc>
          <w:tcPr>
            <w:tcW w:w="4460" w:type="dxa"/>
            <w:vAlign w:val="bottom"/>
          </w:tcPr>
          <w:p>
            <w:pPr>
              <w:ind w:left="180"/>
              <w:spacing w:after="0"/>
              <w:rPr>
                <w:sz w:val="20"/>
                <w:szCs w:val="20"/>
                <w:color w:val="auto"/>
              </w:rPr>
            </w:pPr>
            <w:r>
              <w:rPr>
                <w:rFonts w:ascii="Arial" w:cs="Arial" w:eastAsia="Arial" w:hAnsi="Arial"/>
                <w:sz w:val="16"/>
                <w:szCs w:val="16"/>
                <w:color w:val="auto"/>
              </w:rPr>
              <w:t>Financial instruments</w:t>
            </w:r>
          </w:p>
        </w:tc>
        <w:tc>
          <w:tcPr>
            <w:tcW w:w="8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w:t>
            </w:r>
          </w:p>
        </w:tc>
        <w:tc>
          <w:tcPr>
            <w:tcW w:w="7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w:t>
            </w: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20" w:type="dxa"/>
            <w:vAlign w:val="bottom"/>
          </w:tcPr>
          <w:p>
            <w:pPr>
              <w:spacing w:after="0"/>
              <w:rPr>
                <w:sz w:val="17"/>
                <w:szCs w:val="17"/>
                <w:color w:val="auto"/>
              </w:rPr>
            </w:pPr>
          </w:p>
        </w:tc>
      </w:tr>
      <w:tr>
        <w:trPr>
          <w:trHeight w:val="206"/>
        </w:trPr>
        <w:tc>
          <w:tcPr>
            <w:tcW w:w="4460" w:type="dxa"/>
            <w:vAlign w:val="bottom"/>
          </w:tcPr>
          <w:p>
            <w:pPr>
              <w:ind w:left="180"/>
              <w:spacing w:after="0"/>
              <w:rPr>
                <w:sz w:val="20"/>
                <w:szCs w:val="20"/>
                <w:color w:val="auto"/>
              </w:rPr>
            </w:pPr>
            <w:r>
              <w:rPr>
                <w:rFonts w:ascii="Arial" w:cs="Arial" w:eastAsia="Arial" w:hAnsi="Arial"/>
                <w:sz w:val="16"/>
                <w:szCs w:val="16"/>
                <w:color w:val="auto"/>
              </w:rPr>
              <w:t>Total other comprehensive income (loss)</w:t>
            </w:r>
          </w:p>
        </w:tc>
        <w:tc>
          <w:tcPr>
            <w:tcW w:w="8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w:t>
            </w:r>
          </w:p>
        </w:tc>
        <w:tc>
          <w:tcPr>
            <w:tcW w:w="7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4</w:t>
            </w:r>
          </w:p>
        </w:tc>
        <w:tc>
          <w:tcPr>
            <w:tcW w:w="12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w:t>
            </w: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2</w:t>
            </w:r>
          </w:p>
        </w:tc>
      </w:tr>
      <w:tr>
        <w:trPr>
          <w:trHeight w:val="214"/>
        </w:trPr>
        <w:tc>
          <w:tcPr>
            <w:tcW w:w="4460" w:type="dxa"/>
            <w:vAlign w:val="bottom"/>
          </w:tcPr>
          <w:p>
            <w:pPr>
              <w:spacing w:after="0"/>
              <w:rPr>
                <w:sz w:val="20"/>
                <w:szCs w:val="20"/>
                <w:color w:val="auto"/>
              </w:rPr>
            </w:pPr>
            <w:r>
              <w:rPr>
                <w:rFonts w:ascii="Arial" w:cs="Arial" w:eastAsia="Arial" w:hAnsi="Arial"/>
                <w:sz w:val="16"/>
                <w:szCs w:val="16"/>
                <w:color w:val="auto"/>
              </w:rPr>
              <w:t>Comprehensive income</w:t>
            </w:r>
          </w:p>
        </w:tc>
        <w:tc>
          <w:tcPr>
            <w:tcW w:w="880" w:type="dxa"/>
            <w:vAlign w:val="bottom"/>
          </w:tcPr>
          <w:p>
            <w:pPr>
              <w:spacing w:after="0"/>
              <w:rPr>
                <w:sz w:val="18"/>
                <w:szCs w:val="18"/>
                <w:color w:val="auto"/>
              </w:rPr>
            </w:pPr>
          </w:p>
        </w:tc>
        <w:tc>
          <w:tcPr>
            <w:tcW w:w="480" w:type="dxa"/>
            <w:vAlign w:val="bottom"/>
          </w:tcPr>
          <w:p>
            <w:pPr>
              <w:jc w:val="right"/>
              <w:ind w:right="20"/>
              <w:spacing w:after="0"/>
              <w:rPr>
                <w:sz w:val="20"/>
                <w:szCs w:val="20"/>
                <w:color w:val="auto"/>
              </w:rPr>
            </w:pPr>
            <w:r>
              <w:rPr>
                <w:rFonts w:ascii="Arial" w:cs="Arial" w:eastAsia="Arial" w:hAnsi="Arial"/>
                <w:sz w:val="16"/>
                <w:szCs w:val="16"/>
                <w:color w:val="auto"/>
              </w:rPr>
              <w:t>423</w:t>
            </w:r>
          </w:p>
        </w:tc>
        <w:tc>
          <w:tcPr>
            <w:tcW w:w="280" w:type="dxa"/>
            <w:vAlign w:val="bottom"/>
          </w:tcPr>
          <w:p>
            <w:pPr>
              <w:spacing w:after="0"/>
              <w:rPr>
                <w:sz w:val="18"/>
                <w:szCs w:val="18"/>
                <w:color w:val="auto"/>
              </w:rPr>
            </w:pP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(118)</w:t>
            </w:r>
          </w:p>
        </w:tc>
        <w:tc>
          <w:tcPr>
            <w:tcW w:w="74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6"/>
                <w:szCs w:val="16"/>
                <w:color w:val="auto"/>
              </w:rPr>
              <w:t>305</w:t>
            </w:r>
          </w:p>
        </w:tc>
        <w:tc>
          <w:tcPr>
            <w:tcW w:w="1220" w:type="dxa"/>
            <w:vAlign w:val="bottom"/>
          </w:tcPr>
          <w:p>
            <w:pPr>
              <w:spacing w:after="0"/>
              <w:rPr>
                <w:sz w:val="18"/>
                <w:szCs w:val="18"/>
                <w:color w:val="auto"/>
              </w:rPr>
            </w:pPr>
          </w:p>
        </w:tc>
        <w:tc>
          <w:tcPr>
            <w:tcW w:w="460" w:type="dxa"/>
            <w:vAlign w:val="bottom"/>
          </w:tcPr>
          <w:p>
            <w:pPr>
              <w:jc w:val="right"/>
              <w:ind w:right="60"/>
              <w:spacing w:after="0"/>
              <w:rPr>
                <w:sz w:val="20"/>
                <w:szCs w:val="20"/>
                <w:color w:val="auto"/>
              </w:rPr>
            </w:pPr>
            <w:r>
              <w:rPr>
                <w:rFonts w:ascii="Arial" w:cs="Arial" w:eastAsia="Arial" w:hAnsi="Arial"/>
                <w:sz w:val="16"/>
                <w:szCs w:val="16"/>
                <w:color w:val="auto"/>
              </w:rPr>
              <w:t>20</w:t>
            </w:r>
          </w:p>
        </w:tc>
        <w:tc>
          <w:tcPr>
            <w:tcW w:w="3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325</w:t>
            </w:r>
          </w:p>
        </w:tc>
      </w:tr>
      <w:tr>
        <w:trPr>
          <w:trHeight w:val="204"/>
        </w:trPr>
        <w:tc>
          <w:tcPr>
            <w:tcW w:w="4460" w:type="dxa"/>
            <w:vAlign w:val="bottom"/>
          </w:tcPr>
          <w:p>
            <w:pPr>
              <w:spacing w:after="0"/>
              <w:rPr>
                <w:sz w:val="20"/>
                <w:szCs w:val="20"/>
                <w:color w:val="auto"/>
              </w:rPr>
            </w:pPr>
            <w:r>
              <w:rPr>
                <w:rFonts w:ascii="Arial" w:cs="Arial" w:eastAsia="Arial" w:hAnsi="Arial"/>
                <w:sz w:val="16"/>
                <w:szCs w:val="16"/>
                <w:color w:val="auto"/>
              </w:rPr>
              <w:t>Preferred dividends of subsidiaries</w:t>
            </w:r>
          </w:p>
        </w:tc>
        <w:tc>
          <w:tcPr>
            <w:tcW w:w="8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7"/>
                <w:szCs w:val="17"/>
                <w:color w:val="auto"/>
              </w:rPr>
            </w:pPr>
          </w:p>
        </w:tc>
      </w:tr>
      <w:tr>
        <w:trPr>
          <w:trHeight w:val="194"/>
        </w:trPr>
        <w:tc>
          <w:tcPr>
            <w:tcW w:w="4460" w:type="dxa"/>
            <w:vAlign w:val="bottom"/>
          </w:tcPr>
          <w:p>
            <w:pPr>
              <w:spacing w:after="0"/>
              <w:rPr>
                <w:sz w:val="20"/>
                <w:szCs w:val="20"/>
                <w:color w:val="auto"/>
              </w:rPr>
            </w:pPr>
            <w:r>
              <w:rPr>
                <w:rFonts w:ascii="Arial" w:cs="Arial" w:eastAsia="Arial" w:hAnsi="Arial"/>
                <w:sz w:val="16"/>
                <w:szCs w:val="16"/>
                <w:color w:val="auto"/>
              </w:rPr>
              <w:t>Comprehensive income, after preferred</w:t>
            </w: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2"/>
        </w:trPr>
        <w:tc>
          <w:tcPr>
            <w:tcW w:w="4460" w:type="dxa"/>
            <w:vAlign w:val="bottom"/>
          </w:tcPr>
          <w:p>
            <w:pPr>
              <w:ind w:left="180"/>
              <w:spacing w:after="0"/>
              <w:rPr>
                <w:sz w:val="20"/>
                <w:szCs w:val="20"/>
                <w:color w:val="auto"/>
              </w:rPr>
            </w:pPr>
            <w:r>
              <w:rPr>
                <w:rFonts w:ascii="Arial" w:cs="Arial" w:eastAsia="Arial" w:hAnsi="Arial"/>
                <w:sz w:val="16"/>
                <w:szCs w:val="16"/>
                <w:color w:val="auto"/>
              </w:rPr>
              <w:t>dividends of subsidiaries</w:t>
            </w:r>
          </w:p>
        </w:tc>
        <w:tc>
          <w:tcPr>
            <w:tcW w:w="880" w:type="dxa"/>
            <w:vAlign w:val="bottom"/>
          </w:tcPr>
          <w:p>
            <w:pPr>
              <w:jc w:val="right"/>
              <w:ind w:right="424"/>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20"/>
              <w:spacing w:after="0"/>
              <w:rPr>
                <w:sz w:val="20"/>
                <w:szCs w:val="20"/>
                <w:color w:val="auto"/>
              </w:rPr>
            </w:pPr>
            <w:r>
              <w:rPr>
                <w:rFonts w:ascii="Arial" w:cs="Arial" w:eastAsia="Arial" w:hAnsi="Arial"/>
                <w:sz w:val="16"/>
                <w:szCs w:val="16"/>
                <w:color w:val="auto"/>
              </w:rPr>
              <w:t>421</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(118)</w:t>
            </w:r>
          </w:p>
        </w:tc>
        <w:tc>
          <w:tcPr>
            <w:tcW w:w="740" w:type="dxa"/>
            <w:vAlign w:val="bottom"/>
          </w:tcPr>
          <w:p>
            <w:pPr>
              <w:ind w:left="140"/>
              <w:spacing w:after="0"/>
              <w:rPr>
                <w:sz w:val="20"/>
                <w:szCs w:val="20"/>
                <w:color w:val="auto"/>
              </w:rPr>
            </w:pPr>
            <w:r>
              <w:rPr>
                <w:rFonts w:ascii="Arial" w:cs="Arial" w:eastAsia="Arial" w:hAnsi="Arial"/>
                <w:sz w:val="16"/>
                <w:szCs w:val="16"/>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6"/>
                <w:szCs w:val="16"/>
                <w:color w:val="auto"/>
              </w:rPr>
              <w:t>303</w:t>
            </w:r>
          </w:p>
        </w:tc>
        <w:tc>
          <w:tcPr>
            <w:tcW w:w="1220" w:type="dxa"/>
            <w:vAlign w:val="bottom"/>
          </w:tcPr>
          <w:p>
            <w:pPr>
              <w:jc w:val="right"/>
              <w:ind w:right="863"/>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60"/>
              <w:spacing w:after="0"/>
              <w:rPr>
                <w:sz w:val="20"/>
                <w:szCs w:val="20"/>
                <w:color w:val="auto"/>
              </w:rPr>
            </w:pPr>
            <w:r>
              <w:rPr>
                <w:rFonts w:ascii="Arial" w:cs="Arial" w:eastAsia="Arial" w:hAnsi="Arial"/>
                <w:sz w:val="16"/>
                <w:szCs w:val="16"/>
                <w:color w:val="auto"/>
              </w:rPr>
              <w:t>20</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323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724852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8525" cy="1714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-104775</wp:posOffset>
            </wp:positionV>
            <wp:extent cx="7248525" cy="3289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8525" cy="32893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STATEMENTS OF COMPREHENSIVE INCOME (CONTINUED)</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72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color w:val="auto"/>
              </w:rPr>
              <w:t>Nine months ended September 30, 2014 and 2013</w:t>
            </w:r>
          </w:p>
        </w:tc>
        <w:tc>
          <w:tcPr>
            <w:tcW w:w="5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r>
      <w:tr>
        <w:trPr>
          <w:trHeight w:val="193"/>
        </w:trPr>
        <w:tc>
          <w:tcPr>
            <w:tcW w:w="43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color w:val="auto"/>
              </w:rPr>
              <w:t>(unaudited)</w:t>
            </w:r>
          </w:p>
        </w:tc>
        <w:tc>
          <w:tcPr>
            <w:tcW w:w="12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193"/>
        </w:trPr>
        <w:tc>
          <w:tcPr>
            <w:tcW w:w="4360" w:type="dxa"/>
            <w:vAlign w:val="bottom"/>
          </w:tcPr>
          <w:p>
            <w:pPr>
              <w:spacing w:after="0"/>
              <w:rPr>
                <w:sz w:val="16"/>
                <w:szCs w:val="16"/>
                <w:color w:val="auto"/>
              </w:rPr>
            </w:pPr>
          </w:p>
        </w:tc>
        <w:tc>
          <w:tcPr>
            <w:tcW w:w="3200" w:type="dxa"/>
            <w:vAlign w:val="bottom"/>
            <w:tcBorders>
              <w:bottom w:val="single" w:sz="8" w:color="auto"/>
            </w:tcBorders>
            <w:gridSpan w:val="5"/>
          </w:tcPr>
          <w:p>
            <w:pPr>
              <w:ind w:left="860"/>
              <w:spacing w:after="0"/>
              <w:rPr>
                <w:sz w:val="20"/>
                <w:szCs w:val="20"/>
                <w:color w:val="auto"/>
              </w:rPr>
            </w:pPr>
            <w:r>
              <w:rPr>
                <w:rFonts w:ascii="Arial" w:cs="Arial" w:eastAsia="Arial" w:hAnsi="Arial"/>
                <w:sz w:val="14"/>
                <w:szCs w:val="14"/>
                <w:color w:val="auto"/>
              </w:rPr>
              <w:t>Sempra Energy Shareholders' Equity</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21"/>
        </w:trPr>
        <w:tc>
          <w:tcPr>
            <w:tcW w:w="4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Pretax</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ind w:right="442"/>
              <w:spacing w:after="0"/>
              <w:rPr>
                <w:sz w:val="20"/>
                <w:szCs w:val="20"/>
                <w:color w:val="auto"/>
              </w:rPr>
            </w:pPr>
            <w:r>
              <w:rPr>
                <w:rFonts w:ascii="Arial" w:cs="Arial" w:eastAsia="Arial" w:hAnsi="Arial"/>
                <w:sz w:val="14"/>
                <w:szCs w:val="14"/>
                <w:color w:val="auto"/>
                <w:w w:val="95"/>
              </w:rPr>
              <w:t>Income Tax</w:t>
            </w:r>
          </w:p>
        </w:tc>
        <w:tc>
          <w:tcPr>
            <w:tcW w:w="1220" w:type="dxa"/>
            <w:vAlign w:val="bottom"/>
            <w:gridSpan w:val="3"/>
          </w:tcPr>
          <w:p>
            <w:pPr>
              <w:ind w:left="160"/>
              <w:spacing w:after="0"/>
              <w:rPr>
                <w:sz w:val="20"/>
                <w:szCs w:val="20"/>
                <w:color w:val="auto"/>
              </w:rPr>
            </w:pPr>
            <w:r>
              <w:rPr>
                <w:rFonts w:ascii="Arial" w:cs="Arial" w:eastAsia="Arial" w:hAnsi="Arial"/>
                <w:sz w:val="14"/>
                <w:szCs w:val="14"/>
                <w:color w:val="auto"/>
              </w:rPr>
              <w:t>Net-of-Tax</w:t>
            </w:r>
          </w:p>
        </w:tc>
        <w:tc>
          <w:tcPr>
            <w:tcW w:w="1260" w:type="dxa"/>
            <w:vAlign w:val="bottom"/>
          </w:tcPr>
          <w:p>
            <w:pPr>
              <w:ind w:left="300"/>
              <w:spacing w:after="0"/>
              <w:rPr>
                <w:sz w:val="20"/>
                <w:szCs w:val="20"/>
                <w:color w:val="auto"/>
              </w:rPr>
            </w:pPr>
            <w:r>
              <w:rPr>
                <w:rFonts w:ascii="Arial" w:cs="Arial" w:eastAsia="Arial" w:hAnsi="Arial"/>
                <w:sz w:val="14"/>
                <w:szCs w:val="14"/>
                <w:color w:val="auto"/>
              </w:rPr>
              <w:t>Noncontrolling</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197"/>
        </w:trPr>
        <w:tc>
          <w:tcPr>
            <w:tcW w:w="4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Amount</w:t>
            </w:r>
          </w:p>
        </w:tc>
        <w:tc>
          <w:tcPr>
            <w:tcW w:w="5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right"/>
              <w:ind w:right="242"/>
              <w:spacing w:after="0"/>
              <w:rPr>
                <w:sz w:val="20"/>
                <w:szCs w:val="20"/>
                <w:color w:val="auto"/>
              </w:rPr>
            </w:pPr>
            <w:r>
              <w:rPr>
                <w:rFonts w:ascii="Arial" w:cs="Arial" w:eastAsia="Arial" w:hAnsi="Arial"/>
                <w:sz w:val="14"/>
                <w:szCs w:val="14"/>
                <w:color w:val="auto"/>
              </w:rPr>
              <w:t>(Expense) Benefit</w:t>
            </w: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Amount</w:t>
            </w:r>
          </w:p>
        </w:tc>
        <w:tc>
          <w:tcPr>
            <w:tcW w:w="17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Interests (After-Tax)</w:t>
            </w: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color w:val="auto"/>
              </w:rPr>
              <w:t>Total</w:t>
            </w:r>
          </w:p>
        </w:tc>
      </w:tr>
      <w:tr>
        <w:trPr>
          <w:trHeight w:val="194"/>
        </w:trPr>
        <w:tc>
          <w:tcPr>
            <w:tcW w:w="4360" w:type="dxa"/>
            <w:vAlign w:val="bottom"/>
          </w:tcPr>
          <w:p>
            <w:pPr>
              <w:spacing w:after="0"/>
              <w:rPr>
                <w:sz w:val="20"/>
                <w:szCs w:val="20"/>
                <w:color w:val="auto"/>
              </w:rPr>
            </w:pPr>
            <w:r>
              <w:rPr>
                <w:rFonts w:ascii="Arial" w:cs="Arial" w:eastAsia="Arial" w:hAnsi="Arial"/>
                <w:sz w:val="16"/>
                <w:szCs w:val="16"/>
                <w:b w:val="1"/>
                <w:bCs w:val="1"/>
                <w:color w:val="auto"/>
              </w:rPr>
              <w:t>2014:</w:t>
            </w: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4"/>
        </w:trPr>
        <w:tc>
          <w:tcPr>
            <w:tcW w:w="4360" w:type="dxa"/>
            <w:vAlign w:val="bottom"/>
          </w:tcPr>
          <w:p>
            <w:pPr>
              <w:spacing w:after="0"/>
              <w:rPr>
                <w:sz w:val="20"/>
                <w:szCs w:val="20"/>
                <w:color w:val="auto"/>
              </w:rPr>
            </w:pPr>
            <w:r>
              <w:rPr>
                <w:rFonts w:ascii="Arial" w:cs="Arial" w:eastAsia="Arial" w:hAnsi="Arial"/>
                <w:sz w:val="16"/>
                <w:szCs w:val="16"/>
                <w:color w:val="auto"/>
              </w:rPr>
              <w:t>Net income</w:t>
            </w:r>
          </w:p>
        </w:tc>
        <w:tc>
          <w:tcPr>
            <w:tcW w:w="940" w:type="dxa"/>
            <w:vAlign w:val="bottom"/>
            <w:tcBorders>
              <w:bottom w:val="single" w:sz="8" w:color="auto"/>
            </w:tcBorders>
          </w:tcPr>
          <w:p>
            <w:pPr>
              <w:jc w:val="right"/>
              <w:ind w:right="505"/>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94"/>
              </w:rPr>
              <w:t>1,156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(291)</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865</w:t>
            </w:r>
          </w:p>
        </w:tc>
        <w:tc>
          <w:tcPr>
            <w:tcW w:w="12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76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941</w:t>
            </w:r>
          </w:p>
        </w:tc>
      </w:tr>
      <w:tr>
        <w:trPr>
          <w:trHeight w:val="214"/>
        </w:trPr>
        <w:tc>
          <w:tcPr>
            <w:tcW w:w="4360" w:type="dxa"/>
            <w:vAlign w:val="bottom"/>
          </w:tcPr>
          <w:p>
            <w:pPr>
              <w:spacing w:after="0"/>
              <w:rPr>
                <w:sz w:val="20"/>
                <w:szCs w:val="20"/>
                <w:color w:val="auto"/>
              </w:rPr>
            </w:pPr>
            <w:r>
              <w:rPr>
                <w:rFonts w:ascii="Arial" w:cs="Arial" w:eastAsia="Arial" w:hAnsi="Arial"/>
                <w:sz w:val="16"/>
                <w:szCs w:val="16"/>
                <w:color w:val="auto"/>
              </w:rPr>
              <w:t>Other comprehensive income (loss):</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3"/>
        </w:trPr>
        <w:tc>
          <w:tcPr>
            <w:tcW w:w="4360" w:type="dxa"/>
            <w:vAlign w:val="bottom"/>
          </w:tcPr>
          <w:p>
            <w:pPr>
              <w:ind w:left="180"/>
              <w:spacing w:after="0"/>
              <w:rPr>
                <w:sz w:val="20"/>
                <w:szCs w:val="20"/>
                <w:color w:val="auto"/>
              </w:rPr>
            </w:pPr>
            <w:r>
              <w:rPr>
                <w:rFonts w:ascii="Arial" w:cs="Arial" w:eastAsia="Arial" w:hAnsi="Arial"/>
                <w:sz w:val="16"/>
                <w:szCs w:val="16"/>
                <w:color w:val="auto"/>
              </w:rPr>
              <w:t>Foreign currency translation adjustments</w:t>
            </w:r>
          </w:p>
        </w:tc>
        <w:tc>
          <w:tcPr>
            <w:tcW w:w="940" w:type="dxa"/>
            <w:vAlign w:val="bottom"/>
          </w:tcPr>
          <w:p>
            <w:pPr>
              <w:spacing w:after="0"/>
              <w:rPr>
                <w:sz w:val="18"/>
                <w:szCs w:val="18"/>
                <w:color w:val="auto"/>
              </w:rPr>
            </w:pPr>
          </w:p>
        </w:tc>
        <w:tc>
          <w:tcPr>
            <w:tcW w:w="500" w:type="dxa"/>
            <w:vAlign w:val="bottom"/>
          </w:tcPr>
          <w:p>
            <w:pPr>
              <w:jc w:val="right"/>
              <w:ind w:right="20"/>
              <w:spacing w:after="0"/>
              <w:rPr>
                <w:sz w:val="20"/>
                <w:szCs w:val="20"/>
                <w:color w:val="auto"/>
              </w:rPr>
            </w:pPr>
            <w:r>
              <w:rPr>
                <w:rFonts w:ascii="Arial" w:cs="Arial" w:eastAsia="Arial" w:hAnsi="Arial"/>
                <w:sz w:val="16"/>
                <w:szCs w:val="16"/>
                <w:color w:val="auto"/>
              </w:rPr>
              <w:t>(141)</w:t>
            </w:r>
          </w:p>
        </w:tc>
        <w:tc>
          <w:tcPr>
            <w:tcW w:w="280" w:type="dxa"/>
            <w:vAlign w:val="bottom"/>
          </w:tcPr>
          <w:p>
            <w:pPr>
              <w:spacing w:after="0"/>
              <w:rPr>
                <w:sz w:val="18"/>
                <w:szCs w:val="18"/>
                <w:color w:val="auto"/>
              </w:rPr>
            </w:pPr>
          </w:p>
        </w:tc>
        <w:tc>
          <w:tcPr>
            <w:tcW w:w="124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(141)</w:t>
            </w:r>
          </w:p>
        </w:tc>
        <w:tc>
          <w:tcPr>
            <w:tcW w:w="1260" w:type="dxa"/>
            <w:vAlign w:val="bottom"/>
          </w:tcPr>
          <w:p>
            <w:pPr>
              <w:spacing w:after="0"/>
              <w:rPr>
                <w:sz w:val="18"/>
                <w:szCs w:val="18"/>
                <w:color w:val="auto"/>
              </w:rPr>
            </w:pPr>
          </w:p>
        </w:tc>
        <w:tc>
          <w:tcPr>
            <w:tcW w:w="500" w:type="dxa"/>
            <w:vAlign w:val="bottom"/>
          </w:tcPr>
          <w:p>
            <w:pPr>
              <w:jc w:val="right"/>
              <w:ind w:right="60"/>
              <w:spacing w:after="0"/>
              <w:rPr>
                <w:sz w:val="20"/>
                <w:szCs w:val="20"/>
                <w:color w:val="auto"/>
              </w:rPr>
            </w:pPr>
            <w:r>
              <w:rPr>
                <w:rFonts w:ascii="Arial" w:cs="Arial" w:eastAsia="Arial" w:hAnsi="Arial"/>
                <w:sz w:val="16"/>
                <w:szCs w:val="16"/>
                <w:color w:val="auto"/>
              </w:rPr>
              <w:t>(12)</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(153)</w:t>
            </w:r>
          </w:p>
        </w:tc>
      </w:tr>
      <w:tr>
        <w:trPr>
          <w:trHeight w:val="213"/>
        </w:trPr>
        <w:tc>
          <w:tcPr>
            <w:tcW w:w="4360" w:type="dxa"/>
            <w:vAlign w:val="bottom"/>
          </w:tcPr>
          <w:p>
            <w:pPr>
              <w:ind w:left="180"/>
              <w:spacing w:after="0"/>
              <w:rPr>
                <w:sz w:val="20"/>
                <w:szCs w:val="20"/>
                <w:color w:val="auto"/>
              </w:rPr>
            </w:pPr>
            <w:r>
              <w:rPr>
                <w:rFonts w:ascii="Arial" w:cs="Arial" w:eastAsia="Arial" w:hAnsi="Arial"/>
                <w:sz w:val="16"/>
                <w:szCs w:val="16"/>
                <w:color w:val="auto"/>
              </w:rPr>
              <w:t>Pension and other postretirement benefits</w:t>
            </w:r>
          </w:p>
        </w:tc>
        <w:tc>
          <w:tcPr>
            <w:tcW w:w="940" w:type="dxa"/>
            <w:vAlign w:val="bottom"/>
          </w:tcPr>
          <w:p>
            <w:pPr>
              <w:spacing w:after="0"/>
              <w:rPr>
                <w:sz w:val="18"/>
                <w:szCs w:val="18"/>
                <w:color w:val="auto"/>
              </w:rPr>
            </w:pPr>
          </w:p>
        </w:tc>
        <w:tc>
          <w:tcPr>
            <w:tcW w:w="500" w:type="dxa"/>
            <w:vAlign w:val="bottom"/>
          </w:tcPr>
          <w:p>
            <w:pPr>
              <w:jc w:val="right"/>
              <w:ind w:right="20"/>
              <w:spacing w:after="0"/>
              <w:rPr>
                <w:sz w:val="20"/>
                <w:szCs w:val="20"/>
                <w:color w:val="auto"/>
              </w:rPr>
            </w:pPr>
            <w:r>
              <w:rPr>
                <w:rFonts w:ascii="Arial" w:cs="Arial" w:eastAsia="Arial" w:hAnsi="Arial"/>
                <w:sz w:val="16"/>
                <w:szCs w:val="16"/>
                <w:color w:val="auto"/>
              </w:rPr>
              <w:t>21</w:t>
            </w:r>
          </w:p>
        </w:tc>
        <w:tc>
          <w:tcPr>
            <w:tcW w:w="280" w:type="dxa"/>
            <w:vAlign w:val="bottom"/>
          </w:tcPr>
          <w:p>
            <w:pPr>
              <w:spacing w:after="0"/>
              <w:rPr>
                <w:sz w:val="18"/>
                <w:szCs w:val="18"/>
                <w:color w:val="auto"/>
              </w:rPr>
            </w:pPr>
          </w:p>
        </w:tc>
        <w:tc>
          <w:tcPr>
            <w:tcW w:w="1240" w:type="dxa"/>
            <w:vAlign w:val="bottom"/>
          </w:tcPr>
          <w:p>
            <w:pPr>
              <w:jc w:val="right"/>
              <w:ind w:right="62"/>
              <w:spacing w:after="0"/>
              <w:rPr>
                <w:sz w:val="20"/>
                <w:szCs w:val="20"/>
                <w:color w:val="auto"/>
              </w:rPr>
            </w:pPr>
            <w:r>
              <w:rPr>
                <w:rFonts w:ascii="Arial" w:cs="Arial" w:eastAsia="Arial" w:hAnsi="Arial"/>
                <w:sz w:val="16"/>
                <w:szCs w:val="16"/>
                <w:color w:val="auto"/>
              </w:rPr>
              <w:t>(8)</w:t>
            </w: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13</w:t>
            </w:r>
          </w:p>
        </w:tc>
        <w:tc>
          <w:tcPr>
            <w:tcW w:w="1260" w:type="dxa"/>
            <w:vAlign w:val="bottom"/>
          </w:tcPr>
          <w:p>
            <w:pPr>
              <w:spacing w:after="0"/>
              <w:rPr>
                <w:sz w:val="18"/>
                <w:szCs w:val="18"/>
                <w:color w:val="auto"/>
              </w:rPr>
            </w:pPr>
          </w:p>
        </w:tc>
        <w:tc>
          <w:tcPr>
            <w:tcW w:w="50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04"/>
        </w:trPr>
        <w:tc>
          <w:tcPr>
            <w:tcW w:w="4360" w:type="dxa"/>
            <w:vAlign w:val="bottom"/>
          </w:tcPr>
          <w:p>
            <w:pPr>
              <w:ind w:left="180"/>
              <w:spacing w:after="0"/>
              <w:rPr>
                <w:sz w:val="20"/>
                <w:szCs w:val="20"/>
                <w:color w:val="auto"/>
              </w:rPr>
            </w:pPr>
            <w:r>
              <w:rPr>
                <w:rFonts w:ascii="Arial" w:cs="Arial" w:eastAsia="Arial" w:hAnsi="Arial"/>
                <w:sz w:val="16"/>
                <w:szCs w:val="16"/>
                <w:color w:val="auto"/>
              </w:rPr>
              <w:t>Financial instruments</w:t>
            </w:r>
          </w:p>
        </w:tc>
        <w:tc>
          <w:tcPr>
            <w:tcW w:w="9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(24)</w:t>
            </w: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9</w:t>
            </w: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(15)</w:t>
            </w:r>
          </w:p>
        </w:tc>
        <w:tc>
          <w:tcPr>
            <w:tcW w:w="12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w:t>
            </w: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r>
      <w:tr>
        <w:trPr>
          <w:trHeight w:val="206"/>
        </w:trPr>
        <w:tc>
          <w:tcPr>
            <w:tcW w:w="4360" w:type="dxa"/>
            <w:vAlign w:val="bottom"/>
          </w:tcPr>
          <w:p>
            <w:pPr>
              <w:ind w:left="180"/>
              <w:spacing w:after="0"/>
              <w:rPr>
                <w:sz w:val="20"/>
                <w:szCs w:val="20"/>
                <w:color w:val="auto"/>
              </w:rPr>
            </w:pPr>
            <w:r>
              <w:rPr>
                <w:rFonts w:ascii="Arial" w:cs="Arial" w:eastAsia="Arial" w:hAnsi="Arial"/>
                <w:sz w:val="16"/>
                <w:szCs w:val="16"/>
                <w:color w:val="auto"/>
              </w:rPr>
              <w:t>Total other comprehensive loss</w:t>
            </w:r>
          </w:p>
        </w:tc>
        <w:tc>
          <w:tcPr>
            <w:tcW w:w="9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(144)</w:t>
            </w: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w:t>
            </w: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(143)</w:t>
            </w:r>
          </w:p>
        </w:tc>
        <w:tc>
          <w:tcPr>
            <w:tcW w:w="12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(10)</w:t>
            </w: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w:t>
            </w:r>
          </w:p>
        </w:tc>
      </w:tr>
      <w:tr>
        <w:trPr>
          <w:trHeight w:val="214"/>
        </w:trPr>
        <w:tc>
          <w:tcPr>
            <w:tcW w:w="4360" w:type="dxa"/>
            <w:vAlign w:val="bottom"/>
          </w:tcPr>
          <w:p>
            <w:pPr>
              <w:spacing w:after="0"/>
              <w:rPr>
                <w:sz w:val="20"/>
                <w:szCs w:val="20"/>
                <w:color w:val="auto"/>
              </w:rPr>
            </w:pPr>
            <w:r>
              <w:rPr>
                <w:rFonts w:ascii="Arial" w:cs="Arial" w:eastAsia="Arial" w:hAnsi="Arial"/>
                <w:sz w:val="16"/>
                <w:szCs w:val="16"/>
                <w:color w:val="auto"/>
              </w:rPr>
              <w:t>Comprehensive income</w:t>
            </w:r>
          </w:p>
        </w:tc>
        <w:tc>
          <w:tcPr>
            <w:tcW w:w="940" w:type="dxa"/>
            <w:vAlign w:val="bottom"/>
          </w:tcPr>
          <w:p>
            <w:pPr>
              <w:spacing w:after="0"/>
              <w:rPr>
                <w:sz w:val="18"/>
                <w:szCs w:val="18"/>
                <w:color w:val="auto"/>
              </w:rPr>
            </w:pPr>
          </w:p>
        </w:tc>
        <w:tc>
          <w:tcPr>
            <w:tcW w:w="500" w:type="dxa"/>
            <w:vAlign w:val="bottom"/>
          </w:tcPr>
          <w:p>
            <w:pPr>
              <w:jc w:val="right"/>
              <w:ind w:right="20"/>
              <w:spacing w:after="0"/>
              <w:rPr>
                <w:sz w:val="20"/>
                <w:szCs w:val="20"/>
                <w:color w:val="auto"/>
              </w:rPr>
            </w:pPr>
            <w:r>
              <w:rPr>
                <w:rFonts w:ascii="Arial" w:cs="Arial" w:eastAsia="Arial" w:hAnsi="Arial"/>
                <w:sz w:val="16"/>
                <w:szCs w:val="16"/>
                <w:color w:val="auto"/>
                <w:w w:val="94"/>
              </w:rPr>
              <w:t>1,012</w:t>
            </w:r>
          </w:p>
        </w:tc>
        <w:tc>
          <w:tcPr>
            <w:tcW w:w="280" w:type="dxa"/>
            <w:vAlign w:val="bottom"/>
          </w:tcPr>
          <w:p>
            <w:pPr>
              <w:spacing w:after="0"/>
              <w:rPr>
                <w:sz w:val="18"/>
                <w:szCs w:val="18"/>
                <w:color w:val="auto"/>
              </w:rPr>
            </w:pPr>
          </w:p>
        </w:tc>
        <w:tc>
          <w:tcPr>
            <w:tcW w:w="1240" w:type="dxa"/>
            <w:vAlign w:val="bottom"/>
          </w:tcPr>
          <w:p>
            <w:pPr>
              <w:jc w:val="right"/>
              <w:ind w:right="62"/>
              <w:spacing w:after="0"/>
              <w:rPr>
                <w:sz w:val="20"/>
                <w:szCs w:val="20"/>
                <w:color w:val="auto"/>
              </w:rPr>
            </w:pPr>
            <w:r>
              <w:rPr>
                <w:rFonts w:ascii="Arial" w:cs="Arial" w:eastAsia="Arial" w:hAnsi="Arial"/>
                <w:sz w:val="16"/>
                <w:szCs w:val="16"/>
                <w:color w:val="auto"/>
              </w:rPr>
              <w:t>(290)</w:t>
            </w: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722</w:t>
            </w:r>
          </w:p>
        </w:tc>
        <w:tc>
          <w:tcPr>
            <w:tcW w:w="1260" w:type="dxa"/>
            <w:vAlign w:val="bottom"/>
          </w:tcPr>
          <w:p>
            <w:pPr>
              <w:spacing w:after="0"/>
              <w:rPr>
                <w:sz w:val="18"/>
                <w:szCs w:val="18"/>
                <w:color w:val="auto"/>
              </w:rPr>
            </w:pPr>
          </w:p>
        </w:tc>
        <w:tc>
          <w:tcPr>
            <w:tcW w:w="500" w:type="dxa"/>
            <w:vAlign w:val="bottom"/>
          </w:tcPr>
          <w:p>
            <w:pPr>
              <w:jc w:val="right"/>
              <w:ind w:right="60"/>
              <w:spacing w:after="0"/>
              <w:rPr>
                <w:sz w:val="20"/>
                <w:szCs w:val="20"/>
                <w:color w:val="auto"/>
              </w:rPr>
            </w:pPr>
            <w:r>
              <w:rPr>
                <w:rFonts w:ascii="Arial" w:cs="Arial" w:eastAsia="Arial" w:hAnsi="Arial"/>
                <w:sz w:val="16"/>
                <w:szCs w:val="16"/>
                <w:color w:val="auto"/>
              </w:rPr>
              <w:t>66</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788</w:t>
            </w:r>
          </w:p>
        </w:tc>
      </w:tr>
      <w:tr>
        <w:trPr>
          <w:trHeight w:val="204"/>
        </w:trPr>
        <w:tc>
          <w:tcPr>
            <w:tcW w:w="4360" w:type="dxa"/>
            <w:vAlign w:val="bottom"/>
          </w:tcPr>
          <w:p>
            <w:pPr>
              <w:spacing w:after="0"/>
              <w:rPr>
                <w:sz w:val="20"/>
                <w:szCs w:val="20"/>
                <w:color w:val="auto"/>
              </w:rPr>
            </w:pPr>
            <w:r>
              <w:rPr>
                <w:rFonts w:ascii="Arial" w:cs="Arial" w:eastAsia="Arial" w:hAnsi="Arial"/>
                <w:sz w:val="16"/>
                <w:szCs w:val="16"/>
                <w:color w:val="auto"/>
              </w:rPr>
              <w:t>Preferred dividends of subsidiary</w:t>
            </w:r>
          </w:p>
        </w:tc>
        <w:tc>
          <w:tcPr>
            <w:tcW w:w="9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w:t>
            </w: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(1)</w:t>
            </w:r>
          </w:p>
        </w:tc>
        <w:tc>
          <w:tcPr>
            <w:tcW w:w="12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194"/>
        </w:trPr>
        <w:tc>
          <w:tcPr>
            <w:tcW w:w="4360" w:type="dxa"/>
            <w:vAlign w:val="bottom"/>
          </w:tcPr>
          <w:p>
            <w:pPr>
              <w:spacing w:after="0"/>
              <w:rPr>
                <w:sz w:val="20"/>
                <w:szCs w:val="20"/>
                <w:color w:val="auto"/>
              </w:rPr>
            </w:pPr>
            <w:r>
              <w:rPr>
                <w:rFonts w:ascii="Arial" w:cs="Arial" w:eastAsia="Arial" w:hAnsi="Arial"/>
                <w:sz w:val="16"/>
                <w:szCs w:val="16"/>
                <w:color w:val="auto"/>
              </w:rPr>
              <w:t>Comprehensive income, after preferred</w:t>
            </w: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1"/>
        </w:trPr>
        <w:tc>
          <w:tcPr>
            <w:tcW w:w="436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dividends of subsidiary</w:t>
            </w:r>
          </w:p>
        </w:tc>
        <w:tc>
          <w:tcPr>
            <w:tcW w:w="940" w:type="dxa"/>
            <w:vAlign w:val="bottom"/>
            <w:tcBorders>
              <w:bottom w:val="single" w:sz="8" w:color="auto"/>
            </w:tcBorders>
          </w:tcPr>
          <w:p>
            <w:pPr>
              <w:jc w:val="right"/>
              <w:ind w:right="505"/>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94"/>
              </w:rPr>
              <w:t>1,011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(290)</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721</w:t>
            </w:r>
          </w:p>
        </w:tc>
        <w:tc>
          <w:tcPr>
            <w:tcW w:w="12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66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787</w:t>
            </w:r>
          </w:p>
        </w:tc>
      </w:tr>
      <w:tr>
        <w:trPr>
          <w:trHeight w:val="201"/>
        </w:trPr>
        <w:tc>
          <w:tcPr>
            <w:tcW w:w="4360" w:type="dxa"/>
            <w:vAlign w:val="bottom"/>
          </w:tcPr>
          <w:p>
            <w:pPr>
              <w:spacing w:after="0"/>
              <w:rPr>
                <w:sz w:val="20"/>
                <w:szCs w:val="20"/>
                <w:color w:val="auto"/>
              </w:rPr>
            </w:pPr>
            <w:r>
              <w:rPr>
                <w:rFonts w:ascii="Arial" w:cs="Arial" w:eastAsia="Arial" w:hAnsi="Arial"/>
                <w:sz w:val="16"/>
                <w:szCs w:val="16"/>
                <w:b w:val="1"/>
                <w:bCs w:val="1"/>
                <w:color w:val="auto"/>
              </w:rPr>
              <w:t>2013:</w:t>
            </w: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84"/>
        </w:trPr>
        <w:tc>
          <w:tcPr>
            <w:tcW w:w="4360" w:type="dxa"/>
            <w:vAlign w:val="bottom"/>
          </w:tcPr>
          <w:p>
            <w:pPr>
              <w:spacing w:after="0"/>
              <w:rPr>
                <w:sz w:val="20"/>
                <w:szCs w:val="20"/>
                <w:color w:val="auto"/>
              </w:rPr>
            </w:pPr>
            <w:r>
              <w:rPr>
                <w:rFonts w:ascii="Arial" w:cs="Arial" w:eastAsia="Arial" w:hAnsi="Arial"/>
                <w:sz w:val="16"/>
                <w:szCs w:val="16"/>
                <w:color w:val="auto"/>
              </w:rPr>
              <w:t>Net income</w:t>
            </w:r>
          </w:p>
        </w:tc>
        <w:tc>
          <w:tcPr>
            <w:tcW w:w="940" w:type="dxa"/>
            <w:vAlign w:val="bottom"/>
            <w:tcBorders>
              <w:bottom w:val="single" w:sz="8" w:color="auto"/>
            </w:tcBorders>
          </w:tcPr>
          <w:p>
            <w:pPr>
              <w:jc w:val="right"/>
              <w:ind w:right="505"/>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94"/>
              </w:rPr>
              <w:t>1,054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(327)</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727</w:t>
            </w:r>
          </w:p>
        </w:tc>
        <w:tc>
          <w:tcPr>
            <w:tcW w:w="12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768</w:t>
            </w:r>
          </w:p>
        </w:tc>
      </w:tr>
      <w:tr>
        <w:trPr>
          <w:trHeight w:val="214"/>
        </w:trPr>
        <w:tc>
          <w:tcPr>
            <w:tcW w:w="4360" w:type="dxa"/>
            <w:vAlign w:val="bottom"/>
          </w:tcPr>
          <w:p>
            <w:pPr>
              <w:spacing w:after="0"/>
              <w:rPr>
                <w:sz w:val="20"/>
                <w:szCs w:val="20"/>
                <w:color w:val="auto"/>
              </w:rPr>
            </w:pPr>
            <w:r>
              <w:rPr>
                <w:rFonts w:ascii="Arial" w:cs="Arial" w:eastAsia="Arial" w:hAnsi="Arial"/>
                <w:sz w:val="16"/>
                <w:szCs w:val="16"/>
                <w:color w:val="auto"/>
              </w:rPr>
              <w:t>Other comprehensive income (loss):</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3"/>
        </w:trPr>
        <w:tc>
          <w:tcPr>
            <w:tcW w:w="4360" w:type="dxa"/>
            <w:vAlign w:val="bottom"/>
          </w:tcPr>
          <w:p>
            <w:pPr>
              <w:ind w:left="180"/>
              <w:spacing w:after="0"/>
              <w:rPr>
                <w:sz w:val="20"/>
                <w:szCs w:val="20"/>
                <w:color w:val="auto"/>
              </w:rPr>
            </w:pPr>
            <w:r>
              <w:rPr>
                <w:rFonts w:ascii="Arial" w:cs="Arial" w:eastAsia="Arial" w:hAnsi="Arial"/>
                <w:sz w:val="16"/>
                <w:szCs w:val="16"/>
                <w:color w:val="auto"/>
              </w:rPr>
              <w:t>Foreign currency translation adjustments</w:t>
            </w:r>
          </w:p>
        </w:tc>
        <w:tc>
          <w:tcPr>
            <w:tcW w:w="940" w:type="dxa"/>
            <w:vAlign w:val="bottom"/>
          </w:tcPr>
          <w:p>
            <w:pPr>
              <w:spacing w:after="0"/>
              <w:rPr>
                <w:sz w:val="18"/>
                <w:szCs w:val="18"/>
                <w:color w:val="auto"/>
              </w:rPr>
            </w:pPr>
          </w:p>
        </w:tc>
        <w:tc>
          <w:tcPr>
            <w:tcW w:w="500" w:type="dxa"/>
            <w:vAlign w:val="bottom"/>
          </w:tcPr>
          <w:p>
            <w:pPr>
              <w:jc w:val="right"/>
              <w:ind w:right="20"/>
              <w:spacing w:after="0"/>
              <w:rPr>
                <w:sz w:val="20"/>
                <w:szCs w:val="20"/>
                <w:color w:val="auto"/>
              </w:rPr>
            </w:pPr>
            <w:r>
              <w:rPr>
                <w:rFonts w:ascii="Arial" w:cs="Arial" w:eastAsia="Arial" w:hAnsi="Arial"/>
                <w:sz w:val="16"/>
                <w:szCs w:val="16"/>
                <w:color w:val="auto"/>
              </w:rPr>
              <w:t>149</w:t>
            </w:r>
          </w:p>
        </w:tc>
        <w:tc>
          <w:tcPr>
            <w:tcW w:w="280" w:type="dxa"/>
            <w:vAlign w:val="bottom"/>
          </w:tcPr>
          <w:p>
            <w:pPr>
              <w:spacing w:after="0"/>
              <w:rPr>
                <w:sz w:val="18"/>
                <w:szCs w:val="18"/>
                <w:color w:val="auto"/>
              </w:rPr>
            </w:pPr>
          </w:p>
        </w:tc>
        <w:tc>
          <w:tcPr>
            <w:tcW w:w="124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149</w:t>
            </w:r>
          </w:p>
        </w:tc>
        <w:tc>
          <w:tcPr>
            <w:tcW w:w="1260" w:type="dxa"/>
            <w:vAlign w:val="bottom"/>
          </w:tcPr>
          <w:p>
            <w:pPr>
              <w:spacing w:after="0"/>
              <w:rPr>
                <w:sz w:val="18"/>
                <w:szCs w:val="18"/>
                <w:color w:val="auto"/>
              </w:rPr>
            </w:pPr>
          </w:p>
        </w:tc>
        <w:tc>
          <w:tcPr>
            <w:tcW w:w="500" w:type="dxa"/>
            <w:vAlign w:val="bottom"/>
          </w:tcPr>
          <w:p>
            <w:pPr>
              <w:jc w:val="right"/>
              <w:ind w:right="60"/>
              <w:spacing w:after="0"/>
              <w:rPr>
                <w:sz w:val="20"/>
                <w:szCs w:val="20"/>
                <w:color w:val="auto"/>
              </w:rPr>
            </w:pPr>
            <w:r>
              <w:rPr>
                <w:rFonts w:ascii="Arial" w:cs="Arial" w:eastAsia="Arial" w:hAnsi="Arial"/>
                <w:sz w:val="16"/>
                <w:szCs w:val="16"/>
                <w:color w:val="auto"/>
              </w:rPr>
              <w:t>(24)</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125</w:t>
            </w:r>
          </w:p>
        </w:tc>
      </w:tr>
      <w:tr>
        <w:trPr>
          <w:trHeight w:val="213"/>
        </w:trPr>
        <w:tc>
          <w:tcPr>
            <w:tcW w:w="4360" w:type="dxa"/>
            <w:vAlign w:val="bottom"/>
          </w:tcPr>
          <w:p>
            <w:pPr>
              <w:ind w:left="180"/>
              <w:spacing w:after="0"/>
              <w:rPr>
                <w:sz w:val="20"/>
                <w:szCs w:val="20"/>
                <w:color w:val="auto"/>
              </w:rPr>
            </w:pPr>
            <w:r>
              <w:rPr>
                <w:rFonts w:ascii="Arial" w:cs="Arial" w:eastAsia="Arial" w:hAnsi="Arial"/>
                <w:sz w:val="16"/>
                <w:szCs w:val="16"/>
                <w:color w:val="auto"/>
              </w:rPr>
              <w:t>Pension and other postretirement benefits</w:t>
            </w:r>
          </w:p>
        </w:tc>
        <w:tc>
          <w:tcPr>
            <w:tcW w:w="940" w:type="dxa"/>
            <w:vAlign w:val="bottom"/>
          </w:tcPr>
          <w:p>
            <w:pPr>
              <w:spacing w:after="0"/>
              <w:rPr>
                <w:sz w:val="18"/>
                <w:szCs w:val="18"/>
                <w:color w:val="auto"/>
              </w:rPr>
            </w:pPr>
          </w:p>
        </w:tc>
        <w:tc>
          <w:tcPr>
            <w:tcW w:w="500" w:type="dxa"/>
            <w:vAlign w:val="bottom"/>
          </w:tcPr>
          <w:p>
            <w:pPr>
              <w:jc w:val="right"/>
              <w:ind w:right="20"/>
              <w:spacing w:after="0"/>
              <w:rPr>
                <w:sz w:val="20"/>
                <w:szCs w:val="20"/>
                <w:color w:val="auto"/>
              </w:rPr>
            </w:pPr>
            <w:r>
              <w:rPr>
                <w:rFonts w:ascii="Arial" w:cs="Arial" w:eastAsia="Arial" w:hAnsi="Arial"/>
                <w:sz w:val="16"/>
                <w:szCs w:val="16"/>
                <w:color w:val="auto"/>
              </w:rPr>
              <w:t>12</w:t>
            </w:r>
          </w:p>
        </w:tc>
        <w:tc>
          <w:tcPr>
            <w:tcW w:w="280" w:type="dxa"/>
            <w:vAlign w:val="bottom"/>
          </w:tcPr>
          <w:p>
            <w:pPr>
              <w:spacing w:after="0"/>
              <w:rPr>
                <w:sz w:val="18"/>
                <w:szCs w:val="18"/>
                <w:color w:val="auto"/>
              </w:rPr>
            </w:pPr>
          </w:p>
        </w:tc>
        <w:tc>
          <w:tcPr>
            <w:tcW w:w="1240" w:type="dxa"/>
            <w:vAlign w:val="bottom"/>
          </w:tcPr>
          <w:p>
            <w:pPr>
              <w:jc w:val="right"/>
              <w:ind w:right="62"/>
              <w:spacing w:after="0"/>
              <w:rPr>
                <w:sz w:val="20"/>
                <w:szCs w:val="20"/>
                <w:color w:val="auto"/>
              </w:rPr>
            </w:pPr>
            <w:r>
              <w:rPr>
                <w:rFonts w:ascii="Arial" w:cs="Arial" w:eastAsia="Arial" w:hAnsi="Arial"/>
                <w:sz w:val="16"/>
                <w:szCs w:val="16"/>
                <w:color w:val="auto"/>
              </w:rPr>
              <w:t>(5)</w:t>
            </w: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7</w:t>
            </w:r>
          </w:p>
        </w:tc>
        <w:tc>
          <w:tcPr>
            <w:tcW w:w="1260" w:type="dxa"/>
            <w:vAlign w:val="bottom"/>
          </w:tcPr>
          <w:p>
            <w:pPr>
              <w:spacing w:after="0"/>
              <w:rPr>
                <w:sz w:val="18"/>
                <w:szCs w:val="18"/>
                <w:color w:val="auto"/>
              </w:rPr>
            </w:pPr>
          </w:p>
        </w:tc>
        <w:tc>
          <w:tcPr>
            <w:tcW w:w="50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w:t>
            </w:r>
          </w:p>
        </w:tc>
      </w:tr>
    </w:tbl>
    <w:p>
      <w:pPr>
        <w:sectPr>
          <w:pgSz w:w="11900" w:h="16838" w:orient="portrait"/>
          <w:cols w:equalWidth="0" w:num="1">
            <w:col w:w="11420"/>
          </w:cols>
          <w:pgMar w:left="240" w:top="128" w:right="239" w:bottom="0" w:gutter="0" w:footer="0" w:header="0"/>
        </w:sectPr>
      </w:pPr>
    </w:p>
    <w:bookmarkStart w:id="4" w:name="page5"/>
    <w:bookmarkEnd w:id="4"/>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360" w:type="dxa"/>
            <w:vAlign w:val="bottom"/>
          </w:tcPr>
          <w:p>
            <w:pPr>
              <w:ind w:left="180"/>
              <w:spacing w:after="0"/>
              <w:rPr>
                <w:sz w:val="20"/>
                <w:szCs w:val="20"/>
                <w:color w:val="auto"/>
              </w:rPr>
            </w:pPr>
            <w:r>
              <w:rPr>
                <w:rFonts w:ascii="Arial" w:cs="Arial" w:eastAsia="Arial" w:hAnsi="Arial"/>
                <w:sz w:val="16"/>
                <w:szCs w:val="16"/>
                <w:color w:val="auto"/>
              </w:rPr>
              <w:t>Financial instruments</w:t>
            </w:r>
          </w:p>
        </w:tc>
        <w:tc>
          <w:tcPr>
            <w:tcW w:w="66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8</w:t>
            </w:r>
          </w:p>
        </w:tc>
        <w:tc>
          <w:tcPr>
            <w:tcW w:w="600" w:type="dxa"/>
            <w:vAlign w:val="bottom"/>
          </w:tcPr>
          <w:p>
            <w:pPr>
              <w:spacing w:after="0"/>
              <w:rPr>
                <w:sz w:val="16"/>
                <w:szCs w:val="16"/>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(3)</w:t>
            </w:r>
          </w:p>
        </w:tc>
        <w:tc>
          <w:tcPr>
            <w:tcW w:w="520" w:type="dxa"/>
            <w:vAlign w:val="bottom"/>
          </w:tcPr>
          <w:p>
            <w:pPr>
              <w:spacing w:after="0"/>
              <w:rPr>
                <w:sz w:val="16"/>
                <w:szCs w:val="16"/>
                <w:color w:val="auto"/>
              </w:rPr>
            </w:pPr>
          </w:p>
        </w:tc>
        <w:tc>
          <w:tcPr>
            <w:tcW w:w="720" w:type="dxa"/>
            <w:vAlign w:val="bottom"/>
          </w:tcPr>
          <w:p>
            <w:pPr>
              <w:jc w:val="right"/>
              <w:ind w:right="60"/>
              <w:spacing w:after="0"/>
              <w:rPr>
                <w:sz w:val="20"/>
                <w:szCs w:val="20"/>
                <w:color w:val="auto"/>
              </w:rPr>
            </w:pPr>
            <w:r>
              <w:rPr>
                <w:rFonts w:ascii="Arial" w:cs="Arial" w:eastAsia="Arial" w:hAnsi="Arial"/>
                <w:sz w:val="16"/>
                <w:szCs w:val="16"/>
                <w:color w:val="auto"/>
              </w:rPr>
              <w:t>5</w:t>
            </w:r>
          </w:p>
        </w:tc>
        <w:tc>
          <w:tcPr>
            <w:tcW w:w="760" w:type="dxa"/>
            <w:vAlign w:val="bottom"/>
          </w:tcPr>
          <w:p>
            <w:pPr>
              <w:spacing w:after="0"/>
              <w:rPr>
                <w:sz w:val="16"/>
                <w:szCs w:val="16"/>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16</w:t>
            </w:r>
          </w:p>
        </w:tc>
        <w:tc>
          <w:tcPr>
            <w:tcW w:w="5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32"/>
        </w:trPr>
        <w:tc>
          <w:tcPr>
            <w:tcW w:w="43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06"/>
        </w:trPr>
        <w:tc>
          <w:tcPr>
            <w:tcW w:w="4360" w:type="dxa"/>
            <w:vAlign w:val="bottom"/>
          </w:tcPr>
          <w:p>
            <w:pPr>
              <w:ind w:left="180"/>
              <w:spacing w:after="0"/>
              <w:rPr>
                <w:sz w:val="20"/>
                <w:szCs w:val="20"/>
                <w:color w:val="auto"/>
              </w:rPr>
            </w:pPr>
            <w:r>
              <w:rPr>
                <w:rFonts w:ascii="Arial" w:cs="Arial" w:eastAsia="Arial" w:hAnsi="Arial"/>
                <w:sz w:val="16"/>
                <w:szCs w:val="16"/>
                <w:color w:val="auto"/>
              </w:rPr>
              <w:t>Total other comprehensive income (loss)</w:t>
            </w:r>
          </w:p>
        </w:tc>
        <w:tc>
          <w:tcPr>
            <w:tcW w:w="6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169</w:t>
            </w:r>
          </w:p>
        </w:tc>
        <w:tc>
          <w:tcPr>
            <w:tcW w:w="6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(8)</w:t>
            </w:r>
          </w:p>
        </w:tc>
        <w:tc>
          <w:tcPr>
            <w:tcW w:w="5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161</w:t>
            </w:r>
          </w:p>
        </w:tc>
        <w:tc>
          <w:tcPr>
            <w:tcW w:w="7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(8)</w:t>
            </w:r>
          </w:p>
        </w:tc>
        <w:tc>
          <w:tcPr>
            <w:tcW w:w="5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w:t>
            </w:r>
          </w:p>
        </w:tc>
      </w:tr>
      <w:tr>
        <w:trPr>
          <w:trHeight w:val="214"/>
        </w:trPr>
        <w:tc>
          <w:tcPr>
            <w:tcW w:w="4360" w:type="dxa"/>
            <w:vAlign w:val="bottom"/>
          </w:tcPr>
          <w:p>
            <w:pPr>
              <w:spacing w:after="0"/>
              <w:rPr>
                <w:sz w:val="20"/>
                <w:szCs w:val="20"/>
                <w:color w:val="auto"/>
              </w:rPr>
            </w:pPr>
            <w:r>
              <w:rPr>
                <w:rFonts w:ascii="Arial" w:cs="Arial" w:eastAsia="Arial" w:hAnsi="Arial"/>
                <w:sz w:val="16"/>
                <w:szCs w:val="16"/>
                <w:color w:val="auto"/>
              </w:rPr>
              <w:t>Comprehensive income</w:t>
            </w:r>
          </w:p>
        </w:tc>
        <w:tc>
          <w:tcPr>
            <w:tcW w:w="660" w:type="dxa"/>
            <w:vAlign w:val="bottom"/>
          </w:tcPr>
          <w:p>
            <w:pPr>
              <w:spacing w:after="0"/>
              <w:rPr>
                <w:sz w:val="18"/>
                <w:szCs w:val="18"/>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1,223</w:t>
            </w:r>
          </w:p>
        </w:tc>
        <w:tc>
          <w:tcPr>
            <w:tcW w:w="600" w:type="dxa"/>
            <w:vAlign w:val="bottom"/>
          </w:tcPr>
          <w:p>
            <w:pPr>
              <w:spacing w:after="0"/>
              <w:rPr>
                <w:sz w:val="18"/>
                <w:szCs w:val="18"/>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(335)</w:t>
            </w:r>
          </w:p>
        </w:tc>
        <w:tc>
          <w:tcPr>
            <w:tcW w:w="520" w:type="dxa"/>
            <w:vAlign w:val="bottom"/>
          </w:tcPr>
          <w:p>
            <w:pPr>
              <w:spacing w:after="0"/>
              <w:rPr>
                <w:sz w:val="18"/>
                <w:szCs w:val="18"/>
                <w:color w:val="auto"/>
              </w:rPr>
            </w:pPr>
          </w:p>
        </w:tc>
        <w:tc>
          <w:tcPr>
            <w:tcW w:w="720" w:type="dxa"/>
            <w:vAlign w:val="bottom"/>
          </w:tcPr>
          <w:p>
            <w:pPr>
              <w:jc w:val="right"/>
              <w:ind w:right="60"/>
              <w:spacing w:after="0"/>
              <w:rPr>
                <w:sz w:val="20"/>
                <w:szCs w:val="20"/>
                <w:color w:val="auto"/>
              </w:rPr>
            </w:pPr>
            <w:r>
              <w:rPr>
                <w:rFonts w:ascii="Arial" w:cs="Arial" w:eastAsia="Arial" w:hAnsi="Arial"/>
                <w:sz w:val="16"/>
                <w:szCs w:val="16"/>
                <w:color w:val="auto"/>
              </w:rPr>
              <w:t>888</w:t>
            </w:r>
          </w:p>
        </w:tc>
        <w:tc>
          <w:tcPr>
            <w:tcW w:w="760" w:type="dxa"/>
            <w:vAlign w:val="bottom"/>
          </w:tcPr>
          <w:p>
            <w:pPr>
              <w:spacing w:after="0"/>
              <w:rPr>
                <w:sz w:val="18"/>
                <w:szCs w:val="18"/>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33</w:t>
            </w:r>
          </w:p>
        </w:tc>
        <w:tc>
          <w:tcPr>
            <w:tcW w:w="5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921</w:t>
            </w:r>
          </w:p>
        </w:tc>
      </w:tr>
      <w:tr>
        <w:trPr>
          <w:trHeight w:val="204"/>
        </w:trPr>
        <w:tc>
          <w:tcPr>
            <w:tcW w:w="4360" w:type="dxa"/>
            <w:vAlign w:val="bottom"/>
          </w:tcPr>
          <w:p>
            <w:pPr>
              <w:spacing w:after="0"/>
              <w:rPr>
                <w:sz w:val="20"/>
                <w:szCs w:val="20"/>
                <w:color w:val="auto"/>
              </w:rPr>
            </w:pPr>
            <w:r>
              <w:rPr>
                <w:rFonts w:ascii="Arial" w:cs="Arial" w:eastAsia="Arial" w:hAnsi="Arial"/>
                <w:sz w:val="16"/>
                <w:szCs w:val="16"/>
                <w:color w:val="auto"/>
              </w:rPr>
              <w:t>Preferred dividends of subsidiaries</w:t>
            </w:r>
          </w:p>
        </w:tc>
        <w:tc>
          <w:tcPr>
            <w:tcW w:w="6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(5)</w:t>
            </w:r>
          </w:p>
        </w:tc>
        <w:tc>
          <w:tcPr>
            <w:tcW w:w="6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(5)</w:t>
            </w:r>
          </w:p>
        </w:tc>
        <w:tc>
          <w:tcPr>
            <w:tcW w:w="7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194"/>
        </w:trPr>
        <w:tc>
          <w:tcPr>
            <w:tcW w:w="4360" w:type="dxa"/>
            <w:vAlign w:val="bottom"/>
          </w:tcPr>
          <w:p>
            <w:pPr>
              <w:spacing w:after="0"/>
              <w:rPr>
                <w:sz w:val="20"/>
                <w:szCs w:val="20"/>
                <w:color w:val="auto"/>
              </w:rPr>
            </w:pPr>
            <w:r>
              <w:rPr>
                <w:rFonts w:ascii="Arial" w:cs="Arial" w:eastAsia="Arial" w:hAnsi="Arial"/>
                <w:sz w:val="16"/>
                <w:szCs w:val="16"/>
                <w:color w:val="auto"/>
              </w:rPr>
              <w:t>Comprehensive income, after preferred</w:t>
            </w:r>
          </w:p>
        </w:tc>
        <w:tc>
          <w:tcPr>
            <w:tcW w:w="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92"/>
        </w:trPr>
        <w:tc>
          <w:tcPr>
            <w:tcW w:w="4360" w:type="dxa"/>
            <w:vAlign w:val="bottom"/>
          </w:tcPr>
          <w:p>
            <w:pPr>
              <w:ind w:left="180"/>
              <w:spacing w:after="0"/>
              <w:rPr>
                <w:sz w:val="20"/>
                <w:szCs w:val="20"/>
                <w:color w:val="auto"/>
              </w:rPr>
            </w:pPr>
            <w:r>
              <w:rPr>
                <w:rFonts w:ascii="Arial" w:cs="Arial" w:eastAsia="Arial" w:hAnsi="Arial"/>
                <w:sz w:val="16"/>
                <w:szCs w:val="16"/>
                <w:color w:val="auto"/>
              </w:rPr>
              <w:t>dividends of subsidiaries</w:t>
            </w:r>
          </w:p>
        </w:tc>
        <w:tc>
          <w:tcPr>
            <w:tcW w:w="66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1,218</w:t>
            </w:r>
          </w:p>
        </w:tc>
        <w:tc>
          <w:tcPr>
            <w:tcW w:w="600" w:type="dxa"/>
            <w:vAlign w:val="bottom"/>
          </w:tcPr>
          <w:p>
            <w:pPr>
              <w:jc w:val="right"/>
              <w:ind w:right="30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(335)</w:t>
            </w:r>
          </w:p>
        </w:tc>
        <w:tc>
          <w:tcPr>
            <w:tcW w:w="52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60"/>
              <w:spacing w:after="0"/>
              <w:rPr>
                <w:sz w:val="20"/>
                <w:szCs w:val="20"/>
                <w:color w:val="auto"/>
              </w:rPr>
            </w:pPr>
            <w:r>
              <w:rPr>
                <w:rFonts w:ascii="Arial" w:cs="Arial" w:eastAsia="Arial" w:hAnsi="Arial"/>
                <w:sz w:val="16"/>
                <w:szCs w:val="16"/>
                <w:color w:val="auto"/>
              </w:rPr>
              <w:t>883</w:t>
            </w:r>
          </w:p>
        </w:tc>
        <w:tc>
          <w:tcPr>
            <w:tcW w:w="76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33</w:t>
            </w:r>
          </w:p>
        </w:tc>
        <w:tc>
          <w:tcPr>
            <w:tcW w:w="54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916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724852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8525" cy="1714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-104775</wp:posOffset>
            </wp:positionV>
            <wp:extent cx="7248525" cy="3289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8525" cy="32893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1540" w:type="dxa"/>
            <w:vAlign w:val="bottom"/>
            <w:gridSpan w:val="2"/>
          </w:tcPr>
          <w:p>
            <w:pPr>
              <w:jc w:val="center"/>
              <w:ind w:right="61"/>
              <w:spacing w:after="0"/>
              <w:rPr>
                <w:sz w:val="20"/>
                <w:szCs w:val="20"/>
                <w:color w:val="auto"/>
              </w:rPr>
            </w:pPr>
            <w:r>
              <w:rPr>
                <w:rFonts w:ascii="Arial" w:cs="Arial" w:eastAsia="Arial" w:hAnsi="Arial"/>
                <w:sz w:val="14"/>
                <w:szCs w:val="14"/>
                <w:color w:val="auto"/>
              </w:rPr>
              <w:t>September 30,</w:t>
            </w:r>
          </w:p>
        </w:tc>
        <w:tc>
          <w:tcPr>
            <w:tcW w:w="1280" w:type="dxa"/>
            <w:vAlign w:val="bottom"/>
            <w:gridSpan w:val="2"/>
          </w:tcPr>
          <w:p>
            <w:pPr>
              <w:ind w:left="12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7"/>
        </w:trPr>
        <w:tc>
          <w:tcPr>
            <w:tcW w:w="180" w:type="dxa"/>
            <w:vAlign w:val="bottom"/>
            <w:tcBorders>
              <w:bottom w:val="single" w:sz="8" w:color="auto"/>
            </w:tcBorders>
          </w:tcPr>
          <w:p>
            <w:pPr>
              <w:spacing w:after="0"/>
              <w:rPr>
                <w:sz w:val="17"/>
                <w:szCs w:val="17"/>
                <w:color w:val="auto"/>
              </w:rPr>
            </w:pPr>
          </w:p>
        </w:tc>
        <w:tc>
          <w:tcPr>
            <w:tcW w:w="84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521"/>
              <w:spacing w:after="0"/>
              <w:rPr>
                <w:sz w:val="20"/>
                <w:szCs w:val="20"/>
                <w:color w:val="auto"/>
              </w:rPr>
            </w:pPr>
            <w:r>
              <w:rPr>
                <w:rFonts w:ascii="Arial" w:cs="Arial" w:eastAsia="Arial" w:hAnsi="Arial"/>
                <w:sz w:val="14"/>
                <w:szCs w:val="14"/>
                <w:color w:val="auto"/>
              </w:rPr>
              <w:t>2014</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color w:val="auto"/>
              </w:rPr>
              <w:t>2013(1)</w:t>
            </w:r>
          </w:p>
        </w:tc>
        <w:tc>
          <w:tcPr>
            <w:tcW w:w="0" w:type="dxa"/>
            <w:vAlign w:val="bottom"/>
          </w:tcPr>
          <w:p>
            <w:pPr>
              <w:spacing w:after="0"/>
              <w:rPr>
                <w:sz w:val="1"/>
                <w:szCs w:val="1"/>
                <w:color w:val="auto"/>
              </w:rPr>
            </w:pPr>
          </w:p>
        </w:tc>
      </w:tr>
      <w:tr>
        <w:trPr>
          <w:trHeight w:val="221"/>
        </w:trPr>
        <w:tc>
          <w:tcPr>
            <w:tcW w:w="180" w:type="dxa"/>
            <w:vAlign w:val="bottom"/>
          </w:tcPr>
          <w:p>
            <w:pPr>
              <w:spacing w:after="0"/>
              <w:rPr>
                <w:sz w:val="19"/>
                <w:szCs w:val="19"/>
                <w:color w:val="auto"/>
              </w:rPr>
            </w:pPr>
          </w:p>
        </w:tc>
        <w:tc>
          <w:tcPr>
            <w:tcW w:w="8420" w:type="dxa"/>
            <w:vAlign w:val="bottom"/>
          </w:tcPr>
          <w:p>
            <w:pPr>
              <w:spacing w:after="0"/>
              <w:rPr>
                <w:sz w:val="19"/>
                <w:szCs w:val="19"/>
                <w:color w:val="auto"/>
              </w:rPr>
            </w:pPr>
          </w:p>
        </w:tc>
        <w:tc>
          <w:tcPr>
            <w:tcW w:w="1540" w:type="dxa"/>
            <w:vAlign w:val="bottom"/>
            <w:gridSpan w:val="2"/>
          </w:tcPr>
          <w:p>
            <w:pPr>
              <w:jc w:val="center"/>
              <w:ind w:right="61"/>
              <w:spacing w:after="0"/>
              <w:rPr>
                <w:sz w:val="20"/>
                <w:szCs w:val="20"/>
                <w:color w:val="auto"/>
              </w:rPr>
            </w:pPr>
            <w:r>
              <w:rPr>
                <w:rFonts w:ascii="Arial" w:cs="Arial" w:eastAsia="Arial" w:hAnsi="Arial"/>
                <w:sz w:val="14"/>
                <w:szCs w:val="14"/>
                <w:color w:val="auto"/>
              </w:rPr>
              <w:t>(unaudited)</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8600" w:type="dxa"/>
            <w:vAlign w:val="bottom"/>
            <w:gridSpan w:val="2"/>
          </w:tcPr>
          <w:p>
            <w:pPr>
              <w:spacing w:after="0"/>
              <w:rPr>
                <w:sz w:val="20"/>
                <w:szCs w:val="20"/>
                <w:color w:val="auto"/>
              </w:rPr>
            </w:pPr>
            <w:r>
              <w:rPr>
                <w:rFonts w:ascii="Arial" w:cs="Arial" w:eastAsia="Arial" w:hAnsi="Arial"/>
                <w:sz w:val="16"/>
                <w:szCs w:val="16"/>
                <w:color w:val="auto"/>
              </w:rPr>
              <w:t>ASSETS</w:t>
            </w: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600" w:type="dxa"/>
            <w:vAlign w:val="bottom"/>
            <w:gridSpan w:val="2"/>
          </w:tcPr>
          <w:p>
            <w:pPr>
              <w:spacing w:after="0"/>
              <w:rPr>
                <w:sz w:val="20"/>
                <w:szCs w:val="20"/>
                <w:color w:val="auto"/>
              </w:rPr>
            </w:pPr>
            <w:r>
              <w:rPr>
                <w:rFonts w:ascii="Arial" w:cs="Arial" w:eastAsia="Arial" w:hAnsi="Arial"/>
                <w:sz w:val="16"/>
                <w:szCs w:val="16"/>
                <w:color w:val="auto"/>
              </w:rPr>
              <w:t>Current assets:</w:t>
            </w:r>
          </w:p>
        </w:tc>
        <w:tc>
          <w:tcPr>
            <w:tcW w:w="4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80" w:type="dxa"/>
            <w:vAlign w:val="bottom"/>
          </w:tcPr>
          <w:p>
            <w:pPr>
              <w:spacing w:after="0"/>
              <w:rPr>
                <w:sz w:val="16"/>
                <w:szCs w:val="16"/>
                <w:color w:val="auto"/>
              </w:rPr>
            </w:pPr>
          </w:p>
        </w:tc>
        <w:tc>
          <w:tcPr>
            <w:tcW w:w="842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460" w:type="dxa"/>
            <w:vAlign w:val="bottom"/>
          </w:tcPr>
          <w:p>
            <w:pPr>
              <w:jc w:val="right"/>
              <w:ind w:right="25"/>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667</w:t>
            </w:r>
          </w:p>
        </w:tc>
        <w:tc>
          <w:tcPr>
            <w:tcW w:w="280" w:type="dxa"/>
            <w:vAlign w:val="bottom"/>
          </w:tcPr>
          <w:p>
            <w:pPr>
              <w:ind w:left="14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904</w:t>
            </w: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6"/>
                <w:szCs w:val="16"/>
                <w:color w:val="auto"/>
              </w:rPr>
              <w:t>Restricted cash</w:t>
            </w:r>
          </w:p>
        </w:tc>
        <w:tc>
          <w:tcPr>
            <w:tcW w:w="46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22</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6"/>
                <w:szCs w:val="16"/>
                <w:color w:val="auto"/>
              </w:rPr>
              <w:t>Trade accounts receivable, net</w:t>
            </w:r>
          </w:p>
        </w:tc>
        <w:tc>
          <w:tcPr>
            <w:tcW w:w="46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1,055</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1,308</w:t>
            </w: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6"/>
                <w:szCs w:val="16"/>
                <w:color w:val="auto"/>
              </w:rPr>
              <w:t>Other accounts and notes receivable, net</w:t>
            </w:r>
          </w:p>
        </w:tc>
        <w:tc>
          <w:tcPr>
            <w:tcW w:w="46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209</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6"/>
                <w:szCs w:val="16"/>
                <w:color w:val="auto"/>
              </w:rPr>
              <w:t>Due from unconsolidated affiliates</w:t>
            </w:r>
          </w:p>
        </w:tc>
        <w:tc>
          <w:tcPr>
            <w:tcW w:w="46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3</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6"/>
                <w:szCs w:val="16"/>
                <w:color w:val="auto"/>
              </w:rPr>
              <w:t>Income taxes receivable</w:t>
            </w:r>
          </w:p>
        </w:tc>
        <w:tc>
          <w:tcPr>
            <w:tcW w:w="46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91</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6"/>
                <w:szCs w:val="16"/>
                <w:color w:val="auto"/>
              </w:rPr>
              <w:t>Deferred income taxes</w:t>
            </w:r>
          </w:p>
        </w:tc>
        <w:tc>
          <w:tcPr>
            <w:tcW w:w="46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452</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301</w:t>
            </w: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6"/>
                <w:szCs w:val="16"/>
                <w:color w:val="auto"/>
              </w:rPr>
              <w:t>Inventories</w:t>
            </w:r>
          </w:p>
        </w:tc>
        <w:tc>
          <w:tcPr>
            <w:tcW w:w="46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472</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6"/>
                <w:szCs w:val="16"/>
                <w:color w:val="auto"/>
              </w:rPr>
              <w:t>Regulatory balancing accounts – undercollected</w:t>
            </w:r>
          </w:p>
        </w:tc>
        <w:tc>
          <w:tcPr>
            <w:tcW w:w="46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821</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556</w:t>
            </w: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6"/>
                <w:szCs w:val="16"/>
                <w:color w:val="auto"/>
              </w:rPr>
              <w:t>Other regulatory assets</w:t>
            </w:r>
          </w:p>
        </w:tc>
        <w:tc>
          <w:tcPr>
            <w:tcW w:w="46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59</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6"/>
                <w:szCs w:val="16"/>
                <w:color w:val="auto"/>
              </w:rPr>
              <w:t>Fixed-price contracts and other derivatives</w:t>
            </w:r>
          </w:p>
        </w:tc>
        <w:tc>
          <w:tcPr>
            <w:tcW w:w="46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83</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13"/>
        </w:trPr>
        <w:tc>
          <w:tcPr>
            <w:tcW w:w="8600" w:type="dxa"/>
            <w:vAlign w:val="bottom"/>
            <w:gridSpan w:val="2"/>
          </w:tcPr>
          <w:p>
            <w:pPr>
              <w:ind w:left="180"/>
              <w:spacing w:after="0"/>
              <w:rPr>
                <w:sz w:val="20"/>
                <w:szCs w:val="20"/>
                <w:color w:val="auto"/>
              </w:rPr>
            </w:pPr>
            <w:r>
              <w:rPr>
                <w:rFonts w:ascii="Arial" w:cs="Arial" w:eastAsia="Arial" w:hAnsi="Arial"/>
                <w:sz w:val="16"/>
                <w:szCs w:val="16"/>
                <w:color w:val="auto"/>
              </w:rPr>
              <w:t>Asset held for sale, power plant</w:t>
            </w:r>
          </w:p>
        </w:tc>
        <w:tc>
          <w:tcPr>
            <w:tcW w:w="46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293</w:t>
            </w:r>
          </w:p>
        </w:tc>
        <w:tc>
          <w:tcPr>
            <w:tcW w:w="280" w:type="dxa"/>
            <w:vAlign w:val="bottom"/>
          </w:tcPr>
          <w:p>
            <w:pPr>
              <w:spacing w:after="0"/>
              <w:rPr>
                <w:sz w:val="18"/>
                <w:szCs w:val="18"/>
                <w:color w:val="auto"/>
              </w:rPr>
            </w:pP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180" w:type="dxa"/>
            <w:vAlign w:val="bottom"/>
          </w:tcPr>
          <w:p>
            <w:pPr>
              <w:spacing w:after="0"/>
              <w:rPr>
                <w:sz w:val="17"/>
                <w:szCs w:val="17"/>
                <w:color w:val="auto"/>
              </w:rPr>
            </w:pPr>
          </w:p>
        </w:tc>
        <w:tc>
          <w:tcPr>
            <w:tcW w:w="8420" w:type="dxa"/>
            <w:vAlign w:val="bottom"/>
          </w:tcPr>
          <w:p>
            <w:pPr>
              <w:spacing w:after="0"/>
              <w:rPr>
                <w:sz w:val="20"/>
                <w:szCs w:val="20"/>
                <w:color w:val="auto"/>
              </w:rPr>
            </w:pPr>
            <w:r>
              <w:rPr>
                <w:rFonts w:ascii="Arial" w:cs="Arial" w:eastAsia="Arial" w:hAnsi="Arial"/>
                <w:sz w:val="16"/>
                <w:szCs w:val="16"/>
                <w:color w:val="auto"/>
              </w:rPr>
              <w:t>Other</w:t>
            </w:r>
          </w:p>
        </w:tc>
        <w:tc>
          <w:tcPr>
            <w:tcW w:w="4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187</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06"/>
        </w:trPr>
        <w:tc>
          <w:tcPr>
            <w:tcW w:w="180" w:type="dxa"/>
            <w:vAlign w:val="bottom"/>
          </w:tcPr>
          <w:p>
            <w:pPr>
              <w:spacing w:after="0"/>
              <w:rPr>
                <w:sz w:val="17"/>
                <w:szCs w:val="17"/>
                <w:color w:val="auto"/>
              </w:rPr>
            </w:pPr>
          </w:p>
        </w:tc>
        <w:tc>
          <w:tcPr>
            <w:tcW w:w="8420" w:type="dxa"/>
            <w:vAlign w:val="bottom"/>
          </w:tcPr>
          <w:p>
            <w:pPr>
              <w:ind w:left="180"/>
              <w:spacing w:after="0"/>
              <w:rPr>
                <w:sz w:val="20"/>
                <w:szCs w:val="20"/>
                <w:color w:val="auto"/>
              </w:rPr>
            </w:pPr>
            <w:r>
              <w:rPr>
                <w:rFonts w:ascii="Arial" w:cs="Arial" w:eastAsia="Arial" w:hAnsi="Arial"/>
                <w:sz w:val="16"/>
                <w:szCs w:val="16"/>
                <w:color w:val="auto"/>
              </w:rPr>
              <w:t>Total current assets</w:t>
            </w:r>
          </w:p>
        </w:tc>
        <w:tc>
          <w:tcPr>
            <w:tcW w:w="4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4,414</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3,997</w:t>
            </w:r>
          </w:p>
        </w:tc>
        <w:tc>
          <w:tcPr>
            <w:tcW w:w="0" w:type="dxa"/>
            <w:vAlign w:val="bottom"/>
          </w:tcPr>
          <w:p>
            <w:pPr>
              <w:spacing w:after="0"/>
              <w:rPr>
                <w:sz w:val="1"/>
                <w:szCs w:val="1"/>
                <w:color w:val="auto"/>
              </w:rPr>
            </w:pPr>
          </w:p>
        </w:tc>
      </w:tr>
      <w:tr>
        <w:trPr>
          <w:trHeight w:val="427"/>
        </w:trPr>
        <w:tc>
          <w:tcPr>
            <w:tcW w:w="8600" w:type="dxa"/>
            <w:vAlign w:val="bottom"/>
            <w:gridSpan w:val="2"/>
          </w:tcPr>
          <w:p>
            <w:pPr>
              <w:spacing w:after="0"/>
              <w:rPr>
                <w:sz w:val="20"/>
                <w:szCs w:val="20"/>
                <w:color w:val="auto"/>
              </w:rPr>
            </w:pPr>
            <w:r>
              <w:rPr>
                <w:rFonts w:ascii="Arial" w:cs="Arial" w:eastAsia="Arial" w:hAnsi="Arial"/>
                <w:sz w:val="16"/>
                <w:szCs w:val="16"/>
                <w:color w:val="auto"/>
              </w:rPr>
              <w:t>Investments and other assets:</w:t>
            </w: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6"/>
                <w:szCs w:val="16"/>
                <w:color w:val="auto"/>
              </w:rPr>
              <w:t>Restricted cash</w:t>
            </w:r>
          </w:p>
        </w:tc>
        <w:tc>
          <w:tcPr>
            <w:tcW w:w="46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10</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6"/>
                <w:szCs w:val="16"/>
                <w:color w:val="auto"/>
              </w:rPr>
              <w:t>Due from unconsolidated affiliates</w:t>
            </w:r>
          </w:p>
        </w:tc>
        <w:tc>
          <w:tcPr>
            <w:tcW w:w="46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133</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6"/>
                <w:szCs w:val="16"/>
                <w:color w:val="auto"/>
              </w:rPr>
              <w:t>Regulatory assets arising from pension and other postretirement</w:t>
            </w: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8420" w:type="dxa"/>
            <w:vAlign w:val="bottom"/>
          </w:tcPr>
          <w:p>
            <w:pPr>
              <w:ind w:left="180"/>
              <w:spacing w:after="0"/>
              <w:rPr>
                <w:sz w:val="20"/>
                <w:szCs w:val="20"/>
                <w:color w:val="auto"/>
              </w:rPr>
            </w:pPr>
            <w:r>
              <w:rPr>
                <w:rFonts w:ascii="Arial" w:cs="Arial" w:eastAsia="Arial" w:hAnsi="Arial"/>
                <w:sz w:val="16"/>
                <w:szCs w:val="16"/>
                <w:color w:val="auto"/>
              </w:rPr>
              <w:t>benefit obligations</w:t>
            </w:r>
          </w:p>
        </w:tc>
        <w:tc>
          <w:tcPr>
            <w:tcW w:w="46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435</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435</w:t>
            </w: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6"/>
                <w:szCs w:val="16"/>
                <w:color w:val="auto"/>
              </w:rPr>
              <w:t>Other regulatory assets</w:t>
            </w:r>
          </w:p>
        </w:tc>
        <w:tc>
          <w:tcPr>
            <w:tcW w:w="46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2,048</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2,113</w:t>
            </w: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6"/>
                <w:szCs w:val="16"/>
                <w:color w:val="auto"/>
              </w:rPr>
              <w:t>Nuclear decommissioning trusts</w:t>
            </w:r>
          </w:p>
        </w:tc>
        <w:tc>
          <w:tcPr>
            <w:tcW w:w="46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1,087</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1,034</w:t>
            </w: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6"/>
                <w:szCs w:val="16"/>
                <w:color w:val="auto"/>
              </w:rPr>
              <w:t>Investments</w:t>
            </w:r>
          </w:p>
        </w:tc>
        <w:tc>
          <w:tcPr>
            <w:tcW w:w="46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1,797</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1,575</w:t>
            </w: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6"/>
                <w:szCs w:val="16"/>
                <w:color w:val="auto"/>
              </w:rPr>
              <w:t>Goodwill</w:t>
            </w:r>
          </w:p>
        </w:tc>
        <w:tc>
          <w:tcPr>
            <w:tcW w:w="46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951</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1,024</w:t>
            </w: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6"/>
                <w:szCs w:val="16"/>
                <w:color w:val="auto"/>
              </w:rPr>
              <w:t>Other intangible assets</w:t>
            </w:r>
          </w:p>
        </w:tc>
        <w:tc>
          <w:tcPr>
            <w:tcW w:w="46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418</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426</w:t>
            </w:r>
          </w:p>
        </w:tc>
        <w:tc>
          <w:tcPr>
            <w:tcW w:w="0" w:type="dxa"/>
            <w:vAlign w:val="bottom"/>
          </w:tcPr>
          <w:p>
            <w:pPr>
              <w:spacing w:after="0"/>
              <w:rPr>
                <w:sz w:val="1"/>
                <w:szCs w:val="1"/>
                <w:color w:val="auto"/>
              </w:rPr>
            </w:pPr>
          </w:p>
        </w:tc>
      </w:tr>
      <w:tr>
        <w:trPr>
          <w:trHeight w:val="204"/>
        </w:trPr>
        <w:tc>
          <w:tcPr>
            <w:tcW w:w="180" w:type="dxa"/>
            <w:vAlign w:val="bottom"/>
          </w:tcPr>
          <w:p>
            <w:pPr>
              <w:spacing w:after="0"/>
              <w:rPr>
                <w:sz w:val="17"/>
                <w:szCs w:val="17"/>
                <w:color w:val="auto"/>
              </w:rPr>
            </w:pPr>
          </w:p>
        </w:tc>
        <w:tc>
          <w:tcPr>
            <w:tcW w:w="8420" w:type="dxa"/>
            <w:vAlign w:val="bottom"/>
          </w:tcPr>
          <w:p>
            <w:pPr>
              <w:spacing w:after="0"/>
              <w:rPr>
                <w:sz w:val="20"/>
                <w:szCs w:val="20"/>
                <w:color w:val="auto"/>
              </w:rPr>
            </w:pPr>
            <w:r>
              <w:rPr>
                <w:rFonts w:ascii="Arial" w:cs="Arial" w:eastAsia="Arial" w:hAnsi="Arial"/>
                <w:sz w:val="16"/>
                <w:szCs w:val="16"/>
                <w:color w:val="auto"/>
              </w:rPr>
              <w:t>Sundry</w:t>
            </w:r>
          </w:p>
        </w:tc>
        <w:tc>
          <w:tcPr>
            <w:tcW w:w="4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1,280</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1,141</w:t>
            </w:r>
          </w:p>
        </w:tc>
        <w:tc>
          <w:tcPr>
            <w:tcW w:w="0" w:type="dxa"/>
            <w:vAlign w:val="bottom"/>
          </w:tcPr>
          <w:p>
            <w:pPr>
              <w:spacing w:after="0"/>
              <w:rPr>
                <w:sz w:val="1"/>
                <w:szCs w:val="1"/>
                <w:color w:val="auto"/>
              </w:rPr>
            </w:pPr>
          </w:p>
        </w:tc>
      </w:tr>
      <w:tr>
        <w:trPr>
          <w:trHeight w:val="206"/>
        </w:trPr>
        <w:tc>
          <w:tcPr>
            <w:tcW w:w="180" w:type="dxa"/>
            <w:vAlign w:val="bottom"/>
          </w:tcPr>
          <w:p>
            <w:pPr>
              <w:spacing w:after="0"/>
              <w:rPr>
                <w:sz w:val="17"/>
                <w:szCs w:val="17"/>
                <w:color w:val="auto"/>
              </w:rPr>
            </w:pPr>
          </w:p>
        </w:tc>
        <w:tc>
          <w:tcPr>
            <w:tcW w:w="8420" w:type="dxa"/>
            <w:vAlign w:val="bottom"/>
          </w:tcPr>
          <w:p>
            <w:pPr>
              <w:ind w:left="180"/>
              <w:spacing w:after="0"/>
              <w:rPr>
                <w:sz w:val="20"/>
                <w:szCs w:val="20"/>
                <w:color w:val="auto"/>
              </w:rPr>
            </w:pPr>
            <w:r>
              <w:rPr>
                <w:rFonts w:ascii="Arial" w:cs="Arial" w:eastAsia="Arial" w:hAnsi="Arial"/>
                <w:sz w:val="16"/>
                <w:szCs w:val="16"/>
                <w:color w:val="auto"/>
              </w:rPr>
              <w:t>Total investments and other assets</w:t>
            </w:r>
          </w:p>
        </w:tc>
        <w:tc>
          <w:tcPr>
            <w:tcW w:w="4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8,159</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7,787</w:t>
            </w:r>
          </w:p>
        </w:tc>
        <w:tc>
          <w:tcPr>
            <w:tcW w:w="0" w:type="dxa"/>
            <w:vAlign w:val="bottom"/>
          </w:tcPr>
          <w:p>
            <w:pPr>
              <w:spacing w:after="0"/>
              <w:rPr>
                <w:sz w:val="1"/>
                <w:szCs w:val="1"/>
                <w:color w:val="auto"/>
              </w:rPr>
            </w:pPr>
          </w:p>
        </w:tc>
      </w:tr>
      <w:tr>
        <w:trPr>
          <w:trHeight w:val="427"/>
        </w:trPr>
        <w:tc>
          <w:tcPr>
            <w:tcW w:w="8600" w:type="dxa"/>
            <w:vAlign w:val="bottom"/>
            <w:gridSpan w:val="2"/>
          </w:tcPr>
          <w:p>
            <w:pPr>
              <w:spacing w:after="0"/>
              <w:rPr>
                <w:sz w:val="20"/>
                <w:szCs w:val="20"/>
                <w:color w:val="auto"/>
              </w:rPr>
            </w:pPr>
            <w:r>
              <w:rPr>
                <w:rFonts w:ascii="Arial" w:cs="Arial" w:eastAsia="Arial" w:hAnsi="Arial"/>
                <w:sz w:val="16"/>
                <w:szCs w:val="16"/>
                <w:color w:val="auto"/>
              </w:rPr>
              <w:t>Property, plant and equipment:</w:t>
            </w: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6"/>
                <w:szCs w:val="16"/>
                <w:color w:val="auto"/>
              </w:rPr>
              <w:t>Property, plant and equipment</w:t>
            </w:r>
          </w:p>
        </w:tc>
        <w:tc>
          <w:tcPr>
            <w:tcW w:w="46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35,829</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34,407</w:t>
            </w:r>
          </w:p>
        </w:tc>
        <w:tc>
          <w:tcPr>
            <w:tcW w:w="0" w:type="dxa"/>
            <w:vAlign w:val="bottom"/>
          </w:tcPr>
          <w:p>
            <w:pPr>
              <w:spacing w:after="0"/>
              <w:rPr>
                <w:sz w:val="1"/>
                <w:szCs w:val="1"/>
                <w:color w:val="auto"/>
              </w:rPr>
            </w:pPr>
          </w:p>
        </w:tc>
      </w:tr>
      <w:tr>
        <w:trPr>
          <w:trHeight w:val="204"/>
        </w:trPr>
        <w:tc>
          <w:tcPr>
            <w:tcW w:w="180" w:type="dxa"/>
            <w:vAlign w:val="bottom"/>
          </w:tcPr>
          <w:p>
            <w:pPr>
              <w:spacing w:after="0"/>
              <w:rPr>
                <w:sz w:val="17"/>
                <w:szCs w:val="17"/>
                <w:color w:val="auto"/>
              </w:rPr>
            </w:pPr>
          </w:p>
        </w:tc>
        <w:tc>
          <w:tcPr>
            <w:tcW w:w="8420" w:type="dxa"/>
            <w:vAlign w:val="bottom"/>
          </w:tcPr>
          <w:p>
            <w:pPr>
              <w:spacing w:after="0"/>
              <w:rPr>
                <w:sz w:val="20"/>
                <w:szCs w:val="20"/>
                <w:color w:val="auto"/>
              </w:rPr>
            </w:pPr>
            <w:r>
              <w:rPr>
                <w:rFonts w:ascii="Arial" w:cs="Arial" w:eastAsia="Arial" w:hAnsi="Arial"/>
                <w:sz w:val="16"/>
                <w:szCs w:val="16"/>
                <w:color w:val="auto"/>
              </w:rPr>
              <w:t>Less accumulated depreciation and amortization</w:t>
            </w:r>
          </w:p>
        </w:tc>
        <w:tc>
          <w:tcPr>
            <w:tcW w:w="4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(9,420)</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(8,947)</w:t>
            </w:r>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8420" w:type="dxa"/>
            <w:vAlign w:val="bottom"/>
          </w:tcPr>
          <w:p>
            <w:pPr>
              <w:ind w:left="180"/>
              <w:spacing w:after="0" w:line="155" w:lineRule="exact"/>
              <w:rPr>
                <w:sz w:val="20"/>
                <w:szCs w:val="20"/>
                <w:color w:val="auto"/>
              </w:rPr>
            </w:pPr>
            <w:r>
              <w:rPr>
                <w:rFonts w:ascii="Arial" w:cs="Arial" w:eastAsia="Arial" w:hAnsi="Arial"/>
                <w:sz w:val="16"/>
                <w:szCs w:val="16"/>
                <w:color w:val="auto"/>
              </w:rPr>
              <w:t>Property, plant and equipment, net ($417 and $438 at September 30, 2014 and</w:t>
            </w:r>
          </w:p>
        </w:tc>
        <w:tc>
          <w:tcPr>
            <w:tcW w:w="460" w:type="dxa"/>
            <w:vAlign w:val="bottom"/>
          </w:tcPr>
          <w:p>
            <w:pPr>
              <w:spacing w:after="0"/>
              <w:rPr>
                <w:sz w:val="13"/>
                <w:szCs w:val="13"/>
                <w:color w:val="auto"/>
              </w:rPr>
            </w:pPr>
          </w:p>
        </w:tc>
        <w:tc>
          <w:tcPr>
            <w:tcW w:w="1080" w:type="dxa"/>
            <w:vAlign w:val="bottom"/>
            <w:vMerge w:val="restart"/>
          </w:tcPr>
          <w:p>
            <w:pPr>
              <w:jc w:val="right"/>
              <w:ind w:right="61"/>
              <w:spacing w:after="0"/>
              <w:rPr>
                <w:sz w:val="20"/>
                <w:szCs w:val="20"/>
                <w:color w:val="auto"/>
              </w:rPr>
            </w:pPr>
            <w:r>
              <w:rPr>
                <w:rFonts w:ascii="Arial" w:cs="Arial" w:eastAsia="Arial" w:hAnsi="Arial"/>
                <w:sz w:val="16"/>
                <w:szCs w:val="16"/>
                <w:color w:val="auto"/>
              </w:rPr>
              <w:t>26,409</w:t>
            </w:r>
          </w:p>
        </w:tc>
        <w:tc>
          <w:tcPr>
            <w:tcW w:w="28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25,460</w:t>
            </w: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8420" w:type="dxa"/>
            <w:vAlign w:val="bottom"/>
          </w:tcPr>
          <w:p>
            <w:pPr>
              <w:ind w:left="360"/>
              <w:spacing w:after="0" w:line="171" w:lineRule="exact"/>
              <w:rPr>
                <w:sz w:val="20"/>
                <w:szCs w:val="20"/>
                <w:color w:val="auto"/>
              </w:rPr>
            </w:pPr>
            <w:r>
              <w:rPr>
                <w:rFonts w:ascii="Arial" w:cs="Arial" w:eastAsia="Arial" w:hAnsi="Arial"/>
                <w:sz w:val="16"/>
                <w:szCs w:val="16"/>
                <w:color w:val="auto"/>
              </w:rPr>
              <w:t>December 31, 2013, respectively, related to VIE)</w:t>
            </w:r>
          </w:p>
        </w:tc>
        <w:tc>
          <w:tcPr>
            <w:tcW w:w="4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8600" w:type="dxa"/>
            <w:vAlign w:val="bottom"/>
            <w:tcBorders>
              <w:bottom w:val="single" w:sz="8" w:color="auto"/>
            </w:tcBorders>
            <w:gridSpan w:val="2"/>
          </w:tcPr>
          <w:p>
            <w:pPr>
              <w:spacing w:after="0" w:line="166" w:lineRule="exact"/>
              <w:rPr>
                <w:sz w:val="20"/>
                <w:szCs w:val="20"/>
                <w:color w:val="auto"/>
              </w:rPr>
            </w:pPr>
            <w:r>
              <w:rPr>
                <w:rFonts w:ascii="Arial" w:cs="Arial" w:eastAsia="Arial" w:hAnsi="Arial"/>
                <w:sz w:val="16"/>
                <w:szCs w:val="16"/>
                <w:color w:val="auto"/>
              </w:rPr>
              <w:t>Total assets</w:t>
            </w:r>
          </w:p>
        </w:tc>
        <w:tc>
          <w:tcPr>
            <w:tcW w:w="460" w:type="dxa"/>
            <w:vAlign w:val="bottom"/>
            <w:tcBorders>
              <w:bottom w:val="single" w:sz="8" w:color="auto"/>
            </w:tcBorders>
          </w:tcPr>
          <w:p>
            <w:pPr>
              <w:jc w:val="right"/>
              <w:ind w:right="25"/>
              <w:spacing w:after="0" w:line="166"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61"/>
              <w:spacing w:after="0" w:line="166" w:lineRule="exact"/>
              <w:rPr>
                <w:sz w:val="20"/>
                <w:szCs w:val="20"/>
                <w:color w:val="auto"/>
              </w:rPr>
            </w:pPr>
            <w:r>
              <w:rPr>
                <w:rFonts w:ascii="Arial" w:cs="Arial" w:eastAsia="Arial" w:hAnsi="Arial"/>
                <w:sz w:val="16"/>
                <w:szCs w:val="16"/>
                <w:color w:val="auto"/>
              </w:rPr>
              <w:t>38,982</w:t>
            </w:r>
          </w:p>
        </w:tc>
        <w:tc>
          <w:tcPr>
            <w:tcW w:w="280" w:type="dxa"/>
            <w:vAlign w:val="bottom"/>
            <w:tcBorders>
              <w:bottom w:val="single" w:sz="8" w:color="auto"/>
            </w:tcBorders>
          </w:tcPr>
          <w:p>
            <w:pPr>
              <w:ind w:left="140"/>
              <w:spacing w:after="0" w:line="166"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37,244</w:t>
            </w:r>
          </w:p>
        </w:tc>
        <w:tc>
          <w:tcPr>
            <w:tcW w:w="0" w:type="dxa"/>
            <w:vAlign w:val="bottom"/>
          </w:tcPr>
          <w:p>
            <w:pPr>
              <w:spacing w:after="0"/>
              <w:rPr>
                <w:sz w:val="1"/>
                <w:szCs w:val="1"/>
                <w:color w:val="auto"/>
              </w:rPr>
            </w:pPr>
          </w:p>
        </w:tc>
      </w:tr>
      <w:tr>
        <w:trPr>
          <w:trHeight w:val="184"/>
        </w:trPr>
        <w:tc>
          <w:tcPr>
            <w:tcW w:w="180" w:type="dxa"/>
            <w:vAlign w:val="bottom"/>
          </w:tcPr>
          <w:p>
            <w:pPr>
              <w:spacing w:after="0"/>
              <w:rPr>
                <w:sz w:val="20"/>
                <w:szCs w:val="20"/>
                <w:color w:val="auto"/>
              </w:rPr>
            </w:pPr>
            <w:r>
              <w:rPr>
                <w:rFonts w:ascii="Arial" w:cs="Arial" w:eastAsia="Arial" w:hAnsi="Arial"/>
                <w:sz w:val="14"/>
                <w:szCs w:val="14"/>
                <w:i w:val="1"/>
                <w:iCs w:val="1"/>
                <w:color w:val="auto"/>
                <w:w w:val="93"/>
              </w:rPr>
              <w:t>(1)</w:t>
            </w:r>
          </w:p>
        </w:tc>
        <w:tc>
          <w:tcPr>
            <w:tcW w:w="8420" w:type="dxa"/>
            <w:vAlign w:val="bottom"/>
          </w:tcPr>
          <w:p>
            <w:pPr>
              <w:ind w:left="340"/>
              <w:spacing w:after="0"/>
              <w:rPr>
                <w:sz w:val="20"/>
                <w:szCs w:val="20"/>
                <w:color w:val="auto"/>
              </w:rPr>
            </w:pPr>
            <w:r>
              <w:rPr>
                <w:rFonts w:ascii="Arial" w:cs="Arial" w:eastAsia="Arial" w:hAnsi="Arial"/>
                <w:sz w:val="14"/>
                <w:szCs w:val="14"/>
                <w:i w:val="1"/>
                <w:iCs w:val="1"/>
                <w:color w:val="auto"/>
              </w:rPr>
              <w:t>Derived from audited financial statements.</w:t>
            </w:r>
          </w:p>
        </w:tc>
        <w:tc>
          <w:tcPr>
            <w:tcW w:w="4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-104775</wp:posOffset>
            </wp:positionV>
            <wp:extent cx="7248525" cy="3289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8525" cy="32893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BALANCE SHEETS (CONTINUED)</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600" w:type="dxa"/>
            <w:vAlign w:val="bottom"/>
          </w:tcPr>
          <w:p>
            <w:pPr>
              <w:spacing w:after="0"/>
              <w:rPr>
                <w:sz w:val="14"/>
                <w:szCs w:val="14"/>
                <w:color w:val="auto"/>
              </w:rPr>
            </w:pPr>
          </w:p>
        </w:tc>
        <w:tc>
          <w:tcPr>
            <w:tcW w:w="1540" w:type="dxa"/>
            <w:vAlign w:val="bottom"/>
            <w:gridSpan w:val="2"/>
          </w:tcPr>
          <w:p>
            <w:pPr>
              <w:jc w:val="center"/>
              <w:ind w:right="61"/>
              <w:spacing w:after="0"/>
              <w:rPr>
                <w:sz w:val="20"/>
                <w:szCs w:val="20"/>
                <w:color w:val="auto"/>
              </w:rPr>
            </w:pPr>
            <w:r>
              <w:rPr>
                <w:rFonts w:ascii="Arial" w:cs="Arial" w:eastAsia="Arial" w:hAnsi="Arial"/>
                <w:sz w:val="14"/>
                <w:szCs w:val="14"/>
                <w:color w:val="auto"/>
              </w:rPr>
              <w:t>September 30,</w:t>
            </w:r>
          </w:p>
        </w:tc>
        <w:tc>
          <w:tcPr>
            <w:tcW w:w="1280" w:type="dxa"/>
            <w:vAlign w:val="bottom"/>
            <w:gridSpan w:val="2"/>
          </w:tcPr>
          <w:p>
            <w:pPr>
              <w:ind w:left="12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7"/>
        </w:trPr>
        <w:tc>
          <w:tcPr>
            <w:tcW w:w="86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521"/>
              <w:spacing w:after="0"/>
              <w:rPr>
                <w:sz w:val="20"/>
                <w:szCs w:val="20"/>
                <w:color w:val="auto"/>
              </w:rPr>
            </w:pPr>
            <w:r>
              <w:rPr>
                <w:rFonts w:ascii="Arial" w:cs="Arial" w:eastAsia="Arial" w:hAnsi="Arial"/>
                <w:sz w:val="14"/>
                <w:szCs w:val="14"/>
                <w:color w:val="auto"/>
              </w:rPr>
              <w:t>2014</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color w:val="auto"/>
              </w:rPr>
              <w:t>2013(1)</w:t>
            </w:r>
          </w:p>
        </w:tc>
        <w:tc>
          <w:tcPr>
            <w:tcW w:w="0" w:type="dxa"/>
            <w:vAlign w:val="bottom"/>
          </w:tcPr>
          <w:p>
            <w:pPr>
              <w:spacing w:after="0"/>
              <w:rPr>
                <w:sz w:val="1"/>
                <w:szCs w:val="1"/>
                <w:color w:val="auto"/>
              </w:rPr>
            </w:pPr>
          </w:p>
        </w:tc>
      </w:tr>
      <w:tr>
        <w:trPr>
          <w:trHeight w:val="221"/>
        </w:trPr>
        <w:tc>
          <w:tcPr>
            <w:tcW w:w="8600" w:type="dxa"/>
            <w:vAlign w:val="bottom"/>
          </w:tcPr>
          <w:p>
            <w:pPr>
              <w:spacing w:after="0"/>
              <w:rPr>
                <w:sz w:val="19"/>
                <w:szCs w:val="19"/>
                <w:color w:val="auto"/>
              </w:rPr>
            </w:pPr>
          </w:p>
        </w:tc>
        <w:tc>
          <w:tcPr>
            <w:tcW w:w="1540" w:type="dxa"/>
            <w:vAlign w:val="bottom"/>
            <w:gridSpan w:val="2"/>
          </w:tcPr>
          <w:p>
            <w:pPr>
              <w:jc w:val="center"/>
              <w:ind w:right="61"/>
              <w:spacing w:after="0"/>
              <w:rPr>
                <w:sz w:val="20"/>
                <w:szCs w:val="20"/>
                <w:color w:val="auto"/>
              </w:rPr>
            </w:pPr>
            <w:r>
              <w:rPr>
                <w:rFonts w:ascii="Arial" w:cs="Arial" w:eastAsia="Arial" w:hAnsi="Arial"/>
                <w:sz w:val="14"/>
                <w:szCs w:val="14"/>
                <w:color w:val="auto"/>
              </w:rPr>
              <w:t>(unaudited)</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8600" w:type="dxa"/>
            <w:vAlign w:val="bottom"/>
          </w:tcPr>
          <w:p>
            <w:pPr>
              <w:spacing w:after="0"/>
              <w:rPr>
                <w:sz w:val="20"/>
                <w:szCs w:val="20"/>
                <w:color w:val="auto"/>
              </w:rPr>
            </w:pPr>
            <w:r>
              <w:rPr>
                <w:rFonts w:ascii="Arial" w:cs="Arial" w:eastAsia="Arial" w:hAnsi="Arial"/>
                <w:sz w:val="16"/>
                <w:szCs w:val="16"/>
                <w:color w:val="auto"/>
              </w:rPr>
              <w:t>LIABILITIES AND EQUITY</w:t>
            </w: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600" w:type="dxa"/>
            <w:vAlign w:val="bottom"/>
          </w:tcPr>
          <w:p>
            <w:pPr>
              <w:spacing w:after="0"/>
              <w:rPr>
                <w:sz w:val="20"/>
                <w:szCs w:val="20"/>
                <w:color w:val="auto"/>
              </w:rPr>
            </w:pPr>
            <w:r>
              <w:rPr>
                <w:rFonts w:ascii="Arial" w:cs="Arial" w:eastAsia="Arial" w:hAnsi="Arial"/>
                <w:sz w:val="16"/>
                <w:szCs w:val="16"/>
                <w:color w:val="auto"/>
              </w:rPr>
              <w:t>Current liabilities:</w:t>
            </w:r>
          </w:p>
        </w:tc>
        <w:tc>
          <w:tcPr>
            <w:tcW w:w="4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600" w:type="dxa"/>
            <w:vAlign w:val="bottom"/>
          </w:tcPr>
          <w:p>
            <w:pPr>
              <w:ind w:left="180"/>
              <w:spacing w:after="0"/>
              <w:rPr>
                <w:sz w:val="20"/>
                <w:szCs w:val="20"/>
                <w:color w:val="auto"/>
              </w:rPr>
            </w:pPr>
            <w:r>
              <w:rPr>
                <w:rFonts w:ascii="Arial" w:cs="Arial" w:eastAsia="Arial" w:hAnsi="Arial"/>
                <w:sz w:val="16"/>
                <w:szCs w:val="16"/>
                <w:color w:val="auto"/>
              </w:rPr>
              <w:t>Short-term debt</w:t>
            </w:r>
          </w:p>
        </w:tc>
        <w:tc>
          <w:tcPr>
            <w:tcW w:w="460" w:type="dxa"/>
            <w:vAlign w:val="bottom"/>
          </w:tcPr>
          <w:p>
            <w:pPr>
              <w:jc w:val="right"/>
              <w:ind w:right="26"/>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1,309</w:t>
            </w:r>
          </w:p>
        </w:tc>
        <w:tc>
          <w:tcPr>
            <w:tcW w:w="280" w:type="dxa"/>
            <w:vAlign w:val="bottom"/>
          </w:tcPr>
          <w:p>
            <w:pPr>
              <w:ind w:left="14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545</w:t>
            </w:r>
          </w:p>
        </w:tc>
        <w:tc>
          <w:tcPr>
            <w:tcW w:w="0" w:type="dxa"/>
            <w:vAlign w:val="bottom"/>
          </w:tcPr>
          <w:p>
            <w:pPr>
              <w:spacing w:after="0"/>
              <w:rPr>
                <w:sz w:val="1"/>
                <w:szCs w:val="1"/>
                <w:color w:val="auto"/>
              </w:rPr>
            </w:pPr>
          </w:p>
        </w:tc>
      </w:tr>
      <w:tr>
        <w:trPr>
          <w:trHeight w:val="213"/>
        </w:trPr>
        <w:tc>
          <w:tcPr>
            <w:tcW w:w="8600" w:type="dxa"/>
            <w:vAlign w:val="bottom"/>
          </w:tcPr>
          <w:p>
            <w:pPr>
              <w:ind w:left="180"/>
              <w:spacing w:after="0"/>
              <w:rPr>
                <w:sz w:val="20"/>
                <w:szCs w:val="20"/>
                <w:color w:val="auto"/>
              </w:rPr>
            </w:pPr>
            <w:r>
              <w:rPr>
                <w:rFonts w:ascii="Arial" w:cs="Arial" w:eastAsia="Arial" w:hAnsi="Arial"/>
                <w:sz w:val="16"/>
                <w:szCs w:val="16"/>
                <w:color w:val="auto"/>
              </w:rPr>
              <w:t>Accounts payable – trade</w:t>
            </w:r>
          </w:p>
        </w:tc>
        <w:tc>
          <w:tcPr>
            <w:tcW w:w="46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1,153</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1,088</w:t>
            </w:r>
          </w:p>
        </w:tc>
        <w:tc>
          <w:tcPr>
            <w:tcW w:w="0" w:type="dxa"/>
            <w:vAlign w:val="bottom"/>
          </w:tcPr>
          <w:p>
            <w:pPr>
              <w:spacing w:after="0"/>
              <w:rPr>
                <w:sz w:val="1"/>
                <w:szCs w:val="1"/>
                <w:color w:val="auto"/>
              </w:rPr>
            </w:pPr>
          </w:p>
        </w:tc>
      </w:tr>
      <w:tr>
        <w:trPr>
          <w:trHeight w:val="213"/>
        </w:trPr>
        <w:tc>
          <w:tcPr>
            <w:tcW w:w="8600" w:type="dxa"/>
            <w:vAlign w:val="bottom"/>
          </w:tcPr>
          <w:p>
            <w:pPr>
              <w:ind w:left="180"/>
              <w:spacing w:after="0"/>
              <w:rPr>
                <w:sz w:val="20"/>
                <w:szCs w:val="20"/>
                <w:color w:val="auto"/>
              </w:rPr>
            </w:pPr>
            <w:r>
              <w:rPr>
                <w:rFonts w:ascii="Arial" w:cs="Arial" w:eastAsia="Arial" w:hAnsi="Arial"/>
                <w:sz w:val="16"/>
                <w:szCs w:val="16"/>
                <w:color w:val="auto"/>
              </w:rPr>
              <w:t>Accounts payable – other</w:t>
            </w:r>
          </w:p>
        </w:tc>
        <w:tc>
          <w:tcPr>
            <w:tcW w:w="46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129</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13"/>
        </w:trPr>
        <w:tc>
          <w:tcPr>
            <w:tcW w:w="8600" w:type="dxa"/>
            <w:vAlign w:val="bottom"/>
          </w:tcPr>
          <w:p>
            <w:pPr>
              <w:ind w:left="180"/>
              <w:spacing w:after="0"/>
              <w:rPr>
                <w:sz w:val="20"/>
                <w:szCs w:val="20"/>
                <w:color w:val="auto"/>
              </w:rPr>
            </w:pPr>
            <w:r>
              <w:rPr>
                <w:rFonts w:ascii="Arial" w:cs="Arial" w:eastAsia="Arial" w:hAnsi="Arial"/>
                <w:sz w:val="16"/>
                <w:szCs w:val="16"/>
                <w:color w:val="auto"/>
              </w:rPr>
              <w:t>Dividends and interest payable</w:t>
            </w:r>
          </w:p>
        </w:tc>
        <w:tc>
          <w:tcPr>
            <w:tcW w:w="46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327</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213"/>
        </w:trPr>
        <w:tc>
          <w:tcPr>
            <w:tcW w:w="8600" w:type="dxa"/>
            <w:vAlign w:val="bottom"/>
          </w:tcPr>
          <w:p>
            <w:pPr>
              <w:ind w:left="180"/>
              <w:spacing w:after="0"/>
              <w:rPr>
                <w:sz w:val="20"/>
                <w:szCs w:val="20"/>
                <w:color w:val="auto"/>
              </w:rPr>
            </w:pPr>
            <w:r>
              <w:rPr>
                <w:rFonts w:ascii="Arial" w:cs="Arial" w:eastAsia="Arial" w:hAnsi="Arial"/>
                <w:sz w:val="16"/>
                <w:szCs w:val="16"/>
                <w:color w:val="auto"/>
              </w:rPr>
              <w:t>Accrued compensation and benefits</w:t>
            </w:r>
          </w:p>
        </w:tc>
        <w:tc>
          <w:tcPr>
            <w:tcW w:w="46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345</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376</w:t>
            </w:r>
          </w:p>
        </w:tc>
        <w:tc>
          <w:tcPr>
            <w:tcW w:w="0" w:type="dxa"/>
            <w:vAlign w:val="bottom"/>
          </w:tcPr>
          <w:p>
            <w:pPr>
              <w:spacing w:after="0"/>
              <w:rPr>
                <w:sz w:val="1"/>
                <w:szCs w:val="1"/>
                <w:color w:val="auto"/>
              </w:rPr>
            </w:pPr>
          </w:p>
        </w:tc>
      </w:tr>
      <w:tr>
        <w:trPr>
          <w:trHeight w:val="213"/>
        </w:trPr>
        <w:tc>
          <w:tcPr>
            <w:tcW w:w="8600" w:type="dxa"/>
            <w:vAlign w:val="bottom"/>
          </w:tcPr>
          <w:p>
            <w:pPr>
              <w:ind w:left="180"/>
              <w:spacing w:after="0"/>
              <w:rPr>
                <w:sz w:val="20"/>
                <w:szCs w:val="20"/>
                <w:color w:val="auto"/>
              </w:rPr>
            </w:pPr>
            <w:r>
              <w:rPr>
                <w:rFonts w:ascii="Arial" w:cs="Arial" w:eastAsia="Arial" w:hAnsi="Arial"/>
                <w:sz w:val="16"/>
                <w:szCs w:val="16"/>
                <w:color w:val="auto"/>
              </w:rPr>
              <w:t>Regulatory balancing accounts – overcollected</w:t>
            </w:r>
          </w:p>
        </w:tc>
        <w:tc>
          <w:tcPr>
            <w:tcW w:w="460" w:type="dxa"/>
            <w:vAlign w:val="bottom"/>
          </w:tcPr>
          <w:p>
            <w:pPr>
              <w:spacing w:after="0"/>
              <w:rPr>
                <w:sz w:val="18"/>
                <w:szCs w:val="18"/>
                <w:color w:val="auto"/>
              </w:rPr>
            </w:pPr>
          </w:p>
        </w:tc>
        <w:tc>
          <w:tcPr>
            <w:tcW w:w="108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13"/>
        </w:trPr>
        <w:tc>
          <w:tcPr>
            <w:tcW w:w="8600" w:type="dxa"/>
            <w:vAlign w:val="bottom"/>
          </w:tcPr>
          <w:p>
            <w:pPr>
              <w:ind w:left="180"/>
              <w:spacing w:after="0"/>
              <w:rPr>
                <w:sz w:val="20"/>
                <w:szCs w:val="20"/>
                <w:color w:val="auto"/>
              </w:rPr>
            </w:pPr>
            <w:r>
              <w:rPr>
                <w:rFonts w:ascii="Arial" w:cs="Arial" w:eastAsia="Arial" w:hAnsi="Arial"/>
                <w:sz w:val="16"/>
                <w:szCs w:val="16"/>
                <w:color w:val="auto"/>
              </w:rPr>
              <w:t>Current portion of long-term debt</w:t>
            </w:r>
          </w:p>
        </w:tc>
        <w:tc>
          <w:tcPr>
            <w:tcW w:w="46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188</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1,147</w:t>
            </w:r>
          </w:p>
        </w:tc>
        <w:tc>
          <w:tcPr>
            <w:tcW w:w="0" w:type="dxa"/>
            <w:vAlign w:val="bottom"/>
          </w:tcPr>
          <w:p>
            <w:pPr>
              <w:spacing w:after="0"/>
              <w:rPr>
                <w:sz w:val="1"/>
                <w:szCs w:val="1"/>
                <w:color w:val="auto"/>
              </w:rPr>
            </w:pPr>
          </w:p>
        </w:tc>
      </w:tr>
      <w:tr>
        <w:trPr>
          <w:trHeight w:val="213"/>
        </w:trPr>
        <w:tc>
          <w:tcPr>
            <w:tcW w:w="8600" w:type="dxa"/>
            <w:vAlign w:val="bottom"/>
          </w:tcPr>
          <w:p>
            <w:pPr>
              <w:ind w:left="180"/>
              <w:spacing w:after="0"/>
              <w:rPr>
                <w:sz w:val="20"/>
                <w:szCs w:val="20"/>
                <w:color w:val="auto"/>
              </w:rPr>
            </w:pPr>
            <w:r>
              <w:rPr>
                <w:rFonts w:ascii="Arial" w:cs="Arial" w:eastAsia="Arial" w:hAnsi="Arial"/>
                <w:sz w:val="16"/>
                <w:szCs w:val="16"/>
                <w:color w:val="auto"/>
              </w:rPr>
              <w:t>Fixed-price contracts and other derivatives</w:t>
            </w:r>
          </w:p>
        </w:tc>
        <w:tc>
          <w:tcPr>
            <w:tcW w:w="46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49</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13"/>
        </w:trPr>
        <w:tc>
          <w:tcPr>
            <w:tcW w:w="8600" w:type="dxa"/>
            <w:vAlign w:val="bottom"/>
          </w:tcPr>
          <w:p>
            <w:pPr>
              <w:ind w:left="180"/>
              <w:spacing w:after="0"/>
              <w:rPr>
                <w:sz w:val="20"/>
                <w:szCs w:val="20"/>
                <w:color w:val="auto"/>
              </w:rPr>
            </w:pPr>
            <w:r>
              <w:rPr>
                <w:rFonts w:ascii="Arial" w:cs="Arial" w:eastAsia="Arial" w:hAnsi="Arial"/>
                <w:sz w:val="16"/>
                <w:szCs w:val="16"/>
                <w:color w:val="auto"/>
              </w:rPr>
              <w:t>Customer deposits</w:t>
            </w:r>
          </w:p>
        </w:tc>
        <w:tc>
          <w:tcPr>
            <w:tcW w:w="46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149</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04"/>
        </w:trPr>
        <w:tc>
          <w:tcPr>
            <w:tcW w:w="8600" w:type="dxa"/>
            <w:vAlign w:val="bottom"/>
          </w:tcPr>
          <w:p>
            <w:pPr>
              <w:ind w:left="180"/>
              <w:spacing w:after="0"/>
              <w:rPr>
                <w:sz w:val="20"/>
                <w:szCs w:val="20"/>
                <w:color w:val="auto"/>
              </w:rPr>
            </w:pPr>
            <w:r>
              <w:rPr>
                <w:rFonts w:ascii="Arial" w:cs="Arial" w:eastAsia="Arial" w:hAnsi="Arial"/>
                <w:sz w:val="16"/>
                <w:szCs w:val="16"/>
                <w:color w:val="auto"/>
              </w:rPr>
              <w:t>Other</w:t>
            </w:r>
          </w:p>
        </w:tc>
        <w:tc>
          <w:tcPr>
            <w:tcW w:w="4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643</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515</w:t>
            </w:r>
          </w:p>
        </w:tc>
        <w:tc>
          <w:tcPr>
            <w:tcW w:w="0" w:type="dxa"/>
            <w:vAlign w:val="bottom"/>
          </w:tcPr>
          <w:p>
            <w:pPr>
              <w:spacing w:after="0"/>
              <w:rPr>
                <w:sz w:val="1"/>
                <w:szCs w:val="1"/>
                <w:color w:val="auto"/>
              </w:rPr>
            </w:pPr>
          </w:p>
        </w:tc>
      </w:tr>
      <w:tr>
        <w:trPr>
          <w:trHeight w:val="206"/>
        </w:trPr>
        <w:tc>
          <w:tcPr>
            <w:tcW w:w="8600" w:type="dxa"/>
            <w:vAlign w:val="bottom"/>
          </w:tcPr>
          <w:p>
            <w:pPr>
              <w:ind w:left="360"/>
              <w:spacing w:after="0"/>
              <w:rPr>
                <w:sz w:val="20"/>
                <w:szCs w:val="20"/>
                <w:color w:val="auto"/>
              </w:rPr>
            </w:pPr>
            <w:r>
              <w:rPr>
                <w:rFonts w:ascii="Arial" w:cs="Arial" w:eastAsia="Arial" w:hAnsi="Arial"/>
                <w:sz w:val="16"/>
                <w:szCs w:val="16"/>
                <w:color w:val="auto"/>
              </w:rPr>
              <w:t>Total current liabilities</w:t>
            </w:r>
          </w:p>
        </w:tc>
        <w:tc>
          <w:tcPr>
            <w:tcW w:w="4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4,292</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4,369</w:t>
            </w:r>
          </w:p>
        </w:tc>
        <w:tc>
          <w:tcPr>
            <w:tcW w:w="0" w:type="dxa"/>
            <w:vAlign w:val="bottom"/>
          </w:tcPr>
          <w:p>
            <w:pPr>
              <w:spacing w:after="0"/>
              <w:rPr>
                <w:sz w:val="1"/>
                <w:szCs w:val="1"/>
                <w:color w:val="auto"/>
              </w:rPr>
            </w:pPr>
          </w:p>
        </w:tc>
      </w:tr>
      <w:tr>
        <w:trPr>
          <w:trHeight w:val="155"/>
        </w:trPr>
        <w:tc>
          <w:tcPr>
            <w:tcW w:w="8600" w:type="dxa"/>
            <w:vAlign w:val="bottom"/>
          </w:tcPr>
          <w:p>
            <w:pPr>
              <w:spacing w:after="0" w:line="155" w:lineRule="exact"/>
              <w:rPr>
                <w:sz w:val="20"/>
                <w:szCs w:val="20"/>
                <w:color w:val="auto"/>
              </w:rPr>
            </w:pPr>
            <w:r>
              <w:rPr>
                <w:rFonts w:ascii="Arial" w:cs="Arial" w:eastAsia="Arial" w:hAnsi="Arial"/>
                <w:sz w:val="16"/>
                <w:szCs w:val="16"/>
                <w:color w:val="auto"/>
              </w:rPr>
              <w:t>Long-term debt ($317 and $325 at September 30, 2014 and December 31, 2013, respectively,</w:t>
            </w:r>
          </w:p>
        </w:tc>
        <w:tc>
          <w:tcPr>
            <w:tcW w:w="460" w:type="dxa"/>
            <w:vAlign w:val="bottom"/>
          </w:tcPr>
          <w:p>
            <w:pPr>
              <w:spacing w:after="0"/>
              <w:rPr>
                <w:sz w:val="13"/>
                <w:szCs w:val="13"/>
                <w:color w:val="auto"/>
              </w:rPr>
            </w:pPr>
          </w:p>
        </w:tc>
        <w:tc>
          <w:tcPr>
            <w:tcW w:w="1080" w:type="dxa"/>
            <w:vAlign w:val="bottom"/>
            <w:vMerge w:val="restart"/>
          </w:tcPr>
          <w:p>
            <w:pPr>
              <w:jc w:val="right"/>
              <w:ind w:right="61"/>
              <w:spacing w:after="0"/>
              <w:rPr>
                <w:sz w:val="20"/>
                <w:szCs w:val="20"/>
                <w:color w:val="auto"/>
              </w:rPr>
            </w:pPr>
            <w:r>
              <w:rPr>
                <w:rFonts w:ascii="Arial" w:cs="Arial" w:eastAsia="Arial" w:hAnsi="Arial"/>
                <w:sz w:val="16"/>
                <w:szCs w:val="16"/>
                <w:color w:val="auto"/>
              </w:rPr>
              <w:t>12,437</w:t>
            </w:r>
          </w:p>
        </w:tc>
        <w:tc>
          <w:tcPr>
            <w:tcW w:w="28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11,253</w:t>
            </w:r>
          </w:p>
        </w:tc>
        <w:tc>
          <w:tcPr>
            <w:tcW w:w="0" w:type="dxa"/>
            <w:vAlign w:val="bottom"/>
          </w:tcPr>
          <w:p>
            <w:pPr>
              <w:spacing w:after="0"/>
              <w:rPr>
                <w:sz w:val="1"/>
                <w:szCs w:val="1"/>
                <w:color w:val="auto"/>
              </w:rPr>
            </w:pPr>
          </w:p>
        </w:tc>
      </w:tr>
      <w:tr>
        <w:trPr>
          <w:trHeight w:val="171"/>
        </w:trPr>
        <w:tc>
          <w:tcPr>
            <w:tcW w:w="8600" w:type="dxa"/>
            <w:vAlign w:val="bottom"/>
          </w:tcPr>
          <w:p>
            <w:pPr>
              <w:ind w:left="220"/>
              <w:spacing w:after="0" w:line="171" w:lineRule="exact"/>
              <w:rPr>
                <w:sz w:val="20"/>
                <w:szCs w:val="20"/>
                <w:color w:val="auto"/>
              </w:rPr>
            </w:pPr>
            <w:r>
              <w:rPr>
                <w:rFonts w:ascii="Arial" w:cs="Arial" w:eastAsia="Arial" w:hAnsi="Arial"/>
                <w:sz w:val="16"/>
                <w:szCs w:val="16"/>
                <w:color w:val="auto"/>
              </w:rPr>
              <w:t>related to VIE)</w:t>
            </w:r>
          </w:p>
        </w:tc>
        <w:tc>
          <w:tcPr>
            <w:tcW w:w="4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ectPr>
          <w:pgSz w:w="11900" w:h="16858" w:orient="portrait"/>
          <w:cols w:equalWidth="0" w:num="1">
            <w:col w:w="11420"/>
          </w:cols>
          <w:pgMar w:left="240" w:top="128" w:right="239" w:bottom="0" w:gutter="0" w:footer="0" w:header="0"/>
        </w:sectPr>
      </w:pPr>
    </w:p>
    <w:bookmarkStart w:id="5" w:name="page6"/>
    <w:bookmarkEnd w:id="5"/>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00" w:type="dxa"/>
            <w:vAlign w:val="bottom"/>
          </w:tcPr>
          <w:p>
            <w:pPr>
              <w:spacing w:after="0"/>
              <w:rPr>
                <w:sz w:val="20"/>
                <w:szCs w:val="20"/>
                <w:color w:val="auto"/>
              </w:rPr>
            </w:pPr>
            <w:r>
              <w:rPr>
                <w:rFonts w:ascii="Arial" w:cs="Arial" w:eastAsia="Arial" w:hAnsi="Arial"/>
                <w:sz w:val="16"/>
                <w:szCs w:val="16"/>
                <w:color w:val="auto"/>
              </w:rPr>
              <w:t>Deferred credits and other liabilities:</w:t>
            </w: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13"/>
        </w:trPr>
        <w:tc>
          <w:tcPr>
            <w:tcW w:w="8600" w:type="dxa"/>
            <w:vAlign w:val="bottom"/>
          </w:tcPr>
          <w:p>
            <w:pPr>
              <w:ind w:left="180"/>
              <w:spacing w:after="0"/>
              <w:rPr>
                <w:sz w:val="20"/>
                <w:szCs w:val="20"/>
                <w:color w:val="auto"/>
              </w:rPr>
            </w:pPr>
            <w:r>
              <w:rPr>
                <w:rFonts w:ascii="Arial" w:cs="Arial" w:eastAsia="Arial" w:hAnsi="Arial"/>
                <w:sz w:val="16"/>
                <w:szCs w:val="16"/>
                <w:color w:val="auto"/>
              </w:rPr>
              <w:t>Customer advances for construction</w:t>
            </w:r>
          </w:p>
        </w:tc>
        <w:tc>
          <w:tcPr>
            <w:tcW w:w="640" w:type="dxa"/>
            <w:vAlign w:val="bottom"/>
          </w:tcPr>
          <w:p>
            <w:pPr>
              <w:spacing w:after="0"/>
              <w:rPr>
                <w:sz w:val="18"/>
                <w:szCs w:val="18"/>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144</w:t>
            </w:r>
          </w:p>
        </w:tc>
        <w:tc>
          <w:tcPr>
            <w:tcW w:w="5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155</w:t>
            </w:r>
          </w:p>
        </w:tc>
      </w:tr>
      <w:tr>
        <w:trPr>
          <w:trHeight w:val="213"/>
        </w:trPr>
        <w:tc>
          <w:tcPr>
            <w:tcW w:w="8600" w:type="dxa"/>
            <w:vAlign w:val="bottom"/>
          </w:tcPr>
          <w:p>
            <w:pPr>
              <w:ind w:left="180"/>
              <w:spacing w:after="0"/>
              <w:rPr>
                <w:sz w:val="20"/>
                <w:szCs w:val="20"/>
                <w:color w:val="auto"/>
              </w:rPr>
            </w:pPr>
            <w:r>
              <w:rPr>
                <w:rFonts w:ascii="Arial" w:cs="Arial" w:eastAsia="Arial" w:hAnsi="Arial"/>
                <w:sz w:val="16"/>
                <w:szCs w:val="16"/>
                <w:color w:val="auto"/>
              </w:rPr>
              <w:t>Pension and other postretirement benefit obligations, net of plan assets</w:t>
            </w:r>
          </w:p>
        </w:tc>
        <w:tc>
          <w:tcPr>
            <w:tcW w:w="640" w:type="dxa"/>
            <w:vAlign w:val="bottom"/>
          </w:tcPr>
          <w:p>
            <w:pPr>
              <w:spacing w:after="0"/>
              <w:rPr>
                <w:sz w:val="18"/>
                <w:szCs w:val="18"/>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659</w:t>
            </w:r>
          </w:p>
        </w:tc>
        <w:tc>
          <w:tcPr>
            <w:tcW w:w="5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667</w:t>
            </w:r>
          </w:p>
        </w:tc>
      </w:tr>
      <w:tr>
        <w:trPr>
          <w:trHeight w:val="213"/>
        </w:trPr>
        <w:tc>
          <w:tcPr>
            <w:tcW w:w="8600" w:type="dxa"/>
            <w:vAlign w:val="bottom"/>
          </w:tcPr>
          <w:p>
            <w:pPr>
              <w:ind w:left="180"/>
              <w:spacing w:after="0"/>
              <w:rPr>
                <w:sz w:val="20"/>
                <w:szCs w:val="20"/>
                <w:color w:val="auto"/>
              </w:rPr>
            </w:pPr>
            <w:r>
              <w:rPr>
                <w:rFonts w:ascii="Arial" w:cs="Arial" w:eastAsia="Arial" w:hAnsi="Arial"/>
                <w:sz w:val="16"/>
                <w:szCs w:val="16"/>
                <w:color w:val="auto"/>
              </w:rPr>
              <w:t>Deferred income taxes</w:t>
            </w:r>
          </w:p>
        </w:tc>
        <w:tc>
          <w:tcPr>
            <w:tcW w:w="640" w:type="dxa"/>
            <w:vAlign w:val="bottom"/>
          </w:tcPr>
          <w:p>
            <w:pPr>
              <w:spacing w:after="0"/>
              <w:rPr>
                <w:sz w:val="18"/>
                <w:szCs w:val="18"/>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3,113</w:t>
            </w:r>
          </w:p>
        </w:tc>
        <w:tc>
          <w:tcPr>
            <w:tcW w:w="5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2,804</w:t>
            </w:r>
          </w:p>
        </w:tc>
      </w:tr>
      <w:tr>
        <w:trPr>
          <w:trHeight w:val="213"/>
        </w:trPr>
        <w:tc>
          <w:tcPr>
            <w:tcW w:w="8600" w:type="dxa"/>
            <w:vAlign w:val="bottom"/>
          </w:tcPr>
          <w:p>
            <w:pPr>
              <w:ind w:left="180"/>
              <w:spacing w:after="0"/>
              <w:rPr>
                <w:sz w:val="20"/>
                <w:szCs w:val="20"/>
                <w:color w:val="auto"/>
              </w:rPr>
            </w:pPr>
            <w:r>
              <w:rPr>
                <w:rFonts w:ascii="Arial" w:cs="Arial" w:eastAsia="Arial" w:hAnsi="Arial"/>
                <w:sz w:val="16"/>
                <w:szCs w:val="16"/>
                <w:color w:val="auto"/>
              </w:rPr>
              <w:t>Deferred investment tax credits</w:t>
            </w:r>
          </w:p>
        </w:tc>
        <w:tc>
          <w:tcPr>
            <w:tcW w:w="640" w:type="dxa"/>
            <w:vAlign w:val="bottom"/>
          </w:tcPr>
          <w:p>
            <w:pPr>
              <w:spacing w:after="0"/>
              <w:rPr>
                <w:sz w:val="18"/>
                <w:szCs w:val="18"/>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38</w:t>
            </w:r>
          </w:p>
        </w:tc>
        <w:tc>
          <w:tcPr>
            <w:tcW w:w="5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13"/>
        </w:trPr>
        <w:tc>
          <w:tcPr>
            <w:tcW w:w="8600" w:type="dxa"/>
            <w:vAlign w:val="bottom"/>
          </w:tcPr>
          <w:p>
            <w:pPr>
              <w:ind w:left="180"/>
              <w:spacing w:after="0"/>
              <w:rPr>
                <w:sz w:val="20"/>
                <w:szCs w:val="20"/>
                <w:color w:val="auto"/>
              </w:rPr>
            </w:pPr>
            <w:r>
              <w:rPr>
                <w:rFonts w:ascii="Arial" w:cs="Arial" w:eastAsia="Arial" w:hAnsi="Arial"/>
                <w:sz w:val="16"/>
                <w:szCs w:val="16"/>
                <w:color w:val="auto"/>
              </w:rPr>
              <w:t>Regulatory liabilities arising from removal obligations</w:t>
            </w:r>
          </w:p>
        </w:tc>
        <w:tc>
          <w:tcPr>
            <w:tcW w:w="640" w:type="dxa"/>
            <w:vAlign w:val="bottom"/>
          </w:tcPr>
          <w:p>
            <w:pPr>
              <w:spacing w:after="0"/>
              <w:rPr>
                <w:sz w:val="18"/>
                <w:szCs w:val="18"/>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2,725</w:t>
            </w:r>
          </w:p>
        </w:tc>
        <w:tc>
          <w:tcPr>
            <w:tcW w:w="5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2,623</w:t>
            </w:r>
          </w:p>
        </w:tc>
      </w:tr>
      <w:tr>
        <w:trPr>
          <w:trHeight w:val="213"/>
        </w:trPr>
        <w:tc>
          <w:tcPr>
            <w:tcW w:w="8600" w:type="dxa"/>
            <w:vAlign w:val="bottom"/>
          </w:tcPr>
          <w:p>
            <w:pPr>
              <w:ind w:left="180"/>
              <w:spacing w:after="0"/>
              <w:rPr>
                <w:sz w:val="20"/>
                <w:szCs w:val="20"/>
                <w:color w:val="auto"/>
              </w:rPr>
            </w:pPr>
            <w:r>
              <w:rPr>
                <w:rFonts w:ascii="Arial" w:cs="Arial" w:eastAsia="Arial" w:hAnsi="Arial"/>
                <w:sz w:val="16"/>
                <w:szCs w:val="16"/>
                <w:color w:val="auto"/>
              </w:rPr>
              <w:t>Asset retirement obligations</w:t>
            </w:r>
          </w:p>
        </w:tc>
        <w:tc>
          <w:tcPr>
            <w:tcW w:w="640" w:type="dxa"/>
            <w:vAlign w:val="bottom"/>
          </w:tcPr>
          <w:p>
            <w:pPr>
              <w:spacing w:after="0"/>
              <w:rPr>
                <w:sz w:val="18"/>
                <w:szCs w:val="18"/>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2,043</w:t>
            </w:r>
          </w:p>
        </w:tc>
        <w:tc>
          <w:tcPr>
            <w:tcW w:w="5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2,084</w:t>
            </w:r>
          </w:p>
        </w:tc>
      </w:tr>
      <w:tr>
        <w:trPr>
          <w:trHeight w:val="213"/>
        </w:trPr>
        <w:tc>
          <w:tcPr>
            <w:tcW w:w="8600" w:type="dxa"/>
            <w:vAlign w:val="bottom"/>
          </w:tcPr>
          <w:p>
            <w:pPr>
              <w:ind w:left="180"/>
              <w:spacing w:after="0"/>
              <w:rPr>
                <w:sz w:val="20"/>
                <w:szCs w:val="20"/>
                <w:color w:val="auto"/>
              </w:rPr>
            </w:pPr>
            <w:r>
              <w:rPr>
                <w:rFonts w:ascii="Arial" w:cs="Arial" w:eastAsia="Arial" w:hAnsi="Arial"/>
                <w:sz w:val="16"/>
                <w:szCs w:val="16"/>
                <w:color w:val="auto"/>
              </w:rPr>
              <w:t>Fixed-price contracts and other derivatives</w:t>
            </w:r>
          </w:p>
        </w:tc>
        <w:tc>
          <w:tcPr>
            <w:tcW w:w="640" w:type="dxa"/>
            <w:vAlign w:val="bottom"/>
          </w:tcPr>
          <w:p>
            <w:pPr>
              <w:spacing w:after="0"/>
              <w:rPr>
                <w:sz w:val="18"/>
                <w:szCs w:val="18"/>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220</w:t>
            </w:r>
          </w:p>
        </w:tc>
        <w:tc>
          <w:tcPr>
            <w:tcW w:w="5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228</w:t>
            </w:r>
          </w:p>
        </w:tc>
      </w:tr>
      <w:tr>
        <w:trPr>
          <w:trHeight w:val="204"/>
        </w:trPr>
        <w:tc>
          <w:tcPr>
            <w:tcW w:w="8600" w:type="dxa"/>
            <w:vAlign w:val="bottom"/>
          </w:tcPr>
          <w:p>
            <w:pPr>
              <w:ind w:left="180"/>
              <w:spacing w:after="0"/>
              <w:rPr>
                <w:sz w:val="20"/>
                <w:szCs w:val="20"/>
                <w:color w:val="auto"/>
              </w:rPr>
            </w:pPr>
            <w:r>
              <w:rPr>
                <w:rFonts w:ascii="Arial" w:cs="Arial" w:eastAsia="Arial" w:hAnsi="Arial"/>
                <w:sz w:val="16"/>
                <w:szCs w:val="16"/>
                <w:color w:val="auto"/>
              </w:rPr>
              <w:t>Deferred credits and other</w:t>
            </w:r>
          </w:p>
        </w:tc>
        <w:tc>
          <w:tcPr>
            <w:tcW w:w="6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1,154</w:t>
            </w:r>
          </w:p>
        </w:tc>
        <w:tc>
          <w:tcPr>
            <w:tcW w:w="5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1,169</w:t>
            </w:r>
          </w:p>
        </w:tc>
      </w:tr>
      <w:tr>
        <w:trPr>
          <w:trHeight w:val="206"/>
        </w:trPr>
        <w:tc>
          <w:tcPr>
            <w:tcW w:w="8600" w:type="dxa"/>
            <w:vAlign w:val="bottom"/>
          </w:tcPr>
          <w:p>
            <w:pPr>
              <w:ind w:left="360"/>
              <w:spacing w:after="0"/>
              <w:rPr>
                <w:sz w:val="20"/>
                <w:szCs w:val="20"/>
                <w:color w:val="auto"/>
              </w:rPr>
            </w:pPr>
            <w:r>
              <w:rPr>
                <w:rFonts w:ascii="Arial" w:cs="Arial" w:eastAsia="Arial" w:hAnsi="Arial"/>
                <w:sz w:val="16"/>
                <w:szCs w:val="16"/>
                <w:color w:val="auto"/>
              </w:rPr>
              <w:t>Total deferred credits and other liabilities</w:t>
            </w:r>
          </w:p>
        </w:tc>
        <w:tc>
          <w:tcPr>
            <w:tcW w:w="6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10,096</w:t>
            </w:r>
          </w:p>
        </w:tc>
        <w:tc>
          <w:tcPr>
            <w:tcW w:w="5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9,772</w:t>
            </w:r>
          </w:p>
        </w:tc>
      </w:tr>
      <w:tr>
        <w:trPr>
          <w:trHeight w:val="427"/>
        </w:trPr>
        <w:tc>
          <w:tcPr>
            <w:tcW w:w="8600" w:type="dxa"/>
            <w:vAlign w:val="bottom"/>
          </w:tcPr>
          <w:p>
            <w:pPr>
              <w:spacing w:after="0"/>
              <w:rPr>
                <w:sz w:val="20"/>
                <w:szCs w:val="20"/>
                <w:color w:val="auto"/>
              </w:rPr>
            </w:pPr>
            <w:r>
              <w:rPr>
                <w:rFonts w:ascii="Arial" w:cs="Arial" w:eastAsia="Arial" w:hAnsi="Arial"/>
                <w:sz w:val="16"/>
                <w:szCs w:val="16"/>
                <w:color w:val="auto"/>
              </w:rPr>
              <w:t>Commitments and contingencies (Note 11)</w:t>
            </w: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25"/>
        </w:trPr>
        <w:tc>
          <w:tcPr>
            <w:tcW w:w="8600" w:type="dxa"/>
            <w:vAlign w:val="bottom"/>
          </w:tcPr>
          <w:p>
            <w:pPr>
              <w:spacing w:after="0"/>
              <w:rPr>
                <w:sz w:val="20"/>
                <w:szCs w:val="20"/>
                <w:color w:val="auto"/>
              </w:rPr>
            </w:pPr>
            <w:r>
              <w:rPr>
                <w:rFonts w:ascii="Arial" w:cs="Arial" w:eastAsia="Arial" w:hAnsi="Arial"/>
                <w:sz w:val="16"/>
                <w:szCs w:val="16"/>
                <w:color w:val="auto"/>
              </w:rPr>
              <w:t>Equity:</w:t>
            </w: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13"/>
        </w:trPr>
        <w:tc>
          <w:tcPr>
            <w:tcW w:w="8600" w:type="dxa"/>
            <w:vAlign w:val="bottom"/>
          </w:tcPr>
          <w:p>
            <w:pPr>
              <w:ind w:left="180"/>
              <w:spacing w:after="0"/>
              <w:rPr>
                <w:sz w:val="20"/>
                <w:szCs w:val="20"/>
                <w:color w:val="auto"/>
              </w:rPr>
            </w:pPr>
            <w:r>
              <w:rPr>
                <w:rFonts w:ascii="Arial" w:cs="Arial" w:eastAsia="Arial" w:hAnsi="Arial"/>
                <w:sz w:val="16"/>
                <w:szCs w:val="16"/>
                <w:color w:val="auto"/>
              </w:rPr>
              <w:t>Preferred stock (50 million shares authorized; none issued)</w:t>
            </w:r>
          </w:p>
        </w:tc>
        <w:tc>
          <w:tcPr>
            <w:tcW w:w="640" w:type="dxa"/>
            <w:vAlign w:val="bottom"/>
          </w:tcPr>
          <w:p>
            <w:pPr>
              <w:spacing w:after="0"/>
              <w:rPr>
                <w:sz w:val="18"/>
                <w:szCs w:val="18"/>
                <w:color w:val="auto"/>
              </w:rPr>
            </w:pPr>
          </w:p>
        </w:tc>
        <w:tc>
          <w:tcPr>
            <w:tcW w:w="90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w:t>
            </w:r>
          </w:p>
        </w:tc>
      </w:tr>
      <w:tr>
        <w:trPr>
          <w:trHeight w:val="213"/>
        </w:trPr>
        <w:tc>
          <w:tcPr>
            <w:tcW w:w="8600" w:type="dxa"/>
            <w:vAlign w:val="bottom"/>
          </w:tcPr>
          <w:p>
            <w:pPr>
              <w:ind w:left="180"/>
              <w:spacing w:after="0"/>
              <w:rPr>
                <w:sz w:val="20"/>
                <w:szCs w:val="20"/>
                <w:color w:val="auto"/>
              </w:rPr>
            </w:pPr>
            <w:r>
              <w:rPr>
                <w:rFonts w:ascii="Arial" w:cs="Arial" w:eastAsia="Arial" w:hAnsi="Arial"/>
                <w:sz w:val="16"/>
                <w:szCs w:val="16"/>
                <w:color w:val="auto"/>
              </w:rPr>
              <w:t>Common stock (750 million shares authorized; 246 million and 244 million shares</w:t>
            </w: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3"/>
        </w:trPr>
        <w:tc>
          <w:tcPr>
            <w:tcW w:w="8600" w:type="dxa"/>
            <w:vAlign w:val="bottom"/>
          </w:tcPr>
          <w:p>
            <w:pPr>
              <w:ind w:left="360"/>
              <w:spacing w:after="0"/>
              <w:rPr>
                <w:sz w:val="20"/>
                <w:szCs w:val="20"/>
                <w:color w:val="auto"/>
              </w:rPr>
            </w:pPr>
            <w:r>
              <w:rPr>
                <w:rFonts w:ascii="Arial" w:cs="Arial" w:eastAsia="Arial" w:hAnsi="Arial"/>
                <w:sz w:val="16"/>
                <w:szCs w:val="16"/>
                <w:color w:val="auto"/>
              </w:rPr>
              <w:t>outstanding at September 30, 2014 and December 31, 2013, respectively; no par value)</w:t>
            </w:r>
          </w:p>
        </w:tc>
        <w:tc>
          <w:tcPr>
            <w:tcW w:w="640" w:type="dxa"/>
            <w:vAlign w:val="bottom"/>
          </w:tcPr>
          <w:p>
            <w:pPr>
              <w:spacing w:after="0"/>
              <w:rPr>
                <w:sz w:val="18"/>
                <w:szCs w:val="18"/>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2,499</w:t>
            </w:r>
          </w:p>
        </w:tc>
        <w:tc>
          <w:tcPr>
            <w:tcW w:w="5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2,409</w:t>
            </w:r>
          </w:p>
        </w:tc>
      </w:tr>
      <w:tr>
        <w:trPr>
          <w:trHeight w:val="213"/>
        </w:trPr>
        <w:tc>
          <w:tcPr>
            <w:tcW w:w="8600" w:type="dxa"/>
            <w:vAlign w:val="bottom"/>
          </w:tcPr>
          <w:p>
            <w:pPr>
              <w:ind w:left="180"/>
              <w:spacing w:after="0"/>
              <w:rPr>
                <w:sz w:val="20"/>
                <w:szCs w:val="20"/>
                <w:color w:val="auto"/>
              </w:rPr>
            </w:pPr>
            <w:r>
              <w:rPr>
                <w:rFonts w:ascii="Arial" w:cs="Arial" w:eastAsia="Arial" w:hAnsi="Arial"/>
                <w:sz w:val="16"/>
                <w:szCs w:val="16"/>
                <w:color w:val="auto"/>
              </w:rPr>
              <w:t>Retained earnings</w:t>
            </w:r>
          </w:p>
        </w:tc>
        <w:tc>
          <w:tcPr>
            <w:tcW w:w="640" w:type="dxa"/>
            <w:vAlign w:val="bottom"/>
          </w:tcPr>
          <w:p>
            <w:pPr>
              <w:spacing w:after="0"/>
              <w:rPr>
                <w:sz w:val="18"/>
                <w:szCs w:val="18"/>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9,205</w:t>
            </w:r>
          </w:p>
        </w:tc>
        <w:tc>
          <w:tcPr>
            <w:tcW w:w="5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8,827</w:t>
            </w:r>
          </w:p>
        </w:tc>
      </w:tr>
      <w:tr>
        <w:trPr>
          <w:trHeight w:val="204"/>
        </w:trPr>
        <w:tc>
          <w:tcPr>
            <w:tcW w:w="8600" w:type="dxa"/>
            <w:vAlign w:val="bottom"/>
          </w:tcPr>
          <w:p>
            <w:pPr>
              <w:ind w:left="180"/>
              <w:spacing w:after="0"/>
              <w:rPr>
                <w:sz w:val="20"/>
                <w:szCs w:val="20"/>
                <w:color w:val="auto"/>
              </w:rPr>
            </w:pPr>
            <w:r>
              <w:rPr>
                <w:rFonts w:ascii="Arial" w:cs="Arial" w:eastAsia="Arial" w:hAnsi="Arial"/>
                <w:sz w:val="16"/>
                <w:szCs w:val="16"/>
                <w:color w:val="auto"/>
              </w:rPr>
              <w:t>Accumulated other comprehensive income (loss)</w:t>
            </w:r>
          </w:p>
        </w:tc>
        <w:tc>
          <w:tcPr>
            <w:tcW w:w="6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(371)</w:t>
            </w:r>
          </w:p>
        </w:tc>
        <w:tc>
          <w:tcPr>
            <w:tcW w:w="5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w:t>
            </w:r>
          </w:p>
        </w:tc>
      </w:tr>
      <w:tr>
        <w:trPr>
          <w:trHeight w:val="214"/>
        </w:trPr>
        <w:tc>
          <w:tcPr>
            <w:tcW w:w="8600" w:type="dxa"/>
            <w:vAlign w:val="bottom"/>
          </w:tcPr>
          <w:p>
            <w:pPr>
              <w:ind w:left="360"/>
              <w:spacing w:after="0"/>
              <w:rPr>
                <w:sz w:val="20"/>
                <w:szCs w:val="20"/>
                <w:color w:val="auto"/>
              </w:rPr>
            </w:pPr>
            <w:r>
              <w:rPr>
                <w:rFonts w:ascii="Arial" w:cs="Arial" w:eastAsia="Arial" w:hAnsi="Arial"/>
                <w:sz w:val="16"/>
                <w:szCs w:val="16"/>
                <w:color w:val="auto"/>
              </w:rPr>
              <w:t>Total Sempra Energy shareholders’ equity</w:t>
            </w:r>
          </w:p>
        </w:tc>
        <w:tc>
          <w:tcPr>
            <w:tcW w:w="640" w:type="dxa"/>
            <w:vAlign w:val="bottom"/>
          </w:tcPr>
          <w:p>
            <w:pPr>
              <w:spacing w:after="0"/>
              <w:rPr>
                <w:sz w:val="18"/>
                <w:szCs w:val="18"/>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11,333</w:t>
            </w:r>
          </w:p>
        </w:tc>
        <w:tc>
          <w:tcPr>
            <w:tcW w:w="5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11,008</w:t>
            </w:r>
          </w:p>
        </w:tc>
      </w:tr>
      <w:tr>
        <w:trPr>
          <w:trHeight w:val="213"/>
        </w:trPr>
        <w:tc>
          <w:tcPr>
            <w:tcW w:w="8600" w:type="dxa"/>
            <w:vAlign w:val="bottom"/>
          </w:tcPr>
          <w:p>
            <w:pPr>
              <w:ind w:left="180"/>
              <w:spacing w:after="0"/>
              <w:rPr>
                <w:sz w:val="20"/>
                <w:szCs w:val="20"/>
                <w:color w:val="auto"/>
              </w:rPr>
            </w:pPr>
            <w:r>
              <w:rPr>
                <w:rFonts w:ascii="Arial" w:cs="Arial" w:eastAsia="Arial" w:hAnsi="Arial"/>
                <w:sz w:val="16"/>
                <w:szCs w:val="16"/>
                <w:color w:val="auto"/>
              </w:rPr>
              <w:t>Preferred stock of subsidiary</w:t>
            </w:r>
          </w:p>
        </w:tc>
        <w:tc>
          <w:tcPr>
            <w:tcW w:w="640" w:type="dxa"/>
            <w:vAlign w:val="bottom"/>
          </w:tcPr>
          <w:p>
            <w:pPr>
              <w:spacing w:after="0"/>
              <w:rPr>
                <w:sz w:val="18"/>
                <w:szCs w:val="18"/>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20</w:t>
            </w:r>
          </w:p>
        </w:tc>
        <w:tc>
          <w:tcPr>
            <w:tcW w:w="5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04"/>
        </w:trPr>
        <w:tc>
          <w:tcPr>
            <w:tcW w:w="8600" w:type="dxa"/>
            <w:vAlign w:val="bottom"/>
          </w:tcPr>
          <w:p>
            <w:pPr>
              <w:ind w:left="180"/>
              <w:spacing w:after="0"/>
              <w:rPr>
                <w:sz w:val="20"/>
                <w:szCs w:val="20"/>
                <w:color w:val="auto"/>
              </w:rPr>
            </w:pPr>
            <w:r>
              <w:rPr>
                <w:rFonts w:ascii="Arial" w:cs="Arial" w:eastAsia="Arial" w:hAnsi="Arial"/>
                <w:sz w:val="16"/>
                <w:szCs w:val="16"/>
                <w:color w:val="auto"/>
              </w:rPr>
              <w:t>Other noncontrolling interests</w:t>
            </w:r>
          </w:p>
        </w:tc>
        <w:tc>
          <w:tcPr>
            <w:tcW w:w="6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804</w:t>
            </w:r>
          </w:p>
        </w:tc>
        <w:tc>
          <w:tcPr>
            <w:tcW w:w="5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822</w:t>
            </w:r>
          </w:p>
        </w:tc>
      </w:tr>
      <w:tr>
        <w:trPr>
          <w:trHeight w:val="206"/>
        </w:trPr>
        <w:tc>
          <w:tcPr>
            <w:tcW w:w="8600" w:type="dxa"/>
            <w:vAlign w:val="bottom"/>
          </w:tcPr>
          <w:p>
            <w:pPr>
              <w:ind w:left="360"/>
              <w:spacing w:after="0"/>
              <w:rPr>
                <w:sz w:val="20"/>
                <w:szCs w:val="20"/>
                <w:color w:val="auto"/>
              </w:rPr>
            </w:pPr>
            <w:r>
              <w:rPr>
                <w:rFonts w:ascii="Arial" w:cs="Arial" w:eastAsia="Arial" w:hAnsi="Arial"/>
                <w:sz w:val="16"/>
                <w:szCs w:val="16"/>
                <w:color w:val="auto"/>
              </w:rPr>
              <w:t>Total equity</w:t>
            </w:r>
          </w:p>
        </w:tc>
        <w:tc>
          <w:tcPr>
            <w:tcW w:w="6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12,157</w:t>
            </w:r>
          </w:p>
        </w:tc>
        <w:tc>
          <w:tcPr>
            <w:tcW w:w="5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11,850</w:t>
            </w:r>
          </w:p>
        </w:tc>
      </w:tr>
      <w:tr>
        <w:trPr>
          <w:trHeight w:val="173"/>
        </w:trPr>
        <w:tc>
          <w:tcPr>
            <w:tcW w:w="8600" w:type="dxa"/>
            <w:vAlign w:val="bottom"/>
            <w:tcBorders>
              <w:bottom w:val="single" w:sz="8" w:color="auto"/>
            </w:tcBorders>
          </w:tcPr>
          <w:p>
            <w:pPr>
              <w:spacing w:after="0" w:line="166" w:lineRule="exact"/>
              <w:rPr>
                <w:sz w:val="20"/>
                <w:szCs w:val="20"/>
                <w:color w:val="auto"/>
              </w:rPr>
            </w:pPr>
            <w:r>
              <w:rPr>
                <w:rFonts w:ascii="Arial" w:cs="Arial" w:eastAsia="Arial" w:hAnsi="Arial"/>
                <w:sz w:val="16"/>
                <w:szCs w:val="16"/>
                <w:color w:val="auto"/>
              </w:rPr>
              <w:t>Total liabilities and equity</w:t>
            </w:r>
          </w:p>
        </w:tc>
        <w:tc>
          <w:tcPr>
            <w:tcW w:w="640" w:type="dxa"/>
            <w:vAlign w:val="bottom"/>
            <w:tcBorders>
              <w:bottom w:val="single" w:sz="8" w:color="auto"/>
            </w:tcBorders>
          </w:tcPr>
          <w:p>
            <w:pPr>
              <w:jc w:val="right"/>
              <w:ind w:right="200"/>
              <w:spacing w:after="0" w:line="166"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60"/>
              <w:spacing w:after="0" w:line="166" w:lineRule="exact"/>
              <w:rPr>
                <w:sz w:val="20"/>
                <w:szCs w:val="20"/>
                <w:color w:val="auto"/>
              </w:rPr>
            </w:pPr>
            <w:r>
              <w:rPr>
                <w:rFonts w:ascii="Arial" w:cs="Arial" w:eastAsia="Arial" w:hAnsi="Arial"/>
                <w:sz w:val="16"/>
                <w:szCs w:val="16"/>
                <w:color w:val="auto"/>
              </w:rPr>
              <w:t>38,982</w:t>
            </w:r>
          </w:p>
        </w:tc>
        <w:tc>
          <w:tcPr>
            <w:tcW w:w="520" w:type="dxa"/>
            <w:vAlign w:val="bottom"/>
            <w:tcBorders>
              <w:bottom w:val="single" w:sz="8" w:color="auto"/>
            </w:tcBorders>
          </w:tcPr>
          <w:p>
            <w:pPr>
              <w:jc w:val="right"/>
              <w:ind w:right="200"/>
              <w:spacing w:after="0" w:line="166"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37,244</w:t>
            </w:r>
          </w:p>
        </w:tc>
      </w:tr>
    </w:tbl>
    <w:p>
      <w:pPr>
        <w:spacing w:after="0" w:line="44" w:lineRule="exact"/>
        <w:rPr>
          <w:sz w:val="20"/>
          <w:szCs w:val="20"/>
          <w:color w:val="auto"/>
        </w:rPr>
      </w:pPr>
    </w:p>
    <w:p>
      <w:pPr>
        <w:ind w:left="520" w:hanging="514"/>
        <w:spacing w:after="0"/>
        <w:tabs>
          <w:tab w:leader="none" w:pos="520"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Derived from audited financial statements.</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-104775</wp:posOffset>
            </wp:positionV>
            <wp:extent cx="7248525" cy="3289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8525" cy="32893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40" w:type="dxa"/>
            <w:vAlign w:val="bottom"/>
          </w:tcPr>
          <w:p>
            <w:pPr>
              <w:spacing w:after="0"/>
              <w:rPr>
                <w:sz w:val="14"/>
                <w:szCs w:val="14"/>
                <w:color w:val="auto"/>
              </w:rPr>
            </w:pPr>
          </w:p>
        </w:tc>
        <w:tc>
          <w:tcPr>
            <w:tcW w:w="2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rPr>
              <w:t>Nine months ended September 30,</w:t>
            </w:r>
          </w:p>
        </w:tc>
      </w:tr>
      <w:tr>
        <w:trPr>
          <w:trHeight w:val="206"/>
        </w:trPr>
        <w:tc>
          <w:tcPr>
            <w:tcW w:w="87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2014</w:t>
            </w:r>
          </w:p>
        </w:tc>
        <w:tc>
          <w:tcPr>
            <w:tcW w:w="6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color w:val="auto"/>
              </w:rPr>
              <w:t>2013</w:t>
            </w:r>
          </w:p>
        </w:tc>
      </w:tr>
      <w:tr>
        <w:trPr>
          <w:trHeight w:val="221"/>
        </w:trPr>
        <w:tc>
          <w:tcPr>
            <w:tcW w:w="8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60" w:type="dxa"/>
            <w:vAlign w:val="bottom"/>
            <w:gridSpan w:val="2"/>
          </w:tcPr>
          <w:p>
            <w:pPr>
              <w:jc w:val="center"/>
              <w:ind w:left="1"/>
              <w:spacing w:after="0"/>
              <w:rPr>
                <w:sz w:val="20"/>
                <w:szCs w:val="20"/>
                <w:color w:val="auto"/>
              </w:rPr>
            </w:pPr>
            <w:r>
              <w:rPr>
                <w:rFonts w:ascii="Arial" w:cs="Arial" w:eastAsia="Arial" w:hAnsi="Arial"/>
                <w:sz w:val="14"/>
                <w:szCs w:val="14"/>
                <w:color w:val="auto"/>
              </w:rPr>
              <w:t>(unaudited)</w:t>
            </w:r>
          </w:p>
        </w:tc>
        <w:tc>
          <w:tcPr>
            <w:tcW w:w="900" w:type="dxa"/>
            <w:vAlign w:val="bottom"/>
          </w:tcPr>
          <w:p>
            <w:pPr>
              <w:spacing w:after="0"/>
              <w:rPr>
                <w:sz w:val="19"/>
                <w:szCs w:val="19"/>
                <w:color w:val="auto"/>
              </w:rPr>
            </w:pPr>
          </w:p>
        </w:tc>
      </w:tr>
      <w:tr>
        <w:trPr>
          <w:trHeight w:val="186"/>
        </w:trPr>
        <w:tc>
          <w:tcPr>
            <w:tcW w:w="8740" w:type="dxa"/>
            <w:vAlign w:val="bottom"/>
          </w:tcPr>
          <w:p>
            <w:pPr>
              <w:spacing w:after="0"/>
              <w:rPr>
                <w:sz w:val="20"/>
                <w:szCs w:val="20"/>
                <w:color w:val="auto"/>
              </w:rPr>
            </w:pPr>
            <w:r>
              <w:rPr>
                <w:rFonts w:ascii="Arial" w:cs="Arial" w:eastAsia="Arial" w:hAnsi="Arial"/>
                <w:sz w:val="16"/>
                <w:szCs w:val="16"/>
                <w:color w:val="auto"/>
              </w:rPr>
              <w:t>CASH FLOWS FROM OPERATING ACTIVITIES</w:t>
            </w:r>
          </w:p>
        </w:tc>
        <w:tc>
          <w:tcPr>
            <w:tcW w:w="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2"/>
        </w:trPr>
        <w:tc>
          <w:tcPr>
            <w:tcW w:w="874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820" w:type="dxa"/>
            <w:vAlign w:val="bottom"/>
          </w:tcPr>
          <w:p>
            <w:pPr>
              <w:jc w:val="right"/>
              <w:ind w:right="366"/>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81"/>
              <w:spacing w:after="0"/>
              <w:rPr>
                <w:sz w:val="20"/>
                <w:szCs w:val="20"/>
                <w:color w:val="auto"/>
              </w:rPr>
            </w:pPr>
            <w:r>
              <w:rPr>
                <w:rFonts w:ascii="Arial" w:cs="Arial" w:eastAsia="Arial" w:hAnsi="Arial"/>
                <w:sz w:val="16"/>
                <w:szCs w:val="16"/>
                <w:color w:val="auto"/>
              </w:rPr>
              <w:t>941</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768</w:t>
            </w:r>
          </w:p>
        </w:tc>
      </w:tr>
      <w:tr>
        <w:trPr>
          <w:trHeight w:val="213"/>
        </w:trPr>
        <w:tc>
          <w:tcPr>
            <w:tcW w:w="8740" w:type="dxa"/>
            <w:vAlign w:val="bottom"/>
          </w:tcPr>
          <w:p>
            <w:pPr>
              <w:ind w:left="1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3"/>
        </w:trPr>
        <w:tc>
          <w:tcPr>
            <w:tcW w:w="874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820" w:type="dxa"/>
            <w:vAlign w:val="bottom"/>
          </w:tcPr>
          <w:p>
            <w:pPr>
              <w:spacing w:after="0"/>
              <w:rPr>
                <w:sz w:val="18"/>
                <w:szCs w:val="18"/>
                <w:color w:val="auto"/>
              </w:rPr>
            </w:pPr>
          </w:p>
        </w:tc>
        <w:tc>
          <w:tcPr>
            <w:tcW w:w="660" w:type="dxa"/>
            <w:vAlign w:val="bottom"/>
          </w:tcPr>
          <w:p>
            <w:pPr>
              <w:jc w:val="right"/>
              <w:ind w:right="81"/>
              <w:spacing w:after="0"/>
              <w:rPr>
                <w:sz w:val="20"/>
                <w:szCs w:val="20"/>
                <w:color w:val="auto"/>
              </w:rPr>
            </w:pPr>
            <w:r>
              <w:rPr>
                <w:rFonts w:ascii="Arial" w:cs="Arial" w:eastAsia="Arial" w:hAnsi="Arial"/>
                <w:sz w:val="16"/>
                <w:szCs w:val="16"/>
                <w:color w:val="auto"/>
              </w:rPr>
              <w:t>866</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828</w:t>
            </w:r>
          </w:p>
        </w:tc>
      </w:tr>
      <w:tr>
        <w:trPr>
          <w:trHeight w:val="213"/>
        </w:trPr>
        <w:tc>
          <w:tcPr>
            <w:tcW w:w="8740" w:type="dxa"/>
            <w:vAlign w:val="bottom"/>
          </w:tcPr>
          <w:p>
            <w:pPr>
              <w:ind w:left="360"/>
              <w:spacing w:after="0"/>
              <w:rPr>
                <w:sz w:val="20"/>
                <w:szCs w:val="20"/>
                <w:color w:val="auto"/>
              </w:rPr>
            </w:pPr>
            <w:r>
              <w:rPr>
                <w:rFonts w:ascii="Arial" w:cs="Arial" w:eastAsia="Arial" w:hAnsi="Arial"/>
                <w:sz w:val="16"/>
                <w:szCs w:val="16"/>
                <w:color w:val="auto"/>
              </w:rPr>
              <w:t>Deferred income taxes and investment tax credits</w:t>
            </w:r>
          </w:p>
        </w:tc>
        <w:tc>
          <w:tcPr>
            <w:tcW w:w="820" w:type="dxa"/>
            <w:vAlign w:val="bottom"/>
          </w:tcPr>
          <w:p>
            <w:pPr>
              <w:spacing w:after="0"/>
              <w:rPr>
                <w:sz w:val="18"/>
                <w:szCs w:val="18"/>
                <w:color w:val="auto"/>
              </w:rPr>
            </w:pPr>
          </w:p>
        </w:tc>
        <w:tc>
          <w:tcPr>
            <w:tcW w:w="660" w:type="dxa"/>
            <w:vAlign w:val="bottom"/>
          </w:tcPr>
          <w:p>
            <w:pPr>
              <w:jc w:val="right"/>
              <w:ind w:right="81"/>
              <w:spacing w:after="0"/>
              <w:rPr>
                <w:sz w:val="20"/>
                <w:szCs w:val="20"/>
                <w:color w:val="auto"/>
              </w:rPr>
            </w:pPr>
            <w:r>
              <w:rPr>
                <w:rFonts w:ascii="Arial" w:cs="Arial" w:eastAsia="Arial" w:hAnsi="Arial"/>
                <w:sz w:val="16"/>
                <w:szCs w:val="16"/>
                <w:color w:val="auto"/>
              </w:rPr>
              <w:t>131</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327</w:t>
            </w:r>
          </w:p>
        </w:tc>
      </w:tr>
      <w:tr>
        <w:trPr>
          <w:trHeight w:val="213"/>
        </w:trPr>
        <w:tc>
          <w:tcPr>
            <w:tcW w:w="8740" w:type="dxa"/>
            <w:vAlign w:val="bottom"/>
          </w:tcPr>
          <w:p>
            <w:pPr>
              <w:ind w:left="360"/>
              <w:spacing w:after="0"/>
              <w:rPr>
                <w:sz w:val="20"/>
                <w:szCs w:val="20"/>
                <w:color w:val="auto"/>
              </w:rPr>
            </w:pPr>
            <w:r>
              <w:rPr>
                <w:rFonts w:ascii="Arial" w:cs="Arial" w:eastAsia="Arial" w:hAnsi="Arial"/>
                <w:sz w:val="16"/>
                <w:szCs w:val="16"/>
                <w:color w:val="auto"/>
              </w:rPr>
              <w:t>Gain on sale of equity interests and assets</w:t>
            </w:r>
          </w:p>
        </w:tc>
        <w:tc>
          <w:tcPr>
            <w:tcW w:w="820" w:type="dxa"/>
            <w:vAlign w:val="bottom"/>
          </w:tcPr>
          <w:p>
            <w:pPr>
              <w:spacing w:after="0"/>
              <w:rPr>
                <w:sz w:val="18"/>
                <w:szCs w:val="18"/>
                <w:color w:val="auto"/>
              </w:rPr>
            </w:pPr>
          </w:p>
        </w:tc>
        <w:tc>
          <w:tcPr>
            <w:tcW w:w="660" w:type="dxa"/>
            <w:vAlign w:val="bottom"/>
          </w:tcPr>
          <w:p>
            <w:pPr>
              <w:jc w:val="right"/>
              <w:ind w:right="81"/>
              <w:spacing w:after="0"/>
              <w:rPr>
                <w:sz w:val="20"/>
                <w:szCs w:val="20"/>
                <w:color w:val="auto"/>
              </w:rPr>
            </w:pPr>
            <w:r>
              <w:rPr>
                <w:rFonts w:ascii="Arial" w:cs="Arial" w:eastAsia="Arial" w:hAnsi="Arial"/>
                <w:sz w:val="16"/>
                <w:szCs w:val="16"/>
                <w:color w:val="auto"/>
              </w:rPr>
              <w:t>(48)</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(113)</w:t>
            </w:r>
          </w:p>
        </w:tc>
      </w:tr>
      <w:tr>
        <w:trPr>
          <w:trHeight w:val="213"/>
        </w:trPr>
        <w:tc>
          <w:tcPr>
            <w:tcW w:w="8740" w:type="dxa"/>
            <w:vAlign w:val="bottom"/>
          </w:tcPr>
          <w:p>
            <w:pPr>
              <w:ind w:left="360"/>
              <w:spacing w:after="0"/>
              <w:rPr>
                <w:sz w:val="20"/>
                <w:szCs w:val="20"/>
                <w:color w:val="auto"/>
              </w:rPr>
            </w:pPr>
            <w:r>
              <w:rPr>
                <w:rFonts w:ascii="Arial" w:cs="Arial" w:eastAsia="Arial" w:hAnsi="Arial"/>
                <w:sz w:val="16"/>
                <w:szCs w:val="16"/>
                <w:color w:val="auto"/>
              </w:rPr>
              <w:t>Plant closure (adjustment) loss</w:t>
            </w:r>
          </w:p>
        </w:tc>
        <w:tc>
          <w:tcPr>
            <w:tcW w:w="820" w:type="dxa"/>
            <w:vAlign w:val="bottom"/>
          </w:tcPr>
          <w:p>
            <w:pPr>
              <w:spacing w:after="0"/>
              <w:rPr>
                <w:sz w:val="18"/>
                <w:szCs w:val="18"/>
                <w:color w:val="auto"/>
              </w:rPr>
            </w:pPr>
          </w:p>
        </w:tc>
        <w:tc>
          <w:tcPr>
            <w:tcW w:w="660" w:type="dxa"/>
            <w:vAlign w:val="bottom"/>
          </w:tcPr>
          <w:p>
            <w:pPr>
              <w:jc w:val="right"/>
              <w:ind w:right="81"/>
              <w:spacing w:after="0"/>
              <w:rPr>
                <w:sz w:val="20"/>
                <w:szCs w:val="20"/>
                <w:color w:val="auto"/>
              </w:rPr>
            </w:pPr>
            <w:r>
              <w:rPr>
                <w:rFonts w:ascii="Arial" w:cs="Arial" w:eastAsia="Arial" w:hAnsi="Arial"/>
                <w:sz w:val="16"/>
                <w:szCs w:val="16"/>
                <w:color w:val="auto"/>
              </w:rPr>
              <w:t>(13)</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200</w:t>
            </w:r>
          </w:p>
        </w:tc>
      </w:tr>
      <w:tr>
        <w:trPr>
          <w:trHeight w:val="213"/>
        </w:trPr>
        <w:tc>
          <w:tcPr>
            <w:tcW w:w="8740" w:type="dxa"/>
            <w:vAlign w:val="bottom"/>
          </w:tcPr>
          <w:p>
            <w:pPr>
              <w:ind w:left="360"/>
              <w:spacing w:after="0"/>
              <w:rPr>
                <w:sz w:val="20"/>
                <w:szCs w:val="20"/>
                <w:color w:val="auto"/>
              </w:rPr>
            </w:pPr>
            <w:r>
              <w:rPr>
                <w:rFonts w:ascii="Arial" w:cs="Arial" w:eastAsia="Arial" w:hAnsi="Arial"/>
                <w:sz w:val="16"/>
                <w:szCs w:val="16"/>
                <w:color w:val="auto"/>
              </w:rPr>
              <w:t>Equity earnings</w:t>
            </w:r>
          </w:p>
        </w:tc>
        <w:tc>
          <w:tcPr>
            <w:tcW w:w="820" w:type="dxa"/>
            <w:vAlign w:val="bottom"/>
          </w:tcPr>
          <w:p>
            <w:pPr>
              <w:spacing w:after="0"/>
              <w:rPr>
                <w:sz w:val="18"/>
                <w:szCs w:val="18"/>
                <w:color w:val="auto"/>
              </w:rPr>
            </w:pPr>
          </w:p>
        </w:tc>
        <w:tc>
          <w:tcPr>
            <w:tcW w:w="660" w:type="dxa"/>
            <w:vAlign w:val="bottom"/>
          </w:tcPr>
          <w:p>
            <w:pPr>
              <w:jc w:val="right"/>
              <w:ind w:right="81"/>
              <w:spacing w:after="0"/>
              <w:rPr>
                <w:sz w:val="20"/>
                <w:szCs w:val="20"/>
                <w:color w:val="auto"/>
              </w:rPr>
            </w:pPr>
            <w:r>
              <w:rPr>
                <w:rFonts w:ascii="Arial" w:cs="Arial" w:eastAsia="Arial" w:hAnsi="Arial"/>
                <w:sz w:val="16"/>
                <w:szCs w:val="16"/>
                <w:color w:val="auto"/>
              </w:rPr>
              <w:t>(84)</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13"/>
        </w:trPr>
        <w:tc>
          <w:tcPr>
            <w:tcW w:w="8740" w:type="dxa"/>
            <w:vAlign w:val="bottom"/>
          </w:tcPr>
          <w:p>
            <w:pPr>
              <w:ind w:left="360"/>
              <w:spacing w:after="0"/>
              <w:rPr>
                <w:sz w:val="20"/>
                <w:szCs w:val="20"/>
                <w:color w:val="auto"/>
              </w:rPr>
            </w:pPr>
            <w:r>
              <w:rPr>
                <w:rFonts w:ascii="Arial" w:cs="Arial" w:eastAsia="Arial" w:hAnsi="Arial"/>
                <w:sz w:val="16"/>
                <w:szCs w:val="16"/>
                <w:color w:val="auto"/>
              </w:rPr>
              <w:t>Fixed-price contracts and other derivatives</w:t>
            </w:r>
          </w:p>
        </w:tc>
        <w:tc>
          <w:tcPr>
            <w:tcW w:w="820" w:type="dxa"/>
            <w:vAlign w:val="bottom"/>
          </w:tcPr>
          <w:p>
            <w:pPr>
              <w:spacing w:after="0"/>
              <w:rPr>
                <w:sz w:val="18"/>
                <w:szCs w:val="18"/>
                <w:color w:val="auto"/>
              </w:rPr>
            </w:pPr>
          </w:p>
        </w:tc>
        <w:tc>
          <w:tcPr>
            <w:tcW w:w="660" w:type="dxa"/>
            <w:vAlign w:val="bottom"/>
          </w:tcPr>
          <w:p>
            <w:pPr>
              <w:jc w:val="right"/>
              <w:ind w:right="81"/>
              <w:spacing w:after="0"/>
              <w:rPr>
                <w:sz w:val="20"/>
                <w:szCs w:val="20"/>
                <w:color w:val="auto"/>
              </w:rPr>
            </w:pPr>
            <w:r>
              <w:rPr>
                <w:rFonts w:ascii="Arial" w:cs="Arial" w:eastAsia="Arial" w:hAnsi="Arial"/>
                <w:sz w:val="16"/>
                <w:szCs w:val="16"/>
                <w:color w:val="auto"/>
              </w:rPr>
              <w:t>(19)</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13"/>
        </w:trPr>
        <w:tc>
          <w:tcPr>
            <w:tcW w:w="8740" w:type="dxa"/>
            <w:vAlign w:val="bottom"/>
          </w:tcPr>
          <w:p>
            <w:pPr>
              <w:ind w:left="360"/>
              <w:spacing w:after="0"/>
              <w:rPr>
                <w:sz w:val="20"/>
                <w:szCs w:val="20"/>
                <w:color w:val="auto"/>
              </w:rPr>
            </w:pPr>
            <w:r>
              <w:rPr>
                <w:rFonts w:ascii="Arial" w:cs="Arial" w:eastAsia="Arial" w:hAnsi="Arial"/>
                <w:sz w:val="16"/>
                <w:szCs w:val="16"/>
                <w:color w:val="auto"/>
              </w:rPr>
              <w:t>Other</w:t>
            </w:r>
          </w:p>
        </w:tc>
        <w:tc>
          <w:tcPr>
            <w:tcW w:w="820" w:type="dxa"/>
            <w:vAlign w:val="bottom"/>
          </w:tcPr>
          <w:p>
            <w:pPr>
              <w:spacing w:after="0"/>
              <w:rPr>
                <w:sz w:val="18"/>
                <w:szCs w:val="18"/>
                <w:color w:val="auto"/>
              </w:rPr>
            </w:pPr>
          </w:p>
        </w:tc>
        <w:tc>
          <w:tcPr>
            <w:tcW w:w="660" w:type="dxa"/>
            <w:vAlign w:val="bottom"/>
          </w:tcPr>
          <w:p>
            <w:pPr>
              <w:jc w:val="right"/>
              <w:ind w:right="81"/>
              <w:spacing w:after="0"/>
              <w:rPr>
                <w:sz w:val="20"/>
                <w:szCs w:val="20"/>
                <w:color w:val="auto"/>
              </w:rPr>
            </w:pPr>
            <w:r>
              <w:rPr>
                <w:rFonts w:ascii="Arial" w:cs="Arial" w:eastAsia="Arial" w:hAnsi="Arial"/>
                <w:sz w:val="16"/>
                <w:szCs w:val="16"/>
                <w:color w:val="auto"/>
              </w:rPr>
              <w:t>32</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13"/>
        </w:trPr>
        <w:tc>
          <w:tcPr>
            <w:tcW w:w="8740" w:type="dxa"/>
            <w:vAlign w:val="bottom"/>
          </w:tcPr>
          <w:p>
            <w:pPr>
              <w:ind w:left="180"/>
              <w:spacing w:after="0"/>
              <w:rPr>
                <w:sz w:val="20"/>
                <w:szCs w:val="20"/>
                <w:color w:val="auto"/>
              </w:rPr>
            </w:pPr>
            <w:r>
              <w:rPr>
                <w:rFonts w:ascii="Arial" w:cs="Arial" w:eastAsia="Arial" w:hAnsi="Arial"/>
                <w:sz w:val="16"/>
                <w:szCs w:val="16"/>
                <w:color w:val="auto"/>
              </w:rPr>
              <w:t>Net change in other working capital components</w:t>
            </w:r>
          </w:p>
        </w:tc>
        <w:tc>
          <w:tcPr>
            <w:tcW w:w="820" w:type="dxa"/>
            <w:vAlign w:val="bottom"/>
          </w:tcPr>
          <w:p>
            <w:pPr>
              <w:spacing w:after="0"/>
              <w:rPr>
                <w:sz w:val="18"/>
                <w:szCs w:val="18"/>
                <w:color w:val="auto"/>
              </w:rPr>
            </w:pPr>
          </w:p>
        </w:tc>
        <w:tc>
          <w:tcPr>
            <w:tcW w:w="660" w:type="dxa"/>
            <w:vAlign w:val="bottom"/>
          </w:tcPr>
          <w:p>
            <w:pPr>
              <w:jc w:val="right"/>
              <w:ind w:right="81"/>
              <w:spacing w:after="0"/>
              <w:rPr>
                <w:sz w:val="20"/>
                <w:szCs w:val="20"/>
                <w:color w:val="auto"/>
              </w:rPr>
            </w:pPr>
            <w:r>
              <w:rPr>
                <w:rFonts w:ascii="Arial" w:cs="Arial" w:eastAsia="Arial" w:hAnsi="Arial"/>
                <w:sz w:val="16"/>
                <w:szCs w:val="16"/>
                <w:color w:val="auto"/>
              </w:rPr>
              <w:t>(215)</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(454)</w:t>
            </w:r>
          </w:p>
        </w:tc>
      </w:tr>
      <w:tr>
        <w:trPr>
          <w:trHeight w:val="213"/>
        </w:trPr>
        <w:tc>
          <w:tcPr>
            <w:tcW w:w="8740" w:type="dxa"/>
            <w:vAlign w:val="bottom"/>
          </w:tcPr>
          <w:p>
            <w:pPr>
              <w:ind w:left="180"/>
              <w:spacing w:after="0"/>
              <w:rPr>
                <w:sz w:val="20"/>
                <w:szCs w:val="20"/>
                <w:color w:val="auto"/>
              </w:rPr>
            </w:pPr>
            <w:r>
              <w:rPr>
                <w:rFonts w:ascii="Arial" w:cs="Arial" w:eastAsia="Arial" w:hAnsi="Arial"/>
                <w:sz w:val="16"/>
                <w:szCs w:val="16"/>
                <w:color w:val="auto"/>
              </w:rPr>
              <w:t>Changes in other assets</w:t>
            </w:r>
          </w:p>
        </w:tc>
        <w:tc>
          <w:tcPr>
            <w:tcW w:w="820" w:type="dxa"/>
            <w:vAlign w:val="bottom"/>
          </w:tcPr>
          <w:p>
            <w:pPr>
              <w:spacing w:after="0"/>
              <w:rPr>
                <w:sz w:val="18"/>
                <w:szCs w:val="18"/>
                <w:color w:val="auto"/>
              </w:rPr>
            </w:pPr>
          </w:p>
        </w:tc>
        <w:tc>
          <w:tcPr>
            <w:tcW w:w="660" w:type="dxa"/>
            <w:vAlign w:val="bottom"/>
          </w:tcPr>
          <w:p>
            <w:pPr>
              <w:jc w:val="right"/>
              <w:ind w:right="81"/>
              <w:spacing w:after="0"/>
              <w:rPr>
                <w:sz w:val="20"/>
                <w:szCs w:val="20"/>
                <w:color w:val="auto"/>
              </w:rPr>
            </w:pPr>
            <w:r>
              <w:rPr>
                <w:rFonts w:ascii="Arial" w:cs="Arial" w:eastAsia="Arial" w:hAnsi="Arial"/>
                <w:sz w:val="16"/>
                <w:szCs w:val="16"/>
                <w:color w:val="auto"/>
              </w:rPr>
              <w:t>28</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(203)</w:t>
            </w:r>
          </w:p>
        </w:tc>
      </w:tr>
      <w:tr>
        <w:trPr>
          <w:trHeight w:val="204"/>
        </w:trPr>
        <w:tc>
          <w:tcPr>
            <w:tcW w:w="8740" w:type="dxa"/>
            <w:vAlign w:val="bottom"/>
          </w:tcPr>
          <w:p>
            <w:pPr>
              <w:ind w:left="180"/>
              <w:spacing w:after="0"/>
              <w:rPr>
                <w:sz w:val="20"/>
                <w:szCs w:val="20"/>
                <w:color w:val="auto"/>
              </w:rPr>
            </w:pPr>
            <w:r>
              <w:rPr>
                <w:rFonts w:ascii="Arial" w:cs="Arial" w:eastAsia="Arial" w:hAnsi="Arial"/>
                <w:sz w:val="16"/>
                <w:szCs w:val="16"/>
                <w:color w:val="auto"/>
              </w:rPr>
              <w:t>Changes in other liabilities</w:t>
            </w:r>
          </w:p>
        </w:tc>
        <w:tc>
          <w:tcPr>
            <w:tcW w:w="8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42</w:t>
            </w: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r>
      <w:tr>
        <w:trPr>
          <w:trHeight w:val="206"/>
        </w:trPr>
        <w:tc>
          <w:tcPr>
            <w:tcW w:w="8740" w:type="dxa"/>
            <w:vAlign w:val="bottom"/>
          </w:tcPr>
          <w:p>
            <w:pPr>
              <w:ind w:left="360"/>
              <w:spacing w:after="0"/>
              <w:rPr>
                <w:sz w:val="20"/>
                <w:szCs w:val="20"/>
                <w:color w:val="auto"/>
              </w:rPr>
            </w:pPr>
            <w:r>
              <w:rPr>
                <w:rFonts w:ascii="Arial" w:cs="Arial" w:eastAsia="Arial" w:hAnsi="Arial"/>
                <w:sz w:val="16"/>
                <w:szCs w:val="16"/>
                <w:color w:val="auto"/>
              </w:rPr>
              <w:t>Net cash provided by operating activities</w:t>
            </w:r>
          </w:p>
        </w:tc>
        <w:tc>
          <w:tcPr>
            <w:tcW w:w="8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1,661</w:t>
            </w: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1,330</w:t>
            </w:r>
          </w:p>
        </w:tc>
      </w:tr>
      <w:tr>
        <w:trPr>
          <w:trHeight w:val="427"/>
        </w:trPr>
        <w:tc>
          <w:tcPr>
            <w:tcW w:w="874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3"/>
        </w:trPr>
        <w:tc>
          <w:tcPr>
            <w:tcW w:w="8740" w:type="dxa"/>
            <w:vAlign w:val="bottom"/>
          </w:tcPr>
          <w:p>
            <w:pPr>
              <w:ind w:left="180"/>
              <w:spacing w:after="0"/>
              <w:rPr>
                <w:sz w:val="20"/>
                <w:szCs w:val="20"/>
                <w:color w:val="auto"/>
              </w:rPr>
            </w:pPr>
            <w:r>
              <w:rPr>
                <w:rFonts w:ascii="Arial" w:cs="Arial" w:eastAsia="Arial" w:hAnsi="Arial"/>
                <w:sz w:val="16"/>
                <w:szCs w:val="16"/>
                <w:color w:val="auto"/>
              </w:rPr>
              <w:t>Expenditures for property, plant and equipment</w:t>
            </w:r>
          </w:p>
        </w:tc>
        <w:tc>
          <w:tcPr>
            <w:tcW w:w="820" w:type="dxa"/>
            <w:vAlign w:val="bottom"/>
          </w:tcPr>
          <w:p>
            <w:pPr>
              <w:spacing w:after="0"/>
              <w:rPr>
                <w:sz w:val="18"/>
                <w:szCs w:val="18"/>
                <w:color w:val="auto"/>
              </w:rPr>
            </w:pPr>
          </w:p>
        </w:tc>
        <w:tc>
          <w:tcPr>
            <w:tcW w:w="660" w:type="dxa"/>
            <w:vAlign w:val="bottom"/>
          </w:tcPr>
          <w:p>
            <w:pPr>
              <w:jc w:val="right"/>
              <w:ind w:right="81"/>
              <w:spacing w:after="0"/>
              <w:rPr>
                <w:sz w:val="20"/>
                <w:szCs w:val="20"/>
                <w:color w:val="auto"/>
              </w:rPr>
            </w:pPr>
            <w:r>
              <w:rPr>
                <w:rFonts w:ascii="Arial" w:cs="Arial" w:eastAsia="Arial" w:hAnsi="Arial"/>
                <w:sz w:val="16"/>
                <w:szCs w:val="16"/>
                <w:color w:val="auto"/>
                <w:w w:val="94"/>
              </w:rPr>
              <w:t>(2,320)</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(1,785)</w:t>
            </w:r>
          </w:p>
        </w:tc>
      </w:tr>
      <w:tr>
        <w:trPr>
          <w:trHeight w:val="213"/>
        </w:trPr>
        <w:tc>
          <w:tcPr>
            <w:tcW w:w="8740" w:type="dxa"/>
            <w:vAlign w:val="bottom"/>
          </w:tcPr>
          <w:p>
            <w:pPr>
              <w:ind w:left="180"/>
              <w:spacing w:after="0"/>
              <w:rPr>
                <w:sz w:val="20"/>
                <w:szCs w:val="20"/>
                <w:color w:val="auto"/>
              </w:rPr>
            </w:pPr>
            <w:r>
              <w:rPr>
                <w:rFonts w:ascii="Arial" w:cs="Arial" w:eastAsia="Arial" w:hAnsi="Arial"/>
                <w:sz w:val="16"/>
                <w:szCs w:val="16"/>
                <w:color w:val="auto"/>
              </w:rPr>
              <w:t>Expenditures for investments and acquisition of businesses, net of cash acquired</w:t>
            </w:r>
          </w:p>
        </w:tc>
        <w:tc>
          <w:tcPr>
            <w:tcW w:w="820" w:type="dxa"/>
            <w:vAlign w:val="bottom"/>
          </w:tcPr>
          <w:p>
            <w:pPr>
              <w:spacing w:after="0"/>
              <w:rPr>
                <w:sz w:val="18"/>
                <w:szCs w:val="18"/>
                <w:color w:val="auto"/>
              </w:rPr>
            </w:pPr>
          </w:p>
        </w:tc>
        <w:tc>
          <w:tcPr>
            <w:tcW w:w="660" w:type="dxa"/>
            <w:vAlign w:val="bottom"/>
          </w:tcPr>
          <w:p>
            <w:pPr>
              <w:jc w:val="right"/>
              <w:ind w:right="81"/>
              <w:spacing w:after="0"/>
              <w:rPr>
                <w:sz w:val="20"/>
                <w:szCs w:val="20"/>
                <w:color w:val="auto"/>
              </w:rPr>
            </w:pPr>
            <w:r>
              <w:rPr>
                <w:rFonts w:ascii="Arial" w:cs="Arial" w:eastAsia="Arial" w:hAnsi="Arial"/>
                <w:sz w:val="16"/>
                <w:szCs w:val="16"/>
                <w:color w:val="auto"/>
              </w:rPr>
              <w:t>(192)</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13"/>
        </w:trPr>
        <w:tc>
          <w:tcPr>
            <w:tcW w:w="8740" w:type="dxa"/>
            <w:vAlign w:val="bottom"/>
          </w:tcPr>
          <w:p>
            <w:pPr>
              <w:ind w:left="180"/>
              <w:spacing w:after="0"/>
              <w:rPr>
                <w:sz w:val="20"/>
                <w:szCs w:val="20"/>
                <w:color w:val="auto"/>
              </w:rPr>
            </w:pPr>
            <w:r>
              <w:rPr>
                <w:rFonts w:ascii="Arial" w:cs="Arial" w:eastAsia="Arial" w:hAnsi="Arial"/>
                <w:sz w:val="16"/>
                <w:szCs w:val="16"/>
                <w:color w:val="auto"/>
              </w:rPr>
              <w:t>Proceeds from sale of equity interests and assets, net of cash sold</w:t>
            </w:r>
          </w:p>
        </w:tc>
        <w:tc>
          <w:tcPr>
            <w:tcW w:w="820" w:type="dxa"/>
            <w:vAlign w:val="bottom"/>
          </w:tcPr>
          <w:p>
            <w:pPr>
              <w:spacing w:after="0"/>
              <w:rPr>
                <w:sz w:val="18"/>
                <w:szCs w:val="18"/>
                <w:color w:val="auto"/>
              </w:rPr>
            </w:pPr>
          </w:p>
        </w:tc>
        <w:tc>
          <w:tcPr>
            <w:tcW w:w="660" w:type="dxa"/>
            <w:vAlign w:val="bottom"/>
          </w:tcPr>
          <w:p>
            <w:pPr>
              <w:jc w:val="right"/>
              <w:ind w:right="81"/>
              <w:spacing w:after="0"/>
              <w:rPr>
                <w:sz w:val="20"/>
                <w:szCs w:val="20"/>
                <w:color w:val="auto"/>
              </w:rPr>
            </w:pPr>
            <w:r>
              <w:rPr>
                <w:rFonts w:ascii="Arial" w:cs="Arial" w:eastAsia="Arial" w:hAnsi="Arial"/>
                <w:sz w:val="16"/>
                <w:szCs w:val="16"/>
                <w:color w:val="auto"/>
              </w:rPr>
              <w:t>92</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566</w:t>
            </w:r>
          </w:p>
        </w:tc>
      </w:tr>
      <w:tr>
        <w:trPr>
          <w:trHeight w:val="213"/>
        </w:trPr>
        <w:tc>
          <w:tcPr>
            <w:tcW w:w="8740" w:type="dxa"/>
            <w:vAlign w:val="bottom"/>
          </w:tcPr>
          <w:p>
            <w:pPr>
              <w:ind w:left="180"/>
              <w:spacing w:after="0"/>
              <w:rPr>
                <w:sz w:val="20"/>
                <w:szCs w:val="20"/>
                <w:color w:val="auto"/>
              </w:rPr>
            </w:pPr>
            <w:r>
              <w:rPr>
                <w:rFonts w:ascii="Arial" w:cs="Arial" w:eastAsia="Arial" w:hAnsi="Arial"/>
                <w:sz w:val="16"/>
                <w:szCs w:val="16"/>
                <w:color w:val="auto"/>
              </w:rPr>
              <w:t>Proceeds from U.S. Treasury grants</w:t>
            </w:r>
          </w:p>
        </w:tc>
        <w:tc>
          <w:tcPr>
            <w:tcW w:w="820" w:type="dxa"/>
            <w:vAlign w:val="bottom"/>
          </w:tcPr>
          <w:p>
            <w:pPr>
              <w:spacing w:after="0"/>
              <w:rPr>
                <w:sz w:val="18"/>
                <w:szCs w:val="18"/>
                <w:color w:val="auto"/>
              </w:rPr>
            </w:pPr>
          </w:p>
        </w:tc>
        <w:tc>
          <w:tcPr>
            <w:tcW w:w="66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238</w:t>
            </w:r>
          </w:p>
        </w:tc>
      </w:tr>
      <w:tr>
        <w:trPr>
          <w:trHeight w:val="213"/>
        </w:trPr>
        <w:tc>
          <w:tcPr>
            <w:tcW w:w="8740" w:type="dxa"/>
            <w:vAlign w:val="bottom"/>
          </w:tcPr>
          <w:p>
            <w:pPr>
              <w:ind w:left="180"/>
              <w:spacing w:after="0"/>
              <w:rPr>
                <w:sz w:val="20"/>
                <w:szCs w:val="20"/>
                <w:color w:val="auto"/>
              </w:rPr>
            </w:pPr>
            <w:r>
              <w:rPr>
                <w:rFonts w:ascii="Arial" w:cs="Arial" w:eastAsia="Arial" w:hAnsi="Arial"/>
                <w:sz w:val="16"/>
                <w:szCs w:val="16"/>
                <w:color w:val="auto"/>
              </w:rPr>
              <w:t>Distributions from investments</w:t>
            </w:r>
          </w:p>
        </w:tc>
        <w:tc>
          <w:tcPr>
            <w:tcW w:w="820" w:type="dxa"/>
            <w:vAlign w:val="bottom"/>
          </w:tcPr>
          <w:p>
            <w:pPr>
              <w:spacing w:after="0"/>
              <w:rPr>
                <w:sz w:val="18"/>
                <w:szCs w:val="18"/>
                <w:color w:val="auto"/>
              </w:rPr>
            </w:pPr>
          </w:p>
        </w:tc>
        <w:tc>
          <w:tcPr>
            <w:tcW w:w="660" w:type="dxa"/>
            <w:vAlign w:val="bottom"/>
          </w:tcPr>
          <w:p>
            <w:pPr>
              <w:jc w:val="right"/>
              <w:ind w:right="81"/>
              <w:spacing w:after="0"/>
              <w:rPr>
                <w:sz w:val="20"/>
                <w:szCs w:val="20"/>
                <w:color w:val="auto"/>
              </w:rPr>
            </w:pPr>
            <w:r>
              <w:rPr>
                <w:rFonts w:ascii="Arial" w:cs="Arial" w:eastAsia="Arial" w:hAnsi="Arial"/>
                <w:sz w:val="16"/>
                <w:szCs w:val="16"/>
                <w:color w:val="auto"/>
              </w:rPr>
              <w:t>15</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141</w:t>
            </w:r>
          </w:p>
        </w:tc>
      </w:tr>
      <w:tr>
        <w:trPr>
          <w:trHeight w:val="213"/>
        </w:trPr>
        <w:tc>
          <w:tcPr>
            <w:tcW w:w="8740" w:type="dxa"/>
            <w:vAlign w:val="bottom"/>
          </w:tcPr>
          <w:p>
            <w:pPr>
              <w:ind w:left="180"/>
              <w:spacing w:after="0"/>
              <w:rPr>
                <w:sz w:val="20"/>
                <w:szCs w:val="20"/>
                <w:color w:val="auto"/>
              </w:rPr>
            </w:pPr>
            <w:r>
              <w:rPr>
                <w:rFonts w:ascii="Arial" w:cs="Arial" w:eastAsia="Arial" w:hAnsi="Arial"/>
                <w:sz w:val="16"/>
                <w:szCs w:val="16"/>
                <w:color w:val="auto"/>
              </w:rPr>
              <w:t>Purchases of nuclear decommissioning and other trust assets</w:t>
            </w:r>
          </w:p>
        </w:tc>
        <w:tc>
          <w:tcPr>
            <w:tcW w:w="820" w:type="dxa"/>
            <w:vAlign w:val="bottom"/>
          </w:tcPr>
          <w:p>
            <w:pPr>
              <w:spacing w:after="0"/>
              <w:rPr>
                <w:sz w:val="18"/>
                <w:szCs w:val="18"/>
                <w:color w:val="auto"/>
              </w:rPr>
            </w:pPr>
          </w:p>
        </w:tc>
        <w:tc>
          <w:tcPr>
            <w:tcW w:w="660" w:type="dxa"/>
            <w:vAlign w:val="bottom"/>
          </w:tcPr>
          <w:p>
            <w:pPr>
              <w:jc w:val="right"/>
              <w:ind w:right="81"/>
              <w:spacing w:after="0"/>
              <w:rPr>
                <w:sz w:val="20"/>
                <w:szCs w:val="20"/>
                <w:color w:val="auto"/>
              </w:rPr>
            </w:pPr>
            <w:r>
              <w:rPr>
                <w:rFonts w:ascii="Arial" w:cs="Arial" w:eastAsia="Arial" w:hAnsi="Arial"/>
                <w:sz w:val="16"/>
                <w:szCs w:val="16"/>
                <w:color w:val="auto"/>
              </w:rPr>
              <w:t>(505)</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(514)</w:t>
            </w:r>
          </w:p>
        </w:tc>
      </w:tr>
      <w:tr>
        <w:trPr>
          <w:trHeight w:val="213"/>
        </w:trPr>
        <w:tc>
          <w:tcPr>
            <w:tcW w:w="8740" w:type="dxa"/>
            <w:vAlign w:val="bottom"/>
          </w:tcPr>
          <w:p>
            <w:pPr>
              <w:ind w:left="180"/>
              <w:spacing w:after="0"/>
              <w:rPr>
                <w:sz w:val="20"/>
                <w:szCs w:val="20"/>
                <w:color w:val="auto"/>
              </w:rPr>
            </w:pPr>
            <w:r>
              <w:rPr>
                <w:rFonts w:ascii="Arial" w:cs="Arial" w:eastAsia="Arial" w:hAnsi="Arial"/>
                <w:sz w:val="16"/>
                <w:szCs w:val="16"/>
                <w:color w:val="auto"/>
              </w:rPr>
              <w:t>Proceeds from sales by nuclear decommissioning and other trusts</w:t>
            </w:r>
          </w:p>
        </w:tc>
        <w:tc>
          <w:tcPr>
            <w:tcW w:w="820" w:type="dxa"/>
            <w:vAlign w:val="bottom"/>
          </w:tcPr>
          <w:p>
            <w:pPr>
              <w:spacing w:after="0"/>
              <w:rPr>
                <w:sz w:val="18"/>
                <w:szCs w:val="18"/>
                <w:color w:val="auto"/>
              </w:rPr>
            </w:pPr>
          </w:p>
        </w:tc>
        <w:tc>
          <w:tcPr>
            <w:tcW w:w="660" w:type="dxa"/>
            <w:vAlign w:val="bottom"/>
          </w:tcPr>
          <w:p>
            <w:pPr>
              <w:jc w:val="right"/>
              <w:ind w:right="81"/>
              <w:spacing w:after="0"/>
              <w:rPr>
                <w:sz w:val="20"/>
                <w:szCs w:val="20"/>
                <w:color w:val="auto"/>
              </w:rPr>
            </w:pPr>
            <w:r>
              <w:rPr>
                <w:rFonts w:ascii="Arial" w:cs="Arial" w:eastAsia="Arial" w:hAnsi="Arial"/>
                <w:sz w:val="16"/>
                <w:szCs w:val="16"/>
                <w:color w:val="auto"/>
              </w:rPr>
              <w:t>498</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510</w:t>
            </w:r>
          </w:p>
        </w:tc>
      </w:tr>
      <w:tr>
        <w:trPr>
          <w:trHeight w:val="213"/>
        </w:trPr>
        <w:tc>
          <w:tcPr>
            <w:tcW w:w="8740" w:type="dxa"/>
            <w:vAlign w:val="bottom"/>
          </w:tcPr>
          <w:p>
            <w:pPr>
              <w:ind w:left="180"/>
              <w:spacing w:after="0"/>
              <w:rPr>
                <w:sz w:val="20"/>
                <w:szCs w:val="20"/>
                <w:color w:val="auto"/>
              </w:rPr>
            </w:pPr>
            <w:r>
              <w:rPr>
                <w:rFonts w:ascii="Arial" w:cs="Arial" w:eastAsia="Arial" w:hAnsi="Arial"/>
                <w:sz w:val="16"/>
                <w:szCs w:val="16"/>
                <w:color w:val="auto"/>
              </w:rPr>
              <w:t>Decrease in restricted cash</w:t>
            </w:r>
          </w:p>
        </w:tc>
        <w:tc>
          <w:tcPr>
            <w:tcW w:w="820" w:type="dxa"/>
            <w:vAlign w:val="bottom"/>
          </w:tcPr>
          <w:p>
            <w:pPr>
              <w:spacing w:after="0"/>
              <w:rPr>
                <w:sz w:val="18"/>
                <w:szCs w:val="18"/>
                <w:color w:val="auto"/>
              </w:rPr>
            </w:pPr>
          </w:p>
        </w:tc>
        <w:tc>
          <w:tcPr>
            <w:tcW w:w="660" w:type="dxa"/>
            <w:vAlign w:val="bottom"/>
          </w:tcPr>
          <w:p>
            <w:pPr>
              <w:jc w:val="right"/>
              <w:ind w:right="81"/>
              <w:spacing w:after="0"/>
              <w:rPr>
                <w:sz w:val="20"/>
                <w:szCs w:val="20"/>
                <w:color w:val="auto"/>
              </w:rPr>
            </w:pPr>
            <w:r>
              <w:rPr>
                <w:rFonts w:ascii="Arial" w:cs="Arial" w:eastAsia="Arial" w:hAnsi="Arial"/>
                <w:sz w:val="16"/>
                <w:szCs w:val="16"/>
                <w:color w:val="auto"/>
              </w:rPr>
              <w:t>156</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285</w:t>
            </w:r>
          </w:p>
        </w:tc>
      </w:tr>
      <w:tr>
        <w:trPr>
          <w:trHeight w:val="213"/>
        </w:trPr>
        <w:tc>
          <w:tcPr>
            <w:tcW w:w="8740" w:type="dxa"/>
            <w:vAlign w:val="bottom"/>
          </w:tcPr>
          <w:p>
            <w:pPr>
              <w:ind w:left="180"/>
              <w:spacing w:after="0"/>
              <w:rPr>
                <w:sz w:val="20"/>
                <w:szCs w:val="20"/>
                <w:color w:val="auto"/>
              </w:rPr>
            </w:pPr>
            <w:r>
              <w:rPr>
                <w:rFonts w:ascii="Arial" w:cs="Arial" w:eastAsia="Arial" w:hAnsi="Arial"/>
                <w:sz w:val="16"/>
                <w:szCs w:val="16"/>
                <w:color w:val="auto"/>
              </w:rPr>
              <w:t>Increase in restricted cash</w:t>
            </w:r>
          </w:p>
        </w:tc>
        <w:tc>
          <w:tcPr>
            <w:tcW w:w="820" w:type="dxa"/>
            <w:vAlign w:val="bottom"/>
          </w:tcPr>
          <w:p>
            <w:pPr>
              <w:spacing w:after="0"/>
              <w:rPr>
                <w:sz w:val="18"/>
                <w:szCs w:val="18"/>
                <w:color w:val="auto"/>
              </w:rPr>
            </w:pPr>
          </w:p>
        </w:tc>
        <w:tc>
          <w:tcPr>
            <w:tcW w:w="660" w:type="dxa"/>
            <w:vAlign w:val="bottom"/>
          </w:tcPr>
          <w:p>
            <w:pPr>
              <w:jc w:val="right"/>
              <w:ind w:right="81"/>
              <w:spacing w:after="0"/>
              <w:rPr>
                <w:sz w:val="20"/>
                <w:szCs w:val="20"/>
                <w:color w:val="auto"/>
              </w:rPr>
            </w:pPr>
            <w:r>
              <w:rPr>
                <w:rFonts w:ascii="Arial" w:cs="Arial" w:eastAsia="Arial" w:hAnsi="Arial"/>
                <w:sz w:val="16"/>
                <w:szCs w:val="16"/>
                <w:color w:val="auto"/>
              </w:rPr>
              <w:t>(139)</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(311)</w:t>
            </w:r>
          </w:p>
        </w:tc>
      </w:tr>
      <w:tr>
        <w:trPr>
          <w:trHeight w:val="213"/>
        </w:trPr>
        <w:tc>
          <w:tcPr>
            <w:tcW w:w="8740" w:type="dxa"/>
            <w:vAlign w:val="bottom"/>
          </w:tcPr>
          <w:p>
            <w:pPr>
              <w:ind w:left="180"/>
              <w:spacing w:after="0"/>
              <w:rPr>
                <w:sz w:val="20"/>
                <w:szCs w:val="20"/>
                <w:color w:val="auto"/>
              </w:rPr>
            </w:pPr>
            <w:r>
              <w:rPr>
                <w:rFonts w:ascii="Arial" w:cs="Arial" w:eastAsia="Arial" w:hAnsi="Arial"/>
                <w:sz w:val="16"/>
                <w:szCs w:val="16"/>
                <w:color w:val="auto"/>
              </w:rPr>
              <w:t>Advances to unconsolidated affiliates</w:t>
            </w:r>
          </w:p>
        </w:tc>
        <w:tc>
          <w:tcPr>
            <w:tcW w:w="820" w:type="dxa"/>
            <w:vAlign w:val="bottom"/>
          </w:tcPr>
          <w:p>
            <w:pPr>
              <w:spacing w:after="0"/>
              <w:rPr>
                <w:sz w:val="18"/>
                <w:szCs w:val="18"/>
                <w:color w:val="auto"/>
              </w:rPr>
            </w:pPr>
          </w:p>
        </w:tc>
        <w:tc>
          <w:tcPr>
            <w:tcW w:w="660" w:type="dxa"/>
            <w:vAlign w:val="bottom"/>
          </w:tcPr>
          <w:p>
            <w:pPr>
              <w:jc w:val="right"/>
              <w:ind w:right="81"/>
              <w:spacing w:after="0"/>
              <w:rPr>
                <w:sz w:val="20"/>
                <w:szCs w:val="20"/>
                <w:color w:val="auto"/>
              </w:rPr>
            </w:pPr>
            <w:r>
              <w:rPr>
                <w:rFonts w:ascii="Arial" w:cs="Arial" w:eastAsia="Arial" w:hAnsi="Arial"/>
                <w:sz w:val="16"/>
                <w:szCs w:val="16"/>
                <w:color w:val="auto"/>
              </w:rPr>
              <w:t>(81)</w:t>
            </w:r>
          </w:p>
        </w:tc>
        <w:tc>
          <w:tcPr>
            <w:tcW w:w="300" w:type="dxa"/>
            <w:vAlign w:val="bottom"/>
          </w:tcPr>
          <w:p>
            <w:pPr>
              <w:spacing w:after="0"/>
              <w:rPr>
                <w:sz w:val="18"/>
                <w:szCs w:val="18"/>
                <w:color w:val="auto"/>
              </w:rPr>
            </w:pPr>
          </w:p>
        </w:tc>
        <w:tc>
          <w:tcPr>
            <w:tcW w:w="900" w:type="dxa"/>
            <w:vAlign w:val="bottom"/>
          </w:tcPr>
          <w:p>
            <w:pPr>
              <w:jc w:val="right"/>
              <w:ind w:right="61"/>
              <w:spacing w:after="0"/>
              <w:rPr>
                <w:sz w:val="20"/>
                <w:szCs w:val="20"/>
                <w:color w:val="auto"/>
              </w:rPr>
            </w:pPr>
            <w:r>
              <w:rPr>
                <w:rFonts w:ascii="Arial" w:cs="Arial" w:eastAsia="Arial" w:hAnsi="Arial"/>
                <w:sz w:val="16"/>
                <w:szCs w:val="16"/>
                <w:color w:val="auto"/>
              </w:rPr>
              <w:t>―</w:t>
            </w:r>
          </w:p>
        </w:tc>
      </w:tr>
      <w:tr>
        <w:trPr>
          <w:trHeight w:val="204"/>
        </w:trPr>
        <w:tc>
          <w:tcPr>
            <w:tcW w:w="8740" w:type="dxa"/>
            <w:vAlign w:val="bottom"/>
          </w:tcPr>
          <w:p>
            <w:pPr>
              <w:ind w:left="180"/>
              <w:spacing w:after="0"/>
              <w:rPr>
                <w:sz w:val="20"/>
                <w:szCs w:val="20"/>
                <w:color w:val="auto"/>
              </w:rPr>
            </w:pPr>
            <w:r>
              <w:rPr>
                <w:rFonts w:ascii="Arial" w:cs="Arial" w:eastAsia="Arial" w:hAnsi="Arial"/>
                <w:sz w:val="16"/>
                <w:szCs w:val="16"/>
                <w:color w:val="auto"/>
              </w:rPr>
              <w:t>Other</w:t>
            </w:r>
          </w:p>
        </w:tc>
        <w:tc>
          <w:tcPr>
            <w:tcW w:w="8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10</w:t>
            </w: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206"/>
        </w:trPr>
        <w:tc>
          <w:tcPr>
            <w:tcW w:w="8740" w:type="dxa"/>
            <w:vAlign w:val="bottom"/>
          </w:tcPr>
          <w:p>
            <w:pPr>
              <w:ind w:left="360"/>
              <w:spacing w:after="0"/>
              <w:rPr>
                <w:sz w:val="20"/>
                <w:szCs w:val="20"/>
                <w:color w:val="auto"/>
              </w:rPr>
            </w:pPr>
            <w:r>
              <w:rPr>
                <w:rFonts w:ascii="Arial" w:cs="Arial" w:eastAsia="Arial" w:hAnsi="Arial"/>
                <w:sz w:val="16"/>
                <w:szCs w:val="16"/>
                <w:color w:val="auto"/>
              </w:rPr>
              <w:t>Net cash used in investing activities</w:t>
            </w:r>
          </w:p>
        </w:tc>
        <w:tc>
          <w:tcPr>
            <w:tcW w:w="8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94"/>
              </w:rPr>
              <w:t>(2,466)</w:t>
            </w: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(901)</w:t>
            </w:r>
          </w:p>
        </w:tc>
      </w:tr>
      <w:tr>
        <w:trPr>
          <w:trHeight w:val="427"/>
        </w:trPr>
        <w:tc>
          <w:tcPr>
            <w:tcW w:w="874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3"/>
        </w:trPr>
        <w:tc>
          <w:tcPr>
            <w:tcW w:w="8740" w:type="dxa"/>
            <w:vAlign w:val="bottom"/>
          </w:tcPr>
          <w:p>
            <w:pPr>
              <w:ind w:left="180"/>
              <w:spacing w:after="0"/>
              <w:rPr>
                <w:sz w:val="20"/>
                <w:szCs w:val="20"/>
                <w:color w:val="auto"/>
              </w:rPr>
            </w:pPr>
            <w:r>
              <w:rPr>
                <w:rFonts w:ascii="Arial" w:cs="Arial" w:eastAsia="Arial" w:hAnsi="Arial"/>
                <w:sz w:val="16"/>
                <w:szCs w:val="16"/>
                <w:color w:val="auto"/>
              </w:rPr>
              <w:t>Common dividends paid</w:t>
            </w:r>
          </w:p>
        </w:tc>
        <w:tc>
          <w:tcPr>
            <w:tcW w:w="820" w:type="dxa"/>
            <w:vAlign w:val="bottom"/>
          </w:tcPr>
          <w:p>
            <w:pPr>
              <w:spacing w:after="0"/>
              <w:rPr>
                <w:sz w:val="18"/>
                <w:szCs w:val="18"/>
                <w:color w:val="auto"/>
              </w:rPr>
            </w:pPr>
          </w:p>
        </w:tc>
        <w:tc>
          <w:tcPr>
            <w:tcW w:w="660" w:type="dxa"/>
            <w:vAlign w:val="bottom"/>
          </w:tcPr>
          <w:p>
            <w:pPr>
              <w:jc w:val="right"/>
              <w:ind w:right="81"/>
              <w:spacing w:after="0"/>
              <w:rPr>
                <w:sz w:val="20"/>
                <w:szCs w:val="20"/>
                <w:color w:val="auto"/>
              </w:rPr>
            </w:pPr>
            <w:r>
              <w:rPr>
                <w:rFonts w:ascii="Arial" w:cs="Arial" w:eastAsia="Arial" w:hAnsi="Arial"/>
                <w:sz w:val="16"/>
                <w:szCs w:val="16"/>
                <w:color w:val="auto"/>
              </w:rPr>
              <w:t>(450)</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(452)</w:t>
            </w:r>
          </w:p>
        </w:tc>
      </w:tr>
      <w:tr>
        <w:trPr>
          <w:trHeight w:val="213"/>
        </w:trPr>
        <w:tc>
          <w:tcPr>
            <w:tcW w:w="8740" w:type="dxa"/>
            <w:vAlign w:val="bottom"/>
          </w:tcPr>
          <w:p>
            <w:pPr>
              <w:ind w:left="180"/>
              <w:spacing w:after="0"/>
              <w:rPr>
                <w:sz w:val="20"/>
                <w:szCs w:val="20"/>
                <w:color w:val="auto"/>
              </w:rPr>
            </w:pPr>
            <w:r>
              <w:rPr>
                <w:rFonts w:ascii="Arial" w:cs="Arial" w:eastAsia="Arial" w:hAnsi="Arial"/>
                <w:sz w:val="16"/>
                <w:szCs w:val="16"/>
                <w:color w:val="auto"/>
              </w:rPr>
              <w:t>Preferred dividends paid by subsidiaries</w:t>
            </w:r>
          </w:p>
        </w:tc>
        <w:tc>
          <w:tcPr>
            <w:tcW w:w="820" w:type="dxa"/>
            <w:vAlign w:val="bottom"/>
          </w:tcPr>
          <w:p>
            <w:pPr>
              <w:spacing w:after="0"/>
              <w:rPr>
                <w:sz w:val="18"/>
                <w:szCs w:val="18"/>
                <w:color w:val="auto"/>
              </w:rPr>
            </w:pPr>
          </w:p>
        </w:tc>
        <w:tc>
          <w:tcPr>
            <w:tcW w:w="660" w:type="dxa"/>
            <w:vAlign w:val="bottom"/>
          </w:tcPr>
          <w:p>
            <w:pPr>
              <w:jc w:val="right"/>
              <w:ind w:right="81"/>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3"/>
        </w:trPr>
        <w:tc>
          <w:tcPr>
            <w:tcW w:w="8740" w:type="dxa"/>
            <w:vAlign w:val="bottom"/>
          </w:tcPr>
          <w:p>
            <w:pPr>
              <w:ind w:left="180"/>
              <w:spacing w:after="0"/>
              <w:rPr>
                <w:sz w:val="20"/>
                <w:szCs w:val="20"/>
                <w:color w:val="auto"/>
              </w:rPr>
            </w:pPr>
            <w:r>
              <w:rPr>
                <w:rFonts w:ascii="Arial" w:cs="Arial" w:eastAsia="Arial" w:hAnsi="Arial"/>
                <w:sz w:val="16"/>
                <w:szCs w:val="16"/>
                <w:color w:val="auto"/>
              </w:rPr>
              <w:t>Issuances of common stock</w:t>
            </w:r>
          </w:p>
        </w:tc>
        <w:tc>
          <w:tcPr>
            <w:tcW w:w="820" w:type="dxa"/>
            <w:vAlign w:val="bottom"/>
          </w:tcPr>
          <w:p>
            <w:pPr>
              <w:spacing w:after="0"/>
              <w:rPr>
                <w:sz w:val="18"/>
                <w:szCs w:val="18"/>
                <w:color w:val="auto"/>
              </w:rPr>
            </w:pPr>
          </w:p>
        </w:tc>
        <w:tc>
          <w:tcPr>
            <w:tcW w:w="660" w:type="dxa"/>
            <w:vAlign w:val="bottom"/>
          </w:tcPr>
          <w:p>
            <w:pPr>
              <w:jc w:val="right"/>
              <w:ind w:right="81"/>
              <w:spacing w:after="0"/>
              <w:rPr>
                <w:sz w:val="20"/>
                <w:szCs w:val="20"/>
                <w:color w:val="auto"/>
              </w:rPr>
            </w:pPr>
            <w:r>
              <w:rPr>
                <w:rFonts w:ascii="Arial" w:cs="Arial" w:eastAsia="Arial" w:hAnsi="Arial"/>
                <w:sz w:val="16"/>
                <w:szCs w:val="16"/>
                <w:color w:val="auto"/>
              </w:rPr>
              <w:t>43</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213"/>
        </w:trPr>
        <w:tc>
          <w:tcPr>
            <w:tcW w:w="8740" w:type="dxa"/>
            <w:vAlign w:val="bottom"/>
          </w:tcPr>
          <w:p>
            <w:pPr>
              <w:ind w:left="180"/>
              <w:spacing w:after="0"/>
              <w:rPr>
                <w:sz w:val="20"/>
                <w:szCs w:val="20"/>
                <w:color w:val="auto"/>
              </w:rPr>
            </w:pPr>
            <w:r>
              <w:rPr>
                <w:rFonts w:ascii="Arial" w:cs="Arial" w:eastAsia="Arial" w:hAnsi="Arial"/>
                <w:sz w:val="16"/>
                <w:szCs w:val="16"/>
                <w:color w:val="auto"/>
              </w:rPr>
              <w:t>Repurchases of common stock</w:t>
            </w:r>
          </w:p>
        </w:tc>
        <w:tc>
          <w:tcPr>
            <w:tcW w:w="820" w:type="dxa"/>
            <w:vAlign w:val="bottom"/>
          </w:tcPr>
          <w:p>
            <w:pPr>
              <w:spacing w:after="0"/>
              <w:rPr>
                <w:sz w:val="18"/>
                <w:szCs w:val="18"/>
                <w:color w:val="auto"/>
              </w:rPr>
            </w:pPr>
          </w:p>
        </w:tc>
        <w:tc>
          <w:tcPr>
            <w:tcW w:w="660" w:type="dxa"/>
            <w:vAlign w:val="bottom"/>
          </w:tcPr>
          <w:p>
            <w:pPr>
              <w:jc w:val="right"/>
              <w:ind w:right="81"/>
              <w:spacing w:after="0"/>
              <w:rPr>
                <w:sz w:val="20"/>
                <w:szCs w:val="20"/>
                <w:color w:val="auto"/>
              </w:rPr>
            </w:pPr>
            <w:r>
              <w:rPr>
                <w:rFonts w:ascii="Arial" w:cs="Arial" w:eastAsia="Arial" w:hAnsi="Arial"/>
                <w:sz w:val="16"/>
                <w:szCs w:val="16"/>
                <w:color w:val="auto"/>
              </w:rPr>
              <w:t>(38)</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213"/>
        </w:trPr>
        <w:tc>
          <w:tcPr>
            <w:tcW w:w="8740" w:type="dxa"/>
            <w:vAlign w:val="bottom"/>
          </w:tcPr>
          <w:p>
            <w:pPr>
              <w:ind w:left="180"/>
              <w:spacing w:after="0"/>
              <w:rPr>
                <w:sz w:val="20"/>
                <w:szCs w:val="20"/>
                <w:color w:val="auto"/>
              </w:rPr>
            </w:pPr>
            <w:r>
              <w:rPr>
                <w:rFonts w:ascii="Arial" w:cs="Arial" w:eastAsia="Arial" w:hAnsi="Arial"/>
                <w:sz w:val="16"/>
                <w:szCs w:val="16"/>
                <w:color w:val="auto"/>
              </w:rPr>
              <w:t>Issuances of debt (maturities greater than 90 days)</w:t>
            </w:r>
          </w:p>
        </w:tc>
        <w:tc>
          <w:tcPr>
            <w:tcW w:w="820" w:type="dxa"/>
            <w:vAlign w:val="bottom"/>
          </w:tcPr>
          <w:p>
            <w:pPr>
              <w:spacing w:after="0"/>
              <w:rPr>
                <w:sz w:val="18"/>
                <w:szCs w:val="18"/>
                <w:color w:val="auto"/>
              </w:rPr>
            </w:pPr>
          </w:p>
        </w:tc>
        <w:tc>
          <w:tcPr>
            <w:tcW w:w="660" w:type="dxa"/>
            <w:vAlign w:val="bottom"/>
          </w:tcPr>
          <w:p>
            <w:pPr>
              <w:jc w:val="right"/>
              <w:ind w:right="81"/>
              <w:spacing w:after="0"/>
              <w:rPr>
                <w:sz w:val="20"/>
                <w:szCs w:val="20"/>
                <w:color w:val="auto"/>
              </w:rPr>
            </w:pPr>
            <w:r>
              <w:rPr>
                <w:rFonts w:ascii="Arial" w:cs="Arial" w:eastAsia="Arial" w:hAnsi="Arial"/>
                <w:sz w:val="16"/>
                <w:szCs w:val="16"/>
                <w:color w:val="auto"/>
              </w:rPr>
              <w:t>3,063</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1,404</w:t>
            </w:r>
          </w:p>
        </w:tc>
      </w:tr>
      <w:tr>
        <w:trPr>
          <w:trHeight w:val="213"/>
        </w:trPr>
        <w:tc>
          <w:tcPr>
            <w:tcW w:w="8740" w:type="dxa"/>
            <w:vAlign w:val="bottom"/>
          </w:tcPr>
          <w:p>
            <w:pPr>
              <w:ind w:left="180"/>
              <w:spacing w:after="0"/>
              <w:rPr>
                <w:sz w:val="20"/>
                <w:szCs w:val="20"/>
                <w:color w:val="auto"/>
              </w:rPr>
            </w:pPr>
            <w:r>
              <w:rPr>
                <w:rFonts w:ascii="Arial" w:cs="Arial" w:eastAsia="Arial" w:hAnsi="Arial"/>
                <w:sz w:val="16"/>
                <w:szCs w:val="16"/>
                <w:color w:val="auto"/>
              </w:rPr>
              <w:t>Payments on debt (maturities greater than 90 days)</w:t>
            </w:r>
          </w:p>
        </w:tc>
        <w:tc>
          <w:tcPr>
            <w:tcW w:w="820" w:type="dxa"/>
            <w:vAlign w:val="bottom"/>
          </w:tcPr>
          <w:p>
            <w:pPr>
              <w:spacing w:after="0"/>
              <w:rPr>
                <w:sz w:val="18"/>
                <w:szCs w:val="18"/>
                <w:color w:val="auto"/>
              </w:rPr>
            </w:pPr>
          </w:p>
        </w:tc>
        <w:tc>
          <w:tcPr>
            <w:tcW w:w="660" w:type="dxa"/>
            <w:vAlign w:val="bottom"/>
          </w:tcPr>
          <w:p>
            <w:pPr>
              <w:jc w:val="right"/>
              <w:ind w:right="81"/>
              <w:spacing w:after="0"/>
              <w:rPr>
                <w:sz w:val="20"/>
                <w:szCs w:val="20"/>
                <w:color w:val="auto"/>
              </w:rPr>
            </w:pPr>
            <w:r>
              <w:rPr>
                <w:rFonts w:ascii="Arial" w:cs="Arial" w:eastAsia="Arial" w:hAnsi="Arial"/>
                <w:sz w:val="16"/>
                <w:szCs w:val="16"/>
                <w:color w:val="auto"/>
                <w:w w:val="94"/>
              </w:rPr>
              <w:t>(1,845)</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(1,444)</w:t>
            </w:r>
          </w:p>
        </w:tc>
      </w:tr>
      <w:tr>
        <w:trPr>
          <w:trHeight w:val="213"/>
        </w:trPr>
        <w:tc>
          <w:tcPr>
            <w:tcW w:w="8740" w:type="dxa"/>
            <w:vAlign w:val="bottom"/>
          </w:tcPr>
          <w:p>
            <w:pPr>
              <w:ind w:left="180"/>
              <w:spacing w:after="0"/>
              <w:rPr>
                <w:sz w:val="20"/>
                <w:szCs w:val="20"/>
                <w:color w:val="auto"/>
              </w:rPr>
            </w:pPr>
            <w:r>
              <w:rPr>
                <w:rFonts w:ascii="Arial" w:cs="Arial" w:eastAsia="Arial" w:hAnsi="Arial"/>
                <w:sz w:val="16"/>
                <w:szCs w:val="16"/>
                <w:color w:val="auto"/>
              </w:rPr>
              <w:t>Proceeds from sale of noncontrolling interests, net of $25 in offering costs</w:t>
            </w:r>
          </w:p>
        </w:tc>
        <w:tc>
          <w:tcPr>
            <w:tcW w:w="820" w:type="dxa"/>
            <w:vAlign w:val="bottom"/>
          </w:tcPr>
          <w:p>
            <w:pPr>
              <w:spacing w:after="0"/>
              <w:rPr>
                <w:sz w:val="18"/>
                <w:szCs w:val="18"/>
                <w:color w:val="auto"/>
              </w:rPr>
            </w:pPr>
          </w:p>
        </w:tc>
        <w:tc>
          <w:tcPr>
            <w:tcW w:w="66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574</w:t>
            </w:r>
          </w:p>
        </w:tc>
      </w:tr>
      <w:tr>
        <w:trPr>
          <w:trHeight w:val="213"/>
        </w:trPr>
        <w:tc>
          <w:tcPr>
            <w:tcW w:w="8740" w:type="dxa"/>
            <w:vAlign w:val="bottom"/>
          </w:tcPr>
          <w:p>
            <w:pPr>
              <w:ind w:left="180"/>
              <w:spacing w:after="0"/>
              <w:rPr>
                <w:sz w:val="20"/>
                <w:szCs w:val="20"/>
                <w:color w:val="auto"/>
              </w:rPr>
            </w:pPr>
            <w:r>
              <w:rPr>
                <w:rFonts w:ascii="Arial" w:cs="Arial" w:eastAsia="Arial" w:hAnsi="Arial"/>
                <w:sz w:val="16"/>
                <w:szCs w:val="16"/>
                <w:color w:val="auto"/>
              </w:rPr>
              <w:t>(Decrease) increase in short-term debt, net</w:t>
            </w:r>
          </w:p>
        </w:tc>
        <w:tc>
          <w:tcPr>
            <w:tcW w:w="820" w:type="dxa"/>
            <w:vAlign w:val="bottom"/>
          </w:tcPr>
          <w:p>
            <w:pPr>
              <w:spacing w:after="0"/>
              <w:rPr>
                <w:sz w:val="18"/>
                <w:szCs w:val="18"/>
                <w:color w:val="auto"/>
              </w:rPr>
            </w:pPr>
          </w:p>
        </w:tc>
        <w:tc>
          <w:tcPr>
            <w:tcW w:w="660" w:type="dxa"/>
            <w:vAlign w:val="bottom"/>
          </w:tcPr>
          <w:p>
            <w:pPr>
              <w:jc w:val="right"/>
              <w:ind w:right="81"/>
              <w:spacing w:after="0"/>
              <w:rPr>
                <w:sz w:val="20"/>
                <w:szCs w:val="20"/>
                <w:color w:val="auto"/>
              </w:rPr>
            </w:pPr>
            <w:r>
              <w:rPr>
                <w:rFonts w:ascii="Arial" w:cs="Arial" w:eastAsia="Arial" w:hAnsi="Arial"/>
                <w:sz w:val="16"/>
                <w:szCs w:val="16"/>
                <w:color w:val="auto"/>
              </w:rPr>
              <w:t>(111)</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213"/>
        </w:trPr>
        <w:tc>
          <w:tcPr>
            <w:tcW w:w="8740" w:type="dxa"/>
            <w:vAlign w:val="bottom"/>
          </w:tcPr>
          <w:p>
            <w:pPr>
              <w:ind w:left="180"/>
              <w:spacing w:after="0"/>
              <w:rPr>
                <w:sz w:val="20"/>
                <w:szCs w:val="20"/>
                <w:color w:val="auto"/>
              </w:rPr>
            </w:pPr>
            <w:r>
              <w:rPr>
                <w:rFonts w:ascii="Arial" w:cs="Arial" w:eastAsia="Arial" w:hAnsi="Arial"/>
                <w:sz w:val="16"/>
                <w:szCs w:val="16"/>
                <w:color w:val="auto"/>
              </w:rPr>
              <w:t>Net distributions to noncontrolling interests</w:t>
            </w:r>
          </w:p>
        </w:tc>
        <w:tc>
          <w:tcPr>
            <w:tcW w:w="820" w:type="dxa"/>
            <w:vAlign w:val="bottom"/>
          </w:tcPr>
          <w:p>
            <w:pPr>
              <w:spacing w:after="0"/>
              <w:rPr>
                <w:sz w:val="18"/>
                <w:szCs w:val="18"/>
                <w:color w:val="auto"/>
              </w:rPr>
            </w:pPr>
          </w:p>
        </w:tc>
        <w:tc>
          <w:tcPr>
            <w:tcW w:w="660" w:type="dxa"/>
            <w:vAlign w:val="bottom"/>
          </w:tcPr>
          <w:p>
            <w:pPr>
              <w:jc w:val="right"/>
              <w:ind w:right="81"/>
              <w:spacing w:after="0"/>
              <w:rPr>
                <w:sz w:val="20"/>
                <w:szCs w:val="20"/>
                <w:color w:val="auto"/>
              </w:rPr>
            </w:pPr>
            <w:r>
              <w:rPr>
                <w:rFonts w:ascii="Arial" w:cs="Arial" w:eastAsia="Arial" w:hAnsi="Arial"/>
                <w:sz w:val="16"/>
                <w:szCs w:val="16"/>
                <w:color w:val="auto"/>
              </w:rPr>
              <w:t>(84)</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04"/>
        </w:trPr>
        <w:tc>
          <w:tcPr>
            <w:tcW w:w="8740" w:type="dxa"/>
            <w:vAlign w:val="bottom"/>
          </w:tcPr>
          <w:p>
            <w:pPr>
              <w:ind w:left="180"/>
              <w:spacing w:after="0"/>
              <w:rPr>
                <w:sz w:val="20"/>
                <w:szCs w:val="20"/>
                <w:color w:val="auto"/>
              </w:rPr>
            </w:pPr>
            <w:r>
              <w:rPr>
                <w:rFonts w:ascii="Arial" w:cs="Arial" w:eastAsia="Arial" w:hAnsi="Arial"/>
                <w:sz w:val="16"/>
                <w:szCs w:val="16"/>
                <w:color w:val="auto"/>
              </w:rPr>
              <w:t>Other</w:t>
            </w:r>
          </w:p>
        </w:tc>
        <w:tc>
          <w:tcPr>
            <w:tcW w:w="8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(5)</w:t>
            </w: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r>
      <w:tr>
        <w:trPr>
          <w:trHeight w:val="206"/>
        </w:trPr>
        <w:tc>
          <w:tcPr>
            <w:tcW w:w="8740" w:type="dxa"/>
            <w:vAlign w:val="bottom"/>
          </w:tcPr>
          <w:p>
            <w:pPr>
              <w:ind w:left="360"/>
              <w:spacing w:after="0"/>
              <w:rPr>
                <w:sz w:val="20"/>
                <w:szCs w:val="20"/>
                <w:color w:val="auto"/>
              </w:rPr>
            </w:pPr>
            <w:r>
              <w:rPr>
                <w:rFonts w:ascii="Arial" w:cs="Arial" w:eastAsia="Arial" w:hAnsi="Arial"/>
                <w:sz w:val="16"/>
                <w:szCs w:val="16"/>
                <w:color w:val="auto"/>
              </w:rPr>
              <w:t>Net cash provided by financing activities</w:t>
            </w:r>
          </w:p>
        </w:tc>
        <w:tc>
          <w:tcPr>
            <w:tcW w:w="8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572</w:t>
            </w: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w:t>
            </w:r>
          </w:p>
        </w:tc>
      </w:tr>
    </w:tbl>
    <w:p>
      <w:pPr>
        <w:sectPr>
          <w:pgSz w:w="11900" w:h="16858" w:orient="portrait"/>
          <w:cols w:equalWidth="0" w:num="1">
            <w:col w:w="11420"/>
          </w:cols>
          <w:pgMar w:left="240" w:top="381" w:right="239" w:bottom="0" w:gutter="0" w:footer="0" w:header="0"/>
        </w:sectPr>
      </w:pPr>
    </w:p>
    <w:bookmarkStart w:id="6" w:name="page7"/>
    <w:bookmarkEnd w:id="6"/>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740" w:type="dxa"/>
            <w:vAlign w:val="bottom"/>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6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w:t>
            </w:r>
          </w:p>
        </w:tc>
        <w:tc>
          <w:tcPr>
            <w:tcW w:w="5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r>
      <w:tr>
        <w:trPr>
          <w:trHeight w:val="427"/>
        </w:trPr>
        <w:tc>
          <w:tcPr>
            <w:tcW w:w="8740" w:type="dxa"/>
            <w:vAlign w:val="bottom"/>
          </w:tcPr>
          <w:p>
            <w:pPr>
              <w:spacing w:after="0"/>
              <w:rPr>
                <w:sz w:val="20"/>
                <w:szCs w:val="20"/>
                <w:color w:val="auto"/>
              </w:rPr>
            </w:pPr>
            <w:r>
              <w:rPr>
                <w:rFonts w:ascii="Arial" w:cs="Arial" w:eastAsia="Arial" w:hAnsi="Arial"/>
                <w:sz w:val="16"/>
                <w:szCs w:val="16"/>
                <w:color w:val="auto"/>
              </w:rPr>
              <w:t>(Decrease) increase in cash and cash equivalents</w:t>
            </w:r>
          </w:p>
        </w:tc>
        <w:tc>
          <w:tcPr>
            <w:tcW w:w="660" w:type="dxa"/>
            <w:vAlign w:val="bottom"/>
          </w:tcPr>
          <w:p>
            <w:pPr>
              <w:spacing w:after="0"/>
              <w:rPr>
                <w:sz w:val="24"/>
                <w:szCs w:val="24"/>
                <w:color w:val="auto"/>
              </w:rPr>
            </w:pPr>
          </w:p>
        </w:tc>
        <w:tc>
          <w:tcPr>
            <w:tcW w:w="820" w:type="dxa"/>
            <w:vAlign w:val="bottom"/>
          </w:tcPr>
          <w:p>
            <w:pPr>
              <w:jc w:val="right"/>
              <w:ind w:right="80"/>
              <w:spacing w:after="0"/>
              <w:rPr>
                <w:sz w:val="20"/>
                <w:szCs w:val="20"/>
                <w:color w:val="auto"/>
              </w:rPr>
            </w:pPr>
            <w:r>
              <w:rPr>
                <w:rFonts w:ascii="Arial" w:cs="Arial" w:eastAsia="Arial" w:hAnsi="Arial"/>
                <w:sz w:val="16"/>
                <w:szCs w:val="16"/>
                <w:color w:val="auto"/>
              </w:rPr>
              <w:t>(237)</w:t>
            </w:r>
          </w:p>
        </w:tc>
        <w:tc>
          <w:tcPr>
            <w:tcW w:w="5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586</w:t>
            </w:r>
          </w:p>
        </w:tc>
      </w:tr>
      <w:tr>
        <w:trPr>
          <w:trHeight w:val="204"/>
        </w:trPr>
        <w:tc>
          <w:tcPr>
            <w:tcW w:w="8740" w:type="dxa"/>
            <w:vAlign w:val="bottom"/>
          </w:tcPr>
          <w:p>
            <w:pPr>
              <w:spacing w:after="0"/>
              <w:rPr>
                <w:sz w:val="20"/>
                <w:szCs w:val="20"/>
                <w:color w:val="auto"/>
              </w:rPr>
            </w:pPr>
            <w:r>
              <w:rPr>
                <w:rFonts w:ascii="Arial" w:cs="Arial" w:eastAsia="Arial" w:hAnsi="Arial"/>
                <w:sz w:val="16"/>
                <w:szCs w:val="16"/>
                <w:color w:val="auto"/>
              </w:rPr>
              <w:t>Cash and cash equivalents, January 1</w:t>
            </w:r>
          </w:p>
        </w:tc>
        <w:tc>
          <w:tcPr>
            <w:tcW w:w="6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904</w:t>
            </w:r>
          </w:p>
        </w:tc>
        <w:tc>
          <w:tcPr>
            <w:tcW w:w="5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475</w:t>
            </w:r>
          </w:p>
        </w:tc>
      </w:tr>
      <w:tr>
        <w:trPr>
          <w:trHeight w:val="173"/>
        </w:trPr>
        <w:tc>
          <w:tcPr>
            <w:tcW w:w="8740" w:type="dxa"/>
            <w:vAlign w:val="bottom"/>
            <w:tcBorders>
              <w:bottom w:val="single" w:sz="8" w:color="auto"/>
            </w:tcBorders>
          </w:tcPr>
          <w:p>
            <w:pPr>
              <w:spacing w:after="0" w:line="166" w:lineRule="exact"/>
              <w:rPr>
                <w:sz w:val="20"/>
                <w:szCs w:val="20"/>
                <w:color w:val="auto"/>
              </w:rPr>
            </w:pPr>
            <w:r>
              <w:rPr>
                <w:rFonts w:ascii="Arial" w:cs="Arial" w:eastAsia="Arial" w:hAnsi="Arial"/>
                <w:sz w:val="16"/>
                <w:szCs w:val="16"/>
                <w:color w:val="auto"/>
              </w:rPr>
              <w:t>Cash and cash equivalents, September 30</w:t>
            </w:r>
          </w:p>
        </w:tc>
        <w:tc>
          <w:tcPr>
            <w:tcW w:w="660" w:type="dxa"/>
            <w:vAlign w:val="bottom"/>
            <w:tcBorders>
              <w:bottom w:val="single" w:sz="8" w:color="auto"/>
            </w:tcBorders>
          </w:tcPr>
          <w:p>
            <w:pPr>
              <w:jc w:val="right"/>
              <w:ind w:right="200"/>
              <w:spacing w:after="0" w:line="166" w:lineRule="exact"/>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80"/>
              <w:spacing w:after="0" w:line="166" w:lineRule="exact"/>
              <w:rPr>
                <w:sz w:val="20"/>
                <w:szCs w:val="20"/>
                <w:color w:val="auto"/>
              </w:rPr>
            </w:pPr>
            <w:r>
              <w:rPr>
                <w:rFonts w:ascii="Arial" w:cs="Arial" w:eastAsia="Arial" w:hAnsi="Arial"/>
                <w:sz w:val="16"/>
                <w:szCs w:val="16"/>
                <w:color w:val="auto"/>
              </w:rPr>
              <w:t>667</w:t>
            </w:r>
          </w:p>
        </w:tc>
        <w:tc>
          <w:tcPr>
            <w:tcW w:w="520" w:type="dxa"/>
            <w:vAlign w:val="bottom"/>
            <w:tcBorders>
              <w:bottom w:val="single" w:sz="8" w:color="auto"/>
            </w:tcBorders>
          </w:tcPr>
          <w:p>
            <w:pPr>
              <w:jc w:val="right"/>
              <w:ind w:right="200"/>
              <w:spacing w:after="0" w:line="166" w:lineRule="exact"/>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1,061</w:t>
            </w:r>
          </w:p>
        </w:tc>
      </w:tr>
    </w:tbl>
    <w:p>
      <w:pPr>
        <w:spacing w:after="0" w:line="4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-104775</wp:posOffset>
            </wp:positionV>
            <wp:extent cx="7248525" cy="3289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8525" cy="32893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STATEMENTS OF CASH FLOWS (CONTINUED)</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4"/>
                <w:szCs w:val="14"/>
                <w:color w:val="auto"/>
              </w:rPr>
            </w:pPr>
          </w:p>
        </w:tc>
        <w:tc>
          <w:tcPr>
            <w:tcW w:w="2720" w:type="dxa"/>
            <w:vAlign w:val="bottom"/>
            <w:gridSpan w:val="5"/>
          </w:tcPr>
          <w:p>
            <w:pPr>
              <w:jc w:val="right"/>
              <w:ind w:right="280"/>
              <w:spacing w:after="0"/>
              <w:rPr>
                <w:sz w:val="20"/>
                <w:szCs w:val="20"/>
                <w:color w:val="auto"/>
              </w:rPr>
            </w:pPr>
            <w:r>
              <w:rPr>
                <w:rFonts w:ascii="Arial" w:cs="Arial" w:eastAsia="Arial" w:hAnsi="Arial"/>
                <w:sz w:val="14"/>
                <w:szCs w:val="14"/>
                <w:color w:val="auto"/>
              </w:rPr>
              <w:t>Nine months ended September 30,</w:t>
            </w:r>
          </w:p>
        </w:tc>
      </w:tr>
      <w:tr>
        <w:trPr>
          <w:trHeight w:val="206"/>
        </w:trPr>
        <w:tc>
          <w:tcPr>
            <w:tcW w:w="8720" w:type="dxa"/>
            <w:vAlign w:val="bottom"/>
            <w:tcBorders>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4"/>
                <w:szCs w:val="14"/>
                <w:color w:val="auto"/>
              </w:rPr>
              <w:t>2014</w:t>
            </w:r>
          </w:p>
        </w:tc>
        <w:tc>
          <w:tcPr>
            <w:tcW w:w="58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4"/>
                <w:szCs w:val="14"/>
                <w:color w:val="auto"/>
              </w:rPr>
              <w:t>2013</w:t>
            </w:r>
          </w:p>
        </w:tc>
        <w:tc>
          <w:tcPr>
            <w:tcW w:w="20" w:type="dxa"/>
            <w:vAlign w:val="bottom"/>
          </w:tcPr>
          <w:p>
            <w:pPr>
              <w:spacing w:after="0"/>
              <w:rPr>
                <w:sz w:val="17"/>
                <w:szCs w:val="17"/>
                <w:color w:val="auto"/>
              </w:rPr>
            </w:pPr>
          </w:p>
        </w:tc>
      </w:tr>
      <w:tr>
        <w:trPr>
          <w:trHeight w:val="221"/>
        </w:trPr>
        <w:tc>
          <w:tcPr>
            <w:tcW w:w="87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4"/>
                <w:szCs w:val="14"/>
                <w:color w:val="auto"/>
              </w:rPr>
              <w:t>(unaudited)</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86"/>
        </w:trPr>
        <w:tc>
          <w:tcPr>
            <w:tcW w:w="8720" w:type="dxa"/>
            <w:vAlign w:val="bottom"/>
          </w:tcPr>
          <w:p>
            <w:pPr>
              <w:spacing w:after="0"/>
              <w:rPr>
                <w:sz w:val="20"/>
                <w:szCs w:val="20"/>
                <w:color w:val="auto"/>
              </w:rPr>
            </w:pPr>
            <w:r>
              <w:rPr>
                <w:rFonts w:ascii="Arial" w:cs="Arial" w:eastAsia="Arial" w:hAnsi="Arial"/>
                <w:sz w:val="16"/>
                <w:szCs w:val="16"/>
                <w:color w:val="auto"/>
              </w:rPr>
              <w:t>SUPPLEMENTAL DISCLOSURE OF CASH FLOW INFORMATION</w:t>
            </w: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2"/>
        </w:trPr>
        <w:tc>
          <w:tcPr>
            <w:tcW w:w="8720" w:type="dxa"/>
            <w:vAlign w:val="bottom"/>
          </w:tcPr>
          <w:p>
            <w:pPr>
              <w:ind w:left="180"/>
              <w:spacing w:after="0"/>
              <w:rPr>
                <w:sz w:val="20"/>
                <w:szCs w:val="20"/>
                <w:color w:val="auto"/>
              </w:rPr>
            </w:pPr>
            <w:r>
              <w:rPr>
                <w:rFonts w:ascii="Arial" w:cs="Arial" w:eastAsia="Arial" w:hAnsi="Arial"/>
                <w:sz w:val="16"/>
                <w:szCs w:val="16"/>
                <w:color w:val="auto"/>
              </w:rPr>
              <w:t>Interest payments, net of amounts capitalized</w:t>
            </w:r>
          </w:p>
        </w:tc>
        <w:tc>
          <w:tcPr>
            <w:tcW w:w="900" w:type="dxa"/>
            <w:vAlign w:val="bottom"/>
          </w:tcPr>
          <w:p>
            <w:pPr>
              <w:jc w:val="right"/>
              <w:ind w:right="443"/>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61"/>
              <w:spacing w:after="0"/>
              <w:rPr>
                <w:sz w:val="20"/>
                <w:szCs w:val="20"/>
                <w:color w:val="auto"/>
              </w:rPr>
            </w:pPr>
            <w:r>
              <w:rPr>
                <w:rFonts w:ascii="Arial" w:cs="Arial" w:eastAsia="Arial" w:hAnsi="Arial"/>
                <w:sz w:val="16"/>
                <w:szCs w:val="16"/>
                <w:color w:val="auto"/>
              </w:rPr>
              <w:t>359</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359</w:t>
            </w:r>
          </w:p>
        </w:tc>
      </w:tr>
      <w:tr>
        <w:trPr>
          <w:trHeight w:val="213"/>
        </w:trPr>
        <w:tc>
          <w:tcPr>
            <w:tcW w:w="8720" w:type="dxa"/>
            <w:vAlign w:val="bottom"/>
          </w:tcPr>
          <w:p>
            <w:pPr>
              <w:ind w:left="180"/>
              <w:spacing w:after="0"/>
              <w:rPr>
                <w:sz w:val="20"/>
                <w:szCs w:val="20"/>
                <w:color w:val="auto"/>
              </w:rPr>
            </w:pPr>
            <w:r>
              <w:rPr>
                <w:rFonts w:ascii="Arial" w:cs="Arial" w:eastAsia="Arial" w:hAnsi="Arial"/>
                <w:sz w:val="16"/>
                <w:szCs w:val="16"/>
                <w:color w:val="auto"/>
              </w:rPr>
              <w:t>Income tax payments, net of refunds</w:t>
            </w:r>
          </w:p>
        </w:tc>
        <w:tc>
          <w:tcPr>
            <w:tcW w:w="900" w:type="dxa"/>
            <w:vAlign w:val="bottom"/>
          </w:tcPr>
          <w:p>
            <w:pPr>
              <w:spacing w:after="0"/>
              <w:rPr>
                <w:sz w:val="18"/>
                <w:szCs w:val="18"/>
                <w:color w:val="auto"/>
              </w:rPr>
            </w:pPr>
          </w:p>
        </w:tc>
        <w:tc>
          <w:tcPr>
            <w:tcW w:w="580" w:type="dxa"/>
            <w:vAlign w:val="bottom"/>
          </w:tcPr>
          <w:p>
            <w:pPr>
              <w:jc w:val="right"/>
              <w:ind w:right="61"/>
              <w:spacing w:after="0"/>
              <w:rPr>
                <w:sz w:val="20"/>
                <w:szCs w:val="20"/>
                <w:color w:val="auto"/>
              </w:rPr>
            </w:pPr>
            <w:r>
              <w:rPr>
                <w:rFonts w:ascii="Arial" w:cs="Arial" w:eastAsia="Arial" w:hAnsi="Arial"/>
                <w:sz w:val="16"/>
                <w:szCs w:val="16"/>
                <w:color w:val="auto"/>
              </w:rPr>
              <w:t>154</w:t>
            </w:r>
          </w:p>
        </w:tc>
        <w:tc>
          <w:tcPr>
            <w:tcW w:w="3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106</w:t>
            </w:r>
          </w:p>
        </w:tc>
      </w:tr>
      <w:tr>
        <w:trPr>
          <w:trHeight w:val="425"/>
        </w:trPr>
        <w:tc>
          <w:tcPr>
            <w:tcW w:w="8720" w:type="dxa"/>
            <w:vAlign w:val="bottom"/>
          </w:tcPr>
          <w:p>
            <w:pPr>
              <w:spacing w:after="0"/>
              <w:rPr>
                <w:sz w:val="20"/>
                <w:szCs w:val="20"/>
                <w:color w:val="auto"/>
              </w:rPr>
            </w:pPr>
            <w:r>
              <w:rPr>
                <w:rFonts w:ascii="Arial" w:cs="Arial" w:eastAsia="Arial" w:hAnsi="Arial"/>
                <w:sz w:val="16"/>
                <w:szCs w:val="16"/>
                <w:color w:val="auto"/>
              </w:rPr>
              <w:t>SUPPLEMENTAL DISCLOSURE OF NONCASH INVESTING AND FINANCING ACTIVITIES</w:t>
            </w: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3"/>
        </w:trPr>
        <w:tc>
          <w:tcPr>
            <w:tcW w:w="8720" w:type="dxa"/>
            <w:vAlign w:val="bottom"/>
          </w:tcPr>
          <w:p>
            <w:pPr>
              <w:ind w:left="220"/>
              <w:spacing w:after="0"/>
              <w:rPr>
                <w:sz w:val="20"/>
                <w:szCs w:val="20"/>
                <w:color w:val="auto"/>
              </w:rPr>
            </w:pPr>
            <w:r>
              <w:rPr>
                <w:rFonts w:ascii="Arial" w:cs="Arial" w:eastAsia="Arial" w:hAnsi="Arial"/>
                <w:sz w:val="16"/>
                <w:szCs w:val="16"/>
                <w:color w:val="auto"/>
              </w:rPr>
              <w:t>Acquisition of businesses:</w:t>
            </w: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2"/>
        </w:trPr>
        <w:tc>
          <w:tcPr>
            <w:tcW w:w="8720" w:type="dxa"/>
            <w:vAlign w:val="bottom"/>
          </w:tcPr>
          <w:p>
            <w:pPr>
              <w:ind w:left="440"/>
              <w:spacing w:after="0"/>
              <w:rPr>
                <w:sz w:val="20"/>
                <w:szCs w:val="20"/>
                <w:color w:val="auto"/>
              </w:rPr>
            </w:pPr>
            <w:r>
              <w:rPr>
                <w:rFonts w:ascii="Arial" w:cs="Arial" w:eastAsia="Arial" w:hAnsi="Arial"/>
                <w:sz w:val="16"/>
                <w:szCs w:val="16"/>
                <w:color w:val="auto"/>
              </w:rPr>
              <w:t>Assets acquired</w:t>
            </w:r>
          </w:p>
        </w:tc>
        <w:tc>
          <w:tcPr>
            <w:tcW w:w="900" w:type="dxa"/>
            <w:vAlign w:val="bottom"/>
          </w:tcPr>
          <w:p>
            <w:pPr>
              <w:jc w:val="right"/>
              <w:ind w:right="443"/>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13</w:t>
            </w:r>
          </w:p>
        </w:tc>
      </w:tr>
      <w:tr>
        <w:trPr>
          <w:trHeight w:val="204"/>
        </w:trPr>
        <w:tc>
          <w:tcPr>
            <w:tcW w:w="8720" w:type="dxa"/>
            <w:vAlign w:val="bottom"/>
          </w:tcPr>
          <w:p>
            <w:pPr>
              <w:ind w:left="440"/>
              <w:spacing w:after="0"/>
              <w:rPr>
                <w:sz w:val="20"/>
                <w:szCs w:val="20"/>
                <w:color w:val="auto"/>
              </w:rPr>
            </w:pPr>
            <w:r>
              <w:rPr>
                <w:rFonts w:ascii="Arial" w:cs="Arial" w:eastAsia="Arial" w:hAnsi="Arial"/>
                <w:sz w:val="16"/>
                <w:szCs w:val="16"/>
                <w:color w:val="auto"/>
              </w:rPr>
              <w:t>Cash paid, net of cash acquired</w:t>
            </w:r>
          </w:p>
        </w:tc>
        <w:tc>
          <w:tcPr>
            <w:tcW w:w="9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20" w:type="dxa"/>
            <w:vAlign w:val="bottom"/>
          </w:tcPr>
          <w:p>
            <w:pPr>
              <w:spacing w:after="0"/>
              <w:rPr>
                <w:sz w:val="17"/>
                <w:szCs w:val="17"/>
                <w:color w:val="auto"/>
              </w:rPr>
            </w:pPr>
          </w:p>
        </w:tc>
      </w:tr>
      <w:tr>
        <w:trPr>
          <w:trHeight w:val="166"/>
        </w:trPr>
        <w:tc>
          <w:tcPr>
            <w:tcW w:w="8720" w:type="dxa"/>
            <w:vAlign w:val="bottom"/>
          </w:tcPr>
          <w:p>
            <w:pPr>
              <w:ind w:left="440"/>
              <w:spacing w:after="0" w:line="166" w:lineRule="exact"/>
              <w:rPr>
                <w:sz w:val="20"/>
                <w:szCs w:val="20"/>
                <w:color w:val="auto"/>
              </w:rPr>
            </w:pPr>
            <w:r>
              <w:rPr>
                <w:rFonts w:ascii="Arial" w:cs="Arial" w:eastAsia="Arial" w:hAnsi="Arial"/>
                <w:sz w:val="16"/>
                <w:szCs w:val="16"/>
                <w:color w:val="auto"/>
              </w:rPr>
              <w:t>Liabilities assumed</w:t>
            </w:r>
          </w:p>
        </w:tc>
        <w:tc>
          <w:tcPr>
            <w:tcW w:w="900" w:type="dxa"/>
            <w:vAlign w:val="bottom"/>
            <w:tcBorders>
              <w:bottom w:val="single" w:sz="8" w:color="auto"/>
            </w:tcBorders>
          </w:tcPr>
          <w:p>
            <w:pPr>
              <w:jc w:val="right"/>
              <w:ind w:right="443"/>
              <w:spacing w:after="0" w:line="166" w:lineRule="exact"/>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ind w:right="201"/>
              <w:spacing w:after="0" w:line="166" w:lineRule="exact"/>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2</w:t>
            </w:r>
          </w:p>
        </w:tc>
        <w:tc>
          <w:tcPr>
            <w:tcW w:w="20" w:type="dxa"/>
            <w:vAlign w:val="bottom"/>
            <w:tcBorders>
              <w:bottom w:val="single" w:sz="8" w:color="auto"/>
            </w:tcBorders>
          </w:tcPr>
          <w:p>
            <w:pPr>
              <w:spacing w:after="0"/>
              <w:rPr>
                <w:sz w:val="14"/>
                <w:szCs w:val="14"/>
                <w:color w:val="auto"/>
              </w:rPr>
            </w:pPr>
          </w:p>
        </w:tc>
      </w:tr>
      <w:tr>
        <w:trPr>
          <w:trHeight w:val="387"/>
        </w:trPr>
        <w:tc>
          <w:tcPr>
            <w:tcW w:w="8720" w:type="dxa"/>
            <w:vAlign w:val="bottom"/>
          </w:tcPr>
          <w:p>
            <w:pPr>
              <w:ind w:left="180"/>
              <w:spacing w:after="0"/>
              <w:rPr>
                <w:sz w:val="20"/>
                <w:szCs w:val="20"/>
                <w:color w:val="auto"/>
              </w:rPr>
            </w:pPr>
            <w:r>
              <w:rPr>
                <w:rFonts w:ascii="Arial" w:cs="Arial" w:eastAsia="Arial" w:hAnsi="Arial"/>
                <w:sz w:val="16"/>
                <w:szCs w:val="16"/>
                <w:color w:val="auto"/>
              </w:rPr>
              <w:t>Nuclear facility plant reclassified to regulatory asset, net of depreciation and amortization</w:t>
            </w:r>
          </w:p>
        </w:tc>
        <w:tc>
          <w:tcPr>
            <w:tcW w:w="900" w:type="dxa"/>
            <w:vAlign w:val="bottom"/>
          </w:tcPr>
          <w:p>
            <w:pPr>
              <w:jc w:val="right"/>
              <w:ind w:right="443"/>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512</w:t>
            </w:r>
          </w:p>
        </w:tc>
      </w:tr>
      <w:tr>
        <w:trPr>
          <w:trHeight w:val="213"/>
        </w:trPr>
        <w:tc>
          <w:tcPr>
            <w:tcW w:w="8720" w:type="dxa"/>
            <w:vAlign w:val="bottom"/>
          </w:tcPr>
          <w:p>
            <w:pPr>
              <w:ind w:left="180"/>
              <w:spacing w:after="0"/>
              <w:rPr>
                <w:sz w:val="20"/>
                <w:szCs w:val="20"/>
                <w:color w:val="auto"/>
              </w:rPr>
            </w:pPr>
            <w:r>
              <w:rPr>
                <w:rFonts w:ascii="Arial" w:cs="Arial" w:eastAsia="Arial" w:hAnsi="Arial"/>
                <w:sz w:val="16"/>
                <w:szCs w:val="16"/>
                <w:color w:val="auto"/>
              </w:rPr>
              <w:t>Accrued capital expenditures</w:t>
            </w:r>
          </w:p>
        </w:tc>
        <w:tc>
          <w:tcPr>
            <w:tcW w:w="900" w:type="dxa"/>
            <w:vAlign w:val="bottom"/>
          </w:tcPr>
          <w:p>
            <w:pPr>
              <w:spacing w:after="0"/>
              <w:rPr>
                <w:sz w:val="18"/>
                <w:szCs w:val="18"/>
                <w:color w:val="auto"/>
              </w:rPr>
            </w:pPr>
          </w:p>
        </w:tc>
        <w:tc>
          <w:tcPr>
            <w:tcW w:w="580" w:type="dxa"/>
            <w:vAlign w:val="bottom"/>
          </w:tcPr>
          <w:p>
            <w:pPr>
              <w:jc w:val="right"/>
              <w:ind w:right="61"/>
              <w:spacing w:after="0"/>
              <w:rPr>
                <w:sz w:val="20"/>
                <w:szCs w:val="20"/>
                <w:color w:val="auto"/>
              </w:rPr>
            </w:pPr>
            <w:r>
              <w:rPr>
                <w:rFonts w:ascii="Arial" w:cs="Arial" w:eastAsia="Arial" w:hAnsi="Arial"/>
                <w:sz w:val="16"/>
                <w:szCs w:val="16"/>
                <w:color w:val="auto"/>
              </w:rPr>
              <w:t>385</w:t>
            </w:r>
          </w:p>
        </w:tc>
        <w:tc>
          <w:tcPr>
            <w:tcW w:w="3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285</w:t>
            </w:r>
          </w:p>
        </w:tc>
      </w:tr>
      <w:tr>
        <w:trPr>
          <w:trHeight w:val="213"/>
        </w:trPr>
        <w:tc>
          <w:tcPr>
            <w:tcW w:w="8720" w:type="dxa"/>
            <w:vAlign w:val="bottom"/>
          </w:tcPr>
          <w:p>
            <w:pPr>
              <w:ind w:left="180"/>
              <w:spacing w:after="0"/>
              <w:rPr>
                <w:sz w:val="20"/>
                <w:szCs w:val="20"/>
                <w:color w:val="auto"/>
              </w:rPr>
            </w:pPr>
            <w:r>
              <w:rPr>
                <w:rFonts w:ascii="Arial" w:cs="Arial" w:eastAsia="Arial" w:hAnsi="Arial"/>
                <w:sz w:val="16"/>
                <w:szCs w:val="16"/>
                <w:color w:val="auto"/>
              </w:rPr>
              <w:t>Increase in capital lease obligations for investment in property, plant and equipment</w:t>
            </w:r>
          </w:p>
        </w:tc>
        <w:tc>
          <w:tcPr>
            <w:tcW w:w="900" w:type="dxa"/>
            <w:vAlign w:val="bottom"/>
          </w:tcPr>
          <w:p>
            <w:pPr>
              <w:spacing w:after="0"/>
              <w:rPr>
                <w:sz w:val="18"/>
                <w:szCs w:val="18"/>
                <w:color w:val="auto"/>
              </w:rPr>
            </w:pPr>
          </w:p>
        </w:tc>
        <w:tc>
          <w:tcPr>
            <w:tcW w:w="580" w:type="dxa"/>
            <w:vAlign w:val="bottom"/>
          </w:tcPr>
          <w:p>
            <w:pPr>
              <w:jc w:val="right"/>
              <w:ind w:right="61"/>
              <w:spacing w:after="0"/>
              <w:rPr>
                <w:sz w:val="20"/>
                <w:szCs w:val="20"/>
                <w:color w:val="auto"/>
              </w:rPr>
            </w:pPr>
            <w:r>
              <w:rPr>
                <w:rFonts w:ascii="Arial" w:cs="Arial" w:eastAsia="Arial" w:hAnsi="Arial"/>
                <w:sz w:val="16"/>
                <w:szCs w:val="16"/>
                <w:color w:val="auto"/>
              </w:rPr>
              <w:t>60</w:t>
            </w:r>
          </w:p>
        </w:tc>
        <w:tc>
          <w:tcPr>
            <w:tcW w:w="3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13"/>
        </w:trPr>
        <w:tc>
          <w:tcPr>
            <w:tcW w:w="8720" w:type="dxa"/>
            <w:vAlign w:val="bottom"/>
          </w:tcPr>
          <w:p>
            <w:pPr>
              <w:ind w:left="180"/>
              <w:spacing w:after="0"/>
              <w:rPr>
                <w:sz w:val="20"/>
                <w:szCs w:val="20"/>
                <w:color w:val="auto"/>
              </w:rPr>
            </w:pPr>
            <w:r>
              <w:rPr>
                <w:rFonts w:ascii="Arial" w:cs="Arial" w:eastAsia="Arial" w:hAnsi="Arial"/>
                <w:sz w:val="16"/>
                <w:szCs w:val="16"/>
                <w:color w:val="auto"/>
              </w:rPr>
              <w:t>Capital expenditures recoverable by U.S. Treasury grants receivable</w:t>
            </w:r>
          </w:p>
        </w:tc>
        <w:tc>
          <w:tcPr>
            <w:tcW w:w="900" w:type="dxa"/>
            <w:vAlign w:val="bottom"/>
          </w:tcPr>
          <w:p>
            <w:pPr>
              <w:spacing w:after="0"/>
              <w:rPr>
                <w:sz w:val="18"/>
                <w:szCs w:val="18"/>
                <w:color w:val="auto"/>
              </w:rPr>
            </w:pPr>
          </w:p>
        </w:tc>
        <w:tc>
          <w:tcPr>
            <w:tcW w:w="58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3</w:t>
            </w:r>
          </w:p>
        </w:tc>
      </w:tr>
      <w:tr>
        <w:trPr>
          <w:trHeight w:val="213"/>
        </w:trPr>
        <w:tc>
          <w:tcPr>
            <w:tcW w:w="8720" w:type="dxa"/>
            <w:vAlign w:val="bottom"/>
          </w:tcPr>
          <w:p>
            <w:pPr>
              <w:ind w:left="180"/>
              <w:spacing w:after="0"/>
              <w:rPr>
                <w:sz w:val="20"/>
                <w:szCs w:val="20"/>
                <w:color w:val="auto"/>
              </w:rPr>
            </w:pPr>
            <w:r>
              <w:rPr>
                <w:rFonts w:ascii="Arial" w:cs="Arial" w:eastAsia="Arial" w:hAnsi="Arial"/>
                <w:sz w:val="16"/>
                <w:szCs w:val="16"/>
                <w:color w:val="auto"/>
              </w:rPr>
              <w:t>Sequestration of U.S. Treasury grants receivable</w:t>
            </w:r>
          </w:p>
        </w:tc>
        <w:tc>
          <w:tcPr>
            <w:tcW w:w="900" w:type="dxa"/>
            <w:vAlign w:val="bottom"/>
          </w:tcPr>
          <w:p>
            <w:pPr>
              <w:spacing w:after="0"/>
              <w:rPr>
                <w:sz w:val="18"/>
                <w:szCs w:val="18"/>
                <w:color w:val="auto"/>
              </w:rPr>
            </w:pPr>
          </w:p>
        </w:tc>
        <w:tc>
          <w:tcPr>
            <w:tcW w:w="58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w:t>
            </w:r>
          </w:p>
        </w:tc>
        <w:tc>
          <w:tcPr>
            <w:tcW w:w="20" w:type="dxa"/>
            <w:vAlign w:val="bottom"/>
          </w:tcPr>
          <w:p>
            <w:pPr>
              <w:spacing w:after="0"/>
              <w:rPr>
                <w:sz w:val="18"/>
                <w:szCs w:val="18"/>
                <w:color w:val="auto"/>
              </w:rPr>
            </w:pPr>
          </w:p>
        </w:tc>
      </w:tr>
      <w:tr>
        <w:trPr>
          <w:trHeight w:val="213"/>
        </w:trPr>
        <w:tc>
          <w:tcPr>
            <w:tcW w:w="8720" w:type="dxa"/>
            <w:vAlign w:val="bottom"/>
          </w:tcPr>
          <w:p>
            <w:pPr>
              <w:ind w:left="180"/>
              <w:spacing w:after="0"/>
              <w:rPr>
                <w:sz w:val="20"/>
                <w:szCs w:val="20"/>
                <w:color w:val="auto"/>
              </w:rPr>
            </w:pPr>
            <w:r>
              <w:rPr>
                <w:rFonts w:ascii="Arial" w:cs="Arial" w:eastAsia="Arial" w:hAnsi="Arial"/>
                <w:sz w:val="16"/>
                <w:szCs w:val="16"/>
                <w:color w:val="auto"/>
              </w:rPr>
              <w:t>Dividends declared but not paid</w:t>
            </w:r>
          </w:p>
        </w:tc>
        <w:tc>
          <w:tcPr>
            <w:tcW w:w="900" w:type="dxa"/>
            <w:vAlign w:val="bottom"/>
          </w:tcPr>
          <w:p>
            <w:pPr>
              <w:spacing w:after="0"/>
              <w:rPr>
                <w:sz w:val="18"/>
                <w:szCs w:val="18"/>
                <w:color w:val="auto"/>
              </w:rPr>
            </w:pPr>
          </w:p>
        </w:tc>
        <w:tc>
          <w:tcPr>
            <w:tcW w:w="580" w:type="dxa"/>
            <w:vAlign w:val="bottom"/>
          </w:tcPr>
          <w:p>
            <w:pPr>
              <w:jc w:val="right"/>
              <w:ind w:right="61"/>
              <w:spacing w:after="0"/>
              <w:rPr>
                <w:sz w:val="20"/>
                <w:szCs w:val="20"/>
                <w:color w:val="auto"/>
              </w:rPr>
            </w:pPr>
            <w:r>
              <w:rPr>
                <w:rFonts w:ascii="Arial" w:cs="Arial" w:eastAsia="Arial" w:hAnsi="Arial"/>
                <w:sz w:val="16"/>
                <w:szCs w:val="16"/>
                <w:color w:val="auto"/>
              </w:rPr>
              <w:t>166</w:t>
            </w:r>
          </w:p>
        </w:tc>
        <w:tc>
          <w:tcPr>
            <w:tcW w:w="3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158</w:t>
            </w:r>
          </w:p>
        </w:tc>
      </w:tr>
      <w:tr>
        <w:trPr>
          <w:trHeight w:val="213"/>
        </w:trPr>
        <w:tc>
          <w:tcPr>
            <w:tcW w:w="8720" w:type="dxa"/>
            <w:vAlign w:val="bottom"/>
          </w:tcPr>
          <w:p>
            <w:pPr>
              <w:ind w:left="180"/>
              <w:spacing w:after="0"/>
              <w:rPr>
                <w:sz w:val="20"/>
                <w:szCs w:val="20"/>
                <w:color w:val="auto"/>
              </w:rPr>
            </w:pPr>
            <w:r>
              <w:rPr>
                <w:rFonts w:ascii="Arial" w:cs="Arial" w:eastAsia="Arial" w:hAnsi="Arial"/>
                <w:sz w:val="16"/>
                <w:szCs w:val="16"/>
                <w:color w:val="auto"/>
              </w:rPr>
              <w:t>Financing of build-to-suit property</w:t>
            </w:r>
          </w:p>
        </w:tc>
        <w:tc>
          <w:tcPr>
            <w:tcW w:w="900" w:type="dxa"/>
            <w:vAlign w:val="bottom"/>
          </w:tcPr>
          <w:p>
            <w:pPr>
              <w:spacing w:after="0"/>
              <w:rPr>
                <w:sz w:val="18"/>
                <w:szCs w:val="18"/>
                <w:color w:val="auto"/>
              </w:rPr>
            </w:pPr>
          </w:p>
        </w:tc>
        <w:tc>
          <w:tcPr>
            <w:tcW w:w="580" w:type="dxa"/>
            <w:vAlign w:val="bottom"/>
          </w:tcPr>
          <w:p>
            <w:pPr>
              <w:jc w:val="right"/>
              <w:ind w:right="61"/>
              <w:spacing w:after="0"/>
              <w:rPr>
                <w:sz w:val="20"/>
                <w:szCs w:val="20"/>
                <w:color w:val="auto"/>
              </w:rPr>
            </w:pPr>
            <w:r>
              <w:rPr>
                <w:rFonts w:ascii="Arial" w:cs="Arial" w:eastAsia="Arial" w:hAnsi="Arial"/>
                <w:sz w:val="16"/>
                <w:szCs w:val="16"/>
                <w:color w:val="auto"/>
              </w:rPr>
              <w:t>49</w:t>
            </w:r>
          </w:p>
        </w:tc>
        <w:tc>
          <w:tcPr>
            <w:tcW w:w="3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11"/>
        </w:trPr>
        <w:tc>
          <w:tcPr>
            <w:tcW w:w="8720" w:type="dxa"/>
            <w:vAlign w:val="bottom"/>
          </w:tcPr>
          <w:p>
            <w:pPr>
              <w:ind w:left="180"/>
              <w:spacing w:after="0"/>
              <w:rPr>
                <w:sz w:val="20"/>
                <w:szCs w:val="20"/>
                <w:color w:val="auto"/>
              </w:rPr>
            </w:pPr>
            <w:r>
              <w:rPr>
                <w:rFonts w:ascii="Arial" w:cs="Arial" w:eastAsia="Arial" w:hAnsi="Arial"/>
                <w:sz w:val="16"/>
                <w:szCs w:val="16"/>
                <w:color w:val="auto"/>
              </w:rPr>
              <w:t>Call premium on preferred stock of subsidiary</w:t>
            </w:r>
          </w:p>
        </w:tc>
        <w:tc>
          <w:tcPr>
            <w:tcW w:w="900" w:type="dxa"/>
            <w:vAlign w:val="bottom"/>
          </w:tcPr>
          <w:p>
            <w:pPr>
              <w:spacing w:after="0"/>
              <w:rPr>
                <w:sz w:val="18"/>
                <w:szCs w:val="18"/>
                <w:color w:val="auto"/>
              </w:rPr>
            </w:pPr>
          </w:p>
        </w:tc>
        <w:tc>
          <w:tcPr>
            <w:tcW w:w="58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3</w:t>
            </w:r>
          </w:p>
        </w:tc>
      </w:tr>
      <w:tr>
        <w:trPr>
          <w:trHeight w:val="184"/>
        </w:trPr>
        <w:tc>
          <w:tcPr>
            <w:tcW w:w="8720" w:type="dxa"/>
            <w:vAlign w:val="bottom"/>
            <w:tcBorders>
              <w:top w:val="single" w:sz="8" w:color="auto"/>
            </w:tcBorders>
          </w:tcPr>
          <w:p>
            <w:pPr>
              <w:spacing w:after="0"/>
              <w:rPr>
                <w:sz w:val="20"/>
                <w:szCs w:val="20"/>
                <w:color w:val="auto"/>
              </w:rPr>
            </w:pPr>
            <w:r>
              <w:rPr>
                <w:rFonts w:ascii="Arial" w:cs="Arial" w:eastAsia="Arial" w:hAnsi="Arial"/>
                <w:sz w:val="14"/>
                <w:szCs w:val="14"/>
                <w:i w:val="1"/>
                <w:iCs w:val="1"/>
                <w:color w:val="auto"/>
              </w:rPr>
              <w:t>See Notes to Condensed Consolidated Financial Statements.</w:t>
            </w:r>
          </w:p>
        </w:tc>
        <w:tc>
          <w:tcPr>
            <w:tcW w:w="9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SAN DIEGO GAS &amp; ELECTRIC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-104775</wp:posOffset>
            </wp:positionV>
            <wp:extent cx="7248525" cy="387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8525" cy="38798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06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shd w:val="clear" w:color="auto" w:fill="C0C0C0"/>
          </w:tcPr>
          <w:p>
            <w:pPr>
              <w:spacing w:after="0"/>
              <w:rPr>
                <w:sz w:val="16"/>
                <w:szCs w:val="16"/>
                <w:color w:val="auto"/>
              </w:rPr>
            </w:pPr>
          </w:p>
        </w:tc>
        <w:tc>
          <w:tcPr>
            <w:tcW w:w="300" w:type="dxa"/>
            <w:vAlign w:val="bottom"/>
            <w:shd w:val="clear" w:color="auto" w:fill="C0C0C0"/>
          </w:tcPr>
          <w:p>
            <w:pPr>
              <w:spacing w:after="0"/>
              <w:rPr>
                <w:sz w:val="16"/>
                <w:szCs w:val="16"/>
                <w:color w:val="auto"/>
              </w:rPr>
            </w:pPr>
          </w:p>
        </w:tc>
        <w:tc>
          <w:tcPr>
            <w:tcW w:w="1040" w:type="dxa"/>
            <w:vAlign w:val="bottom"/>
            <w:shd w:val="clear" w:color="auto" w:fill="C0C0C0"/>
          </w:tcPr>
          <w:p>
            <w:pPr>
              <w:spacing w:after="0"/>
              <w:rPr>
                <w:sz w:val="16"/>
                <w:szCs w:val="16"/>
                <w:color w:val="auto"/>
              </w:rPr>
            </w:pPr>
          </w:p>
        </w:tc>
        <w:tc>
          <w:tcPr>
            <w:tcW w:w="380" w:type="dxa"/>
            <w:vAlign w:val="bottom"/>
            <w:shd w:val="clear" w:color="auto" w:fill="C0C0C0"/>
          </w:tcPr>
          <w:p>
            <w:pPr>
              <w:spacing w:after="0"/>
              <w:rPr>
                <w:sz w:val="16"/>
                <w:szCs w:val="16"/>
                <w:color w:val="auto"/>
              </w:rPr>
            </w:pPr>
          </w:p>
        </w:tc>
        <w:tc>
          <w:tcPr>
            <w:tcW w:w="840" w:type="dxa"/>
            <w:vAlign w:val="bottom"/>
            <w:shd w:val="clear" w:color="auto" w:fill="C0C0C0"/>
          </w:tcPr>
          <w:p>
            <w:pPr>
              <w:spacing w:after="0"/>
              <w:rPr>
                <w:sz w:val="16"/>
                <w:szCs w:val="16"/>
                <w:color w:val="auto"/>
              </w:rPr>
            </w:pPr>
          </w:p>
        </w:tc>
        <w:tc>
          <w:tcPr>
            <w:tcW w:w="20" w:type="dxa"/>
            <w:vAlign w:val="bottom"/>
          </w:tcPr>
          <w:p>
            <w:pPr>
              <w:spacing w:after="0"/>
              <w:rPr>
                <w:sz w:val="16"/>
                <w:szCs w:val="16"/>
                <w:color w:val="auto"/>
              </w:rPr>
            </w:pPr>
          </w:p>
        </w:tc>
      </w:tr>
      <w:tr>
        <w:trPr>
          <w:trHeight w:val="228"/>
        </w:trPr>
        <w:tc>
          <w:tcPr>
            <w:tcW w:w="6060" w:type="dxa"/>
            <w:vAlign w:val="bottom"/>
          </w:tcPr>
          <w:p>
            <w:pPr>
              <w:spacing w:after="0"/>
              <w:rPr>
                <w:sz w:val="19"/>
                <w:szCs w:val="19"/>
                <w:color w:val="auto"/>
              </w:rPr>
            </w:pPr>
          </w:p>
        </w:tc>
        <w:tc>
          <w:tcPr>
            <w:tcW w:w="2200" w:type="dxa"/>
            <w:vAlign w:val="bottom"/>
            <w:gridSpan w:val="3"/>
          </w:tcPr>
          <w:p>
            <w:pPr>
              <w:jc w:val="right"/>
              <w:ind w:right="143"/>
              <w:spacing w:after="0"/>
              <w:rPr>
                <w:sz w:val="20"/>
                <w:szCs w:val="20"/>
                <w:color w:val="auto"/>
              </w:rPr>
            </w:pPr>
            <w:r>
              <w:rPr>
                <w:rFonts w:ascii="Arial" w:cs="Arial" w:eastAsia="Arial" w:hAnsi="Arial"/>
                <w:sz w:val="14"/>
                <w:szCs w:val="14"/>
                <w:color w:val="auto"/>
              </w:rPr>
              <w:t>Three months ended</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gridSpan w:val="4"/>
          </w:tcPr>
          <w:p>
            <w:pPr>
              <w:jc w:val="right"/>
              <w:ind w:right="760"/>
              <w:spacing w:after="0"/>
              <w:rPr>
                <w:sz w:val="20"/>
                <w:szCs w:val="20"/>
                <w:color w:val="auto"/>
              </w:rPr>
            </w:pPr>
            <w:r>
              <w:rPr>
                <w:rFonts w:ascii="Arial" w:cs="Arial" w:eastAsia="Arial" w:hAnsi="Arial"/>
                <w:sz w:val="14"/>
                <w:szCs w:val="14"/>
                <w:color w:val="auto"/>
              </w:rPr>
              <w:t>Nine months ended</w:t>
            </w:r>
          </w:p>
        </w:tc>
      </w:tr>
      <w:tr>
        <w:trPr>
          <w:trHeight w:val="184"/>
        </w:trPr>
        <w:tc>
          <w:tcPr>
            <w:tcW w:w="606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right"/>
              <w:ind w:right="323"/>
              <w:spacing w:after="0"/>
              <w:rPr>
                <w:sz w:val="20"/>
                <w:szCs w:val="20"/>
                <w:color w:val="auto"/>
              </w:rPr>
            </w:pPr>
            <w:r>
              <w:rPr>
                <w:rFonts w:ascii="Arial" w:cs="Arial" w:eastAsia="Arial" w:hAnsi="Arial"/>
                <w:sz w:val="14"/>
                <w:szCs w:val="14"/>
                <w:color w:val="auto"/>
              </w:rPr>
              <w:t>September 30,</w:t>
            </w:r>
          </w:p>
        </w:tc>
        <w:tc>
          <w:tcPr>
            <w:tcW w:w="4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w:t>
            </w:r>
          </w:p>
        </w:tc>
        <w:tc>
          <w:tcPr>
            <w:tcW w:w="8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06"/>
        </w:trPr>
        <w:tc>
          <w:tcPr>
            <w:tcW w:w="60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2014</w:t>
            </w:r>
          </w:p>
        </w:tc>
        <w:tc>
          <w:tcPr>
            <w:tcW w:w="6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2013</w:t>
            </w:r>
          </w:p>
        </w:tc>
        <w:tc>
          <w:tcPr>
            <w:tcW w:w="4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color w:val="auto"/>
              </w:rPr>
              <w:t>2014</w:t>
            </w: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color w:val="auto"/>
                <w:w w:val="96"/>
              </w:rPr>
              <w:t>2013</w:t>
            </w:r>
          </w:p>
        </w:tc>
        <w:tc>
          <w:tcPr>
            <w:tcW w:w="20" w:type="dxa"/>
            <w:vAlign w:val="bottom"/>
          </w:tcPr>
          <w:p>
            <w:pPr>
              <w:spacing w:after="0"/>
              <w:rPr>
                <w:sz w:val="17"/>
                <w:szCs w:val="17"/>
                <w:color w:val="auto"/>
              </w:rPr>
            </w:pPr>
          </w:p>
        </w:tc>
      </w:tr>
      <w:tr>
        <w:trPr>
          <w:trHeight w:val="221"/>
        </w:trPr>
        <w:tc>
          <w:tcPr>
            <w:tcW w:w="60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(unaudited)</w:t>
            </w: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86"/>
        </w:trPr>
        <w:tc>
          <w:tcPr>
            <w:tcW w:w="6060" w:type="dxa"/>
            <w:vAlign w:val="bottom"/>
          </w:tcPr>
          <w:p>
            <w:pPr>
              <w:spacing w:after="0"/>
              <w:rPr>
                <w:sz w:val="20"/>
                <w:szCs w:val="20"/>
                <w:color w:val="auto"/>
              </w:rPr>
            </w:pPr>
            <w:r>
              <w:rPr>
                <w:rFonts w:ascii="Arial" w:cs="Arial" w:eastAsia="Arial" w:hAnsi="Arial"/>
                <w:sz w:val="16"/>
                <w:szCs w:val="16"/>
                <w:color w:val="auto"/>
              </w:rPr>
              <w:t>Operating revenues</w:t>
            </w:r>
          </w:p>
        </w:tc>
        <w:tc>
          <w:tcPr>
            <w:tcW w:w="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2"/>
        </w:trPr>
        <w:tc>
          <w:tcPr>
            <w:tcW w:w="6060" w:type="dxa"/>
            <w:vAlign w:val="bottom"/>
          </w:tcPr>
          <w:p>
            <w:pPr>
              <w:ind w:left="180"/>
              <w:spacing w:after="0"/>
              <w:rPr>
                <w:sz w:val="20"/>
                <w:szCs w:val="20"/>
                <w:color w:val="auto"/>
              </w:rPr>
            </w:pPr>
            <w:r>
              <w:rPr>
                <w:rFonts w:ascii="Arial" w:cs="Arial" w:eastAsia="Arial" w:hAnsi="Arial"/>
                <w:sz w:val="16"/>
                <w:szCs w:val="16"/>
                <w:color w:val="auto"/>
              </w:rPr>
              <w:t>Electric</w:t>
            </w:r>
          </w:p>
        </w:tc>
        <w:tc>
          <w:tcPr>
            <w:tcW w:w="840" w:type="dxa"/>
            <w:vAlign w:val="bottom"/>
          </w:tcPr>
          <w:p>
            <w:pPr>
              <w:jc w:val="right"/>
              <w:ind w:right="405"/>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61"/>
              <w:spacing w:after="0"/>
              <w:rPr>
                <w:sz w:val="20"/>
                <w:szCs w:val="20"/>
                <w:color w:val="auto"/>
              </w:rPr>
            </w:pPr>
            <w:r>
              <w:rPr>
                <w:rFonts w:ascii="Arial" w:cs="Arial" w:eastAsia="Arial" w:hAnsi="Arial"/>
                <w:sz w:val="16"/>
                <w:szCs w:val="16"/>
                <w:color w:val="auto"/>
              </w:rPr>
              <w:t>1,133</w:t>
            </w:r>
          </w:p>
        </w:tc>
        <w:tc>
          <w:tcPr>
            <w:tcW w:w="740" w:type="dxa"/>
            <w:vAlign w:val="bottom"/>
          </w:tcPr>
          <w:p>
            <w:pPr>
              <w:jc w:val="right"/>
              <w:ind w:right="443"/>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970</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61"/>
              <w:spacing w:after="0"/>
              <w:rPr>
                <w:sz w:val="20"/>
                <w:szCs w:val="20"/>
                <w:color w:val="auto"/>
              </w:rPr>
            </w:pPr>
            <w:r>
              <w:rPr>
                <w:rFonts w:ascii="Arial" w:cs="Arial" w:eastAsia="Arial" w:hAnsi="Arial"/>
                <w:sz w:val="16"/>
                <w:szCs w:val="16"/>
                <w:color w:val="auto"/>
              </w:rPr>
              <w:t>2,892</w:t>
            </w:r>
          </w:p>
        </w:tc>
        <w:tc>
          <w:tcPr>
            <w:tcW w:w="3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2,685</w:t>
            </w:r>
          </w:p>
        </w:tc>
        <w:tc>
          <w:tcPr>
            <w:tcW w:w="20" w:type="dxa"/>
            <w:vAlign w:val="bottom"/>
          </w:tcPr>
          <w:p>
            <w:pPr>
              <w:spacing w:after="0"/>
              <w:rPr>
                <w:sz w:val="16"/>
                <w:szCs w:val="16"/>
                <w:color w:val="auto"/>
              </w:rPr>
            </w:pPr>
          </w:p>
        </w:tc>
      </w:tr>
      <w:tr>
        <w:trPr>
          <w:trHeight w:val="204"/>
        </w:trPr>
        <w:tc>
          <w:tcPr>
            <w:tcW w:w="6060" w:type="dxa"/>
            <w:vAlign w:val="bottom"/>
          </w:tcPr>
          <w:p>
            <w:pPr>
              <w:ind w:left="180"/>
              <w:spacing w:after="0"/>
              <w:rPr>
                <w:sz w:val="20"/>
                <w:szCs w:val="20"/>
                <w:color w:val="auto"/>
              </w:rPr>
            </w:pPr>
            <w:r>
              <w:rPr>
                <w:rFonts w:ascii="Arial" w:cs="Arial" w:eastAsia="Arial" w:hAnsi="Arial"/>
                <w:sz w:val="16"/>
                <w:szCs w:val="16"/>
                <w:color w:val="auto"/>
              </w:rPr>
              <w:t>Natural gas</w:t>
            </w:r>
          </w:p>
        </w:tc>
        <w:tc>
          <w:tcPr>
            <w:tcW w:w="840" w:type="dxa"/>
            <w:vAlign w:val="bottom"/>
          </w:tcPr>
          <w:p>
            <w:pPr>
              <w:spacing w:after="0"/>
              <w:rPr>
                <w:sz w:val="17"/>
                <w:szCs w:val="17"/>
                <w:color w:val="auto"/>
              </w:rPr>
            </w:pPr>
          </w:p>
        </w:tc>
        <w:tc>
          <w:tcPr>
            <w:tcW w:w="620" w:type="dxa"/>
            <w:vAlign w:val="bottom"/>
          </w:tcPr>
          <w:p>
            <w:pPr>
              <w:jc w:val="right"/>
              <w:ind w:right="61"/>
              <w:spacing w:after="0"/>
              <w:rPr>
                <w:sz w:val="20"/>
                <w:szCs w:val="20"/>
                <w:color w:val="auto"/>
              </w:rPr>
            </w:pPr>
            <w:r>
              <w:rPr>
                <w:rFonts w:ascii="Arial" w:cs="Arial" w:eastAsia="Arial" w:hAnsi="Arial"/>
                <w:sz w:val="16"/>
                <w:szCs w:val="16"/>
                <w:color w:val="auto"/>
              </w:rPr>
              <w:t>100</w:t>
            </w:r>
          </w:p>
        </w:tc>
        <w:tc>
          <w:tcPr>
            <w:tcW w:w="74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93</w:t>
            </w:r>
          </w:p>
        </w:tc>
        <w:tc>
          <w:tcPr>
            <w:tcW w:w="300" w:type="dxa"/>
            <w:vAlign w:val="bottom"/>
          </w:tcPr>
          <w:p>
            <w:pPr>
              <w:spacing w:after="0"/>
              <w:rPr>
                <w:sz w:val="17"/>
                <w:szCs w:val="17"/>
                <w:color w:val="auto"/>
              </w:rPr>
            </w:pPr>
          </w:p>
        </w:tc>
        <w:tc>
          <w:tcPr>
            <w:tcW w:w="1040" w:type="dxa"/>
            <w:vAlign w:val="bottom"/>
          </w:tcPr>
          <w:p>
            <w:pPr>
              <w:jc w:val="right"/>
              <w:ind w:right="61"/>
              <w:spacing w:after="0"/>
              <w:rPr>
                <w:sz w:val="20"/>
                <w:szCs w:val="20"/>
                <w:color w:val="auto"/>
              </w:rPr>
            </w:pPr>
            <w:r>
              <w:rPr>
                <w:rFonts w:ascii="Arial" w:cs="Arial" w:eastAsia="Arial" w:hAnsi="Arial"/>
                <w:sz w:val="16"/>
                <w:szCs w:val="16"/>
                <w:color w:val="auto"/>
              </w:rPr>
              <w:t>391</w:t>
            </w:r>
          </w:p>
        </w:tc>
        <w:tc>
          <w:tcPr>
            <w:tcW w:w="38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381</w:t>
            </w:r>
          </w:p>
        </w:tc>
      </w:tr>
      <w:tr>
        <w:trPr>
          <w:trHeight w:val="206"/>
        </w:trPr>
        <w:tc>
          <w:tcPr>
            <w:tcW w:w="6060" w:type="dxa"/>
            <w:vAlign w:val="bottom"/>
          </w:tcPr>
          <w:p>
            <w:pPr>
              <w:ind w:left="360"/>
              <w:spacing w:after="0"/>
              <w:rPr>
                <w:sz w:val="20"/>
                <w:szCs w:val="20"/>
                <w:color w:val="auto"/>
              </w:rPr>
            </w:pPr>
            <w:r>
              <w:rPr>
                <w:rFonts w:ascii="Arial" w:cs="Arial" w:eastAsia="Arial" w:hAnsi="Arial"/>
                <w:sz w:val="16"/>
                <w:szCs w:val="16"/>
                <w:color w:val="auto"/>
              </w:rPr>
              <w:t>Total operating revenues</w:t>
            </w:r>
          </w:p>
        </w:tc>
        <w:tc>
          <w:tcPr>
            <w:tcW w:w="84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1,233</w:t>
            </w:r>
          </w:p>
        </w:tc>
        <w:tc>
          <w:tcPr>
            <w:tcW w:w="74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1,063</w:t>
            </w: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3,283</w:t>
            </w:r>
          </w:p>
        </w:tc>
        <w:tc>
          <w:tcPr>
            <w:tcW w:w="38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3,066</w:t>
            </w:r>
          </w:p>
        </w:tc>
        <w:tc>
          <w:tcPr>
            <w:tcW w:w="20" w:type="dxa"/>
            <w:vAlign w:val="bottom"/>
          </w:tcPr>
          <w:p>
            <w:pPr>
              <w:spacing w:after="0"/>
              <w:rPr>
                <w:sz w:val="17"/>
                <w:szCs w:val="17"/>
                <w:color w:val="auto"/>
              </w:rPr>
            </w:pPr>
          </w:p>
        </w:tc>
      </w:tr>
      <w:tr>
        <w:trPr>
          <w:trHeight w:val="214"/>
        </w:trPr>
        <w:tc>
          <w:tcPr>
            <w:tcW w:w="6060" w:type="dxa"/>
            <w:vAlign w:val="bottom"/>
          </w:tcPr>
          <w:p>
            <w:pPr>
              <w:spacing w:after="0"/>
              <w:rPr>
                <w:sz w:val="20"/>
                <w:szCs w:val="20"/>
                <w:color w:val="auto"/>
              </w:rPr>
            </w:pPr>
            <w:r>
              <w:rPr>
                <w:rFonts w:ascii="Arial" w:cs="Arial" w:eastAsia="Arial" w:hAnsi="Arial"/>
                <w:sz w:val="16"/>
                <w:szCs w:val="16"/>
                <w:color w:val="auto"/>
              </w:rPr>
              <w:t>Operating expenses</w:t>
            </w: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6060" w:type="dxa"/>
            <w:vAlign w:val="bottom"/>
          </w:tcPr>
          <w:p>
            <w:pPr>
              <w:ind w:left="180"/>
              <w:spacing w:after="0"/>
              <w:rPr>
                <w:sz w:val="20"/>
                <w:szCs w:val="20"/>
                <w:color w:val="auto"/>
              </w:rPr>
            </w:pPr>
            <w:r>
              <w:rPr>
                <w:rFonts w:ascii="Arial" w:cs="Arial" w:eastAsia="Arial" w:hAnsi="Arial"/>
                <w:sz w:val="16"/>
                <w:szCs w:val="16"/>
                <w:color w:val="auto"/>
              </w:rPr>
              <w:t>Cost of electric fuel and purchased power</w:t>
            </w:r>
          </w:p>
        </w:tc>
        <w:tc>
          <w:tcPr>
            <w:tcW w:w="840" w:type="dxa"/>
            <w:vAlign w:val="bottom"/>
          </w:tcPr>
          <w:p>
            <w:pPr>
              <w:spacing w:after="0"/>
              <w:rPr>
                <w:sz w:val="18"/>
                <w:szCs w:val="18"/>
                <w:color w:val="auto"/>
              </w:rPr>
            </w:pPr>
          </w:p>
        </w:tc>
        <w:tc>
          <w:tcPr>
            <w:tcW w:w="620" w:type="dxa"/>
            <w:vAlign w:val="bottom"/>
          </w:tcPr>
          <w:p>
            <w:pPr>
              <w:jc w:val="right"/>
              <w:ind w:right="61"/>
              <w:spacing w:after="0"/>
              <w:rPr>
                <w:sz w:val="20"/>
                <w:szCs w:val="20"/>
                <w:color w:val="auto"/>
              </w:rPr>
            </w:pPr>
            <w:r>
              <w:rPr>
                <w:rFonts w:ascii="Arial" w:cs="Arial" w:eastAsia="Arial" w:hAnsi="Arial"/>
                <w:sz w:val="16"/>
                <w:szCs w:val="16"/>
                <w:color w:val="auto"/>
              </w:rPr>
              <w:t>441</w:t>
            </w:r>
          </w:p>
        </w:tc>
        <w:tc>
          <w:tcPr>
            <w:tcW w:w="7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315</w:t>
            </w:r>
          </w:p>
        </w:tc>
        <w:tc>
          <w:tcPr>
            <w:tcW w:w="300" w:type="dxa"/>
            <w:vAlign w:val="bottom"/>
          </w:tcPr>
          <w:p>
            <w:pPr>
              <w:spacing w:after="0"/>
              <w:rPr>
                <w:sz w:val="18"/>
                <w:szCs w:val="18"/>
                <w:color w:val="auto"/>
              </w:rPr>
            </w:pPr>
          </w:p>
        </w:tc>
        <w:tc>
          <w:tcPr>
            <w:tcW w:w="1040" w:type="dxa"/>
            <w:vAlign w:val="bottom"/>
          </w:tcPr>
          <w:p>
            <w:pPr>
              <w:jc w:val="right"/>
              <w:ind w:right="61"/>
              <w:spacing w:after="0"/>
              <w:rPr>
                <w:sz w:val="20"/>
                <w:szCs w:val="20"/>
                <w:color w:val="auto"/>
              </w:rPr>
            </w:pPr>
            <w:r>
              <w:rPr>
                <w:rFonts w:ascii="Arial" w:cs="Arial" w:eastAsia="Arial" w:hAnsi="Arial"/>
                <w:sz w:val="16"/>
                <w:szCs w:val="16"/>
                <w:color w:val="auto"/>
              </w:rPr>
              <w:t>1,036</w:t>
            </w:r>
          </w:p>
        </w:tc>
        <w:tc>
          <w:tcPr>
            <w:tcW w:w="3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776</w:t>
            </w:r>
          </w:p>
        </w:tc>
      </w:tr>
      <w:tr>
        <w:trPr>
          <w:trHeight w:val="213"/>
        </w:trPr>
        <w:tc>
          <w:tcPr>
            <w:tcW w:w="6060" w:type="dxa"/>
            <w:vAlign w:val="bottom"/>
          </w:tcPr>
          <w:p>
            <w:pPr>
              <w:ind w:left="180"/>
              <w:spacing w:after="0"/>
              <w:rPr>
                <w:sz w:val="20"/>
                <w:szCs w:val="20"/>
                <w:color w:val="auto"/>
              </w:rPr>
            </w:pPr>
            <w:r>
              <w:rPr>
                <w:rFonts w:ascii="Arial" w:cs="Arial" w:eastAsia="Arial" w:hAnsi="Arial"/>
                <w:sz w:val="16"/>
                <w:szCs w:val="16"/>
                <w:color w:val="auto"/>
              </w:rPr>
              <w:t>Cost of natural gas</w:t>
            </w:r>
          </w:p>
        </w:tc>
        <w:tc>
          <w:tcPr>
            <w:tcW w:w="840" w:type="dxa"/>
            <w:vAlign w:val="bottom"/>
          </w:tcPr>
          <w:p>
            <w:pPr>
              <w:spacing w:after="0"/>
              <w:rPr>
                <w:sz w:val="18"/>
                <w:szCs w:val="18"/>
                <w:color w:val="auto"/>
              </w:rPr>
            </w:pPr>
          </w:p>
        </w:tc>
        <w:tc>
          <w:tcPr>
            <w:tcW w:w="620" w:type="dxa"/>
            <w:vAlign w:val="bottom"/>
          </w:tcPr>
          <w:p>
            <w:pPr>
              <w:jc w:val="right"/>
              <w:ind w:right="61"/>
              <w:spacing w:after="0"/>
              <w:rPr>
                <w:sz w:val="20"/>
                <w:szCs w:val="20"/>
                <w:color w:val="auto"/>
              </w:rPr>
            </w:pPr>
            <w:r>
              <w:rPr>
                <w:rFonts w:ascii="Arial" w:cs="Arial" w:eastAsia="Arial" w:hAnsi="Arial"/>
                <w:sz w:val="16"/>
                <w:szCs w:val="16"/>
                <w:color w:val="auto"/>
              </w:rPr>
              <w:t>39</w:t>
            </w:r>
          </w:p>
        </w:tc>
        <w:tc>
          <w:tcPr>
            <w:tcW w:w="7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36</w:t>
            </w:r>
          </w:p>
        </w:tc>
        <w:tc>
          <w:tcPr>
            <w:tcW w:w="300" w:type="dxa"/>
            <w:vAlign w:val="bottom"/>
          </w:tcPr>
          <w:p>
            <w:pPr>
              <w:spacing w:after="0"/>
              <w:rPr>
                <w:sz w:val="18"/>
                <w:szCs w:val="18"/>
                <w:color w:val="auto"/>
              </w:rPr>
            </w:pPr>
          </w:p>
        </w:tc>
        <w:tc>
          <w:tcPr>
            <w:tcW w:w="1040" w:type="dxa"/>
            <w:vAlign w:val="bottom"/>
          </w:tcPr>
          <w:p>
            <w:pPr>
              <w:jc w:val="right"/>
              <w:ind w:right="61"/>
              <w:spacing w:after="0"/>
              <w:rPr>
                <w:sz w:val="20"/>
                <w:szCs w:val="20"/>
                <w:color w:val="auto"/>
              </w:rPr>
            </w:pPr>
            <w:r>
              <w:rPr>
                <w:rFonts w:ascii="Arial" w:cs="Arial" w:eastAsia="Arial" w:hAnsi="Arial"/>
                <w:sz w:val="16"/>
                <w:szCs w:val="16"/>
                <w:color w:val="auto"/>
              </w:rPr>
              <w:t>165</w:t>
            </w:r>
          </w:p>
        </w:tc>
        <w:tc>
          <w:tcPr>
            <w:tcW w:w="3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157</w:t>
            </w:r>
          </w:p>
        </w:tc>
      </w:tr>
      <w:tr>
        <w:trPr>
          <w:trHeight w:val="213"/>
        </w:trPr>
        <w:tc>
          <w:tcPr>
            <w:tcW w:w="6060" w:type="dxa"/>
            <w:vAlign w:val="bottom"/>
          </w:tcPr>
          <w:p>
            <w:pPr>
              <w:ind w:left="180"/>
              <w:spacing w:after="0"/>
              <w:rPr>
                <w:sz w:val="20"/>
                <w:szCs w:val="20"/>
                <w:color w:val="auto"/>
              </w:rPr>
            </w:pPr>
            <w:r>
              <w:rPr>
                <w:rFonts w:ascii="Arial" w:cs="Arial" w:eastAsia="Arial" w:hAnsi="Arial"/>
                <w:sz w:val="16"/>
                <w:szCs w:val="16"/>
                <w:color w:val="auto"/>
              </w:rPr>
              <w:t>Operation and maintenance</w:t>
            </w:r>
          </w:p>
        </w:tc>
        <w:tc>
          <w:tcPr>
            <w:tcW w:w="840" w:type="dxa"/>
            <w:vAlign w:val="bottom"/>
          </w:tcPr>
          <w:p>
            <w:pPr>
              <w:spacing w:after="0"/>
              <w:rPr>
                <w:sz w:val="18"/>
                <w:szCs w:val="18"/>
                <w:color w:val="auto"/>
              </w:rPr>
            </w:pPr>
          </w:p>
        </w:tc>
        <w:tc>
          <w:tcPr>
            <w:tcW w:w="620" w:type="dxa"/>
            <w:vAlign w:val="bottom"/>
          </w:tcPr>
          <w:p>
            <w:pPr>
              <w:jc w:val="right"/>
              <w:ind w:right="61"/>
              <w:spacing w:after="0"/>
              <w:rPr>
                <w:sz w:val="20"/>
                <w:szCs w:val="20"/>
                <w:color w:val="auto"/>
              </w:rPr>
            </w:pPr>
            <w:r>
              <w:rPr>
                <w:rFonts w:ascii="Arial" w:cs="Arial" w:eastAsia="Arial" w:hAnsi="Arial"/>
                <w:sz w:val="16"/>
                <w:szCs w:val="16"/>
                <w:color w:val="auto"/>
              </w:rPr>
              <w:t>276</w:t>
            </w:r>
          </w:p>
        </w:tc>
        <w:tc>
          <w:tcPr>
            <w:tcW w:w="7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266</w:t>
            </w:r>
          </w:p>
        </w:tc>
        <w:tc>
          <w:tcPr>
            <w:tcW w:w="300" w:type="dxa"/>
            <w:vAlign w:val="bottom"/>
          </w:tcPr>
          <w:p>
            <w:pPr>
              <w:spacing w:after="0"/>
              <w:rPr>
                <w:sz w:val="18"/>
                <w:szCs w:val="18"/>
                <w:color w:val="auto"/>
              </w:rPr>
            </w:pPr>
          </w:p>
        </w:tc>
        <w:tc>
          <w:tcPr>
            <w:tcW w:w="1040" w:type="dxa"/>
            <w:vAlign w:val="bottom"/>
          </w:tcPr>
          <w:p>
            <w:pPr>
              <w:jc w:val="right"/>
              <w:ind w:right="61"/>
              <w:spacing w:after="0"/>
              <w:rPr>
                <w:sz w:val="20"/>
                <w:szCs w:val="20"/>
                <w:color w:val="auto"/>
              </w:rPr>
            </w:pPr>
            <w:r>
              <w:rPr>
                <w:rFonts w:ascii="Arial" w:cs="Arial" w:eastAsia="Arial" w:hAnsi="Arial"/>
                <w:sz w:val="16"/>
                <w:szCs w:val="16"/>
                <w:color w:val="auto"/>
              </w:rPr>
              <w:t>784</w:t>
            </w:r>
          </w:p>
        </w:tc>
        <w:tc>
          <w:tcPr>
            <w:tcW w:w="3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852</w:t>
            </w:r>
          </w:p>
        </w:tc>
      </w:tr>
      <w:tr>
        <w:trPr>
          <w:trHeight w:val="213"/>
        </w:trPr>
        <w:tc>
          <w:tcPr>
            <w:tcW w:w="606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840" w:type="dxa"/>
            <w:vAlign w:val="bottom"/>
          </w:tcPr>
          <w:p>
            <w:pPr>
              <w:spacing w:after="0"/>
              <w:rPr>
                <w:sz w:val="18"/>
                <w:szCs w:val="18"/>
                <w:color w:val="auto"/>
              </w:rPr>
            </w:pPr>
          </w:p>
        </w:tc>
        <w:tc>
          <w:tcPr>
            <w:tcW w:w="620" w:type="dxa"/>
            <w:vAlign w:val="bottom"/>
          </w:tcPr>
          <w:p>
            <w:pPr>
              <w:jc w:val="right"/>
              <w:ind w:right="61"/>
              <w:spacing w:after="0"/>
              <w:rPr>
                <w:sz w:val="20"/>
                <w:szCs w:val="20"/>
                <w:color w:val="auto"/>
              </w:rPr>
            </w:pPr>
            <w:r>
              <w:rPr>
                <w:rFonts w:ascii="Arial" w:cs="Arial" w:eastAsia="Arial" w:hAnsi="Arial"/>
                <w:sz w:val="16"/>
                <w:szCs w:val="16"/>
                <w:color w:val="auto"/>
              </w:rPr>
              <w:t>134</w:t>
            </w:r>
          </w:p>
        </w:tc>
        <w:tc>
          <w:tcPr>
            <w:tcW w:w="7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126</w:t>
            </w:r>
          </w:p>
        </w:tc>
        <w:tc>
          <w:tcPr>
            <w:tcW w:w="300" w:type="dxa"/>
            <w:vAlign w:val="bottom"/>
          </w:tcPr>
          <w:p>
            <w:pPr>
              <w:spacing w:after="0"/>
              <w:rPr>
                <w:sz w:val="18"/>
                <w:szCs w:val="18"/>
                <w:color w:val="auto"/>
              </w:rPr>
            </w:pPr>
          </w:p>
        </w:tc>
        <w:tc>
          <w:tcPr>
            <w:tcW w:w="1040" w:type="dxa"/>
            <w:vAlign w:val="bottom"/>
          </w:tcPr>
          <w:p>
            <w:pPr>
              <w:jc w:val="right"/>
              <w:ind w:right="61"/>
              <w:spacing w:after="0"/>
              <w:rPr>
                <w:sz w:val="20"/>
                <w:szCs w:val="20"/>
                <w:color w:val="auto"/>
              </w:rPr>
            </w:pPr>
            <w:r>
              <w:rPr>
                <w:rFonts w:ascii="Arial" w:cs="Arial" w:eastAsia="Arial" w:hAnsi="Arial"/>
                <w:sz w:val="16"/>
                <w:szCs w:val="16"/>
                <w:color w:val="auto"/>
              </w:rPr>
              <w:t>395</w:t>
            </w:r>
          </w:p>
        </w:tc>
        <w:tc>
          <w:tcPr>
            <w:tcW w:w="3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367</w:t>
            </w:r>
          </w:p>
        </w:tc>
      </w:tr>
      <w:tr>
        <w:trPr>
          <w:trHeight w:val="213"/>
        </w:trPr>
        <w:tc>
          <w:tcPr>
            <w:tcW w:w="6060" w:type="dxa"/>
            <w:vAlign w:val="bottom"/>
          </w:tcPr>
          <w:p>
            <w:pPr>
              <w:ind w:left="180"/>
              <w:spacing w:after="0"/>
              <w:rPr>
                <w:sz w:val="20"/>
                <w:szCs w:val="20"/>
                <w:color w:val="auto"/>
              </w:rPr>
            </w:pPr>
            <w:r>
              <w:rPr>
                <w:rFonts w:ascii="Arial" w:cs="Arial" w:eastAsia="Arial" w:hAnsi="Arial"/>
                <w:sz w:val="16"/>
                <w:szCs w:val="16"/>
                <w:color w:val="auto"/>
              </w:rPr>
              <w:t>Franchise fees and other taxes</w:t>
            </w:r>
          </w:p>
        </w:tc>
        <w:tc>
          <w:tcPr>
            <w:tcW w:w="840" w:type="dxa"/>
            <w:vAlign w:val="bottom"/>
          </w:tcPr>
          <w:p>
            <w:pPr>
              <w:spacing w:after="0"/>
              <w:rPr>
                <w:sz w:val="18"/>
                <w:szCs w:val="18"/>
                <w:color w:val="auto"/>
              </w:rPr>
            </w:pPr>
          </w:p>
        </w:tc>
        <w:tc>
          <w:tcPr>
            <w:tcW w:w="620" w:type="dxa"/>
            <w:vAlign w:val="bottom"/>
          </w:tcPr>
          <w:p>
            <w:pPr>
              <w:jc w:val="right"/>
              <w:ind w:right="61"/>
              <w:spacing w:after="0"/>
              <w:rPr>
                <w:sz w:val="20"/>
                <w:szCs w:val="20"/>
                <w:color w:val="auto"/>
              </w:rPr>
            </w:pPr>
            <w:r>
              <w:rPr>
                <w:rFonts w:ascii="Arial" w:cs="Arial" w:eastAsia="Arial" w:hAnsi="Arial"/>
                <w:sz w:val="16"/>
                <w:szCs w:val="16"/>
                <w:color w:val="auto"/>
              </w:rPr>
              <w:t>67</w:t>
            </w:r>
          </w:p>
        </w:tc>
        <w:tc>
          <w:tcPr>
            <w:tcW w:w="7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57</w:t>
            </w:r>
          </w:p>
        </w:tc>
        <w:tc>
          <w:tcPr>
            <w:tcW w:w="300" w:type="dxa"/>
            <w:vAlign w:val="bottom"/>
          </w:tcPr>
          <w:p>
            <w:pPr>
              <w:spacing w:after="0"/>
              <w:rPr>
                <w:sz w:val="18"/>
                <w:szCs w:val="18"/>
                <w:color w:val="auto"/>
              </w:rPr>
            </w:pPr>
          </w:p>
        </w:tc>
        <w:tc>
          <w:tcPr>
            <w:tcW w:w="1040" w:type="dxa"/>
            <w:vAlign w:val="bottom"/>
          </w:tcPr>
          <w:p>
            <w:pPr>
              <w:jc w:val="right"/>
              <w:ind w:right="61"/>
              <w:spacing w:after="0"/>
              <w:rPr>
                <w:sz w:val="20"/>
                <w:szCs w:val="20"/>
                <w:color w:val="auto"/>
              </w:rPr>
            </w:pPr>
            <w:r>
              <w:rPr>
                <w:rFonts w:ascii="Arial" w:cs="Arial" w:eastAsia="Arial" w:hAnsi="Arial"/>
                <w:sz w:val="16"/>
                <w:szCs w:val="16"/>
                <w:color w:val="auto"/>
              </w:rPr>
              <w:t>177</w:t>
            </w:r>
          </w:p>
        </w:tc>
        <w:tc>
          <w:tcPr>
            <w:tcW w:w="3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158</w:t>
            </w:r>
          </w:p>
        </w:tc>
      </w:tr>
      <w:tr>
        <w:trPr>
          <w:trHeight w:val="204"/>
        </w:trPr>
        <w:tc>
          <w:tcPr>
            <w:tcW w:w="6060" w:type="dxa"/>
            <w:vAlign w:val="bottom"/>
          </w:tcPr>
          <w:p>
            <w:pPr>
              <w:ind w:left="180"/>
              <w:spacing w:after="0"/>
              <w:rPr>
                <w:sz w:val="20"/>
                <w:szCs w:val="20"/>
                <w:color w:val="auto"/>
              </w:rPr>
            </w:pPr>
            <w:r>
              <w:rPr>
                <w:rFonts w:ascii="Arial" w:cs="Arial" w:eastAsia="Arial" w:hAnsi="Arial"/>
                <w:sz w:val="16"/>
                <w:szCs w:val="16"/>
                <w:color w:val="auto"/>
              </w:rPr>
              <w:t>Plant closure (adjustment) loss</w:t>
            </w:r>
          </w:p>
        </w:tc>
        <w:tc>
          <w:tcPr>
            <w:tcW w:w="840" w:type="dxa"/>
            <w:vAlign w:val="bottom"/>
          </w:tcPr>
          <w:p>
            <w:pPr>
              <w:spacing w:after="0"/>
              <w:rPr>
                <w:sz w:val="17"/>
                <w:szCs w:val="17"/>
                <w:color w:val="auto"/>
              </w:rPr>
            </w:pPr>
          </w:p>
        </w:tc>
        <w:tc>
          <w:tcPr>
            <w:tcW w:w="62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7"/>
                <w:szCs w:val="17"/>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040" w:type="dxa"/>
            <w:vAlign w:val="bottom"/>
          </w:tcPr>
          <w:p>
            <w:pPr>
              <w:jc w:val="right"/>
              <w:ind w:right="61"/>
              <w:spacing w:after="0"/>
              <w:rPr>
                <w:sz w:val="20"/>
                <w:szCs w:val="20"/>
                <w:color w:val="auto"/>
              </w:rPr>
            </w:pPr>
            <w:r>
              <w:rPr>
                <w:rFonts w:ascii="Arial" w:cs="Arial" w:eastAsia="Arial" w:hAnsi="Arial"/>
                <w:sz w:val="16"/>
                <w:szCs w:val="16"/>
                <w:color w:val="auto"/>
              </w:rPr>
              <w:t>(13)</w:t>
            </w:r>
          </w:p>
        </w:tc>
        <w:tc>
          <w:tcPr>
            <w:tcW w:w="38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200</w:t>
            </w:r>
          </w:p>
        </w:tc>
      </w:tr>
      <w:tr>
        <w:trPr>
          <w:trHeight w:val="206"/>
        </w:trPr>
        <w:tc>
          <w:tcPr>
            <w:tcW w:w="6060" w:type="dxa"/>
            <w:vAlign w:val="bottom"/>
          </w:tcPr>
          <w:p>
            <w:pPr>
              <w:ind w:left="360"/>
              <w:spacing w:after="0"/>
              <w:rPr>
                <w:sz w:val="20"/>
                <w:szCs w:val="20"/>
                <w:color w:val="auto"/>
              </w:rPr>
            </w:pPr>
            <w:r>
              <w:rPr>
                <w:rFonts w:ascii="Arial" w:cs="Arial" w:eastAsia="Arial" w:hAnsi="Arial"/>
                <w:sz w:val="16"/>
                <w:szCs w:val="16"/>
                <w:color w:val="auto"/>
              </w:rPr>
              <w:t>Total operating expenses</w:t>
            </w:r>
          </w:p>
        </w:tc>
        <w:tc>
          <w:tcPr>
            <w:tcW w:w="84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957</w:t>
            </w:r>
          </w:p>
        </w:tc>
        <w:tc>
          <w:tcPr>
            <w:tcW w:w="74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800</w:t>
            </w: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2,544</w:t>
            </w:r>
          </w:p>
        </w:tc>
        <w:tc>
          <w:tcPr>
            <w:tcW w:w="38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2,510</w:t>
            </w:r>
          </w:p>
        </w:tc>
        <w:tc>
          <w:tcPr>
            <w:tcW w:w="20" w:type="dxa"/>
            <w:vAlign w:val="bottom"/>
          </w:tcPr>
          <w:p>
            <w:pPr>
              <w:spacing w:after="0"/>
              <w:rPr>
                <w:sz w:val="17"/>
                <w:szCs w:val="17"/>
                <w:color w:val="auto"/>
              </w:rPr>
            </w:pPr>
          </w:p>
        </w:tc>
      </w:tr>
      <w:tr>
        <w:trPr>
          <w:trHeight w:val="214"/>
        </w:trPr>
        <w:tc>
          <w:tcPr>
            <w:tcW w:w="6060" w:type="dxa"/>
            <w:vAlign w:val="bottom"/>
          </w:tcPr>
          <w:p>
            <w:pPr>
              <w:spacing w:after="0"/>
              <w:rPr>
                <w:sz w:val="20"/>
                <w:szCs w:val="20"/>
                <w:color w:val="auto"/>
              </w:rPr>
            </w:pPr>
            <w:r>
              <w:rPr>
                <w:rFonts w:ascii="Arial" w:cs="Arial" w:eastAsia="Arial" w:hAnsi="Arial"/>
                <w:sz w:val="16"/>
                <w:szCs w:val="16"/>
                <w:color w:val="auto"/>
              </w:rPr>
              <w:t>Operating income</w:t>
            </w:r>
          </w:p>
        </w:tc>
        <w:tc>
          <w:tcPr>
            <w:tcW w:w="840" w:type="dxa"/>
            <w:vAlign w:val="bottom"/>
          </w:tcPr>
          <w:p>
            <w:pPr>
              <w:spacing w:after="0"/>
              <w:rPr>
                <w:sz w:val="18"/>
                <w:szCs w:val="18"/>
                <w:color w:val="auto"/>
              </w:rPr>
            </w:pPr>
          </w:p>
        </w:tc>
        <w:tc>
          <w:tcPr>
            <w:tcW w:w="620" w:type="dxa"/>
            <w:vAlign w:val="bottom"/>
          </w:tcPr>
          <w:p>
            <w:pPr>
              <w:jc w:val="right"/>
              <w:ind w:right="61"/>
              <w:spacing w:after="0"/>
              <w:rPr>
                <w:sz w:val="20"/>
                <w:szCs w:val="20"/>
                <w:color w:val="auto"/>
              </w:rPr>
            </w:pPr>
            <w:r>
              <w:rPr>
                <w:rFonts w:ascii="Arial" w:cs="Arial" w:eastAsia="Arial" w:hAnsi="Arial"/>
                <w:sz w:val="16"/>
                <w:szCs w:val="16"/>
                <w:color w:val="auto"/>
              </w:rPr>
              <w:t>276</w:t>
            </w:r>
          </w:p>
        </w:tc>
        <w:tc>
          <w:tcPr>
            <w:tcW w:w="7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263</w:t>
            </w:r>
          </w:p>
        </w:tc>
        <w:tc>
          <w:tcPr>
            <w:tcW w:w="300" w:type="dxa"/>
            <w:vAlign w:val="bottom"/>
          </w:tcPr>
          <w:p>
            <w:pPr>
              <w:spacing w:after="0"/>
              <w:rPr>
                <w:sz w:val="18"/>
                <w:szCs w:val="18"/>
                <w:color w:val="auto"/>
              </w:rPr>
            </w:pPr>
          </w:p>
        </w:tc>
        <w:tc>
          <w:tcPr>
            <w:tcW w:w="1040" w:type="dxa"/>
            <w:vAlign w:val="bottom"/>
          </w:tcPr>
          <w:p>
            <w:pPr>
              <w:jc w:val="right"/>
              <w:ind w:right="61"/>
              <w:spacing w:after="0"/>
              <w:rPr>
                <w:sz w:val="20"/>
                <w:szCs w:val="20"/>
                <w:color w:val="auto"/>
              </w:rPr>
            </w:pPr>
            <w:r>
              <w:rPr>
                <w:rFonts w:ascii="Arial" w:cs="Arial" w:eastAsia="Arial" w:hAnsi="Arial"/>
                <w:sz w:val="16"/>
                <w:szCs w:val="16"/>
                <w:color w:val="auto"/>
              </w:rPr>
              <w:t>739</w:t>
            </w:r>
          </w:p>
        </w:tc>
        <w:tc>
          <w:tcPr>
            <w:tcW w:w="3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556</w:t>
            </w:r>
          </w:p>
        </w:tc>
      </w:tr>
      <w:tr>
        <w:trPr>
          <w:trHeight w:val="213"/>
        </w:trPr>
        <w:tc>
          <w:tcPr>
            <w:tcW w:w="6060" w:type="dxa"/>
            <w:vAlign w:val="bottom"/>
          </w:tcPr>
          <w:p>
            <w:pPr>
              <w:spacing w:after="0"/>
              <w:rPr>
                <w:sz w:val="20"/>
                <w:szCs w:val="20"/>
                <w:color w:val="auto"/>
              </w:rPr>
            </w:pPr>
            <w:r>
              <w:rPr>
                <w:rFonts w:ascii="Arial" w:cs="Arial" w:eastAsia="Arial" w:hAnsi="Arial"/>
                <w:sz w:val="16"/>
                <w:szCs w:val="16"/>
                <w:color w:val="auto"/>
              </w:rPr>
              <w:t>Other income, net</w:t>
            </w:r>
          </w:p>
        </w:tc>
        <w:tc>
          <w:tcPr>
            <w:tcW w:w="840" w:type="dxa"/>
            <w:vAlign w:val="bottom"/>
          </w:tcPr>
          <w:p>
            <w:pPr>
              <w:spacing w:after="0"/>
              <w:rPr>
                <w:sz w:val="18"/>
                <w:szCs w:val="18"/>
                <w:color w:val="auto"/>
              </w:rPr>
            </w:pPr>
          </w:p>
        </w:tc>
        <w:tc>
          <w:tcPr>
            <w:tcW w:w="620" w:type="dxa"/>
            <w:vAlign w:val="bottom"/>
          </w:tcPr>
          <w:p>
            <w:pPr>
              <w:jc w:val="right"/>
              <w:ind w:right="61"/>
              <w:spacing w:after="0"/>
              <w:rPr>
                <w:sz w:val="20"/>
                <w:szCs w:val="20"/>
                <w:color w:val="auto"/>
              </w:rPr>
            </w:pPr>
            <w:r>
              <w:rPr>
                <w:rFonts w:ascii="Arial" w:cs="Arial" w:eastAsia="Arial" w:hAnsi="Arial"/>
                <w:sz w:val="16"/>
                <w:szCs w:val="16"/>
                <w:color w:val="auto"/>
              </w:rPr>
              <w:t>9</w:t>
            </w:r>
          </w:p>
        </w:tc>
        <w:tc>
          <w:tcPr>
            <w:tcW w:w="7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10</w:t>
            </w:r>
          </w:p>
        </w:tc>
        <w:tc>
          <w:tcPr>
            <w:tcW w:w="300" w:type="dxa"/>
            <w:vAlign w:val="bottom"/>
          </w:tcPr>
          <w:p>
            <w:pPr>
              <w:spacing w:after="0"/>
              <w:rPr>
                <w:sz w:val="18"/>
                <w:szCs w:val="18"/>
                <w:color w:val="auto"/>
              </w:rPr>
            </w:pPr>
          </w:p>
        </w:tc>
        <w:tc>
          <w:tcPr>
            <w:tcW w:w="1040" w:type="dxa"/>
            <w:vAlign w:val="bottom"/>
          </w:tcPr>
          <w:p>
            <w:pPr>
              <w:jc w:val="right"/>
              <w:ind w:right="61"/>
              <w:spacing w:after="0"/>
              <w:rPr>
                <w:sz w:val="20"/>
                <w:szCs w:val="20"/>
                <w:color w:val="auto"/>
              </w:rPr>
            </w:pPr>
            <w:r>
              <w:rPr>
                <w:rFonts w:ascii="Arial" w:cs="Arial" w:eastAsia="Arial" w:hAnsi="Arial"/>
                <w:sz w:val="16"/>
                <w:szCs w:val="16"/>
                <w:color w:val="auto"/>
              </w:rPr>
              <w:t>29</w:t>
            </w:r>
          </w:p>
        </w:tc>
        <w:tc>
          <w:tcPr>
            <w:tcW w:w="3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30</w:t>
            </w:r>
          </w:p>
        </w:tc>
      </w:tr>
      <w:tr>
        <w:trPr>
          <w:trHeight w:val="213"/>
        </w:trPr>
        <w:tc>
          <w:tcPr>
            <w:tcW w:w="6060" w:type="dxa"/>
            <w:vAlign w:val="bottom"/>
          </w:tcPr>
          <w:p>
            <w:pPr>
              <w:spacing w:after="0"/>
              <w:rPr>
                <w:sz w:val="20"/>
                <w:szCs w:val="20"/>
                <w:color w:val="auto"/>
              </w:rPr>
            </w:pPr>
            <w:r>
              <w:rPr>
                <w:rFonts w:ascii="Arial" w:cs="Arial" w:eastAsia="Arial" w:hAnsi="Arial"/>
                <w:sz w:val="16"/>
                <w:szCs w:val="16"/>
                <w:color w:val="auto"/>
              </w:rPr>
              <w:t>Interest income</w:t>
            </w:r>
          </w:p>
        </w:tc>
        <w:tc>
          <w:tcPr>
            <w:tcW w:w="840" w:type="dxa"/>
            <w:vAlign w:val="bottom"/>
          </w:tcPr>
          <w:p>
            <w:pPr>
              <w:spacing w:after="0"/>
              <w:rPr>
                <w:sz w:val="18"/>
                <w:szCs w:val="18"/>
                <w:color w:val="auto"/>
              </w:rPr>
            </w:pPr>
          </w:p>
        </w:tc>
        <w:tc>
          <w:tcPr>
            <w:tcW w:w="62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1</w:t>
            </w:r>
          </w:p>
        </w:tc>
      </w:tr>
      <w:tr>
        <w:trPr>
          <w:trHeight w:val="204"/>
        </w:trPr>
        <w:tc>
          <w:tcPr>
            <w:tcW w:w="6060" w:type="dxa"/>
            <w:vAlign w:val="bottom"/>
          </w:tcPr>
          <w:p>
            <w:pPr>
              <w:spacing w:after="0"/>
              <w:rPr>
                <w:sz w:val="20"/>
                <w:szCs w:val="20"/>
                <w:color w:val="auto"/>
              </w:rPr>
            </w:pPr>
            <w:r>
              <w:rPr>
                <w:rFonts w:ascii="Arial" w:cs="Arial" w:eastAsia="Arial" w:hAnsi="Arial"/>
                <w:sz w:val="16"/>
                <w:szCs w:val="16"/>
                <w:color w:val="auto"/>
              </w:rPr>
              <w:t>Interest expense</w:t>
            </w:r>
          </w:p>
        </w:tc>
        <w:tc>
          <w:tcPr>
            <w:tcW w:w="8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(51)</w:t>
            </w:r>
          </w:p>
        </w:tc>
        <w:tc>
          <w:tcPr>
            <w:tcW w:w="7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(50)</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(152)</w:t>
            </w: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w:t>
            </w:r>
          </w:p>
        </w:tc>
        <w:tc>
          <w:tcPr>
            <w:tcW w:w="20" w:type="dxa"/>
            <w:vAlign w:val="bottom"/>
          </w:tcPr>
          <w:p>
            <w:pPr>
              <w:spacing w:after="0"/>
              <w:rPr>
                <w:sz w:val="17"/>
                <w:szCs w:val="17"/>
                <w:color w:val="auto"/>
              </w:rPr>
            </w:pPr>
          </w:p>
        </w:tc>
      </w:tr>
      <w:tr>
        <w:trPr>
          <w:trHeight w:val="214"/>
        </w:trPr>
        <w:tc>
          <w:tcPr>
            <w:tcW w:w="606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840" w:type="dxa"/>
            <w:vAlign w:val="bottom"/>
          </w:tcPr>
          <w:p>
            <w:pPr>
              <w:spacing w:after="0"/>
              <w:rPr>
                <w:sz w:val="18"/>
                <w:szCs w:val="18"/>
                <w:color w:val="auto"/>
              </w:rPr>
            </w:pPr>
          </w:p>
        </w:tc>
        <w:tc>
          <w:tcPr>
            <w:tcW w:w="620" w:type="dxa"/>
            <w:vAlign w:val="bottom"/>
          </w:tcPr>
          <w:p>
            <w:pPr>
              <w:jc w:val="right"/>
              <w:ind w:right="61"/>
              <w:spacing w:after="0"/>
              <w:rPr>
                <w:sz w:val="20"/>
                <w:szCs w:val="20"/>
                <w:color w:val="auto"/>
              </w:rPr>
            </w:pPr>
            <w:r>
              <w:rPr>
                <w:rFonts w:ascii="Arial" w:cs="Arial" w:eastAsia="Arial" w:hAnsi="Arial"/>
                <w:sz w:val="16"/>
                <w:szCs w:val="16"/>
                <w:color w:val="auto"/>
              </w:rPr>
              <w:t>234</w:t>
            </w:r>
          </w:p>
        </w:tc>
        <w:tc>
          <w:tcPr>
            <w:tcW w:w="7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223</w:t>
            </w:r>
          </w:p>
        </w:tc>
        <w:tc>
          <w:tcPr>
            <w:tcW w:w="300" w:type="dxa"/>
            <w:vAlign w:val="bottom"/>
          </w:tcPr>
          <w:p>
            <w:pPr>
              <w:spacing w:after="0"/>
              <w:rPr>
                <w:sz w:val="18"/>
                <w:szCs w:val="18"/>
                <w:color w:val="auto"/>
              </w:rPr>
            </w:pPr>
          </w:p>
        </w:tc>
        <w:tc>
          <w:tcPr>
            <w:tcW w:w="1040" w:type="dxa"/>
            <w:vAlign w:val="bottom"/>
          </w:tcPr>
          <w:p>
            <w:pPr>
              <w:jc w:val="right"/>
              <w:ind w:right="61"/>
              <w:spacing w:after="0"/>
              <w:rPr>
                <w:sz w:val="20"/>
                <w:szCs w:val="20"/>
                <w:color w:val="auto"/>
              </w:rPr>
            </w:pPr>
            <w:r>
              <w:rPr>
                <w:rFonts w:ascii="Arial" w:cs="Arial" w:eastAsia="Arial" w:hAnsi="Arial"/>
                <w:sz w:val="16"/>
                <w:szCs w:val="16"/>
                <w:color w:val="auto"/>
              </w:rPr>
              <w:t>616</w:t>
            </w:r>
          </w:p>
        </w:tc>
        <w:tc>
          <w:tcPr>
            <w:tcW w:w="3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440</w:t>
            </w:r>
          </w:p>
        </w:tc>
      </w:tr>
      <w:tr>
        <w:trPr>
          <w:trHeight w:val="204"/>
        </w:trPr>
        <w:tc>
          <w:tcPr>
            <w:tcW w:w="6060" w:type="dxa"/>
            <w:vAlign w:val="bottom"/>
          </w:tcPr>
          <w:p>
            <w:pPr>
              <w:spacing w:after="0"/>
              <w:rPr>
                <w:sz w:val="20"/>
                <w:szCs w:val="20"/>
                <w:color w:val="auto"/>
              </w:rPr>
            </w:pPr>
            <w:r>
              <w:rPr>
                <w:rFonts w:ascii="Arial" w:cs="Arial" w:eastAsia="Arial" w:hAnsi="Arial"/>
                <w:sz w:val="16"/>
                <w:szCs w:val="16"/>
                <w:color w:val="auto"/>
              </w:rPr>
              <w:t>Income tax expense</w:t>
            </w:r>
          </w:p>
        </w:tc>
        <w:tc>
          <w:tcPr>
            <w:tcW w:w="8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(65)</w:t>
            </w:r>
          </w:p>
        </w:tc>
        <w:tc>
          <w:tcPr>
            <w:tcW w:w="7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(84)</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(217)</w:t>
            </w: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w:t>
            </w:r>
          </w:p>
        </w:tc>
        <w:tc>
          <w:tcPr>
            <w:tcW w:w="20" w:type="dxa"/>
            <w:vAlign w:val="bottom"/>
          </w:tcPr>
          <w:p>
            <w:pPr>
              <w:spacing w:after="0"/>
              <w:rPr>
                <w:sz w:val="17"/>
                <w:szCs w:val="17"/>
                <w:color w:val="auto"/>
              </w:rPr>
            </w:pPr>
          </w:p>
        </w:tc>
      </w:tr>
      <w:tr>
        <w:trPr>
          <w:trHeight w:val="214"/>
        </w:trPr>
        <w:tc>
          <w:tcPr>
            <w:tcW w:w="6060" w:type="dxa"/>
            <w:vAlign w:val="bottom"/>
          </w:tcPr>
          <w:p>
            <w:pPr>
              <w:spacing w:after="0"/>
              <w:rPr>
                <w:sz w:val="20"/>
                <w:szCs w:val="20"/>
                <w:color w:val="auto"/>
              </w:rPr>
            </w:pPr>
            <w:r>
              <w:rPr>
                <w:rFonts w:ascii="Arial" w:cs="Arial" w:eastAsia="Arial" w:hAnsi="Arial"/>
                <w:sz w:val="16"/>
                <w:szCs w:val="16"/>
                <w:color w:val="auto"/>
              </w:rPr>
              <w:t>Net income</w:t>
            </w:r>
          </w:p>
        </w:tc>
        <w:tc>
          <w:tcPr>
            <w:tcW w:w="840" w:type="dxa"/>
            <w:vAlign w:val="bottom"/>
          </w:tcPr>
          <w:p>
            <w:pPr>
              <w:spacing w:after="0"/>
              <w:rPr>
                <w:sz w:val="18"/>
                <w:szCs w:val="18"/>
                <w:color w:val="auto"/>
              </w:rPr>
            </w:pPr>
          </w:p>
        </w:tc>
        <w:tc>
          <w:tcPr>
            <w:tcW w:w="620" w:type="dxa"/>
            <w:vAlign w:val="bottom"/>
          </w:tcPr>
          <w:p>
            <w:pPr>
              <w:jc w:val="right"/>
              <w:ind w:right="61"/>
              <w:spacing w:after="0"/>
              <w:rPr>
                <w:sz w:val="20"/>
                <w:szCs w:val="20"/>
                <w:color w:val="auto"/>
              </w:rPr>
            </w:pPr>
            <w:r>
              <w:rPr>
                <w:rFonts w:ascii="Arial" w:cs="Arial" w:eastAsia="Arial" w:hAnsi="Arial"/>
                <w:sz w:val="16"/>
                <w:szCs w:val="16"/>
                <w:color w:val="auto"/>
              </w:rPr>
              <w:t>169</w:t>
            </w:r>
          </w:p>
        </w:tc>
        <w:tc>
          <w:tcPr>
            <w:tcW w:w="7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139</w:t>
            </w:r>
          </w:p>
        </w:tc>
        <w:tc>
          <w:tcPr>
            <w:tcW w:w="300" w:type="dxa"/>
            <w:vAlign w:val="bottom"/>
          </w:tcPr>
          <w:p>
            <w:pPr>
              <w:spacing w:after="0"/>
              <w:rPr>
                <w:sz w:val="18"/>
                <w:szCs w:val="18"/>
                <w:color w:val="auto"/>
              </w:rPr>
            </w:pPr>
          </w:p>
        </w:tc>
        <w:tc>
          <w:tcPr>
            <w:tcW w:w="1040" w:type="dxa"/>
            <w:vAlign w:val="bottom"/>
          </w:tcPr>
          <w:p>
            <w:pPr>
              <w:jc w:val="right"/>
              <w:ind w:right="61"/>
              <w:spacing w:after="0"/>
              <w:rPr>
                <w:sz w:val="20"/>
                <w:szCs w:val="20"/>
                <w:color w:val="auto"/>
              </w:rPr>
            </w:pPr>
            <w:r>
              <w:rPr>
                <w:rFonts w:ascii="Arial" w:cs="Arial" w:eastAsia="Arial" w:hAnsi="Arial"/>
                <w:sz w:val="16"/>
                <w:szCs w:val="16"/>
                <w:color w:val="auto"/>
              </w:rPr>
              <w:t>399</w:t>
            </w:r>
          </w:p>
        </w:tc>
        <w:tc>
          <w:tcPr>
            <w:tcW w:w="3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293</w:t>
            </w:r>
          </w:p>
        </w:tc>
      </w:tr>
      <w:tr>
        <w:trPr>
          <w:trHeight w:val="204"/>
        </w:trPr>
        <w:tc>
          <w:tcPr>
            <w:tcW w:w="6060" w:type="dxa"/>
            <w:vAlign w:val="bottom"/>
          </w:tcPr>
          <w:p>
            <w:pPr>
              <w:spacing w:after="0"/>
              <w:rPr>
                <w:sz w:val="20"/>
                <w:szCs w:val="20"/>
                <w:color w:val="auto"/>
              </w:rPr>
            </w:pPr>
            <w:r>
              <w:rPr>
                <w:rFonts w:ascii="Arial" w:cs="Arial" w:eastAsia="Arial" w:hAnsi="Arial"/>
                <w:sz w:val="16"/>
                <w:szCs w:val="16"/>
                <w:color w:val="auto"/>
              </w:rPr>
              <w:t>Earnings attributable to noncontrolling interest</w:t>
            </w:r>
          </w:p>
        </w:tc>
        <w:tc>
          <w:tcPr>
            <w:tcW w:w="8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(12)</w:t>
            </w:r>
          </w:p>
        </w:tc>
        <w:tc>
          <w:tcPr>
            <w:tcW w:w="7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(5)</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(20)</w:t>
            </w: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7"/>
                <w:szCs w:val="17"/>
                <w:color w:val="auto"/>
              </w:rPr>
            </w:pPr>
          </w:p>
        </w:tc>
      </w:tr>
      <w:tr>
        <w:trPr>
          <w:trHeight w:val="214"/>
        </w:trPr>
        <w:tc>
          <w:tcPr>
            <w:tcW w:w="6060" w:type="dxa"/>
            <w:vAlign w:val="bottom"/>
          </w:tcPr>
          <w:p>
            <w:pPr>
              <w:spacing w:after="0"/>
              <w:rPr>
                <w:sz w:val="20"/>
                <w:szCs w:val="20"/>
                <w:color w:val="auto"/>
              </w:rPr>
            </w:pPr>
            <w:r>
              <w:rPr>
                <w:rFonts w:ascii="Arial" w:cs="Arial" w:eastAsia="Arial" w:hAnsi="Arial"/>
                <w:sz w:val="16"/>
                <w:szCs w:val="16"/>
                <w:color w:val="auto"/>
              </w:rPr>
              <w:t>Earnings</w:t>
            </w:r>
          </w:p>
        </w:tc>
        <w:tc>
          <w:tcPr>
            <w:tcW w:w="840" w:type="dxa"/>
            <w:vAlign w:val="bottom"/>
          </w:tcPr>
          <w:p>
            <w:pPr>
              <w:spacing w:after="0"/>
              <w:rPr>
                <w:sz w:val="18"/>
                <w:szCs w:val="18"/>
                <w:color w:val="auto"/>
              </w:rPr>
            </w:pPr>
          </w:p>
        </w:tc>
        <w:tc>
          <w:tcPr>
            <w:tcW w:w="620" w:type="dxa"/>
            <w:vAlign w:val="bottom"/>
          </w:tcPr>
          <w:p>
            <w:pPr>
              <w:jc w:val="right"/>
              <w:ind w:right="61"/>
              <w:spacing w:after="0"/>
              <w:rPr>
                <w:sz w:val="20"/>
                <w:szCs w:val="20"/>
                <w:color w:val="auto"/>
              </w:rPr>
            </w:pPr>
            <w:r>
              <w:rPr>
                <w:rFonts w:ascii="Arial" w:cs="Arial" w:eastAsia="Arial" w:hAnsi="Arial"/>
                <w:sz w:val="16"/>
                <w:szCs w:val="16"/>
                <w:color w:val="auto"/>
              </w:rPr>
              <w:t>157</w:t>
            </w:r>
          </w:p>
        </w:tc>
        <w:tc>
          <w:tcPr>
            <w:tcW w:w="7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134</w:t>
            </w:r>
          </w:p>
        </w:tc>
        <w:tc>
          <w:tcPr>
            <w:tcW w:w="300" w:type="dxa"/>
            <w:vAlign w:val="bottom"/>
          </w:tcPr>
          <w:p>
            <w:pPr>
              <w:spacing w:after="0"/>
              <w:rPr>
                <w:sz w:val="18"/>
                <w:szCs w:val="18"/>
                <w:color w:val="auto"/>
              </w:rPr>
            </w:pPr>
          </w:p>
        </w:tc>
        <w:tc>
          <w:tcPr>
            <w:tcW w:w="1040" w:type="dxa"/>
            <w:vAlign w:val="bottom"/>
          </w:tcPr>
          <w:p>
            <w:pPr>
              <w:jc w:val="right"/>
              <w:ind w:right="61"/>
              <w:spacing w:after="0"/>
              <w:rPr>
                <w:sz w:val="20"/>
                <w:szCs w:val="20"/>
                <w:color w:val="auto"/>
              </w:rPr>
            </w:pPr>
            <w:r>
              <w:rPr>
                <w:rFonts w:ascii="Arial" w:cs="Arial" w:eastAsia="Arial" w:hAnsi="Arial"/>
                <w:sz w:val="16"/>
                <w:szCs w:val="16"/>
                <w:color w:val="auto"/>
              </w:rPr>
              <w:t>379</w:t>
            </w:r>
          </w:p>
        </w:tc>
        <w:tc>
          <w:tcPr>
            <w:tcW w:w="3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292</w:t>
            </w:r>
          </w:p>
        </w:tc>
      </w:tr>
      <w:tr>
        <w:trPr>
          <w:trHeight w:val="213"/>
        </w:trPr>
        <w:tc>
          <w:tcPr>
            <w:tcW w:w="6060" w:type="dxa"/>
            <w:vAlign w:val="bottom"/>
          </w:tcPr>
          <w:p>
            <w:pPr>
              <w:spacing w:after="0"/>
              <w:rPr>
                <w:sz w:val="20"/>
                <w:szCs w:val="20"/>
                <w:color w:val="auto"/>
              </w:rPr>
            </w:pPr>
            <w:r>
              <w:rPr>
                <w:rFonts w:ascii="Arial" w:cs="Arial" w:eastAsia="Arial" w:hAnsi="Arial"/>
                <w:sz w:val="16"/>
                <w:szCs w:val="16"/>
                <w:color w:val="auto"/>
              </w:rPr>
              <w:t>Call premium on preferred stock</w:t>
            </w:r>
          </w:p>
        </w:tc>
        <w:tc>
          <w:tcPr>
            <w:tcW w:w="840" w:type="dxa"/>
            <w:vAlign w:val="bottom"/>
          </w:tcPr>
          <w:p>
            <w:pPr>
              <w:spacing w:after="0"/>
              <w:rPr>
                <w:sz w:val="18"/>
                <w:szCs w:val="18"/>
                <w:color w:val="auto"/>
              </w:rPr>
            </w:pPr>
          </w:p>
        </w:tc>
        <w:tc>
          <w:tcPr>
            <w:tcW w:w="62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(3)</w:t>
            </w:r>
          </w:p>
        </w:tc>
        <w:tc>
          <w:tcPr>
            <w:tcW w:w="300" w:type="dxa"/>
            <w:vAlign w:val="bottom"/>
          </w:tcPr>
          <w:p>
            <w:pPr>
              <w:spacing w:after="0"/>
              <w:rPr>
                <w:sz w:val="18"/>
                <w:szCs w:val="18"/>
                <w:color w:val="auto"/>
              </w:rPr>
            </w:pPr>
          </w:p>
        </w:tc>
        <w:tc>
          <w:tcPr>
            <w:tcW w:w="104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8"/>
                <w:szCs w:val="18"/>
                <w:color w:val="auto"/>
              </w:rPr>
            </w:pPr>
          </w:p>
        </w:tc>
      </w:tr>
      <w:tr>
        <w:trPr>
          <w:trHeight w:val="204"/>
        </w:trPr>
        <w:tc>
          <w:tcPr>
            <w:tcW w:w="6060" w:type="dxa"/>
            <w:vAlign w:val="bottom"/>
          </w:tcPr>
          <w:p>
            <w:pPr>
              <w:spacing w:after="0"/>
              <w:rPr>
                <w:sz w:val="20"/>
                <w:szCs w:val="20"/>
                <w:color w:val="auto"/>
              </w:rPr>
            </w:pPr>
            <w:r>
              <w:rPr>
                <w:rFonts w:ascii="Arial" w:cs="Arial" w:eastAsia="Arial" w:hAnsi="Arial"/>
                <w:sz w:val="16"/>
                <w:szCs w:val="16"/>
                <w:color w:val="auto"/>
              </w:rPr>
              <w:t>Preferred dividend requirements</w:t>
            </w:r>
          </w:p>
        </w:tc>
        <w:tc>
          <w:tcPr>
            <w:tcW w:w="8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(2)</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17"/>
                <w:szCs w:val="17"/>
                <w:color w:val="auto"/>
              </w:rPr>
            </w:pPr>
          </w:p>
        </w:tc>
      </w:tr>
      <w:tr>
        <w:trPr>
          <w:trHeight w:val="173"/>
        </w:trPr>
        <w:tc>
          <w:tcPr>
            <w:tcW w:w="6060" w:type="dxa"/>
            <w:vAlign w:val="bottom"/>
            <w:tcBorders>
              <w:bottom w:val="single" w:sz="8" w:color="auto"/>
            </w:tcBorders>
          </w:tcPr>
          <w:p>
            <w:pPr>
              <w:spacing w:after="0" w:line="166" w:lineRule="exact"/>
              <w:rPr>
                <w:sz w:val="20"/>
                <w:szCs w:val="20"/>
                <w:color w:val="auto"/>
              </w:rPr>
            </w:pPr>
            <w:r>
              <w:rPr>
                <w:rFonts w:ascii="Arial" w:cs="Arial" w:eastAsia="Arial" w:hAnsi="Arial"/>
                <w:sz w:val="16"/>
                <w:szCs w:val="16"/>
                <w:color w:val="auto"/>
              </w:rPr>
              <w:t>Earnings attributable to common shares</w:t>
            </w:r>
          </w:p>
        </w:tc>
        <w:tc>
          <w:tcPr>
            <w:tcW w:w="840" w:type="dxa"/>
            <w:vAlign w:val="bottom"/>
            <w:tcBorders>
              <w:bottom w:val="single" w:sz="8" w:color="auto"/>
            </w:tcBorders>
          </w:tcPr>
          <w:p>
            <w:pPr>
              <w:jc w:val="right"/>
              <w:ind w:right="405"/>
              <w:spacing w:after="0" w:line="166" w:lineRule="exact"/>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61"/>
              <w:spacing w:after="0" w:line="166" w:lineRule="exact"/>
              <w:rPr>
                <w:sz w:val="20"/>
                <w:szCs w:val="20"/>
                <w:color w:val="auto"/>
              </w:rPr>
            </w:pPr>
            <w:r>
              <w:rPr>
                <w:rFonts w:ascii="Arial" w:cs="Arial" w:eastAsia="Arial" w:hAnsi="Arial"/>
                <w:sz w:val="16"/>
                <w:szCs w:val="16"/>
                <w:color w:val="auto"/>
              </w:rPr>
              <w:t>157</w:t>
            </w:r>
          </w:p>
        </w:tc>
        <w:tc>
          <w:tcPr>
            <w:tcW w:w="740" w:type="dxa"/>
            <w:vAlign w:val="bottom"/>
            <w:tcBorders>
              <w:bottom w:val="single" w:sz="8" w:color="auto"/>
            </w:tcBorders>
          </w:tcPr>
          <w:p>
            <w:pPr>
              <w:jc w:val="right"/>
              <w:ind w:right="443"/>
              <w:spacing w:after="0" w:line="166" w:lineRule="exact"/>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gridSpan w:val="2"/>
          </w:tcPr>
          <w:p>
            <w:pPr>
              <w:jc w:val="right"/>
              <w:ind w:right="140"/>
              <w:spacing w:after="0" w:line="166" w:lineRule="exact"/>
              <w:rPr>
                <w:sz w:val="20"/>
                <w:szCs w:val="20"/>
                <w:color w:val="auto"/>
              </w:rPr>
            </w:pPr>
            <w:r>
              <w:rPr>
                <w:rFonts w:ascii="Arial" w:cs="Arial" w:eastAsia="Arial" w:hAnsi="Arial"/>
                <w:sz w:val="16"/>
                <w:szCs w:val="16"/>
                <w:color w:val="auto"/>
              </w:rPr>
              <w:t>129</w:t>
            </w:r>
          </w:p>
        </w:tc>
        <w:tc>
          <w:tcPr>
            <w:tcW w:w="30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61"/>
              <w:spacing w:after="0" w:line="166" w:lineRule="exact"/>
              <w:rPr>
                <w:sz w:val="20"/>
                <w:szCs w:val="20"/>
                <w:color w:val="auto"/>
              </w:rPr>
            </w:pPr>
            <w:r>
              <w:rPr>
                <w:rFonts w:ascii="Arial" w:cs="Arial" w:eastAsia="Arial" w:hAnsi="Arial"/>
                <w:sz w:val="16"/>
                <w:szCs w:val="16"/>
                <w:color w:val="auto"/>
              </w:rPr>
              <w:t>379</w:t>
            </w:r>
          </w:p>
        </w:tc>
        <w:tc>
          <w:tcPr>
            <w:tcW w:w="380" w:type="dxa"/>
            <w:vAlign w:val="bottom"/>
            <w:tcBorders>
              <w:bottom w:val="single" w:sz="8" w:color="auto"/>
            </w:tcBorders>
          </w:tcPr>
          <w:p>
            <w:pPr>
              <w:jc w:val="right"/>
              <w:ind w:right="80"/>
              <w:spacing w:after="0" w:line="166"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285</w:t>
            </w:r>
          </w:p>
        </w:tc>
        <w:tc>
          <w:tcPr>
            <w:tcW w:w="20" w:type="dxa"/>
            <w:vAlign w:val="bottom"/>
            <w:tcBorders>
              <w:bottom w:val="single" w:sz="8" w:color="auto"/>
            </w:tcBorders>
          </w:tcPr>
          <w:p>
            <w:pPr>
              <w:spacing w:after="0"/>
              <w:rPr>
                <w:sz w:val="15"/>
                <w:szCs w:val="15"/>
                <w:color w:val="auto"/>
              </w:rPr>
            </w:pPr>
          </w:p>
        </w:tc>
      </w:tr>
    </w:tbl>
    <w:p>
      <w:pPr>
        <w:spacing w:after="0" w:line="4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SAN DIEGO GAS &amp; ELECTRIC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-104775</wp:posOffset>
            </wp:positionV>
            <wp:extent cx="7248525" cy="3289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8525" cy="32893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STATEMENTS OF COMPREHENSIVE INCOME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38" w:lineRule="exact"/>
        <w:rPr>
          <w:sz w:val="20"/>
          <w:szCs w:val="20"/>
          <w:color w:val="auto"/>
        </w:rPr>
      </w:pPr>
    </w:p>
    <w:p>
      <w:pPr>
        <w:ind w:left="5340"/>
        <w:spacing w:after="0"/>
        <w:rPr>
          <w:sz w:val="20"/>
          <w:szCs w:val="20"/>
          <w:color w:val="auto"/>
        </w:rPr>
      </w:pPr>
      <w:r>
        <w:rPr>
          <w:rFonts w:ascii="Arial" w:cs="Arial" w:eastAsia="Arial" w:hAnsi="Arial"/>
          <w:sz w:val="14"/>
          <w:szCs w:val="14"/>
          <w:color w:val="auto"/>
        </w:rPr>
        <w:t>SDG&amp;E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2661920</wp:posOffset>
            </wp:positionH>
            <wp:positionV relativeFrom="paragraph">
              <wp:posOffset>-3175</wp:posOffset>
            </wp:positionV>
            <wp:extent cx="26244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24455" cy="8255"/>
                    </a:xfrm>
                    <a:prstGeom prst="rect">
                      <a:avLst/>
                    </a:prstGeom>
                    <a:noFill/>
                  </pic:spPr>
                </pic:pic>
              </a:graphicData>
            </a:graphic>
          </wp:anchor>
        </w:drawing>
      </w:r>
    </w:p>
    <w:p>
      <w:pPr>
        <w:sectPr>
          <w:pgSz w:w="11900" w:h="16891" w:orient="portrait"/>
          <w:cols w:equalWidth="0" w:num="1">
            <w:col w:w="11420"/>
          </w:cols>
          <w:pgMar w:left="240" w:top="381" w:right="239" w:bottom="0" w:gutter="0" w:footer="0" w:header="0"/>
        </w:sectPr>
      </w:pPr>
    </w:p>
    <w:bookmarkStart w:id="7" w:name="page8"/>
    <w:bookmarkEnd w:id="7"/>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880" w:type="dxa"/>
            <w:vAlign w:val="bottom"/>
          </w:tcPr>
          <w:p>
            <w:pPr>
              <w:ind w:left="400"/>
              <w:spacing w:after="0"/>
              <w:rPr>
                <w:sz w:val="20"/>
                <w:szCs w:val="20"/>
                <w:color w:val="auto"/>
              </w:rPr>
            </w:pPr>
            <w:r>
              <w:rPr>
                <w:rFonts w:ascii="Arial" w:cs="Arial" w:eastAsia="Arial" w:hAnsi="Arial"/>
                <w:sz w:val="14"/>
                <w:szCs w:val="14"/>
                <w:color w:val="auto"/>
              </w:rPr>
              <w:t>Pretax</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jc w:val="right"/>
              <w:ind w:right="541"/>
              <w:spacing w:after="0"/>
              <w:rPr>
                <w:sz w:val="20"/>
                <w:szCs w:val="20"/>
                <w:color w:val="auto"/>
              </w:rPr>
            </w:pPr>
            <w:r>
              <w:rPr>
                <w:rFonts w:ascii="Arial" w:cs="Arial" w:eastAsia="Arial" w:hAnsi="Arial"/>
                <w:sz w:val="14"/>
                <w:szCs w:val="14"/>
                <w:color w:val="auto"/>
                <w:w w:val="98"/>
              </w:rPr>
              <w:t>Income Tax</w:t>
            </w:r>
          </w:p>
        </w:tc>
        <w:tc>
          <w:tcPr>
            <w:tcW w:w="1220" w:type="dxa"/>
            <w:vAlign w:val="bottom"/>
            <w:gridSpan w:val="2"/>
          </w:tcPr>
          <w:p>
            <w:pPr>
              <w:jc w:val="right"/>
              <w:ind w:right="340"/>
              <w:spacing w:after="0"/>
              <w:rPr>
                <w:sz w:val="20"/>
                <w:szCs w:val="20"/>
                <w:color w:val="auto"/>
              </w:rPr>
            </w:pPr>
            <w:r>
              <w:rPr>
                <w:rFonts w:ascii="Arial" w:cs="Arial" w:eastAsia="Arial" w:hAnsi="Arial"/>
                <w:sz w:val="14"/>
                <w:szCs w:val="14"/>
                <w:color w:val="auto"/>
              </w:rPr>
              <w:t>Net-of-Tax</w:t>
            </w:r>
          </w:p>
        </w:tc>
        <w:tc>
          <w:tcPr>
            <w:tcW w:w="1240" w:type="dxa"/>
            <w:vAlign w:val="bottom"/>
          </w:tcPr>
          <w:p>
            <w:pPr>
              <w:ind w:left="280"/>
              <w:spacing w:after="0"/>
              <w:rPr>
                <w:sz w:val="20"/>
                <w:szCs w:val="20"/>
                <w:color w:val="auto"/>
              </w:rPr>
            </w:pPr>
            <w:r>
              <w:rPr>
                <w:rFonts w:ascii="Arial" w:cs="Arial" w:eastAsia="Arial" w:hAnsi="Arial"/>
                <w:sz w:val="14"/>
                <w:szCs w:val="14"/>
                <w:color w:val="auto"/>
              </w:rPr>
              <w:t>Noncontrolling</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200" w:type="dxa"/>
            <w:vAlign w:val="bottom"/>
          </w:tcPr>
          <w:p>
            <w:pPr>
              <w:spacing w:after="0"/>
              <w:rPr>
                <w:sz w:val="20"/>
                <w:szCs w:val="20"/>
                <w:color w:val="auto"/>
              </w:rPr>
            </w:pPr>
          </w:p>
        </w:tc>
        <w:tc>
          <w:tcPr>
            <w:tcW w:w="880" w:type="dxa"/>
            <w:vAlign w:val="bottom"/>
          </w:tcPr>
          <w:p>
            <w:pPr>
              <w:ind w:left="360"/>
              <w:spacing w:after="0"/>
              <w:rPr>
                <w:sz w:val="20"/>
                <w:szCs w:val="20"/>
                <w:color w:val="auto"/>
              </w:rPr>
            </w:pPr>
            <w:r>
              <w:rPr>
                <w:rFonts w:ascii="Arial" w:cs="Arial" w:eastAsia="Arial" w:hAnsi="Arial"/>
                <w:sz w:val="14"/>
                <w:szCs w:val="14"/>
                <w:color w:val="auto"/>
              </w:rPr>
              <w:t>Amount</w:t>
            </w:r>
          </w:p>
        </w:tc>
        <w:tc>
          <w:tcPr>
            <w:tcW w:w="460" w:type="dxa"/>
            <w:vAlign w:val="bottom"/>
          </w:tcPr>
          <w:p>
            <w:pPr>
              <w:spacing w:after="0"/>
              <w:rPr>
                <w:sz w:val="20"/>
                <w:szCs w:val="20"/>
                <w:color w:val="auto"/>
              </w:rPr>
            </w:pPr>
          </w:p>
        </w:tc>
        <w:tc>
          <w:tcPr>
            <w:tcW w:w="1700" w:type="dxa"/>
            <w:vAlign w:val="bottom"/>
            <w:gridSpan w:val="2"/>
          </w:tcPr>
          <w:p>
            <w:pPr>
              <w:jc w:val="right"/>
              <w:ind w:right="341"/>
              <w:spacing w:after="0"/>
              <w:rPr>
                <w:sz w:val="20"/>
                <w:szCs w:val="20"/>
                <w:color w:val="auto"/>
              </w:rPr>
            </w:pPr>
            <w:r>
              <w:rPr>
                <w:rFonts w:ascii="Arial" w:cs="Arial" w:eastAsia="Arial" w:hAnsi="Arial"/>
                <w:sz w:val="14"/>
                <w:szCs w:val="14"/>
                <w:color w:val="auto"/>
              </w:rPr>
              <w:t>(Expense) Benefit</w:t>
            </w:r>
          </w:p>
        </w:tc>
        <w:tc>
          <w:tcPr>
            <w:tcW w:w="760" w:type="dxa"/>
            <w:vAlign w:val="bottom"/>
          </w:tcPr>
          <w:p>
            <w:pPr>
              <w:jc w:val="right"/>
              <w:spacing w:after="0"/>
              <w:rPr>
                <w:sz w:val="20"/>
                <w:szCs w:val="20"/>
                <w:color w:val="auto"/>
              </w:rPr>
            </w:pPr>
            <w:r>
              <w:rPr>
                <w:rFonts w:ascii="Arial" w:cs="Arial" w:eastAsia="Arial" w:hAnsi="Arial"/>
                <w:sz w:val="14"/>
                <w:szCs w:val="14"/>
                <w:color w:val="auto"/>
              </w:rPr>
              <w:t>Amount</w:t>
            </w:r>
          </w:p>
        </w:tc>
        <w:tc>
          <w:tcPr>
            <w:tcW w:w="460" w:type="dxa"/>
            <w:vAlign w:val="bottom"/>
          </w:tcPr>
          <w:p>
            <w:pPr>
              <w:spacing w:after="0"/>
              <w:rPr>
                <w:sz w:val="20"/>
                <w:szCs w:val="20"/>
                <w:color w:val="auto"/>
              </w:rPr>
            </w:pPr>
          </w:p>
        </w:tc>
        <w:tc>
          <w:tcPr>
            <w:tcW w:w="1800" w:type="dxa"/>
            <w:vAlign w:val="bottom"/>
            <w:gridSpan w:val="2"/>
          </w:tcPr>
          <w:p>
            <w:pPr>
              <w:jc w:val="right"/>
              <w:ind w:right="400"/>
              <w:spacing w:after="0"/>
              <w:rPr>
                <w:sz w:val="20"/>
                <w:szCs w:val="20"/>
                <w:color w:val="auto"/>
              </w:rPr>
            </w:pPr>
            <w:r>
              <w:rPr>
                <w:rFonts w:ascii="Arial" w:cs="Arial" w:eastAsia="Arial" w:hAnsi="Arial"/>
                <w:sz w:val="14"/>
                <w:szCs w:val="14"/>
                <w:color w:val="auto"/>
              </w:rPr>
              <w:t>Interest (After-Tax)</w:t>
            </w:r>
          </w:p>
        </w:tc>
        <w:tc>
          <w:tcPr>
            <w:tcW w:w="300" w:type="dxa"/>
            <w:vAlign w:val="bottom"/>
          </w:tcPr>
          <w:p>
            <w:pPr>
              <w:spacing w:after="0"/>
              <w:rPr>
                <w:sz w:val="20"/>
                <w:szCs w:val="20"/>
                <w:color w:val="auto"/>
              </w:rPr>
            </w:pPr>
          </w:p>
        </w:tc>
        <w:tc>
          <w:tcPr>
            <w:tcW w:w="880" w:type="dxa"/>
            <w:vAlign w:val="bottom"/>
            <w:gridSpan w:val="2"/>
          </w:tcPr>
          <w:p>
            <w:pPr>
              <w:jc w:val="right"/>
              <w:ind w:right="560"/>
              <w:spacing w:after="0"/>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93"/>
        </w:trPr>
        <w:tc>
          <w:tcPr>
            <w:tcW w:w="4200" w:type="dxa"/>
            <w:vAlign w:val="bottom"/>
          </w:tcPr>
          <w:p>
            <w:pPr>
              <w:spacing w:after="0"/>
              <w:rPr>
                <w:sz w:val="16"/>
                <w:szCs w:val="16"/>
                <w:color w:val="auto"/>
              </w:rPr>
            </w:pPr>
          </w:p>
        </w:tc>
        <w:tc>
          <w:tcPr>
            <w:tcW w:w="880" w:type="dxa"/>
            <w:vAlign w:val="bottom"/>
            <w:tcBorders>
              <w:top w:val="single" w:sz="8" w:color="auto"/>
              <w:bottom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3820" w:type="dxa"/>
            <w:vAlign w:val="bottom"/>
            <w:tcBorders>
              <w:top w:val="single" w:sz="8" w:color="auto"/>
              <w:bottom w:val="single" w:sz="8" w:color="auto"/>
            </w:tcBorders>
            <w:gridSpan w:val="4"/>
          </w:tcPr>
          <w:p>
            <w:pPr>
              <w:jc w:val="center"/>
              <w:spacing w:after="0"/>
              <w:rPr>
                <w:sz w:val="20"/>
                <w:szCs w:val="20"/>
                <w:color w:val="auto"/>
              </w:rPr>
            </w:pPr>
            <w:r>
              <w:rPr>
                <w:rFonts w:ascii="Arial" w:cs="Arial" w:eastAsia="Arial" w:hAnsi="Arial"/>
                <w:sz w:val="14"/>
                <w:szCs w:val="14"/>
                <w:color w:val="auto"/>
              </w:rPr>
              <w:t>Three months ended September 30, 2014 and 2013</w:t>
            </w:r>
          </w:p>
        </w:tc>
        <w:tc>
          <w:tcPr>
            <w:tcW w:w="56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color w:val="auto"/>
              </w:rPr>
              <w:t>(unaudited)</w:t>
            </w:r>
          </w:p>
        </w:tc>
        <w:tc>
          <w:tcPr>
            <w:tcW w:w="12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200" w:type="dxa"/>
            <w:vAlign w:val="bottom"/>
          </w:tcPr>
          <w:p>
            <w:pPr>
              <w:spacing w:after="0"/>
              <w:rPr>
                <w:sz w:val="20"/>
                <w:szCs w:val="20"/>
                <w:color w:val="auto"/>
              </w:rPr>
            </w:pPr>
            <w:r>
              <w:rPr>
                <w:rFonts w:ascii="Arial" w:cs="Arial" w:eastAsia="Arial" w:hAnsi="Arial"/>
                <w:sz w:val="16"/>
                <w:szCs w:val="16"/>
                <w:b w:val="1"/>
                <w:bCs w:val="1"/>
                <w:color w:val="auto"/>
              </w:rPr>
              <w:t>2014:</w:t>
            </w:r>
          </w:p>
        </w:tc>
        <w:tc>
          <w:tcPr>
            <w:tcW w:w="8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200" w:type="dxa"/>
            <w:vAlign w:val="bottom"/>
          </w:tcPr>
          <w:p>
            <w:pPr>
              <w:spacing w:after="0"/>
              <w:rPr>
                <w:sz w:val="20"/>
                <w:szCs w:val="20"/>
                <w:color w:val="auto"/>
              </w:rPr>
            </w:pPr>
            <w:r>
              <w:rPr>
                <w:rFonts w:ascii="Arial" w:cs="Arial" w:eastAsia="Arial" w:hAnsi="Arial"/>
                <w:sz w:val="16"/>
                <w:szCs w:val="16"/>
                <w:color w:val="auto"/>
              </w:rPr>
              <w:t>Net income</w:t>
            </w:r>
          </w:p>
        </w:tc>
        <w:tc>
          <w:tcPr>
            <w:tcW w:w="880" w:type="dxa"/>
            <w:vAlign w:val="bottom"/>
          </w:tcPr>
          <w:p>
            <w:pPr>
              <w:ind w:left="380"/>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60"/>
              <w:spacing w:after="0"/>
              <w:rPr>
                <w:sz w:val="20"/>
                <w:szCs w:val="20"/>
                <w:color w:val="auto"/>
              </w:rPr>
            </w:pPr>
            <w:r>
              <w:rPr>
                <w:rFonts w:ascii="Arial" w:cs="Arial" w:eastAsia="Arial" w:hAnsi="Arial"/>
                <w:sz w:val="16"/>
                <w:szCs w:val="16"/>
                <w:color w:val="auto"/>
              </w:rPr>
              <w:t>222</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61"/>
              <w:spacing w:after="0"/>
              <w:rPr>
                <w:sz w:val="20"/>
                <w:szCs w:val="20"/>
                <w:color w:val="auto"/>
              </w:rPr>
            </w:pPr>
            <w:r>
              <w:rPr>
                <w:rFonts w:ascii="Arial" w:cs="Arial" w:eastAsia="Arial" w:hAnsi="Arial"/>
                <w:sz w:val="16"/>
                <w:szCs w:val="16"/>
                <w:color w:val="auto"/>
              </w:rPr>
              <w:t>(65)</w:t>
            </w:r>
          </w:p>
        </w:tc>
        <w:tc>
          <w:tcPr>
            <w:tcW w:w="760" w:type="dxa"/>
            <w:vAlign w:val="bottom"/>
          </w:tcPr>
          <w:p>
            <w:pPr>
              <w:jc w:val="right"/>
              <w:ind w:right="323"/>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60"/>
              <w:spacing w:after="0"/>
              <w:rPr>
                <w:sz w:val="20"/>
                <w:szCs w:val="20"/>
                <w:color w:val="auto"/>
              </w:rPr>
            </w:pPr>
            <w:r>
              <w:rPr>
                <w:rFonts w:ascii="Arial" w:cs="Arial" w:eastAsia="Arial" w:hAnsi="Arial"/>
                <w:sz w:val="16"/>
                <w:szCs w:val="16"/>
                <w:color w:val="auto"/>
              </w:rPr>
              <w:t>157</w:t>
            </w:r>
          </w:p>
        </w:tc>
        <w:tc>
          <w:tcPr>
            <w:tcW w:w="1240" w:type="dxa"/>
            <w:vAlign w:val="bottom"/>
          </w:tcPr>
          <w:p>
            <w:pPr>
              <w:ind w:left="260"/>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20"/>
              <w:spacing w:after="0"/>
              <w:rPr>
                <w:sz w:val="20"/>
                <w:szCs w:val="20"/>
                <w:color w:val="auto"/>
              </w:rPr>
            </w:pPr>
            <w:r>
              <w:rPr>
                <w:rFonts w:ascii="Arial" w:cs="Arial" w:eastAsia="Arial" w:hAnsi="Arial"/>
                <w:sz w:val="16"/>
                <w:szCs w:val="16"/>
                <w:color w:val="auto"/>
              </w:rPr>
              <w:t>12</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214"/>
        </w:trPr>
        <w:tc>
          <w:tcPr>
            <w:tcW w:w="4200" w:type="dxa"/>
            <w:vAlign w:val="bottom"/>
          </w:tcPr>
          <w:p>
            <w:pPr>
              <w:spacing w:after="0"/>
              <w:rPr>
                <w:sz w:val="20"/>
                <w:szCs w:val="20"/>
                <w:color w:val="auto"/>
              </w:rPr>
            </w:pPr>
            <w:r>
              <w:rPr>
                <w:rFonts w:ascii="Arial" w:cs="Arial" w:eastAsia="Arial" w:hAnsi="Arial"/>
                <w:sz w:val="16"/>
                <w:szCs w:val="16"/>
                <w:color w:val="auto"/>
              </w:rPr>
              <w:t>Other comprehensive income:</w:t>
            </w:r>
          </w:p>
        </w:tc>
        <w:tc>
          <w:tcPr>
            <w:tcW w:w="8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00" w:type="dxa"/>
            <w:vAlign w:val="bottom"/>
          </w:tcPr>
          <w:p>
            <w:pPr>
              <w:ind w:left="180"/>
              <w:spacing w:after="0"/>
              <w:rPr>
                <w:sz w:val="20"/>
                <w:szCs w:val="20"/>
                <w:color w:val="auto"/>
              </w:rPr>
            </w:pPr>
            <w:r>
              <w:rPr>
                <w:rFonts w:ascii="Arial" w:cs="Arial" w:eastAsia="Arial" w:hAnsi="Arial"/>
                <w:sz w:val="16"/>
                <w:szCs w:val="16"/>
                <w:color w:val="auto"/>
              </w:rPr>
              <w:t>Pension and other postretirement benefits</w:t>
            </w:r>
          </w:p>
        </w:tc>
        <w:tc>
          <w:tcPr>
            <w:tcW w:w="880" w:type="dxa"/>
            <w:vAlign w:val="bottom"/>
          </w:tcPr>
          <w:p>
            <w:pPr>
              <w:spacing w:after="0"/>
              <w:rPr>
                <w:sz w:val="18"/>
                <w:szCs w:val="18"/>
                <w:color w:val="auto"/>
              </w:rPr>
            </w:pPr>
          </w:p>
        </w:tc>
        <w:tc>
          <w:tcPr>
            <w:tcW w:w="460" w:type="dxa"/>
            <w:vAlign w:val="bottom"/>
          </w:tcPr>
          <w:p>
            <w:pPr>
              <w:jc w:val="right"/>
              <w:ind w:right="60"/>
              <w:spacing w:after="0"/>
              <w:rPr>
                <w:sz w:val="20"/>
                <w:szCs w:val="20"/>
                <w:color w:val="auto"/>
              </w:rPr>
            </w:pPr>
            <w:r>
              <w:rPr>
                <w:rFonts w:ascii="Arial" w:cs="Arial" w:eastAsia="Arial" w:hAnsi="Arial"/>
                <w:sz w:val="16"/>
                <w:szCs w:val="16"/>
                <w:color w:val="auto"/>
              </w:rPr>
              <w:t>1</w:t>
            </w:r>
          </w:p>
        </w:tc>
        <w:tc>
          <w:tcPr>
            <w:tcW w:w="340" w:type="dxa"/>
            <w:vAlign w:val="bottom"/>
          </w:tcPr>
          <w:p>
            <w:pPr>
              <w:spacing w:after="0"/>
              <w:rPr>
                <w:sz w:val="18"/>
                <w:szCs w:val="18"/>
                <w:color w:val="auto"/>
              </w:rPr>
            </w:pPr>
          </w:p>
        </w:tc>
        <w:tc>
          <w:tcPr>
            <w:tcW w:w="136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8"/>
                <w:szCs w:val="18"/>
                <w:color w:val="auto"/>
              </w:rPr>
            </w:pPr>
          </w:p>
        </w:tc>
        <w:tc>
          <w:tcPr>
            <w:tcW w:w="460" w:type="dxa"/>
            <w:vAlign w:val="bottom"/>
          </w:tcPr>
          <w:p>
            <w:pPr>
              <w:jc w:val="right"/>
              <w:ind w:right="60"/>
              <w:spacing w:after="0"/>
              <w:rPr>
                <w:sz w:val="20"/>
                <w:szCs w:val="20"/>
                <w:color w:val="auto"/>
              </w:rPr>
            </w:pPr>
            <w:r>
              <w:rPr>
                <w:rFonts w:ascii="Arial" w:cs="Arial" w:eastAsia="Arial" w:hAnsi="Arial"/>
                <w:sz w:val="16"/>
                <w:szCs w:val="16"/>
                <w:color w:val="auto"/>
              </w:rPr>
              <w:t>1</w:t>
            </w:r>
          </w:p>
        </w:tc>
        <w:tc>
          <w:tcPr>
            <w:tcW w:w="1240" w:type="dxa"/>
            <w:vAlign w:val="bottom"/>
          </w:tcPr>
          <w:p>
            <w:pPr>
              <w:spacing w:after="0"/>
              <w:rPr>
                <w:sz w:val="18"/>
                <w:szCs w:val="18"/>
                <w:color w:val="auto"/>
              </w:rPr>
            </w:pPr>
          </w:p>
        </w:tc>
        <w:tc>
          <w:tcPr>
            <w:tcW w:w="56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4"/>
        </w:trPr>
        <w:tc>
          <w:tcPr>
            <w:tcW w:w="4200" w:type="dxa"/>
            <w:vAlign w:val="bottom"/>
          </w:tcPr>
          <w:p>
            <w:pPr>
              <w:ind w:left="180"/>
              <w:spacing w:after="0"/>
              <w:rPr>
                <w:sz w:val="20"/>
                <w:szCs w:val="20"/>
                <w:color w:val="auto"/>
              </w:rPr>
            </w:pPr>
            <w:r>
              <w:rPr>
                <w:rFonts w:ascii="Arial" w:cs="Arial" w:eastAsia="Arial" w:hAnsi="Arial"/>
                <w:sz w:val="16"/>
                <w:szCs w:val="16"/>
                <w:color w:val="auto"/>
              </w:rPr>
              <w:t>Financial instruments</w:t>
            </w:r>
          </w:p>
        </w:tc>
        <w:tc>
          <w:tcPr>
            <w:tcW w:w="8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w w:val="99"/>
              </w:rPr>
              <w:t>―</w:t>
            </w: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w:t>
            </w: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6"/>
        </w:trPr>
        <w:tc>
          <w:tcPr>
            <w:tcW w:w="4200" w:type="dxa"/>
            <w:vAlign w:val="bottom"/>
          </w:tcPr>
          <w:p>
            <w:pPr>
              <w:ind w:left="180"/>
              <w:spacing w:after="0"/>
              <w:rPr>
                <w:sz w:val="20"/>
                <w:szCs w:val="20"/>
                <w:color w:val="auto"/>
              </w:rPr>
            </w:pPr>
            <w:r>
              <w:rPr>
                <w:rFonts w:ascii="Arial" w:cs="Arial" w:eastAsia="Arial" w:hAnsi="Arial"/>
                <w:sz w:val="16"/>
                <w:szCs w:val="16"/>
                <w:color w:val="auto"/>
              </w:rPr>
              <w:t>Total other comprehensive income</w:t>
            </w:r>
          </w:p>
        </w:tc>
        <w:tc>
          <w:tcPr>
            <w:tcW w:w="8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w:t>
            </w: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w:t>
            </w:r>
          </w:p>
        </w:tc>
        <w:tc>
          <w:tcPr>
            <w:tcW w:w="12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w:t>
            </w: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73"/>
        </w:trPr>
        <w:tc>
          <w:tcPr>
            <w:tcW w:w="4200" w:type="dxa"/>
            <w:vAlign w:val="bottom"/>
            <w:tcBorders>
              <w:bottom w:val="single" w:sz="8" w:color="auto"/>
            </w:tcBorders>
          </w:tcPr>
          <w:p>
            <w:pPr>
              <w:spacing w:after="0" w:line="166" w:lineRule="exact"/>
              <w:rPr>
                <w:sz w:val="20"/>
                <w:szCs w:val="20"/>
                <w:color w:val="auto"/>
              </w:rPr>
            </w:pPr>
            <w:r>
              <w:rPr>
                <w:rFonts w:ascii="Arial" w:cs="Arial" w:eastAsia="Arial" w:hAnsi="Arial"/>
                <w:sz w:val="16"/>
                <w:szCs w:val="16"/>
                <w:color w:val="auto"/>
              </w:rPr>
              <w:t>Comprehensive income</w:t>
            </w:r>
          </w:p>
        </w:tc>
        <w:tc>
          <w:tcPr>
            <w:tcW w:w="880" w:type="dxa"/>
            <w:vAlign w:val="bottom"/>
            <w:tcBorders>
              <w:bottom w:val="single" w:sz="8" w:color="auto"/>
            </w:tcBorders>
          </w:tcPr>
          <w:p>
            <w:pPr>
              <w:ind w:left="380"/>
              <w:spacing w:after="0" w:line="166" w:lineRule="exact"/>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jc w:val="right"/>
              <w:ind w:right="60"/>
              <w:spacing w:after="0" w:line="166" w:lineRule="exact"/>
              <w:rPr>
                <w:sz w:val="20"/>
                <w:szCs w:val="20"/>
                <w:color w:val="auto"/>
              </w:rPr>
            </w:pPr>
            <w:r>
              <w:rPr>
                <w:rFonts w:ascii="Arial" w:cs="Arial" w:eastAsia="Arial" w:hAnsi="Arial"/>
                <w:sz w:val="16"/>
                <w:szCs w:val="16"/>
                <w:color w:val="auto"/>
              </w:rPr>
              <w:t>223</w:t>
            </w:r>
          </w:p>
        </w:tc>
        <w:tc>
          <w:tcPr>
            <w:tcW w:w="34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61"/>
              <w:spacing w:after="0" w:line="166" w:lineRule="exact"/>
              <w:rPr>
                <w:sz w:val="20"/>
                <w:szCs w:val="20"/>
                <w:color w:val="auto"/>
              </w:rPr>
            </w:pPr>
            <w:r>
              <w:rPr>
                <w:rFonts w:ascii="Arial" w:cs="Arial" w:eastAsia="Arial" w:hAnsi="Arial"/>
                <w:sz w:val="16"/>
                <w:szCs w:val="16"/>
                <w:color w:val="auto"/>
              </w:rPr>
              <w:t>(65)</w:t>
            </w:r>
          </w:p>
        </w:tc>
        <w:tc>
          <w:tcPr>
            <w:tcW w:w="760" w:type="dxa"/>
            <w:vAlign w:val="bottom"/>
            <w:tcBorders>
              <w:bottom w:val="single" w:sz="8" w:color="auto"/>
            </w:tcBorders>
          </w:tcPr>
          <w:p>
            <w:pPr>
              <w:jc w:val="right"/>
              <w:ind w:right="323"/>
              <w:spacing w:after="0" w:line="166" w:lineRule="exact"/>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jc w:val="right"/>
              <w:ind w:right="60"/>
              <w:spacing w:after="0" w:line="166" w:lineRule="exact"/>
              <w:rPr>
                <w:sz w:val="20"/>
                <w:szCs w:val="20"/>
                <w:color w:val="auto"/>
              </w:rPr>
            </w:pPr>
            <w:r>
              <w:rPr>
                <w:rFonts w:ascii="Arial" w:cs="Arial" w:eastAsia="Arial" w:hAnsi="Arial"/>
                <w:sz w:val="16"/>
                <w:szCs w:val="16"/>
                <w:color w:val="auto"/>
              </w:rPr>
              <w:t>158</w:t>
            </w:r>
          </w:p>
        </w:tc>
        <w:tc>
          <w:tcPr>
            <w:tcW w:w="1240" w:type="dxa"/>
            <w:vAlign w:val="bottom"/>
            <w:tcBorders>
              <w:bottom w:val="single" w:sz="8" w:color="auto"/>
            </w:tcBorders>
          </w:tcPr>
          <w:p>
            <w:pPr>
              <w:ind w:left="260"/>
              <w:spacing w:after="0" w:line="166" w:lineRule="exact"/>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ind w:right="120"/>
              <w:spacing w:after="0" w:line="166" w:lineRule="exact"/>
              <w:rPr>
                <w:sz w:val="20"/>
                <w:szCs w:val="20"/>
                <w:color w:val="auto"/>
              </w:rPr>
            </w:pPr>
            <w:r>
              <w:rPr>
                <w:rFonts w:ascii="Arial" w:cs="Arial" w:eastAsia="Arial" w:hAnsi="Arial"/>
                <w:sz w:val="16"/>
                <w:szCs w:val="16"/>
                <w:color w:val="auto"/>
              </w:rPr>
              <w:t>16</w:t>
            </w:r>
          </w:p>
        </w:tc>
        <w:tc>
          <w:tcPr>
            <w:tcW w:w="30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174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200" w:type="dxa"/>
            <w:vAlign w:val="bottom"/>
          </w:tcPr>
          <w:p>
            <w:pPr>
              <w:spacing w:after="0"/>
              <w:rPr>
                <w:sz w:val="20"/>
                <w:szCs w:val="20"/>
                <w:color w:val="auto"/>
              </w:rPr>
            </w:pPr>
            <w:r>
              <w:rPr>
                <w:rFonts w:ascii="Arial" w:cs="Arial" w:eastAsia="Arial" w:hAnsi="Arial"/>
                <w:sz w:val="16"/>
                <w:szCs w:val="16"/>
                <w:b w:val="1"/>
                <w:bCs w:val="1"/>
                <w:color w:val="auto"/>
              </w:rPr>
              <w:t>2013:</w:t>
            </w:r>
          </w:p>
        </w:tc>
        <w:tc>
          <w:tcPr>
            <w:tcW w:w="880" w:type="dxa"/>
            <w:vAlign w:val="bottom"/>
            <w:vMerge w:val="restart"/>
          </w:tcPr>
          <w:p>
            <w:pPr>
              <w:ind w:left="380"/>
              <w:spacing w:after="0"/>
              <w:rPr>
                <w:sz w:val="20"/>
                <w:szCs w:val="20"/>
                <w:color w:val="auto"/>
              </w:rPr>
            </w:pPr>
            <w:r>
              <w:rPr>
                <w:rFonts w:ascii="Arial" w:cs="Arial" w:eastAsia="Arial" w:hAnsi="Arial"/>
                <w:sz w:val="16"/>
                <w:szCs w:val="16"/>
                <w:color w:val="auto"/>
              </w:rPr>
              <w:t>$</w:t>
            </w:r>
          </w:p>
        </w:tc>
        <w:tc>
          <w:tcPr>
            <w:tcW w:w="460" w:type="dxa"/>
            <w:vAlign w:val="bottom"/>
            <w:vMerge w:val="restart"/>
          </w:tcPr>
          <w:p>
            <w:pPr>
              <w:jc w:val="right"/>
              <w:ind w:right="60"/>
              <w:spacing w:after="0"/>
              <w:rPr>
                <w:sz w:val="20"/>
                <w:szCs w:val="20"/>
                <w:color w:val="auto"/>
              </w:rPr>
            </w:pPr>
            <w:r>
              <w:rPr>
                <w:rFonts w:ascii="Arial" w:cs="Arial" w:eastAsia="Arial" w:hAnsi="Arial"/>
                <w:sz w:val="16"/>
                <w:szCs w:val="16"/>
                <w:color w:val="auto"/>
              </w:rPr>
              <w:t>218</w:t>
            </w: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360" w:type="dxa"/>
            <w:vAlign w:val="bottom"/>
            <w:vMerge w:val="restart"/>
          </w:tcPr>
          <w:p>
            <w:pPr>
              <w:jc w:val="right"/>
              <w:ind w:right="61"/>
              <w:spacing w:after="0"/>
              <w:rPr>
                <w:sz w:val="20"/>
                <w:szCs w:val="20"/>
                <w:color w:val="auto"/>
              </w:rPr>
            </w:pPr>
            <w:r>
              <w:rPr>
                <w:rFonts w:ascii="Arial" w:cs="Arial" w:eastAsia="Arial" w:hAnsi="Arial"/>
                <w:sz w:val="16"/>
                <w:szCs w:val="16"/>
                <w:color w:val="auto"/>
              </w:rPr>
              <w:t>(84)</w:t>
            </w:r>
          </w:p>
        </w:tc>
        <w:tc>
          <w:tcPr>
            <w:tcW w:w="760" w:type="dxa"/>
            <w:vAlign w:val="bottom"/>
            <w:vMerge w:val="restart"/>
          </w:tcPr>
          <w:p>
            <w:pPr>
              <w:jc w:val="right"/>
              <w:ind w:right="323"/>
              <w:spacing w:after="0"/>
              <w:rPr>
                <w:sz w:val="20"/>
                <w:szCs w:val="20"/>
                <w:color w:val="auto"/>
              </w:rPr>
            </w:pPr>
            <w:r>
              <w:rPr>
                <w:rFonts w:ascii="Arial" w:cs="Arial" w:eastAsia="Arial" w:hAnsi="Arial"/>
                <w:sz w:val="16"/>
                <w:szCs w:val="16"/>
                <w:color w:val="auto"/>
              </w:rPr>
              <w:t>$</w:t>
            </w:r>
          </w:p>
        </w:tc>
        <w:tc>
          <w:tcPr>
            <w:tcW w:w="460" w:type="dxa"/>
            <w:vAlign w:val="bottom"/>
            <w:vMerge w:val="restart"/>
          </w:tcPr>
          <w:p>
            <w:pPr>
              <w:jc w:val="right"/>
              <w:ind w:right="60"/>
              <w:spacing w:after="0"/>
              <w:rPr>
                <w:sz w:val="20"/>
                <w:szCs w:val="20"/>
                <w:color w:val="auto"/>
              </w:rPr>
            </w:pPr>
            <w:r>
              <w:rPr>
                <w:rFonts w:ascii="Arial" w:cs="Arial" w:eastAsia="Arial" w:hAnsi="Arial"/>
                <w:sz w:val="16"/>
                <w:szCs w:val="16"/>
                <w:color w:val="auto"/>
              </w:rPr>
              <w:t>134</w:t>
            </w:r>
          </w:p>
        </w:tc>
        <w:tc>
          <w:tcPr>
            <w:tcW w:w="1240" w:type="dxa"/>
            <w:vAlign w:val="bottom"/>
            <w:vMerge w:val="restart"/>
          </w:tcPr>
          <w:p>
            <w:pPr>
              <w:ind w:left="260"/>
              <w:spacing w:after="0"/>
              <w:rPr>
                <w:sz w:val="20"/>
                <w:szCs w:val="20"/>
                <w:color w:val="auto"/>
              </w:rPr>
            </w:pPr>
            <w:r>
              <w:rPr>
                <w:rFonts w:ascii="Arial" w:cs="Arial" w:eastAsia="Arial" w:hAnsi="Arial"/>
                <w:sz w:val="16"/>
                <w:szCs w:val="16"/>
                <w:color w:val="auto"/>
              </w:rPr>
              <w:t>$</w:t>
            </w:r>
          </w:p>
        </w:tc>
        <w:tc>
          <w:tcPr>
            <w:tcW w:w="560" w:type="dxa"/>
            <w:vAlign w:val="bottom"/>
            <w:vMerge w:val="restart"/>
          </w:tcPr>
          <w:p>
            <w:pPr>
              <w:jc w:val="right"/>
              <w:ind w:right="120"/>
              <w:spacing w:after="0"/>
              <w:rPr>
                <w:sz w:val="20"/>
                <w:szCs w:val="20"/>
                <w:color w:val="auto"/>
              </w:rPr>
            </w:pPr>
            <w:r>
              <w:rPr>
                <w:rFonts w:ascii="Arial" w:cs="Arial" w:eastAsia="Arial" w:hAnsi="Arial"/>
                <w:sz w:val="16"/>
                <w:szCs w:val="16"/>
                <w:color w:val="auto"/>
              </w:rPr>
              <w:t>5</w:t>
            </w:r>
          </w:p>
        </w:tc>
        <w:tc>
          <w:tcPr>
            <w:tcW w:w="3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171"/>
        </w:trPr>
        <w:tc>
          <w:tcPr>
            <w:tcW w:w="4200" w:type="dxa"/>
            <w:vAlign w:val="bottom"/>
          </w:tcPr>
          <w:p>
            <w:pPr>
              <w:spacing w:after="0" w:line="171" w:lineRule="exact"/>
              <w:rPr>
                <w:sz w:val="20"/>
                <w:szCs w:val="20"/>
                <w:color w:val="auto"/>
              </w:rPr>
            </w:pPr>
            <w:r>
              <w:rPr>
                <w:rFonts w:ascii="Arial" w:cs="Arial" w:eastAsia="Arial" w:hAnsi="Arial"/>
                <w:sz w:val="16"/>
                <w:szCs w:val="16"/>
                <w:color w:val="auto"/>
              </w:rPr>
              <w:t>Net income</w:t>
            </w:r>
          </w:p>
        </w:tc>
        <w:tc>
          <w:tcPr>
            <w:tcW w:w="88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200" w:type="dxa"/>
            <w:vAlign w:val="bottom"/>
          </w:tcPr>
          <w:p>
            <w:pPr>
              <w:spacing w:after="0"/>
              <w:rPr>
                <w:sz w:val="20"/>
                <w:szCs w:val="20"/>
                <w:color w:val="auto"/>
              </w:rPr>
            </w:pPr>
            <w:r>
              <w:rPr>
                <w:rFonts w:ascii="Arial" w:cs="Arial" w:eastAsia="Arial" w:hAnsi="Arial"/>
                <w:sz w:val="16"/>
                <w:szCs w:val="16"/>
                <w:color w:val="auto"/>
              </w:rPr>
              <w:t>Other comprehensive income (loss):</w:t>
            </w:r>
          </w:p>
        </w:tc>
        <w:tc>
          <w:tcPr>
            <w:tcW w:w="8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00" w:type="dxa"/>
            <w:vAlign w:val="bottom"/>
          </w:tcPr>
          <w:p>
            <w:pPr>
              <w:ind w:left="180"/>
              <w:spacing w:after="0"/>
              <w:rPr>
                <w:sz w:val="20"/>
                <w:szCs w:val="20"/>
                <w:color w:val="auto"/>
              </w:rPr>
            </w:pPr>
            <w:r>
              <w:rPr>
                <w:rFonts w:ascii="Arial" w:cs="Arial" w:eastAsia="Arial" w:hAnsi="Arial"/>
                <w:sz w:val="16"/>
                <w:szCs w:val="16"/>
                <w:color w:val="auto"/>
              </w:rPr>
              <w:t>Pension and other postretirement benefits</w:t>
            </w:r>
          </w:p>
        </w:tc>
        <w:tc>
          <w:tcPr>
            <w:tcW w:w="880" w:type="dxa"/>
            <w:vAlign w:val="bottom"/>
          </w:tcPr>
          <w:p>
            <w:pPr>
              <w:spacing w:after="0"/>
              <w:rPr>
                <w:sz w:val="18"/>
                <w:szCs w:val="18"/>
                <w:color w:val="auto"/>
              </w:rPr>
            </w:pPr>
          </w:p>
        </w:tc>
        <w:tc>
          <w:tcPr>
            <w:tcW w:w="460" w:type="dxa"/>
            <w:vAlign w:val="bottom"/>
          </w:tcPr>
          <w:p>
            <w:pPr>
              <w:jc w:val="right"/>
              <w:ind w:right="60"/>
              <w:spacing w:after="0"/>
              <w:rPr>
                <w:sz w:val="20"/>
                <w:szCs w:val="20"/>
                <w:color w:val="auto"/>
              </w:rPr>
            </w:pPr>
            <w:r>
              <w:rPr>
                <w:rFonts w:ascii="Arial" w:cs="Arial" w:eastAsia="Arial" w:hAnsi="Arial"/>
                <w:sz w:val="16"/>
                <w:szCs w:val="16"/>
                <w:color w:val="auto"/>
              </w:rPr>
              <w:t>2</w:t>
            </w:r>
          </w:p>
        </w:tc>
        <w:tc>
          <w:tcPr>
            <w:tcW w:w="340" w:type="dxa"/>
            <w:vAlign w:val="bottom"/>
          </w:tcPr>
          <w:p>
            <w:pPr>
              <w:spacing w:after="0"/>
              <w:rPr>
                <w:sz w:val="18"/>
                <w:szCs w:val="18"/>
                <w:color w:val="auto"/>
              </w:rPr>
            </w:pPr>
          </w:p>
        </w:tc>
        <w:tc>
          <w:tcPr>
            <w:tcW w:w="1360" w:type="dxa"/>
            <w:vAlign w:val="bottom"/>
          </w:tcPr>
          <w:p>
            <w:pPr>
              <w:jc w:val="right"/>
              <w:ind w:right="61"/>
              <w:spacing w:after="0"/>
              <w:rPr>
                <w:sz w:val="20"/>
                <w:szCs w:val="20"/>
                <w:color w:val="auto"/>
              </w:rPr>
            </w:pPr>
            <w:r>
              <w:rPr>
                <w:rFonts w:ascii="Arial" w:cs="Arial" w:eastAsia="Arial" w:hAnsi="Arial"/>
                <w:sz w:val="16"/>
                <w:szCs w:val="16"/>
                <w:color w:val="auto"/>
              </w:rPr>
              <w:t>(1)</w:t>
            </w:r>
          </w:p>
        </w:tc>
        <w:tc>
          <w:tcPr>
            <w:tcW w:w="760" w:type="dxa"/>
            <w:vAlign w:val="bottom"/>
          </w:tcPr>
          <w:p>
            <w:pPr>
              <w:spacing w:after="0"/>
              <w:rPr>
                <w:sz w:val="18"/>
                <w:szCs w:val="18"/>
                <w:color w:val="auto"/>
              </w:rPr>
            </w:pPr>
          </w:p>
        </w:tc>
        <w:tc>
          <w:tcPr>
            <w:tcW w:w="460" w:type="dxa"/>
            <w:vAlign w:val="bottom"/>
          </w:tcPr>
          <w:p>
            <w:pPr>
              <w:jc w:val="right"/>
              <w:ind w:right="60"/>
              <w:spacing w:after="0"/>
              <w:rPr>
                <w:sz w:val="20"/>
                <w:szCs w:val="20"/>
                <w:color w:val="auto"/>
              </w:rPr>
            </w:pPr>
            <w:r>
              <w:rPr>
                <w:rFonts w:ascii="Arial" w:cs="Arial" w:eastAsia="Arial" w:hAnsi="Arial"/>
                <w:sz w:val="16"/>
                <w:szCs w:val="16"/>
                <w:color w:val="auto"/>
              </w:rPr>
              <w:t>1</w:t>
            </w:r>
          </w:p>
        </w:tc>
        <w:tc>
          <w:tcPr>
            <w:tcW w:w="1240" w:type="dxa"/>
            <w:vAlign w:val="bottom"/>
          </w:tcPr>
          <w:p>
            <w:pPr>
              <w:spacing w:after="0"/>
              <w:rPr>
                <w:sz w:val="18"/>
                <w:szCs w:val="18"/>
                <w:color w:val="auto"/>
              </w:rPr>
            </w:pPr>
          </w:p>
        </w:tc>
        <w:tc>
          <w:tcPr>
            <w:tcW w:w="56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4"/>
        </w:trPr>
        <w:tc>
          <w:tcPr>
            <w:tcW w:w="4200" w:type="dxa"/>
            <w:vAlign w:val="bottom"/>
          </w:tcPr>
          <w:p>
            <w:pPr>
              <w:ind w:left="180"/>
              <w:spacing w:after="0"/>
              <w:rPr>
                <w:sz w:val="20"/>
                <w:szCs w:val="20"/>
                <w:color w:val="auto"/>
              </w:rPr>
            </w:pPr>
            <w:r>
              <w:rPr>
                <w:rFonts w:ascii="Arial" w:cs="Arial" w:eastAsia="Arial" w:hAnsi="Arial"/>
                <w:sz w:val="16"/>
                <w:szCs w:val="16"/>
                <w:color w:val="auto"/>
              </w:rPr>
              <w:t>Financial instruments</w:t>
            </w:r>
          </w:p>
        </w:tc>
        <w:tc>
          <w:tcPr>
            <w:tcW w:w="8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w w:val="99"/>
              </w:rPr>
              <w:t>―</w:t>
            </w: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w:t>
            </w: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00" w:type="dxa"/>
            <w:vAlign w:val="bottom"/>
          </w:tcPr>
          <w:p>
            <w:pPr>
              <w:ind w:left="180"/>
              <w:spacing w:after="0"/>
              <w:rPr>
                <w:sz w:val="20"/>
                <w:szCs w:val="20"/>
                <w:color w:val="auto"/>
              </w:rPr>
            </w:pPr>
            <w:r>
              <w:rPr>
                <w:rFonts w:ascii="Arial" w:cs="Arial" w:eastAsia="Arial" w:hAnsi="Arial"/>
                <w:sz w:val="16"/>
                <w:szCs w:val="16"/>
                <w:color w:val="auto"/>
              </w:rPr>
              <w:t>Total other comprehensive income (loss)</w:t>
            </w:r>
          </w:p>
        </w:tc>
        <w:tc>
          <w:tcPr>
            <w:tcW w:w="880" w:type="dxa"/>
            <w:vAlign w:val="bottom"/>
          </w:tcPr>
          <w:p>
            <w:pPr>
              <w:spacing w:after="0"/>
              <w:rPr>
                <w:sz w:val="17"/>
                <w:szCs w:val="17"/>
                <w:color w:val="auto"/>
              </w:rPr>
            </w:pPr>
          </w:p>
        </w:tc>
        <w:tc>
          <w:tcPr>
            <w:tcW w:w="460" w:type="dxa"/>
            <w:vAlign w:val="bottom"/>
          </w:tcPr>
          <w:p>
            <w:pPr>
              <w:jc w:val="right"/>
              <w:ind w:right="60"/>
              <w:spacing w:after="0"/>
              <w:rPr>
                <w:sz w:val="20"/>
                <w:szCs w:val="20"/>
                <w:color w:val="auto"/>
              </w:rPr>
            </w:pPr>
            <w:r>
              <w:rPr>
                <w:rFonts w:ascii="Arial" w:cs="Arial" w:eastAsia="Arial" w:hAnsi="Arial"/>
                <w:sz w:val="16"/>
                <w:szCs w:val="16"/>
                <w:color w:val="auto"/>
              </w:rPr>
              <w:t>2</w:t>
            </w:r>
          </w:p>
        </w:tc>
        <w:tc>
          <w:tcPr>
            <w:tcW w:w="340" w:type="dxa"/>
            <w:vAlign w:val="bottom"/>
          </w:tcPr>
          <w:p>
            <w:pPr>
              <w:spacing w:after="0"/>
              <w:rPr>
                <w:sz w:val="17"/>
                <w:szCs w:val="17"/>
                <w:color w:val="auto"/>
              </w:rPr>
            </w:pPr>
          </w:p>
        </w:tc>
        <w:tc>
          <w:tcPr>
            <w:tcW w:w="1360" w:type="dxa"/>
            <w:vAlign w:val="bottom"/>
          </w:tcPr>
          <w:p>
            <w:pPr>
              <w:jc w:val="right"/>
              <w:ind w:right="61"/>
              <w:spacing w:after="0"/>
              <w:rPr>
                <w:sz w:val="20"/>
                <w:szCs w:val="20"/>
                <w:color w:val="auto"/>
              </w:rPr>
            </w:pPr>
            <w:r>
              <w:rPr>
                <w:rFonts w:ascii="Arial" w:cs="Arial" w:eastAsia="Arial" w:hAnsi="Arial"/>
                <w:sz w:val="16"/>
                <w:szCs w:val="16"/>
                <w:color w:val="auto"/>
              </w:rPr>
              <w:t>(1)</w:t>
            </w:r>
          </w:p>
        </w:tc>
        <w:tc>
          <w:tcPr>
            <w:tcW w:w="760" w:type="dxa"/>
            <w:vAlign w:val="bottom"/>
          </w:tcPr>
          <w:p>
            <w:pPr>
              <w:spacing w:after="0"/>
              <w:rPr>
                <w:sz w:val="17"/>
                <w:szCs w:val="17"/>
                <w:color w:val="auto"/>
              </w:rPr>
            </w:pPr>
          </w:p>
        </w:tc>
        <w:tc>
          <w:tcPr>
            <w:tcW w:w="460" w:type="dxa"/>
            <w:vAlign w:val="bottom"/>
          </w:tcPr>
          <w:p>
            <w:pPr>
              <w:jc w:val="right"/>
              <w:ind w:right="60"/>
              <w:spacing w:after="0"/>
              <w:rPr>
                <w:sz w:val="20"/>
                <w:szCs w:val="20"/>
                <w:color w:val="auto"/>
              </w:rPr>
            </w:pPr>
            <w:r>
              <w:rPr>
                <w:rFonts w:ascii="Arial" w:cs="Arial" w:eastAsia="Arial" w:hAnsi="Arial"/>
                <w:sz w:val="16"/>
                <w:szCs w:val="16"/>
                <w:color w:val="auto"/>
              </w:rPr>
              <w:t>1</w:t>
            </w:r>
          </w:p>
        </w:tc>
        <w:tc>
          <w:tcPr>
            <w:tcW w:w="1240" w:type="dxa"/>
            <w:vAlign w:val="bottom"/>
          </w:tcPr>
          <w:p>
            <w:pPr>
              <w:spacing w:after="0"/>
              <w:rPr>
                <w:sz w:val="17"/>
                <w:szCs w:val="17"/>
                <w:color w:val="auto"/>
              </w:rPr>
            </w:pPr>
          </w:p>
        </w:tc>
        <w:tc>
          <w:tcPr>
            <w:tcW w:w="560" w:type="dxa"/>
            <w:vAlign w:val="bottom"/>
          </w:tcPr>
          <w:p>
            <w:pPr>
              <w:jc w:val="right"/>
              <w:ind w:right="120"/>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3"/>
        </w:trPr>
        <w:tc>
          <w:tcPr>
            <w:tcW w:w="4200" w:type="dxa"/>
            <w:vAlign w:val="bottom"/>
            <w:tcBorders>
              <w:bottom w:val="single" w:sz="8" w:color="auto"/>
            </w:tcBorders>
          </w:tcPr>
          <w:p>
            <w:pPr>
              <w:spacing w:after="0" w:line="166" w:lineRule="exact"/>
              <w:rPr>
                <w:sz w:val="20"/>
                <w:szCs w:val="20"/>
                <w:color w:val="auto"/>
              </w:rPr>
            </w:pPr>
            <w:r>
              <w:rPr>
                <w:rFonts w:ascii="Arial" w:cs="Arial" w:eastAsia="Arial" w:hAnsi="Arial"/>
                <w:sz w:val="16"/>
                <w:szCs w:val="16"/>
                <w:color w:val="auto"/>
              </w:rPr>
              <w:t>Comprehensive income</w:t>
            </w:r>
          </w:p>
        </w:tc>
        <w:tc>
          <w:tcPr>
            <w:tcW w:w="880" w:type="dxa"/>
            <w:vAlign w:val="bottom"/>
            <w:tcBorders>
              <w:top w:val="single" w:sz="8" w:color="auto"/>
              <w:bottom w:val="single" w:sz="8" w:color="auto"/>
            </w:tcBorders>
          </w:tcPr>
          <w:p>
            <w:pPr>
              <w:ind w:left="380"/>
              <w:spacing w:after="0" w:line="166" w:lineRule="exact"/>
              <w:rPr>
                <w:sz w:val="20"/>
                <w:szCs w:val="20"/>
                <w:color w:val="auto"/>
              </w:rPr>
            </w:pPr>
            <w:r>
              <w:rPr>
                <w:rFonts w:ascii="Arial" w:cs="Arial" w:eastAsia="Arial" w:hAnsi="Arial"/>
                <w:sz w:val="16"/>
                <w:szCs w:val="16"/>
                <w:color w:val="auto"/>
              </w:rPr>
              <w:t>$</w:t>
            </w:r>
          </w:p>
        </w:tc>
        <w:tc>
          <w:tcPr>
            <w:tcW w:w="460" w:type="dxa"/>
            <w:vAlign w:val="bottom"/>
            <w:tcBorders>
              <w:top w:val="single" w:sz="8" w:color="auto"/>
              <w:bottom w:val="single" w:sz="8" w:color="auto"/>
            </w:tcBorders>
          </w:tcPr>
          <w:p>
            <w:pPr>
              <w:jc w:val="right"/>
              <w:ind w:right="60"/>
              <w:spacing w:after="0" w:line="166" w:lineRule="exact"/>
              <w:rPr>
                <w:sz w:val="20"/>
                <w:szCs w:val="20"/>
                <w:color w:val="auto"/>
              </w:rPr>
            </w:pPr>
            <w:r>
              <w:rPr>
                <w:rFonts w:ascii="Arial" w:cs="Arial" w:eastAsia="Arial" w:hAnsi="Arial"/>
                <w:sz w:val="16"/>
                <w:szCs w:val="16"/>
                <w:color w:val="auto"/>
              </w:rPr>
              <w:t>220</w:t>
            </w:r>
          </w:p>
        </w:tc>
        <w:tc>
          <w:tcPr>
            <w:tcW w:w="340" w:type="dxa"/>
            <w:vAlign w:val="bottom"/>
            <w:tcBorders>
              <w:top w:val="single" w:sz="8" w:color="auto"/>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61"/>
              <w:spacing w:after="0" w:line="166" w:lineRule="exact"/>
              <w:rPr>
                <w:sz w:val="20"/>
                <w:szCs w:val="20"/>
                <w:color w:val="auto"/>
              </w:rPr>
            </w:pPr>
            <w:r>
              <w:rPr>
                <w:rFonts w:ascii="Arial" w:cs="Arial" w:eastAsia="Arial" w:hAnsi="Arial"/>
                <w:sz w:val="16"/>
                <w:szCs w:val="16"/>
                <w:color w:val="auto"/>
              </w:rPr>
              <w:t>(85)</w:t>
            </w:r>
          </w:p>
        </w:tc>
        <w:tc>
          <w:tcPr>
            <w:tcW w:w="760" w:type="dxa"/>
            <w:vAlign w:val="bottom"/>
            <w:tcBorders>
              <w:top w:val="single" w:sz="8" w:color="auto"/>
              <w:bottom w:val="single" w:sz="8" w:color="auto"/>
            </w:tcBorders>
          </w:tcPr>
          <w:p>
            <w:pPr>
              <w:jc w:val="right"/>
              <w:ind w:right="323"/>
              <w:spacing w:after="0" w:line="166" w:lineRule="exact"/>
              <w:rPr>
                <w:sz w:val="20"/>
                <w:szCs w:val="20"/>
                <w:color w:val="auto"/>
              </w:rPr>
            </w:pPr>
            <w:r>
              <w:rPr>
                <w:rFonts w:ascii="Arial" w:cs="Arial" w:eastAsia="Arial" w:hAnsi="Arial"/>
                <w:sz w:val="16"/>
                <w:szCs w:val="16"/>
                <w:color w:val="auto"/>
              </w:rPr>
              <w:t>$</w:t>
            </w:r>
          </w:p>
        </w:tc>
        <w:tc>
          <w:tcPr>
            <w:tcW w:w="460" w:type="dxa"/>
            <w:vAlign w:val="bottom"/>
            <w:tcBorders>
              <w:top w:val="single" w:sz="8" w:color="auto"/>
              <w:bottom w:val="single" w:sz="8" w:color="auto"/>
            </w:tcBorders>
          </w:tcPr>
          <w:p>
            <w:pPr>
              <w:jc w:val="right"/>
              <w:ind w:right="60"/>
              <w:spacing w:after="0" w:line="166" w:lineRule="exact"/>
              <w:rPr>
                <w:sz w:val="20"/>
                <w:szCs w:val="20"/>
                <w:color w:val="auto"/>
              </w:rPr>
            </w:pPr>
            <w:r>
              <w:rPr>
                <w:rFonts w:ascii="Arial" w:cs="Arial" w:eastAsia="Arial" w:hAnsi="Arial"/>
                <w:sz w:val="16"/>
                <w:szCs w:val="16"/>
                <w:color w:val="auto"/>
              </w:rPr>
              <w:t>135</w:t>
            </w:r>
          </w:p>
        </w:tc>
        <w:tc>
          <w:tcPr>
            <w:tcW w:w="1240" w:type="dxa"/>
            <w:vAlign w:val="bottom"/>
            <w:tcBorders>
              <w:top w:val="single" w:sz="8" w:color="auto"/>
              <w:bottom w:val="single" w:sz="8" w:color="auto"/>
            </w:tcBorders>
          </w:tcPr>
          <w:p>
            <w:pPr>
              <w:ind w:left="260"/>
              <w:spacing w:after="0" w:line="166" w:lineRule="exact"/>
              <w:rPr>
                <w:sz w:val="20"/>
                <w:szCs w:val="20"/>
                <w:color w:val="auto"/>
              </w:rPr>
            </w:pPr>
            <w:r>
              <w:rPr>
                <w:rFonts w:ascii="Arial" w:cs="Arial" w:eastAsia="Arial" w:hAnsi="Arial"/>
                <w:sz w:val="16"/>
                <w:szCs w:val="16"/>
                <w:color w:val="auto"/>
              </w:rPr>
              <w:t>$</w:t>
            </w:r>
          </w:p>
        </w:tc>
        <w:tc>
          <w:tcPr>
            <w:tcW w:w="560" w:type="dxa"/>
            <w:vAlign w:val="bottom"/>
            <w:tcBorders>
              <w:top w:val="single" w:sz="8" w:color="auto"/>
              <w:bottom w:val="single" w:sz="8" w:color="auto"/>
            </w:tcBorders>
          </w:tcPr>
          <w:p>
            <w:pPr>
              <w:jc w:val="right"/>
              <w:ind w:right="120"/>
              <w:spacing w:after="0" w:line="166" w:lineRule="exact"/>
              <w:rPr>
                <w:sz w:val="20"/>
                <w:szCs w:val="20"/>
                <w:color w:val="auto"/>
              </w:rPr>
            </w:pPr>
            <w:r>
              <w:rPr>
                <w:rFonts w:ascii="Arial" w:cs="Arial" w:eastAsia="Arial" w:hAnsi="Arial"/>
                <w:sz w:val="16"/>
                <w:szCs w:val="16"/>
                <w:color w:val="auto"/>
              </w:rPr>
              <w:t>4</w:t>
            </w:r>
          </w:p>
        </w:tc>
        <w:tc>
          <w:tcPr>
            <w:tcW w:w="300" w:type="dxa"/>
            <w:vAlign w:val="bottom"/>
            <w:tcBorders>
              <w:top w:val="single" w:sz="8" w:color="auto"/>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139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420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rPr>
              <w:t>Nine months ended September 30, 2014 and 2013</w:t>
            </w:r>
          </w:p>
        </w:tc>
        <w:tc>
          <w:tcPr>
            <w:tcW w:w="5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color w:val="auto"/>
              </w:rPr>
              <w:t>(unaudited)</w:t>
            </w:r>
          </w:p>
        </w:tc>
        <w:tc>
          <w:tcPr>
            <w:tcW w:w="12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200" w:type="dxa"/>
            <w:vAlign w:val="bottom"/>
          </w:tcPr>
          <w:p>
            <w:pPr>
              <w:spacing w:after="0"/>
              <w:rPr>
                <w:sz w:val="20"/>
                <w:szCs w:val="20"/>
                <w:color w:val="auto"/>
              </w:rPr>
            </w:pPr>
            <w:r>
              <w:rPr>
                <w:rFonts w:ascii="Arial" w:cs="Arial" w:eastAsia="Arial" w:hAnsi="Arial"/>
                <w:sz w:val="16"/>
                <w:szCs w:val="16"/>
                <w:b w:val="1"/>
                <w:bCs w:val="1"/>
                <w:color w:val="auto"/>
              </w:rPr>
              <w:t>2014:</w:t>
            </w:r>
          </w:p>
        </w:tc>
        <w:tc>
          <w:tcPr>
            <w:tcW w:w="8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200" w:type="dxa"/>
            <w:vAlign w:val="bottom"/>
          </w:tcPr>
          <w:p>
            <w:pPr>
              <w:spacing w:after="0"/>
              <w:rPr>
                <w:sz w:val="20"/>
                <w:szCs w:val="20"/>
                <w:color w:val="auto"/>
              </w:rPr>
            </w:pPr>
            <w:r>
              <w:rPr>
                <w:rFonts w:ascii="Arial" w:cs="Arial" w:eastAsia="Arial" w:hAnsi="Arial"/>
                <w:sz w:val="16"/>
                <w:szCs w:val="16"/>
                <w:color w:val="auto"/>
              </w:rPr>
              <w:t>Net income</w:t>
            </w:r>
          </w:p>
        </w:tc>
        <w:tc>
          <w:tcPr>
            <w:tcW w:w="880" w:type="dxa"/>
            <w:vAlign w:val="bottom"/>
          </w:tcPr>
          <w:p>
            <w:pPr>
              <w:ind w:left="380"/>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60"/>
              <w:spacing w:after="0"/>
              <w:rPr>
                <w:sz w:val="20"/>
                <w:szCs w:val="20"/>
                <w:color w:val="auto"/>
              </w:rPr>
            </w:pPr>
            <w:r>
              <w:rPr>
                <w:rFonts w:ascii="Arial" w:cs="Arial" w:eastAsia="Arial" w:hAnsi="Arial"/>
                <w:sz w:val="16"/>
                <w:szCs w:val="16"/>
                <w:color w:val="auto"/>
              </w:rPr>
              <w:t>596</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61"/>
              <w:spacing w:after="0"/>
              <w:rPr>
                <w:sz w:val="20"/>
                <w:szCs w:val="20"/>
                <w:color w:val="auto"/>
              </w:rPr>
            </w:pPr>
            <w:r>
              <w:rPr>
                <w:rFonts w:ascii="Arial" w:cs="Arial" w:eastAsia="Arial" w:hAnsi="Arial"/>
                <w:sz w:val="16"/>
                <w:szCs w:val="16"/>
                <w:color w:val="auto"/>
              </w:rPr>
              <w:t>(217)</w:t>
            </w:r>
          </w:p>
        </w:tc>
        <w:tc>
          <w:tcPr>
            <w:tcW w:w="760" w:type="dxa"/>
            <w:vAlign w:val="bottom"/>
          </w:tcPr>
          <w:p>
            <w:pPr>
              <w:jc w:val="right"/>
              <w:ind w:right="323"/>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60"/>
              <w:spacing w:after="0"/>
              <w:rPr>
                <w:sz w:val="20"/>
                <w:szCs w:val="20"/>
                <w:color w:val="auto"/>
              </w:rPr>
            </w:pPr>
            <w:r>
              <w:rPr>
                <w:rFonts w:ascii="Arial" w:cs="Arial" w:eastAsia="Arial" w:hAnsi="Arial"/>
                <w:sz w:val="16"/>
                <w:szCs w:val="16"/>
                <w:color w:val="auto"/>
              </w:rPr>
              <w:t>379</w:t>
            </w:r>
          </w:p>
        </w:tc>
        <w:tc>
          <w:tcPr>
            <w:tcW w:w="1240" w:type="dxa"/>
            <w:vAlign w:val="bottom"/>
          </w:tcPr>
          <w:p>
            <w:pPr>
              <w:ind w:left="260"/>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20"/>
              <w:spacing w:after="0"/>
              <w:rPr>
                <w:sz w:val="20"/>
                <w:szCs w:val="20"/>
                <w:color w:val="auto"/>
              </w:rPr>
            </w:pPr>
            <w:r>
              <w:rPr>
                <w:rFonts w:ascii="Arial" w:cs="Arial" w:eastAsia="Arial" w:hAnsi="Arial"/>
                <w:sz w:val="16"/>
                <w:szCs w:val="16"/>
                <w:color w:val="auto"/>
              </w:rPr>
              <w:t>20</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399</w:t>
            </w:r>
          </w:p>
        </w:tc>
        <w:tc>
          <w:tcPr>
            <w:tcW w:w="0" w:type="dxa"/>
            <w:vAlign w:val="bottom"/>
          </w:tcPr>
          <w:p>
            <w:pPr>
              <w:spacing w:after="0"/>
              <w:rPr>
                <w:sz w:val="1"/>
                <w:szCs w:val="1"/>
                <w:color w:val="auto"/>
              </w:rPr>
            </w:pPr>
          </w:p>
        </w:tc>
      </w:tr>
      <w:tr>
        <w:trPr>
          <w:trHeight w:val="214"/>
        </w:trPr>
        <w:tc>
          <w:tcPr>
            <w:tcW w:w="4200" w:type="dxa"/>
            <w:vAlign w:val="bottom"/>
          </w:tcPr>
          <w:p>
            <w:pPr>
              <w:spacing w:after="0"/>
              <w:rPr>
                <w:sz w:val="20"/>
                <w:szCs w:val="20"/>
                <w:color w:val="auto"/>
              </w:rPr>
            </w:pPr>
            <w:r>
              <w:rPr>
                <w:rFonts w:ascii="Arial" w:cs="Arial" w:eastAsia="Arial" w:hAnsi="Arial"/>
                <w:sz w:val="16"/>
                <w:szCs w:val="16"/>
                <w:color w:val="auto"/>
              </w:rPr>
              <w:t>Other comprehensive income:</w:t>
            </w:r>
          </w:p>
        </w:tc>
        <w:tc>
          <w:tcPr>
            <w:tcW w:w="8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00" w:type="dxa"/>
            <w:vAlign w:val="bottom"/>
          </w:tcPr>
          <w:p>
            <w:pPr>
              <w:ind w:left="180"/>
              <w:spacing w:after="0"/>
              <w:rPr>
                <w:sz w:val="20"/>
                <w:szCs w:val="20"/>
                <w:color w:val="auto"/>
              </w:rPr>
            </w:pPr>
            <w:r>
              <w:rPr>
                <w:rFonts w:ascii="Arial" w:cs="Arial" w:eastAsia="Arial" w:hAnsi="Arial"/>
                <w:sz w:val="16"/>
                <w:szCs w:val="16"/>
                <w:color w:val="auto"/>
              </w:rPr>
              <w:t>Pension and other postretirement benefits</w:t>
            </w:r>
          </w:p>
        </w:tc>
        <w:tc>
          <w:tcPr>
            <w:tcW w:w="880" w:type="dxa"/>
            <w:vAlign w:val="bottom"/>
          </w:tcPr>
          <w:p>
            <w:pPr>
              <w:spacing w:after="0"/>
              <w:rPr>
                <w:sz w:val="18"/>
                <w:szCs w:val="18"/>
                <w:color w:val="auto"/>
              </w:rPr>
            </w:pPr>
          </w:p>
        </w:tc>
        <w:tc>
          <w:tcPr>
            <w:tcW w:w="460" w:type="dxa"/>
            <w:vAlign w:val="bottom"/>
          </w:tcPr>
          <w:p>
            <w:pPr>
              <w:jc w:val="right"/>
              <w:ind w:right="60"/>
              <w:spacing w:after="0"/>
              <w:rPr>
                <w:sz w:val="20"/>
                <w:szCs w:val="20"/>
                <w:color w:val="auto"/>
              </w:rPr>
            </w:pPr>
            <w:r>
              <w:rPr>
                <w:rFonts w:ascii="Arial" w:cs="Arial" w:eastAsia="Arial" w:hAnsi="Arial"/>
                <w:sz w:val="16"/>
                <w:szCs w:val="16"/>
                <w:color w:val="auto"/>
              </w:rPr>
              <w:t>3</w:t>
            </w:r>
          </w:p>
        </w:tc>
        <w:tc>
          <w:tcPr>
            <w:tcW w:w="340" w:type="dxa"/>
            <w:vAlign w:val="bottom"/>
          </w:tcPr>
          <w:p>
            <w:pPr>
              <w:spacing w:after="0"/>
              <w:rPr>
                <w:sz w:val="18"/>
                <w:szCs w:val="18"/>
                <w:color w:val="auto"/>
              </w:rPr>
            </w:pPr>
          </w:p>
        </w:tc>
        <w:tc>
          <w:tcPr>
            <w:tcW w:w="1360" w:type="dxa"/>
            <w:vAlign w:val="bottom"/>
          </w:tcPr>
          <w:p>
            <w:pPr>
              <w:jc w:val="right"/>
              <w:ind w:right="61"/>
              <w:spacing w:after="0"/>
              <w:rPr>
                <w:sz w:val="20"/>
                <w:szCs w:val="20"/>
                <w:color w:val="auto"/>
              </w:rPr>
            </w:pPr>
            <w:r>
              <w:rPr>
                <w:rFonts w:ascii="Arial" w:cs="Arial" w:eastAsia="Arial" w:hAnsi="Arial"/>
                <w:sz w:val="16"/>
                <w:szCs w:val="16"/>
                <w:color w:val="auto"/>
              </w:rPr>
              <w:t>(1)</w:t>
            </w:r>
          </w:p>
        </w:tc>
        <w:tc>
          <w:tcPr>
            <w:tcW w:w="760" w:type="dxa"/>
            <w:vAlign w:val="bottom"/>
          </w:tcPr>
          <w:p>
            <w:pPr>
              <w:spacing w:after="0"/>
              <w:rPr>
                <w:sz w:val="18"/>
                <w:szCs w:val="18"/>
                <w:color w:val="auto"/>
              </w:rPr>
            </w:pPr>
          </w:p>
        </w:tc>
        <w:tc>
          <w:tcPr>
            <w:tcW w:w="460" w:type="dxa"/>
            <w:vAlign w:val="bottom"/>
          </w:tcPr>
          <w:p>
            <w:pPr>
              <w:jc w:val="right"/>
              <w:ind w:right="60"/>
              <w:spacing w:after="0"/>
              <w:rPr>
                <w:sz w:val="20"/>
                <w:szCs w:val="20"/>
                <w:color w:val="auto"/>
              </w:rPr>
            </w:pPr>
            <w:r>
              <w:rPr>
                <w:rFonts w:ascii="Arial" w:cs="Arial" w:eastAsia="Arial" w:hAnsi="Arial"/>
                <w:sz w:val="16"/>
                <w:szCs w:val="16"/>
                <w:color w:val="auto"/>
              </w:rPr>
              <w:t>2</w:t>
            </w:r>
          </w:p>
        </w:tc>
        <w:tc>
          <w:tcPr>
            <w:tcW w:w="1240" w:type="dxa"/>
            <w:vAlign w:val="bottom"/>
          </w:tcPr>
          <w:p>
            <w:pPr>
              <w:spacing w:after="0"/>
              <w:rPr>
                <w:sz w:val="18"/>
                <w:szCs w:val="18"/>
                <w:color w:val="auto"/>
              </w:rPr>
            </w:pPr>
          </w:p>
        </w:tc>
        <w:tc>
          <w:tcPr>
            <w:tcW w:w="56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4"/>
        </w:trPr>
        <w:tc>
          <w:tcPr>
            <w:tcW w:w="4200" w:type="dxa"/>
            <w:vAlign w:val="bottom"/>
          </w:tcPr>
          <w:p>
            <w:pPr>
              <w:ind w:left="180"/>
              <w:spacing w:after="0"/>
              <w:rPr>
                <w:sz w:val="20"/>
                <w:szCs w:val="20"/>
                <w:color w:val="auto"/>
              </w:rPr>
            </w:pPr>
            <w:r>
              <w:rPr>
                <w:rFonts w:ascii="Arial" w:cs="Arial" w:eastAsia="Arial" w:hAnsi="Arial"/>
                <w:sz w:val="16"/>
                <w:szCs w:val="16"/>
                <w:color w:val="auto"/>
              </w:rPr>
              <w:t>Financial instruments</w:t>
            </w:r>
          </w:p>
        </w:tc>
        <w:tc>
          <w:tcPr>
            <w:tcW w:w="8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w w:val="99"/>
              </w:rPr>
              <w:t>―</w:t>
            </w: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w:t>
            </w: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6"/>
        </w:trPr>
        <w:tc>
          <w:tcPr>
            <w:tcW w:w="4200" w:type="dxa"/>
            <w:vAlign w:val="bottom"/>
          </w:tcPr>
          <w:p>
            <w:pPr>
              <w:ind w:left="180"/>
              <w:spacing w:after="0"/>
              <w:rPr>
                <w:sz w:val="20"/>
                <w:szCs w:val="20"/>
                <w:color w:val="auto"/>
              </w:rPr>
            </w:pPr>
            <w:r>
              <w:rPr>
                <w:rFonts w:ascii="Arial" w:cs="Arial" w:eastAsia="Arial" w:hAnsi="Arial"/>
                <w:sz w:val="16"/>
                <w:szCs w:val="16"/>
                <w:color w:val="auto"/>
              </w:rPr>
              <w:t>Total other comprehensive income</w:t>
            </w:r>
          </w:p>
        </w:tc>
        <w:tc>
          <w:tcPr>
            <w:tcW w:w="8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w:t>
            </w: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w:t>
            </w:r>
          </w:p>
        </w:tc>
        <w:tc>
          <w:tcPr>
            <w:tcW w:w="7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w:t>
            </w:r>
          </w:p>
        </w:tc>
        <w:tc>
          <w:tcPr>
            <w:tcW w:w="12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w:t>
            </w: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73"/>
        </w:trPr>
        <w:tc>
          <w:tcPr>
            <w:tcW w:w="4200" w:type="dxa"/>
            <w:vAlign w:val="bottom"/>
            <w:tcBorders>
              <w:bottom w:val="single" w:sz="8" w:color="auto"/>
            </w:tcBorders>
          </w:tcPr>
          <w:p>
            <w:pPr>
              <w:spacing w:after="0" w:line="166" w:lineRule="exact"/>
              <w:rPr>
                <w:sz w:val="20"/>
                <w:szCs w:val="20"/>
                <w:color w:val="auto"/>
              </w:rPr>
            </w:pPr>
            <w:r>
              <w:rPr>
                <w:rFonts w:ascii="Arial" w:cs="Arial" w:eastAsia="Arial" w:hAnsi="Arial"/>
                <w:sz w:val="16"/>
                <w:szCs w:val="16"/>
                <w:color w:val="auto"/>
              </w:rPr>
              <w:t>Comprehensive income</w:t>
            </w:r>
          </w:p>
        </w:tc>
        <w:tc>
          <w:tcPr>
            <w:tcW w:w="880" w:type="dxa"/>
            <w:vAlign w:val="bottom"/>
            <w:tcBorders>
              <w:bottom w:val="single" w:sz="8" w:color="auto"/>
            </w:tcBorders>
          </w:tcPr>
          <w:p>
            <w:pPr>
              <w:ind w:left="380"/>
              <w:spacing w:after="0" w:line="166" w:lineRule="exact"/>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jc w:val="right"/>
              <w:ind w:right="60"/>
              <w:spacing w:after="0" w:line="166" w:lineRule="exact"/>
              <w:rPr>
                <w:sz w:val="20"/>
                <w:szCs w:val="20"/>
                <w:color w:val="auto"/>
              </w:rPr>
            </w:pPr>
            <w:r>
              <w:rPr>
                <w:rFonts w:ascii="Arial" w:cs="Arial" w:eastAsia="Arial" w:hAnsi="Arial"/>
                <w:sz w:val="16"/>
                <w:szCs w:val="16"/>
                <w:color w:val="auto"/>
              </w:rPr>
              <w:t>599</w:t>
            </w:r>
          </w:p>
        </w:tc>
        <w:tc>
          <w:tcPr>
            <w:tcW w:w="34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61"/>
              <w:spacing w:after="0" w:line="166" w:lineRule="exact"/>
              <w:rPr>
                <w:sz w:val="20"/>
                <w:szCs w:val="20"/>
                <w:color w:val="auto"/>
              </w:rPr>
            </w:pPr>
            <w:r>
              <w:rPr>
                <w:rFonts w:ascii="Arial" w:cs="Arial" w:eastAsia="Arial" w:hAnsi="Arial"/>
                <w:sz w:val="16"/>
                <w:szCs w:val="16"/>
                <w:color w:val="auto"/>
              </w:rPr>
              <w:t>(218)</w:t>
            </w:r>
          </w:p>
        </w:tc>
        <w:tc>
          <w:tcPr>
            <w:tcW w:w="760" w:type="dxa"/>
            <w:vAlign w:val="bottom"/>
            <w:tcBorders>
              <w:bottom w:val="single" w:sz="8" w:color="auto"/>
            </w:tcBorders>
          </w:tcPr>
          <w:p>
            <w:pPr>
              <w:jc w:val="right"/>
              <w:ind w:right="323"/>
              <w:spacing w:after="0" w:line="166" w:lineRule="exact"/>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jc w:val="right"/>
              <w:ind w:right="60"/>
              <w:spacing w:after="0" w:line="166" w:lineRule="exact"/>
              <w:rPr>
                <w:sz w:val="20"/>
                <w:szCs w:val="20"/>
                <w:color w:val="auto"/>
              </w:rPr>
            </w:pPr>
            <w:r>
              <w:rPr>
                <w:rFonts w:ascii="Arial" w:cs="Arial" w:eastAsia="Arial" w:hAnsi="Arial"/>
                <w:sz w:val="16"/>
                <w:szCs w:val="16"/>
                <w:color w:val="auto"/>
              </w:rPr>
              <w:t>381</w:t>
            </w:r>
          </w:p>
        </w:tc>
        <w:tc>
          <w:tcPr>
            <w:tcW w:w="1240" w:type="dxa"/>
            <w:vAlign w:val="bottom"/>
            <w:tcBorders>
              <w:bottom w:val="single" w:sz="8" w:color="auto"/>
            </w:tcBorders>
          </w:tcPr>
          <w:p>
            <w:pPr>
              <w:ind w:left="260"/>
              <w:spacing w:after="0" w:line="166" w:lineRule="exact"/>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ind w:right="120"/>
              <w:spacing w:after="0" w:line="166" w:lineRule="exact"/>
              <w:rPr>
                <w:sz w:val="20"/>
                <w:szCs w:val="20"/>
                <w:color w:val="auto"/>
              </w:rPr>
            </w:pPr>
            <w:r>
              <w:rPr>
                <w:rFonts w:ascii="Arial" w:cs="Arial" w:eastAsia="Arial" w:hAnsi="Arial"/>
                <w:sz w:val="16"/>
                <w:szCs w:val="16"/>
                <w:color w:val="auto"/>
              </w:rPr>
              <w:t>23</w:t>
            </w:r>
          </w:p>
        </w:tc>
        <w:tc>
          <w:tcPr>
            <w:tcW w:w="30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404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200" w:type="dxa"/>
            <w:vAlign w:val="bottom"/>
          </w:tcPr>
          <w:p>
            <w:pPr>
              <w:spacing w:after="0"/>
              <w:rPr>
                <w:sz w:val="20"/>
                <w:szCs w:val="20"/>
                <w:color w:val="auto"/>
              </w:rPr>
            </w:pPr>
            <w:r>
              <w:rPr>
                <w:rFonts w:ascii="Arial" w:cs="Arial" w:eastAsia="Arial" w:hAnsi="Arial"/>
                <w:sz w:val="16"/>
                <w:szCs w:val="16"/>
                <w:b w:val="1"/>
                <w:bCs w:val="1"/>
                <w:color w:val="auto"/>
              </w:rPr>
              <w:t>2013:</w:t>
            </w:r>
          </w:p>
        </w:tc>
        <w:tc>
          <w:tcPr>
            <w:tcW w:w="880" w:type="dxa"/>
            <w:vAlign w:val="bottom"/>
            <w:vMerge w:val="restart"/>
          </w:tcPr>
          <w:p>
            <w:pPr>
              <w:ind w:left="380"/>
              <w:spacing w:after="0"/>
              <w:rPr>
                <w:sz w:val="20"/>
                <w:szCs w:val="20"/>
                <w:color w:val="auto"/>
              </w:rPr>
            </w:pPr>
            <w:r>
              <w:rPr>
                <w:rFonts w:ascii="Arial" w:cs="Arial" w:eastAsia="Arial" w:hAnsi="Arial"/>
                <w:sz w:val="16"/>
                <w:szCs w:val="16"/>
                <w:color w:val="auto"/>
              </w:rPr>
              <w:t>$</w:t>
            </w:r>
          </w:p>
        </w:tc>
        <w:tc>
          <w:tcPr>
            <w:tcW w:w="460" w:type="dxa"/>
            <w:vAlign w:val="bottom"/>
            <w:vMerge w:val="restart"/>
          </w:tcPr>
          <w:p>
            <w:pPr>
              <w:jc w:val="right"/>
              <w:ind w:right="60"/>
              <w:spacing w:after="0"/>
              <w:rPr>
                <w:sz w:val="20"/>
                <w:szCs w:val="20"/>
                <w:color w:val="auto"/>
              </w:rPr>
            </w:pPr>
            <w:r>
              <w:rPr>
                <w:rFonts w:ascii="Arial" w:cs="Arial" w:eastAsia="Arial" w:hAnsi="Arial"/>
                <w:sz w:val="16"/>
                <w:szCs w:val="16"/>
                <w:color w:val="auto"/>
              </w:rPr>
              <w:t>439</w:t>
            </w: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360" w:type="dxa"/>
            <w:vAlign w:val="bottom"/>
            <w:vMerge w:val="restart"/>
          </w:tcPr>
          <w:p>
            <w:pPr>
              <w:jc w:val="right"/>
              <w:ind w:right="61"/>
              <w:spacing w:after="0"/>
              <w:rPr>
                <w:sz w:val="20"/>
                <w:szCs w:val="20"/>
                <w:color w:val="auto"/>
              </w:rPr>
            </w:pPr>
            <w:r>
              <w:rPr>
                <w:rFonts w:ascii="Arial" w:cs="Arial" w:eastAsia="Arial" w:hAnsi="Arial"/>
                <w:sz w:val="16"/>
                <w:szCs w:val="16"/>
                <w:color w:val="auto"/>
              </w:rPr>
              <w:t>(147)</w:t>
            </w:r>
          </w:p>
        </w:tc>
        <w:tc>
          <w:tcPr>
            <w:tcW w:w="760" w:type="dxa"/>
            <w:vAlign w:val="bottom"/>
            <w:vMerge w:val="restart"/>
          </w:tcPr>
          <w:p>
            <w:pPr>
              <w:jc w:val="right"/>
              <w:ind w:right="323"/>
              <w:spacing w:after="0"/>
              <w:rPr>
                <w:sz w:val="20"/>
                <w:szCs w:val="20"/>
                <w:color w:val="auto"/>
              </w:rPr>
            </w:pPr>
            <w:r>
              <w:rPr>
                <w:rFonts w:ascii="Arial" w:cs="Arial" w:eastAsia="Arial" w:hAnsi="Arial"/>
                <w:sz w:val="16"/>
                <w:szCs w:val="16"/>
                <w:color w:val="auto"/>
              </w:rPr>
              <w:t>$</w:t>
            </w:r>
          </w:p>
        </w:tc>
        <w:tc>
          <w:tcPr>
            <w:tcW w:w="460" w:type="dxa"/>
            <w:vAlign w:val="bottom"/>
            <w:vMerge w:val="restart"/>
          </w:tcPr>
          <w:p>
            <w:pPr>
              <w:jc w:val="right"/>
              <w:ind w:right="60"/>
              <w:spacing w:after="0"/>
              <w:rPr>
                <w:sz w:val="20"/>
                <w:szCs w:val="20"/>
                <w:color w:val="auto"/>
              </w:rPr>
            </w:pPr>
            <w:r>
              <w:rPr>
                <w:rFonts w:ascii="Arial" w:cs="Arial" w:eastAsia="Arial" w:hAnsi="Arial"/>
                <w:sz w:val="16"/>
                <w:szCs w:val="16"/>
                <w:color w:val="auto"/>
              </w:rPr>
              <w:t>292</w:t>
            </w:r>
          </w:p>
        </w:tc>
        <w:tc>
          <w:tcPr>
            <w:tcW w:w="1240" w:type="dxa"/>
            <w:vAlign w:val="bottom"/>
            <w:vMerge w:val="restart"/>
          </w:tcPr>
          <w:p>
            <w:pPr>
              <w:ind w:left="260"/>
              <w:spacing w:after="0"/>
              <w:rPr>
                <w:sz w:val="20"/>
                <w:szCs w:val="20"/>
                <w:color w:val="auto"/>
              </w:rPr>
            </w:pPr>
            <w:r>
              <w:rPr>
                <w:rFonts w:ascii="Arial" w:cs="Arial" w:eastAsia="Arial" w:hAnsi="Arial"/>
                <w:sz w:val="16"/>
                <w:szCs w:val="16"/>
                <w:color w:val="auto"/>
              </w:rPr>
              <w:t>$</w:t>
            </w:r>
          </w:p>
        </w:tc>
        <w:tc>
          <w:tcPr>
            <w:tcW w:w="560" w:type="dxa"/>
            <w:vAlign w:val="bottom"/>
            <w:vMerge w:val="restart"/>
          </w:tcPr>
          <w:p>
            <w:pPr>
              <w:jc w:val="right"/>
              <w:ind w:right="120"/>
              <w:spacing w:after="0"/>
              <w:rPr>
                <w:sz w:val="20"/>
                <w:szCs w:val="20"/>
                <w:color w:val="auto"/>
              </w:rPr>
            </w:pPr>
            <w:r>
              <w:rPr>
                <w:rFonts w:ascii="Arial" w:cs="Arial" w:eastAsia="Arial" w:hAnsi="Arial"/>
                <w:sz w:val="16"/>
                <w:szCs w:val="16"/>
                <w:color w:val="auto"/>
              </w:rPr>
              <w:t>1</w:t>
            </w:r>
          </w:p>
        </w:tc>
        <w:tc>
          <w:tcPr>
            <w:tcW w:w="3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171"/>
        </w:trPr>
        <w:tc>
          <w:tcPr>
            <w:tcW w:w="4200" w:type="dxa"/>
            <w:vAlign w:val="bottom"/>
          </w:tcPr>
          <w:p>
            <w:pPr>
              <w:spacing w:after="0" w:line="171" w:lineRule="exact"/>
              <w:rPr>
                <w:sz w:val="20"/>
                <w:szCs w:val="20"/>
                <w:color w:val="auto"/>
              </w:rPr>
            </w:pPr>
            <w:r>
              <w:rPr>
                <w:rFonts w:ascii="Arial" w:cs="Arial" w:eastAsia="Arial" w:hAnsi="Arial"/>
                <w:sz w:val="16"/>
                <w:szCs w:val="16"/>
                <w:color w:val="auto"/>
              </w:rPr>
              <w:t>Net income</w:t>
            </w:r>
          </w:p>
        </w:tc>
        <w:tc>
          <w:tcPr>
            <w:tcW w:w="88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200" w:type="dxa"/>
            <w:vAlign w:val="bottom"/>
          </w:tcPr>
          <w:p>
            <w:pPr>
              <w:spacing w:after="0"/>
              <w:rPr>
                <w:sz w:val="20"/>
                <w:szCs w:val="20"/>
                <w:color w:val="auto"/>
              </w:rPr>
            </w:pPr>
            <w:r>
              <w:rPr>
                <w:rFonts w:ascii="Arial" w:cs="Arial" w:eastAsia="Arial" w:hAnsi="Arial"/>
                <w:sz w:val="16"/>
                <w:szCs w:val="16"/>
                <w:color w:val="auto"/>
              </w:rPr>
              <w:t>Other comprehensive income:</w:t>
            </w:r>
          </w:p>
        </w:tc>
        <w:tc>
          <w:tcPr>
            <w:tcW w:w="8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00" w:type="dxa"/>
            <w:vAlign w:val="bottom"/>
          </w:tcPr>
          <w:p>
            <w:pPr>
              <w:ind w:left="180"/>
              <w:spacing w:after="0"/>
              <w:rPr>
                <w:sz w:val="20"/>
                <w:szCs w:val="20"/>
                <w:color w:val="auto"/>
              </w:rPr>
            </w:pPr>
            <w:r>
              <w:rPr>
                <w:rFonts w:ascii="Arial" w:cs="Arial" w:eastAsia="Arial" w:hAnsi="Arial"/>
                <w:sz w:val="16"/>
                <w:szCs w:val="16"/>
                <w:color w:val="auto"/>
              </w:rPr>
              <w:t>Pension and other postretirement benefits</w:t>
            </w:r>
          </w:p>
        </w:tc>
        <w:tc>
          <w:tcPr>
            <w:tcW w:w="880" w:type="dxa"/>
            <w:vAlign w:val="bottom"/>
          </w:tcPr>
          <w:p>
            <w:pPr>
              <w:spacing w:after="0"/>
              <w:rPr>
                <w:sz w:val="18"/>
                <w:szCs w:val="18"/>
                <w:color w:val="auto"/>
              </w:rPr>
            </w:pPr>
          </w:p>
        </w:tc>
        <w:tc>
          <w:tcPr>
            <w:tcW w:w="460" w:type="dxa"/>
            <w:vAlign w:val="bottom"/>
          </w:tcPr>
          <w:p>
            <w:pPr>
              <w:jc w:val="right"/>
              <w:ind w:right="60"/>
              <w:spacing w:after="0"/>
              <w:rPr>
                <w:sz w:val="20"/>
                <w:szCs w:val="20"/>
                <w:color w:val="auto"/>
              </w:rPr>
            </w:pPr>
            <w:r>
              <w:rPr>
                <w:rFonts w:ascii="Arial" w:cs="Arial" w:eastAsia="Arial" w:hAnsi="Arial"/>
                <w:sz w:val="16"/>
                <w:szCs w:val="16"/>
                <w:color w:val="auto"/>
              </w:rPr>
              <w:t>3</w:t>
            </w:r>
          </w:p>
        </w:tc>
        <w:tc>
          <w:tcPr>
            <w:tcW w:w="340" w:type="dxa"/>
            <w:vAlign w:val="bottom"/>
          </w:tcPr>
          <w:p>
            <w:pPr>
              <w:spacing w:after="0"/>
              <w:rPr>
                <w:sz w:val="18"/>
                <w:szCs w:val="18"/>
                <w:color w:val="auto"/>
              </w:rPr>
            </w:pPr>
          </w:p>
        </w:tc>
        <w:tc>
          <w:tcPr>
            <w:tcW w:w="1360" w:type="dxa"/>
            <w:vAlign w:val="bottom"/>
          </w:tcPr>
          <w:p>
            <w:pPr>
              <w:jc w:val="right"/>
              <w:ind w:right="61"/>
              <w:spacing w:after="0"/>
              <w:rPr>
                <w:sz w:val="20"/>
                <w:szCs w:val="20"/>
                <w:color w:val="auto"/>
              </w:rPr>
            </w:pPr>
            <w:r>
              <w:rPr>
                <w:rFonts w:ascii="Arial" w:cs="Arial" w:eastAsia="Arial" w:hAnsi="Arial"/>
                <w:sz w:val="16"/>
                <w:szCs w:val="16"/>
                <w:color w:val="auto"/>
              </w:rPr>
              <w:t>(1)</w:t>
            </w:r>
          </w:p>
        </w:tc>
        <w:tc>
          <w:tcPr>
            <w:tcW w:w="760" w:type="dxa"/>
            <w:vAlign w:val="bottom"/>
          </w:tcPr>
          <w:p>
            <w:pPr>
              <w:spacing w:after="0"/>
              <w:rPr>
                <w:sz w:val="18"/>
                <w:szCs w:val="18"/>
                <w:color w:val="auto"/>
              </w:rPr>
            </w:pPr>
          </w:p>
        </w:tc>
        <w:tc>
          <w:tcPr>
            <w:tcW w:w="460" w:type="dxa"/>
            <w:vAlign w:val="bottom"/>
          </w:tcPr>
          <w:p>
            <w:pPr>
              <w:jc w:val="right"/>
              <w:ind w:right="60"/>
              <w:spacing w:after="0"/>
              <w:rPr>
                <w:sz w:val="20"/>
                <w:szCs w:val="20"/>
                <w:color w:val="auto"/>
              </w:rPr>
            </w:pPr>
            <w:r>
              <w:rPr>
                <w:rFonts w:ascii="Arial" w:cs="Arial" w:eastAsia="Arial" w:hAnsi="Arial"/>
                <w:sz w:val="16"/>
                <w:szCs w:val="16"/>
                <w:color w:val="auto"/>
              </w:rPr>
              <w:t>2</w:t>
            </w:r>
          </w:p>
        </w:tc>
        <w:tc>
          <w:tcPr>
            <w:tcW w:w="1240" w:type="dxa"/>
            <w:vAlign w:val="bottom"/>
          </w:tcPr>
          <w:p>
            <w:pPr>
              <w:spacing w:after="0"/>
              <w:rPr>
                <w:sz w:val="18"/>
                <w:szCs w:val="18"/>
                <w:color w:val="auto"/>
              </w:rPr>
            </w:pPr>
          </w:p>
        </w:tc>
        <w:tc>
          <w:tcPr>
            <w:tcW w:w="56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4"/>
        </w:trPr>
        <w:tc>
          <w:tcPr>
            <w:tcW w:w="4200" w:type="dxa"/>
            <w:vAlign w:val="bottom"/>
          </w:tcPr>
          <w:p>
            <w:pPr>
              <w:ind w:left="180"/>
              <w:spacing w:after="0"/>
              <w:rPr>
                <w:sz w:val="20"/>
                <w:szCs w:val="20"/>
                <w:color w:val="auto"/>
              </w:rPr>
            </w:pPr>
            <w:r>
              <w:rPr>
                <w:rFonts w:ascii="Arial" w:cs="Arial" w:eastAsia="Arial" w:hAnsi="Arial"/>
                <w:sz w:val="16"/>
                <w:szCs w:val="16"/>
                <w:color w:val="auto"/>
              </w:rPr>
              <w:t>Financial instruments</w:t>
            </w:r>
          </w:p>
        </w:tc>
        <w:tc>
          <w:tcPr>
            <w:tcW w:w="8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w w:val="99"/>
              </w:rPr>
              <w:t>―</w:t>
            </w: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14</w:t>
            </w: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6"/>
        </w:trPr>
        <w:tc>
          <w:tcPr>
            <w:tcW w:w="4200" w:type="dxa"/>
            <w:vAlign w:val="bottom"/>
          </w:tcPr>
          <w:p>
            <w:pPr>
              <w:ind w:left="180"/>
              <w:spacing w:after="0"/>
              <w:rPr>
                <w:sz w:val="20"/>
                <w:szCs w:val="20"/>
                <w:color w:val="auto"/>
              </w:rPr>
            </w:pPr>
            <w:r>
              <w:rPr>
                <w:rFonts w:ascii="Arial" w:cs="Arial" w:eastAsia="Arial" w:hAnsi="Arial"/>
                <w:sz w:val="16"/>
                <w:szCs w:val="16"/>
                <w:color w:val="auto"/>
              </w:rPr>
              <w:t>Total other comprehensive income</w:t>
            </w:r>
          </w:p>
        </w:tc>
        <w:tc>
          <w:tcPr>
            <w:tcW w:w="8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w:t>
            </w: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w:t>
            </w:r>
          </w:p>
        </w:tc>
        <w:tc>
          <w:tcPr>
            <w:tcW w:w="7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w:t>
            </w:r>
          </w:p>
        </w:tc>
        <w:tc>
          <w:tcPr>
            <w:tcW w:w="12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14</w:t>
            </w: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86"/>
        </w:trPr>
        <w:tc>
          <w:tcPr>
            <w:tcW w:w="4200" w:type="dxa"/>
            <w:vAlign w:val="bottom"/>
          </w:tcPr>
          <w:p>
            <w:pPr>
              <w:spacing w:after="0" w:line="175" w:lineRule="exact"/>
              <w:rPr>
                <w:sz w:val="20"/>
                <w:szCs w:val="20"/>
                <w:color w:val="auto"/>
              </w:rPr>
            </w:pPr>
            <w:r>
              <w:rPr>
                <w:rFonts w:ascii="Arial" w:cs="Arial" w:eastAsia="Arial" w:hAnsi="Arial"/>
                <w:sz w:val="16"/>
                <w:szCs w:val="16"/>
                <w:color w:val="auto"/>
              </w:rPr>
              <w:t>Comprehensive income</w:t>
            </w:r>
          </w:p>
        </w:tc>
        <w:tc>
          <w:tcPr>
            <w:tcW w:w="880" w:type="dxa"/>
            <w:vAlign w:val="bottom"/>
          </w:tcPr>
          <w:p>
            <w:pPr>
              <w:ind w:left="380"/>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60"/>
              <w:spacing w:after="0"/>
              <w:rPr>
                <w:sz w:val="20"/>
                <w:szCs w:val="20"/>
                <w:color w:val="auto"/>
              </w:rPr>
            </w:pPr>
            <w:r>
              <w:rPr>
                <w:rFonts w:ascii="Arial" w:cs="Arial" w:eastAsia="Arial" w:hAnsi="Arial"/>
                <w:sz w:val="16"/>
                <w:szCs w:val="16"/>
                <w:color w:val="auto"/>
              </w:rPr>
              <w:t>442</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61"/>
              <w:spacing w:after="0"/>
              <w:rPr>
                <w:sz w:val="20"/>
                <w:szCs w:val="20"/>
                <w:color w:val="auto"/>
              </w:rPr>
            </w:pPr>
            <w:r>
              <w:rPr>
                <w:rFonts w:ascii="Arial" w:cs="Arial" w:eastAsia="Arial" w:hAnsi="Arial"/>
                <w:sz w:val="16"/>
                <w:szCs w:val="16"/>
                <w:color w:val="auto"/>
              </w:rPr>
              <w:t>(148)</w:t>
            </w:r>
          </w:p>
        </w:tc>
        <w:tc>
          <w:tcPr>
            <w:tcW w:w="760" w:type="dxa"/>
            <w:vAlign w:val="bottom"/>
          </w:tcPr>
          <w:p>
            <w:pPr>
              <w:jc w:val="right"/>
              <w:ind w:right="323"/>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60"/>
              <w:spacing w:after="0"/>
              <w:rPr>
                <w:sz w:val="20"/>
                <w:szCs w:val="20"/>
                <w:color w:val="auto"/>
              </w:rPr>
            </w:pPr>
            <w:r>
              <w:rPr>
                <w:rFonts w:ascii="Arial" w:cs="Arial" w:eastAsia="Arial" w:hAnsi="Arial"/>
                <w:sz w:val="16"/>
                <w:szCs w:val="16"/>
                <w:color w:val="auto"/>
              </w:rPr>
              <w:t>294</w:t>
            </w:r>
          </w:p>
        </w:tc>
        <w:tc>
          <w:tcPr>
            <w:tcW w:w="1240" w:type="dxa"/>
            <w:vAlign w:val="bottom"/>
          </w:tcPr>
          <w:p>
            <w:pPr>
              <w:ind w:left="260"/>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20"/>
              <w:spacing w:after="0"/>
              <w:rPr>
                <w:sz w:val="20"/>
                <w:szCs w:val="20"/>
                <w:color w:val="auto"/>
              </w:rPr>
            </w:pPr>
            <w:r>
              <w:rPr>
                <w:rFonts w:ascii="Arial" w:cs="Arial" w:eastAsia="Arial" w:hAnsi="Arial"/>
                <w:sz w:val="16"/>
                <w:szCs w:val="16"/>
                <w:color w:val="auto"/>
              </w:rPr>
              <w:t>15</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309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24852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8525" cy="1714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SAN DIEGO GAS &amp; ELECTRIC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-104775</wp:posOffset>
            </wp:positionV>
            <wp:extent cx="7248525" cy="3289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8525" cy="32893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600" w:type="dxa"/>
            <w:vAlign w:val="bottom"/>
          </w:tcPr>
          <w:p>
            <w:pPr>
              <w:spacing w:after="0"/>
              <w:rPr>
                <w:sz w:val="14"/>
                <w:szCs w:val="14"/>
                <w:color w:val="auto"/>
              </w:rPr>
            </w:pPr>
          </w:p>
        </w:tc>
        <w:tc>
          <w:tcPr>
            <w:tcW w:w="1540" w:type="dxa"/>
            <w:vAlign w:val="bottom"/>
            <w:gridSpan w:val="2"/>
          </w:tcPr>
          <w:p>
            <w:pPr>
              <w:jc w:val="center"/>
              <w:ind w:right="61"/>
              <w:spacing w:after="0"/>
              <w:rPr>
                <w:sz w:val="20"/>
                <w:szCs w:val="20"/>
                <w:color w:val="auto"/>
              </w:rPr>
            </w:pPr>
            <w:r>
              <w:rPr>
                <w:rFonts w:ascii="Arial" w:cs="Arial" w:eastAsia="Arial" w:hAnsi="Arial"/>
                <w:sz w:val="14"/>
                <w:szCs w:val="14"/>
                <w:color w:val="auto"/>
              </w:rPr>
              <w:t>September 30,</w:t>
            </w:r>
          </w:p>
        </w:tc>
        <w:tc>
          <w:tcPr>
            <w:tcW w:w="1280" w:type="dxa"/>
            <w:vAlign w:val="bottom"/>
            <w:gridSpan w:val="2"/>
          </w:tcPr>
          <w:p>
            <w:pPr>
              <w:ind w:left="12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7"/>
        </w:trPr>
        <w:tc>
          <w:tcPr>
            <w:tcW w:w="86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521"/>
              <w:spacing w:after="0"/>
              <w:rPr>
                <w:sz w:val="20"/>
                <w:szCs w:val="20"/>
                <w:color w:val="auto"/>
              </w:rPr>
            </w:pPr>
            <w:r>
              <w:rPr>
                <w:rFonts w:ascii="Arial" w:cs="Arial" w:eastAsia="Arial" w:hAnsi="Arial"/>
                <w:sz w:val="14"/>
                <w:szCs w:val="14"/>
                <w:color w:val="auto"/>
              </w:rPr>
              <w:t>2014</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color w:val="auto"/>
              </w:rPr>
              <w:t>2013(1)</w:t>
            </w:r>
          </w:p>
        </w:tc>
        <w:tc>
          <w:tcPr>
            <w:tcW w:w="0" w:type="dxa"/>
            <w:vAlign w:val="bottom"/>
          </w:tcPr>
          <w:p>
            <w:pPr>
              <w:spacing w:after="0"/>
              <w:rPr>
                <w:sz w:val="1"/>
                <w:szCs w:val="1"/>
                <w:color w:val="auto"/>
              </w:rPr>
            </w:pPr>
          </w:p>
        </w:tc>
      </w:tr>
      <w:tr>
        <w:trPr>
          <w:trHeight w:val="221"/>
        </w:trPr>
        <w:tc>
          <w:tcPr>
            <w:tcW w:w="8600" w:type="dxa"/>
            <w:vAlign w:val="bottom"/>
          </w:tcPr>
          <w:p>
            <w:pPr>
              <w:spacing w:after="0"/>
              <w:rPr>
                <w:sz w:val="19"/>
                <w:szCs w:val="19"/>
                <w:color w:val="auto"/>
              </w:rPr>
            </w:pPr>
          </w:p>
        </w:tc>
        <w:tc>
          <w:tcPr>
            <w:tcW w:w="1540" w:type="dxa"/>
            <w:vAlign w:val="bottom"/>
            <w:gridSpan w:val="2"/>
          </w:tcPr>
          <w:p>
            <w:pPr>
              <w:jc w:val="center"/>
              <w:ind w:right="61"/>
              <w:spacing w:after="0"/>
              <w:rPr>
                <w:sz w:val="20"/>
                <w:szCs w:val="20"/>
                <w:color w:val="auto"/>
              </w:rPr>
            </w:pPr>
            <w:r>
              <w:rPr>
                <w:rFonts w:ascii="Arial" w:cs="Arial" w:eastAsia="Arial" w:hAnsi="Arial"/>
                <w:sz w:val="14"/>
                <w:szCs w:val="14"/>
                <w:color w:val="auto"/>
              </w:rPr>
              <w:t>(unaudited)</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8600" w:type="dxa"/>
            <w:vAlign w:val="bottom"/>
          </w:tcPr>
          <w:p>
            <w:pPr>
              <w:spacing w:after="0"/>
              <w:rPr>
                <w:sz w:val="20"/>
                <w:szCs w:val="20"/>
                <w:color w:val="auto"/>
              </w:rPr>
            </w:pPr>
            <w:r>
              <w:rPr>
                <w:rFonts w:ascii="Arial" w:cs="Arial" w:eastAsia="Arial" w:hAnsi="Arial"/>
                <w:sz w:val="16"/>
                <w:szCs w:val="16"/>
                <w:color w:val="auto"/>
              </w:rPr>
              <w:t>ASSETS</w:t>
            </w: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600" w:type="dxa"/>
            <w:vAlign w:val="bottom"/>
          </w:tcPr>
          <w:p>
            <w:pPr>
              <w:spacing w:after="0"/>
              <w:rPr>
                <w:sz w:val="20"/>
                <w:szCs w:val="20"/>
                <w:color w:val="auto"/>
              </w:rPr>
            </w:pPr>
            <w:r>
              <w:rPr>
                <w:rFonts w:ascii="Arial" w:cs="Arial" w:eastAsia="Arial" w:hAnsi="Arial"/>
                <w:sz w:val="16"/>
                <w:szCs w:val="16"/>
                <w:color w:val="auto"/>
              </w:rPr>
              <w:t>Current assets:</w:t>
            </w:r>
          </w:p>
        </w:tc>
        <w:tc>
          <w:tcPr>
            <w:tcW w:w="4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600" w:type="dxa"/>
            <w:vAlign w:val="bottom"/>
          </w:tcPr>
          <w:p>
            <w:pPr>
              <w:ind w:left="180"/>
              <w:spacing w:after="0"/>
              <w:rPr>
                <w:sz w:val="20"/>
                <w:szCs w:val="20"/>
                <w:color w:val="auto"/>
              </w:rPr>
            </w:pPr>
            <w:r>
              <w:rPr>
                <w:rFonts w:ascii="Arial" w:cs="Arial" w:eastAsia="Arial" w:hAnsi="Arial"/>
                <w:sz w:val="16"/>
                <w:szCs w:val="16"/>
                <w:color w:val="auto"/>
              </w:rPr>
              <w:t>Cash and cash equivalents</w:t>
            </w:r>
          </w:p>
        </w:tc>
        <w:tc>
          <w:tcPr>
            <w:tcW w:w="460" w:type="dxa"/>
            <w:vAlign w:val="bottom"/>
          </w:tcPr>
          <w:p>
            <w:pPr>
              <w:jc w:val="right"/>
              <w:ind w:right="25"/>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33</w:t>
            </w:r>
          </w:p>
        </w:tc>
        <w:tc>
          <w:tcPr>
            <w:tcW w:w="280" w:type="dxa"/>
            <w:vAlign w:val="bottom"/>
          </w:tcPr>
          <w:p>
            <w:pPr>
              <w:ind w:left="14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3"/>
        </w:trPr>
        <w:tc>
          <w:tcPr>
            <w:tcW w:w="8600" w:type="dxa"/>
            <w:vAlign w:val="bottom"/>
          </w:tcPr>
          <w:p>
            <w:pPr>
              <w:ind w:left="180"/>
              <w:spacing w:after="0"/>
              <w:rPr>
                <w:sz w:val="20"/>
                <w:szCs w:val="20"/>
                <w:color w:val="auto"/>
              </w:rPr>
            </w:pPr>
            <w:r>
              <w:rPr>
                <w:rFonts w:ascii="Arial" w:cs="Arial" w:eastAsia="Arial" w:hAnsi="Arial"/>
                <w:sz w:val="16"/>
                <w:szCs w:val="16"/>
                <w:color w:val="auto"/>
              </w:rPr>
              <w:t>Restricted cash</w:t>
            </w:r>
          </w:p>
        </w:tc>
        <w:tc>
          <w:tcPr>
            <w:tcW w:w="46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8</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3"/>
        </w:trPr>
        <w:tc>
          <w:tcPr>
            <w:tcW w:w="8600" w:type="dxa"/>
            <w:vAlign w:val="bottom"/>
          </w:tcPr>
          <w:p>
            <w:pPr>
              <w:ind w:left="180"/>
              <w:spacing w:after="0"/>
              <w:rPr>
                <w:sz w:val="20"/>
                <w:szCs w:val="20"/>
                <w:color w:val="auto"/>
              </w:rPr>
            </w:pPr>
            <w:r>
              <w:rPr>
                <w:rFonts w:ascii="Arial" w:cs="Arial" w:eastAsia="Arial" w:hAnsi="Arial"/>
                <w:sz w:val="16"/>
                <w:szCs w:val="16"/>
                <w:color w:val="auto"/>
              </w:rPr>
              <w:t>Accounts receivable – trade, net</w:t>
            </w:r>
          </w:p>
        </w:tc>
        <w:tc>
          <w:tcPr>
            <w:tcW w:w="46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389</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213"/>
        </w:trPr>
        <w:tc>
          <w:tcPr>
            <w:tcW w:w="8600" w:type="dxa"/>
            <w:vAlign w:val="bottom"/>
          </w:tcPr>
          <w:p>
            <w:pPr>
              <w:ind w:left="180"/>
              <w:spacing w:after="0"/>
              <w:rPr>
                <w:sz w:val="20"/>
                <w:szCs w:val="20"/>
                <w:color w:val="auto"/>
              </w:rPr>
            </w:pPr>
            <w:r>
              <w:rPr>
                <w:rFonts w:ascii="Arial" w:cs="Arial" w:eastAsia="Arial" w:hAnsi="Arial"/>
                <w:sz w:val="16"/>
                <w:szCs w:val="16"/>
                <w:color w:val="auto"/>
              </w:rPr>
              <w:t>Accounts receivable – other, net</w:t>
            </w:r>
          </w:p>
        </w:tc>
        <w:tc>
          <w:tcPr>
            <w:tcW w:w="46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27</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3"/>
        </w:trPr>
        <w:tc>
          <w:tcPr>
            <w:tcW w:w="8600" w:type="dxa"/>
            <w:vAlign w:val="bottom"/>
          </w:tcPr>
          <w:p>
            <w:pPr>
              <w:ind w:left="180"/>
              <w:spacing w:after="0"/>
              <w:rPr>
                <w:sz w:val="20"/>
                <w:szCs w:val="20"/>
                <w:color w:val="auto"/>
              </w:rPr>
            </w:pPr>
            <w:r>
              <w:rPr>
                <w:rFonts w:ascii="Arial" w:cs="Arial" w:eastAsia="Arial" w:hAnsi="Arial"/>
                <w:sz w:val="16"/>
                <w:szCs w:val="16"/>
                <w:color w:val="auto"/>
              </w:rPr>
              <w:t>Due from unconsolidated affiliates</w:t>
            </w:r>
          </w:p>
        </w:tc>
        <w:tc>
          <w:tcPr>
            <w:tcW w:w="46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8600" w:type="dxa"/>
            <w:vAlign w:val="bottom"/>
          </w:tcPr>
          <w:p>
            <w:pPr>
              <w:ind w:left="180"/>
              <w:spacing w:after="0"/>
              <w:rPr>
                <w:sz w:val="20"/>
                <w:szCs w:val="20"/>
                <w:color w:val="auto"/>
              </w:rPr>
            </w:pPr>
            <w:r>
              <w:rPr>
                <w:rFonts w:ascii="Arial" w:cs="Arial" w:eastAsia="Arial" w:hAnsi="Arial"/>
                <w:sz w:val="16"/>
                <w:szCs w:val="16"/>
                <w:color w:val="auto"/>
              </w:rPr>
              <w:t>Income taxes receivable</w:t>
            </w:r>
          </w:p>
        </w:tc>
        <w:tc>
          <w:tcPr>
            <w:tcW w:w="460" w:type="dxa"/>
            <w:vAlign w:val="bottom"/>
          </w:tcPr>
          <w:p>
            <w:pPr>
              <w:spacing w:after="0"/>
              <w:rPr>
                <w:sz w:val="18"/>
                <w:szCs w:val="18"/>
                <w:color w:val="auto"/>
              </w:rPr>
            </w:pPr>
          </w:p>
        </w:tc>
        <w:tc>
          <w:tcPr>
            <w:tcW w:w="108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3"/>
        </w:trPr>
        <w:tc>
          <w:tcPr>
            <w:tcW w:w="8600" w:type="dxa"/>
            <w:vAlign w:val="bottom"/>
          </w:tcPr>
          <w:p>
            <w:pPr>
              <w:ind w:left="180"/>
              <w:spacing w:after="0"/>
              <w:rPr>
                <w:sz w:val="20"/>
                <w:szCs w:val="20"/>
                <w:color w:val="auto"/>
              </w:rPr>
            </w:pPr>
            <w:r>
              <w:rPr>
                <w:rFonts w:ascii="Arial" w:cs="Arial" w:eastAsia="Arial" w:hAnsi="Arial"/>
                <w:sz w:val="16"/>
                <w:szCs w:val="16"/>
                <w:color w:val="auto"/>
              </w:rPr>
              <w:t>Deferred income taxes</w:t>
            </w:r>
          </w:p>
        </w:tc>
        <w:tc>
          <w:tcPr>
            <w:tcW w:w="460" w:type="dxa"/>
            <w:vAlign w:val="bottom"/>
          </w:tcPr>
          <w:p>
            <w:pPr>
              <w:spacing w:after="0"/>
              <w:rPr>
                <w:sz w:val="18"/>
                <w:szCs w:val="18"/>
                <w:color w:val="auto"/>
              </w:rPr>
            </w:pPr>
          </w:p>
        </w:tc>
        <w:tc>
          <w:tcPr>
            <w:tcW w:w="108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13"/>
        </w:trPr>
        <w:tc>
          <w:tcPr>
            <w:tcW w:w="8600" w:type="dxa"/>
            <w:vAlign w:val="bottom"/>
          </w:tcPr>
          <w:p>
            <w:pPr>
              <w:ind w:left="180"/>
              <w:spacing w:after="0"/>
              <w:rPr>
                <w:sz w:val="20"/>
                <w:szCs w:val="20"/>
                <w:color w:val="auto"/>
              </w:rPr>
            </w:pPr>
            <w:r>
              <w:rPr>
                <w:rFonts w:ascii="Arial" w:cs="Arial" w:eastAsia="Arial" w:hAnsi="Arial"/>
                <w:sz w:val="16"/>
                <w:szCs w:val="16"/>
                <w:color w:val="auto"/>
              </w:rPr>
              <w:t>Inventories</w:t>
            </w:r>
          </w:p>
        </w:tc>
        <w:tc>
          <w:tcPr>
            <w:tcW w:w="46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70</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13"/>
        </w:trPr>
        <w:tc>
          <w:tcPr>
            <w:tcW w:w="8600" w:type="dxa"/>
            <w:vAlign w:val="bottom"/>
          </w:tcPr>
          <w:p>
            <w:pPr>
              <w:ind w:left="180"/>
              <w:spacing w:after="0"/>
              <w:rPr>
                <w:sz w:val="20"/>
                <w:szCs w:val="20"/>
                <w:color w:val="auto"/>
              </w:rPr>
            </w:pPr>
            <w:r>
              <w:rPr>
                <w:rFonts w:ascii="Arial" w:cs="Arial" w:eastAsia="Arial" w:hAnsi="Arial"/>
                <w:sz w:val="16"/>
                <w:szCs w:val="16"/>
                <w:color w:val="auto"/>
              </w:rPr>
              <w:t>Regulatory balancing accounts, net</w:t>
            </w:r>
          </w:p>
        </w:tc>
        <w:tc>
          <w:tcPr>
            <w:tcW w:w="46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772</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556</w:t>
            </w:r>
          </w:p>
        </w:tc>
        <w:tc>
          <w:tcPr>
            <w:tcW w:w="0" w:type="dxa"/>
            <w:vAlign w:val="bottom"/>
          </w:tcPr>
          <w:p>
            <w:pPr>
              <w:spacing w:after="0"/>
              <w:rPr>
                <w:sz w:val="1"/>
                <w:szCs w:val="1"/>
                <w:color w:val="auto"/>
              </w:rPr>
            </w:pPr>
          </w:p>
        </w:tc>
      </w:tr>
      <w:tr>
        <w:trPr>
          <w:trHeight w:val="213"/>
        </w:trPr>
        <w:tc>
          <w:tcPr>
            <w:tcW w:w="8600" w:type="dxa"/>
            <w:vAlign w:val="bottom"/>
          </w:tcPr>
          <w:p>
            <w:pPr>
              <w:ind w:left="180"/>
              <w:spacing w:after="0"/>
              <w:rPr>
                <w:sz w:val="20"/>
                <w:szCs w:val="20"/>
                <w:color w:val="auto"/>
              </w:rPr>
            </w:pPr>
            <w:r>
              <w:rPr>
                <w:rFonts w:ascii="Arial" w:cs="Arial" w:eastAsia="Arial" w:hAnsi="Arial"/>
                <w:sz w:val="16"/>
                <w:szCs w:val="16"/>
                <w:color w:val="auto"/>
              </w:rPr>
              <w:t>Other regulatory assets</w:t>
            </w:r>
          </w:p>
        </w:tc>
        <w:tc>
          <w:tcPr>
            <w:tcW w:w="46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52</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3"/>
        </w:trPr>
        <w:tc>
          <w:tcPr>
            <w:tcW w:w="8600" w:type="dxa"/>
            <w:vAlign w:val="bottom"/>
          </w:tcPr>
          <w:p>
            <w:pPr>
              <w:ind w:left="180"/>
              <w:spacing w:after="0"/>
              <w:rPr>
                <w:sz w:val="20"/>
                <w:szCs w:val="20"/>
                <w:color w:val="auto"/>
              </w:rPr>
            </w:pPr>
            <w:r>
              <w:rPr>
                <w:rFonts w:ascii="Arial" w:cs="Arial" w:eastAsia="Arial" w:hAnsi="Arial"/>
                <w:sz w:val="16"/>
                <w:szCs w:val="16"/>
                <w:color w:val="auto"/>
              </w:rPr>
              <w:t>Fixed-price contracts and other derivatives</w:t>
            </w:r>
          </w:p>
        </w:tc>
        <w:tc>
          <w:tcPr>
            <w:tcW w:w="46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38</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04"/>
        </w:trPr>
        <w:tc>
          <w:tcPr>
            <w:tcW w:w="8600" w:type="dxa"/>
            <w:vAlign w:val="bottom"/>
          </w:tcPr>
          <w:p>
            <w:pPr>
              <w:ind w:left="180"/>
              <w:spacing w:after="0"/>
              <w:rPr>
                <w:sz w:val="20"/>
                <w:szCs w:val="20"/>
                <w:color w:val="auto"/>
              </w:rPr>
            </w:pPr>
            <w:r>
              <w:rPr>
                <w:rFonts w:ascii="Arial" w:cs="Arial" w:eastAsia="Arial" w:hAnsi="Arial"/>
                <w:sz w:val="16"/>
                <w:szCs w:val="16"/>
                <w:color w:val="auto"/>
              </w:rPr>
              <w:t>Other</w:t>
            </w:r>
          </w:p>
        </w:tc>
        <w:tc>
          <w:tcPr>
            <w:tcW w:w="4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92</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06"/>
        </w:trPr>
        <w:tc>
          <w:tcPr>
            <w:tcW w:w="8600" w:type="dxa"/>
            <w:vAlign w:val="bottom"/>
          </w:tcPr>
          <w:p>
            <w:pPr>
              <w:ind w:left="360"/>
              <w:spacing w:after="0"/>
              <w:rPr>
                <w:sz w:val="20"/>
                <w:szCs w:val="20"/>
                <w:color w:val="auto"/>
              </w:rPr>
            </w:pPr>
            <w:r>
              <w:rPr>
                <w:rFonts w:ascii="Arial" w:cs="Arial" w:eastAsia="Arial" w:hAnsi="Arial"/>
                <w:sz w:val="16"/>
                <w:szCs w:val="16"/>
                <w:color w:val="auto"/>
              </w:rPr>
              <w:t>Total current assets</w:t>
            </w:r>
          </w:p>
        </w:tc>
        <w:tc>
          <w:tcPr>
            <w:tcW w:w="4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1,482</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1,270</w:t>
            </w:r>
          </w:p>
        </w:tc>
        <w:tc>
          <w:tcPr>
            <w:tcW w:w="0" w:type="dxa"/>
            <w:vAlign w:val="bottom"/>
          </w:tcPr>
          <w:p>
            <w:pPr>
              <w:spacing w:after="0"/>
              <w:rPr>
                <w:sz w:val="1"/>
                <w:szCs w:val="1"/>
                <w:color w:val="auto"/>
              </w:rPr>
            </w:pPr>
          </w:p>
        </w:tc>
      </w:tr>
      <w:tr>
        <w:trPr>
          <w:trHeight w:val="427"/>
        </w:trPr>
        <w:tc>
          <w:tcPr>
            <w:tcW w:w="8600" w:type="dxa"/>
            <w:vAlign w:val="bottom"/>
          </w:tcPr>
          <w:p>
            <w:pPr>
              <w:spacing w:after="0"/>
              <w:rPr>
                <w:sz w:val="20"/>
                <w:szCs w:val="20"/>
                <w:color w:val="auto"/>
              </w:rPr>
            </w:pPr>
            <w:r>
              <w:rPr>
                <w:rFonts w:ascii="Arial" w:cs="Arial" w:eastAsia="Arial" w:hAnsi="Arial"/>
                <w:sz w:val="16"/>
                <w:szCs w:val="16"/>
                <w:color w:val="auto"/>
              </w:rPr>
              <w:t>Other assets:</w:t>
            </w: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8600" w:type="dxa"/>
            <w:vAlign w:val="bottom"/>
          </w:tcPr>
          <w:p>
            <w:pPr>
              <w:ind w:left="180"/>
              <w:spacing w:after="0"/>
              <w:rPr>
                <w:sz w:val="20"/>
                <w:szCs w:val="20"/>
                <w:color w:val="auto"/>
              </w:rPr>
            </w:pPr>
            <w:r>
              <w:rPr>
                <w:rFonts w:ascii="Arial" w:cs="Arial" w:eastAsia="Arial" w:hAnsi="Arial"/>
                <w:sz w:val="16"/>
                <w:szCs w:val="16"/>
                <w:color w:val="auto"/>
              </w:rPr>
              <w:t>Restricted cash</w:t>
            </w:r>
          </w:p>
        </w:tc>
        <w:tc>
          <w:tcPr>
            <w:tcW w:w="46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10</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3"/>
        </w:trPr>
        <w:tc>
          <w:tcPr>
            <w:tcW w:w="8600" w:type="dxa"/>
            <w:vAlign w:val="bottom"/>
          </w:tcPr>
          <w:p>
            <w:pPr>
              <w:ind w:left="180"/>
              <w:spacing w:after="0"/>
              <w:rPr>
                <w:sz w:val="20"/>
                <w:szCs w:val="20"/>
                <w:color w:val="auto"/>
              </w:rPr>
            </w:pPr>
            <w:r>
              <w:rPr>
                <w:rFonts w:ascii="Arial" w:cs="Arial" w:eastAsia="Arial" w:hAnsi="Arial"/>
                <w:sz w:val="16"/>
                <w:szCs w:val="16"/>
                <w:color w:val="auto"/>
              </w:rPr>
              <w:t>Deferred taxes recoverable in rates</w:t>
            </w:r>
          </w:p>
        </w:tc>
        <w:tc>
          <w:tcPr>
            <w:tcW w:w="46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787</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788</w:t>
            </w:r>
          </w:p>
        </w:tc>
        <w:tc>
          <w:tcPr>
            <w:tcW w:w="0" w:type="dxa"/>
            <w:vAlign w:val="bottom"/>
          </w:tcPr>
          <w:p>
            <w:pPr>
              <w:spacing w:after="0"/>
              <w:rPr>
                <w:sz w:val="1"/>
                <w:szCs w:val="1"/>
                <w:color w:val="auto"/>
              </w:rPr>
            </w:pPr>
          </w:p>
        </w:tc>
      </w:tr>
      <w:tr>
        <w:trPr>
          <w:trHeight w:val="213"/>
        </w:trPr>
        <w:tc>
          <w:tcPr>
            <w:tcW w:w="8600" w:type="dxa"/>
            <w:vAlign w:val="bottom"/>
          </w:tcPr>
          <w:p>
            <w:pPr>
              <w:ind w:left="180"/>
              <w:spacing w:after="0"/>
              <w:rPr>
                <w:sz w:val="20"/>
                <w:szCs w:val="20"/>
                <w:color w:val="auto"/>
              </w:rPr>
            </w:pPr>
            <w:r>
              <w:rPr>
                <w:rFonts w:ascii="Arial" w:cs="Arial" w:eastAsia="Arial" w:hAnsi="Arial"/>
                <w:sz w:val="16"/>
                <w:szCs w:val="16"/>
                <w:color w:val="auto"/>
              </w:rPr>
              <w:t>Regulatory assets arising from fixed-price contracts and other derivatives</w:t>
            </w:r>
          </w:p>
        </w:tc>
        <w:tc>
          <w:tcPr>
            <w:tcW w:w="46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39</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13"/>
        </w:trPr>
        <w:tc>
          <w:tcPr>
            <w:tcW w:w="8600" w:type="dxa"/>
            <w:vAlign w:val="bottom"/>
          </w:tcPr>
          <w:p>
            <w:pPr>
              <w:ind w:left="180"/>
              <w:spacing w:after="0"/>
              <w:rPr>
                <w:sz w:val="20"/>
                <w:szCs w:val="20"/>
                <w:color w:val="auto"/>
              </w:rPr>
            </w:pPr>
            <w:r>
              <w:rPr>
                <w:rFonts w:ascii="Arial" w:cs="Arial" w:eastAsia="Arial" w:hAnsi="Arial"/>
                <w:sz w:val="16"/>
                <w:szCs w:val="16"/>
                <w:color w:val="auto"/>
              </w:rPr>
              <w:t>Regulatory assets arising from pension and other postretirement</w:t>
            </w: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00" w:type="dxa"/>
            <w:vAlign w:val="bottom"/>
          </w:tcPr>
          <w:p>
            <w:pPr>
              <w:ind w:left="360"/>
              <w:spacing w:after="0"/>
              <w:rPr>
                <w:sz w:val="20"/>
                <w:szCs w:val="20"/>
                <w:color w:val="auto"/>
              </w:rPr>
            </w:pPr>
            <w:r>
              <w:rPr>
                <w:rFonts w:ascii="Arial" w:cs="Arial" w:eastAsia="Arial" w:hAnsi="Arial"/>
                <w:sz w:val="16"/>
                <w:szCs w:val="16"/>
                <w:color w:val="auto"/>
              </w:rPr>
              <w:t>benefit obligations</w:t>
            </w:r>
          </w:p>
        </w:tc>
        <w:tc>
          <w:tcPr>
            <w:tcW w:w="46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92</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13"/>
        </w:trPr>
        <w:tc>
          <w:tcPr>
            <w:tcW w:w="8600" w:type="dxa"/>
            <w:vAlign w:val="bottom"/>
          </w:tcPr>
          <w:p>
            <w:pPr>
              <w:ind w:left="180"/>
              <w:spacing w:after="0"/>
              <w:rPr>
                <w:sz w:val="20"/>
                <w:szCs w:val="20"/>
                <w:color w:val="auto"/>
              </w:rPr>
            </w:pPr>
            <w:r>
              <w:rPr>
                <w:rFonts w:ascii="Arial" w:cs="Arial" w:eastAsia="Arial" w:hAnsi="Arial"/>
                <w:sz w:val="16"/>
                <w:szCs w:val="16"/>
                <w:color w:val="auto"/>
              </w:rPr>
              <w:t>Other regulatory assets</w:t>
            </w:r>
          </w:p>
        </w:tc>
        <w:tc>
          <w:tcPr>
            <w:tcW w:w="46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815</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991</w:t>
            </w:r>
          </w:p>
        </w:tc>
        <w:tc>
          <w:tcPr>
            <w:tcW w:w="0" w:type="dxa"/>
            <w:vAlign w:val="bottom"/>
          </w:tcPr>
          <w:p>
            <w:pPr>
              <w:spacing w:after="0"/>
              <w:rPr>
                <w:sz w:val="1"/>
                <w:szCs w:val="1"/>
                <w:color w:val="auto"/>
              </w:rPr>
            </w:pPr>
          </w:p>
        </w:tc>
      </w:tr>
      <w:tr>
        <w:trPr>
          <w:trHeight w:val="213"/>
        </w:trPr>
        <w:tc>
          <w:tcPr>
            <w:tcW w:w="8600" w:type="dxa"/>
            <w:vAlign w:val="bottom"/>
          </w:tcPr>
          <w:p>
            <w:pPr>
              <w:ind w:left="180"/>
              <w:spacing w:after="0"/>
              <w:rPr>
                <w:sz w:val="20"/>
                <w:szCs w:val="20"/>
                <w:color w:val="auto"/>
              </w:rPr>
            </w:pPr>
            <w:r>
              <w:rPr>
                <w:rFonts w:ascii="Arial" w:cs="Arial" w:eastAsia="Arial" w:hAnsi="Arial"/>
                <w:sz w:val="16"/>
                <w:szCs w:val="16"/>
                <w:color w:val="auto"/>
              </w:rPr>
              <w:t>Nuclear decommissioning trusts</w:t>
            </w:r>
          </w:p>
        </w:tc>
        <w:tc>
          <w:tcPr>
            <w:tcW w:w="46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1,087</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1,034</w:t>
            </w:r>
          </w:p>
        </w:tc>
        <w:tc>
          <w:tcPr>
            <w:tcW w:w="0" w:type="dxa"/>
            <w:vAlign w:val="bottom"/>
          </w:tcPr>
          <w:p>
            <w:pPr>
              <w:spacing w:after="0"/>
              <w:rPr>
                <w:sz w:val="1"/>
                <w:szCs w:val="1"/>
                <w:color w:val="auto"/>
              </w:rPr>
            </w:pPr>
          </w:p>
        </w:tc>
      </w:tr>
      <w:tr>
        <w:trPr>
          <w:trHeight w:val="204"/>
        </w:trPr>
        <w:tc>
          <w:tcPr>
            <w:tcW w:w="8600" w:type="dxa"/>
            <w:vAlign w:val="bottom"/>
          </w:tcPr>
          <w:p>
            <w:pPr>
              <w:ind w:left="180"/>
              <w:spacing w:after="0"/>
              <w:rPr>
                <w:sz w:val="20"/>
                <w:szCs w:val="20"/>
                <w:color w:val="auto"/>
              </w:rPr>
            </w:pPr>
            <w:r>
              <w:rPr>
                <w:rFonts w:ascii="Arial" w:cs="Arial" w:eastAsia="Arial" w:hAnsi="Arial"/>
                <w:sz w:val="16"/>
                <w:szCs w:val="16"/>
                <w:color w:val="auto"/>
              </w:rPr>
              <w:t>Sundry</w:t>
            </w:r>
          </w:p>
        </w:tc>
        <w:tc>
          <w:tcPr>
            <w:tcW w:w="4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340</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w:t>
            </w:r>
          </w:p>
        </w:tc>
        <w:tc>
          <w:tcPr>
            <w:tcW w:w="0" w:type="dxa"/>
            <w:vAlign w:val="bottom"/>
          </w:tcPr>
          <w:p>
            <w:pPr>
              <w:spacing w:after="0"/>
              <w:rPr>
                <w:sz w:val="1"/>
                <w:szCs w:val="1"/>
                <w:color w:val="auto"/>
              </w:rPr>
            </w:pPr>
          </w:p>
        </w:tc>
      </w:tr>
      <w:tr>
        <w:trPr>
          <w:trHeight w:val="206"/>
        </w:trPr>
        <w:tc>
          <w:tcPr>
            <w:tcW w:w="8600" w:type="dxa"/>
            <w:vAlign w:val="bottom"/>
          </w:tcPr>
          <w:p>
            <w:pPr>
              <w:ind w:left="360"/>
              <w:spacing w:after="0"/>
              <w:rPr>
                <w:sz w:val="20"/>
                <w:szCs w:val="20"/>
                <w:color w:val="auto"/>
              </w:rPr>
            </w:pPr>
            <w:r>
              <w:rPr>
                <w:rFonts w:ascii="Arial" w:cs="Arial" w:eastAsia="Arial" w:hAnsi="Arial"/>
                <w:sz w:val="16"/>
                <w:szCs w:val="16"/>
                <w:color w:val="auto"/>
              </w:rPr>
              <w:t>Total other assets</w:t>
            </w:r>
          </w:p>
        </w:tc>
        <w:tc>
          <w:tcPr>
            <w:tcW w:w="4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3,170</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3,261</w:t>
            </w:r>
          </w:p>
        </w:tc>
        <w:tc>
          <w:tcPr>
            <w:tcW w:w="0" w:type="dxa"/>
            <w:vAlign w:val="bottom"/>
          </w:tcPr>
          <w:p>
            <w:pPr>
              <w:spacing w:after="0"/>
              <w:rPr>
                <w:sz w:val="1"/>
                <w:szCs w:val="1"/>
                <w:color w:val="auto"/>
              </w:rPr>
            </w:pPr>
          </w:p>
        </w:tc>
      </w:tr>
      <w:tr>
        <w:trPr>
          <w:trHeight w:val="427"/>
        </w:trPr>
        <w:tc>
          <w:tcPr>
            <w:tcW w:w="8600" w:type="dxa"/>
            <w:vAlign w:val="bottom"/>
          </w:tcPr>
          <w:p>
            <w:pPr>
              <w:spacing w:after="0"/>
              <w:rPr>
                <w:sz w:val="20"/>
                <w:szCs w:val="20"/>
                <w:color w:val="auto"/>
              </w:rPr>
            </w:pPr>
            <w:r>
              <w:rPr>
                <w:rFonts w:ascii="Arial" w:cs="Arial" w:eastAsia="Arial" w:hAnsi="Arial"/>
                <w:sz w:val="16"/>
                <w:szCs w:val="16"/>
                <w:color w:val="auto"/>
              </w:rPr>
              <w:t>Property, plant and equipment:</w:t>
            </w: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8600" w:type="dxa"/>
            <w:vAlign w:val="bottom"/>
          </w:tcPr>
          <w:p>
            <w:pPr>
              <w:ind w:left="180"/>
              <w:spacing w:after="0"/>
              <w:rPr>
                <w:sz w:val="20"/>
                <w:szCs w:val="20"/>
                <w:color w:val="auto"/>
              </w:rPr>
            </w:pPr>
            <w:r>
              <w:rPr>
                <w:rFonts w:ascii="Arial" w:cs="Arial" w:eastAsia="Arial" w:hAnsi="Arial"/>
                <w:sz w:val="16"/>
                <w:szCs w:val="16"/>
                <w:color w:val="auto"/>
              </w:rPr>
              <w:t>Property, plant and equipment</w:t>
            </w:r>
          </w:p>
        </w:tc>
        <w:tc>
          <w:tcPr>
            <w:tcW w:w="46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15,086</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14,346</w:t>
            </w:r>
          </w:p>
        </w:tc>
        <w:tc>
          <w:tcPr>
            <w:tcW w:w="0" w:type="dxa"/>
            <w:vAlign w:val="bottom"/>
          </w:tcPr>
          <w:p>
            <w:pPr>
              <w:spacing w:after="0"/>
              <w:rPr>
                <w:sz w:val="1"/>
                <w:szCs w:val="1"/>
                <w:color w:val="auto"/>
              </w:rPr>
            </w:pPr>
          </w:p>
        </w:tc>
      </w:tr>
      <w:tr>
        <w:trPr>
          <w:trHeight w:val="204"/>
        </w:trPr>
        <w:tc>
          <w:tcPr>
            <w:tcW w:w="8600" w:type="dxa"/>
            <w:vAlign w:val="bottom"/>
          </w:tcPr>
          <w:p>
            <w:pPr>
              <w:ind w:left="180"/>
              <w:spacing w:after="0"/>
              <w:rPr>
                <w:sz w:val="20"/>
                <w:szCs w:val="20"/>
                <w:color w:val="auto"/>
              </w:rPr>
            </w:pPr>
            <w:r>
              <w:rPr>
                <w:rFonts w:ascii="Arial" w:cs="Arial" w:eastAsia="Arial" w:hAnsi="Arial"/>
                <w:sz w:val="16"/>
                <w:szCs w:val="16"/>
                <w:color w:val="auto"/>
              </w:rPr>
              <w:t>Less accumulated depreciation and amortization</w:t>
            </w:r>
          </w:p>
        </w:tc>
        <w:tc>
          <w:tcPr>
            <w:tcW w:w="4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(3,763)</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(3,500)</w:t>
            </w:r>
          </w:p>
        </w:tc>
        <w:tc>
          <w:tcPr>
            <w:tcW w:w="0" w:type="dxa"/>
            <w:vAlign w:val="bottom"/>
          </w:tcPr>
          <w:p>
            <w:pPr>
              <w:spacing w:after="0"/>
              <w:rPr>
                <w:sz w:val="1"/>
                <w:szCs w:val="1"/>
                <w:color w:val="auto"/>
              </w:rPr>
            </w:pPr>
          </w:p>
        </w:tc>
      </w:tr>
      <w:tr>
        <w:trPr>
          <w:trHeight w:val="155"/>
        </w:trPr>
        <w:tc>
          <w:tcPr>
            <w:tcW w:w="8600" w:type="dxa"/>
            <w:vAlign w:val="bottom"/>
          </w:tcPr>
          <w:p>
            <w:pPr>
              <w:ind w:left="360"/>
              <w:spacing w:after="0" w:line="155" w:lineRule="exact"/>
              <w:rPr>
                <w:sz w:val="20"/>
                <w:szCs w:val="20"/>
                <w:color w:val="auto"/>
              </w:rPr>
            </w:pPr>
            <w:r>
              <w:rPr>
                <w:rFonts w:ascii="Arial" w:cs="Arial" w:eastAsia="Arial" w:hAnsi="Arial"/>
                <w:sz w:val="16"/>
                <w:szCs w:val="16"/>
                <w:color w:val="auto"/>
              </w:rPr>
              <w:t>Property, plant and equipment, net ($417 and $438 at September 30, 2014 and</w:t>
            </w:r>
          </w:p>
        </w:tc>
        <w:tc>
          <w:tcPr>
            <w:tcW w:w="460" w:type="dxa"/>
            <w:vAlign w:val="bottom"/>
          </w:tcPr>
          <w:p>
            <w:pPr>
              <w:spacing w:after="0"/>
              <w:rPr>
                <w:sz w:val="13"/>
                <w:szCs w:val="13"/>
                <w:color w:val="auto"/>
              </w:rPr>
            </w:pPr>
          </w:p>
        </w:tc>
        <w:tc>
          <w:tcPr>
            <w:tcW w:w="1080" w:type="dxa"/>
            <w:vAlign w:val="bottom"/>
            <w:vMerge w:val="restart"/>
          </w:tcPr>
          <w:p>
            <w:pPr>
              <w:jc w:val="right"/>
              <w:ind w:right="61"/>
              <w:spacing w:after="0"/>
              <w:rPr>
                <w:sz w:val="20"/>
                <w:szCs w:val="20"/>
                <w:color w:val="auto"/>
              </w:rPr>
            </w:pPr>
            <w:r>
              <w:rPr>
                <w:rFonts w:ascii="Arial" w:cs="Arial" w:eastAsia="Arial" w:hAnsi="Arial"/>
                <w:sz w:val="16"/>
                <w:szCs w:val="16"/>
                <w:color w:val="auto"/>
              </w:rPr>
              <w:t>11,323</w:t>
            </w:r>
          </w:p>
        </w:tc>
        <w:tc>
          <w:tcPr>
            <w:tcW w:w="28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10,846</w:t>
            </w:r>
          </w:p>
        </w:tc>
        <w:tc>
          <w:tcPr>
            <w:tcW w:w="0" w:type="dxa"/>
            <w:vAlign w:val="bottom"/>
          </w:tcPr>
          <w:p>
            <w:pPr>
              <w:spacing w:after="0"/>
              <w:rPr>
                <w:sz w:val="1"/>
                <w:szCs w:val="1"/>
                <w:color w:val="auto"/>
              </w:rPr>
            </w:pPr>
          </w:p>
        </w:tc>
      </w:tr>
      <w:tr>
        <w:trPr>
          <w:trHeight w:val="171"/>
        </w:trPr>
        <w:tc>
          <w:tcPr>
            <w:tcW w:w="8600" w:type="dxa"/>
            <w:vAlign w:val="bottom"/>
          </w:tcPr>
          <w:p>
            <w:pPr>
              <w:ind w:left="540"/>
              <w:spacing w:after="0" w:line="171" w:lineRule="exact"/>
              <w:rPr>
                <w:sz w:val="20"/>
                <w:szCs w:val="20"/>
                <w:color w:val="auto"/>
              </w:rPr>
            </w:pPr>
            <w:r>
              <w:rPr>
                <w:rFonts w:ascii="Arial" w:cs="Arial" w:eastAsia="Arial" w:hAnsi="Arial"/>
                <w:sz w:val="16"/>
                <w:szCs w:val="16"/>
                <w:color w:val="auto"/>
              </w:rPr>
              <w:t>December 31, 2013, respectively, related to VIE)</w:t>
            </w:r>
          </w:p>
        </w:tc>
        <w:tc>
          <w:tcPr>
            <w:tcW w:w="4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8600" w:type="dxa"/>
            <w:vAlign w:val="bottom"/>
            <w:tcBorders>
              <w:bottom w:val="single" w:sz="8" w:color="auto"/>
            </w:tcBorders>
          </w:tcPr>
          <w:p>
            <w:pPr>
              <w:spacing w:after="0" w:line="166" w:lineRule="exact"/>
              <w:rPr>
                <w:sz w:val="20"/>
                <w:szCs w:val="20"/>
                <w:color w:val="auto"/>
              </w:rPr>
            </w:pPr>
            <w:r>
              <w:rPr>
                <w:rFonts w:ascii="Arial" w:cs="Arial" w:eastAsia="Arial" w:hAnsi="Arial"/>
                <w:sz w:val="16"/>
                <w:szCs w:val="16"/>
                <w:color w:val="auto"/>
              </w:rPr>
              <w:t>Total assets</w:t>
            </w:r>
          </w:p>
        </w:tc>
        <w:tc>
          <w:tcPr>
            <w:tcW w:w="460" w:type="dxa"/>
            <w:vAlign w:val="bottom"/>
            <w:tcBorders>
              <w:bottom w:val="single" w:sz="8" w:color="auto"/>
            </w:tcBorders>
          </w:tcPr>
          <w:p>
            <w:pPr>
              <w:jc w:val="right"/>
              <w:ind w:right="25"/>
              <w:spacing w:after="0" w:line="166"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61"/>
              <w:spacing w:after="0" w:line="166" w:lineRule="exact"/>
              <w:rPr>
                <w:sz w:val="20"/>
                <w:szCs w:val="20"/>
                <w:color w:val="auto"/>
              </w:rPr>
            </w:pPr>
            <w:r>
              <w:rPr>
                <w:rFonts w:ascii="Arial" w:cs="Arial" w:eastAsia="Arial" w:hAnsi="Arial"/>
                <w:sz w:val="16"/>
                <w:szCs w:val="16"/>
                <w:color w:val="auto"/>
              </w:rPr>
              <w:t>15,975</w:t>
            </w:r>
          </w:p>
        </w:tc>
        <w:tc>
          <w:tcPr>
            <w:tcW w:w="280" w:type="dxa"/>
            <w:vAlign w:val="bottom"/>
            <w:tcBorders>
              <w:bottom w:val="single" w:sz="8" w:color="auto"/>
            </w:tcBorders>
          </w:tcPr>
          <w:p>
            <w:pPr>
              <w:ind w:left="140"/>
              <w:spacing w:after="0" w:line="166"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15,377</w:t>
            </w:r>
          </w:p>
        </w:tc>
        <w:tc>
          <w:tcPr>
            <w:tcW w:w="0" w:type="dxa"/>
            <w:vAlign w:val="bottom"/>
          </w:tcPr>
          <w:p>
            <w:pPr>
              <w:spacing w:after="0"/>
              <w:rPr>
                <w:sz w:val="1"/>
                <w:szCs w:val="1"/>
                <w:color w:val="auto"/>
              </w:rPr>
            </w:pPr>
          </w:p>
        </w:tc>
      </w:tr>
    </w:tbl>
    <w:p>
      <w:pPr>
        <w:sectPr>
          <w:pgSz w:w="11900" w:h="16858" w:orient="portrait"/>
          <w:cols w:equalWidth="0" w:num="1">
            <w:col w:w="11420"/>
          </w:cols>
          <w:pgMar w:left="240" w:top="144" w:right="239" w:bottom="0" w:gutter="0" w:footer="0" w:header="0"/>
        </w:sectPr>
      </w:pPr>
    </w:p>
    <w:bookmarkStart w:id="8" w:name="page9"/>
    <w:bookmarkEnd w:id="8"/>
    <w:p>
      <w:pPr>
        <w:ind w:left="520" w:hanging="514"/>
        <w:spacing w:after="0"/>
        <w:tabs>
          <w:tab w:leader="none" w:pos="520"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Derived from audited financial statements.</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SAN DIEGO GAS &amp; ELECTRIC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-104775</wp:posOffset>
            </wp:positionV>
            <wp:extent cx="7248525" cy="3289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8525" cy="32893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BALANCE SHEETS (CONTINUED)</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1540" w:type="dxa"/>
            <w:vAlign w:val="bottom"/>
            <w:gridSpan w:val="2"/>
          </w:tcPr>
          <w:p>
            <w:pPr>
              <w:jc w:val="center"/>
              <w:ind w:right="61"/>
              <w:spacing w:after="0"/>
              <w:rPr>
                <w:sz w:val="20"/>
                <w:szCs w:val="20"/>
                <w:color w:val="auto"/>
              </w:rPr>
            </w:pPr>
            <w:r>
              <w:rPr>
                <w:rFonts w:ascii="Arial" w:cs="Arial" w:eastAsia="Arial" w:hAnsi="Arial"/>
                <w:sz w:val="14"/>
                <w:szCs w:val="14"/>
                <w:color w:val="auto"/>
              </w:rPr>
              <w:t>September 30,</w:t>
            </w:r>
          </w:p>
        </w:tc>
        <w:tc>
          <w:tcPr>
            <w:tcW w:w="1280" w:type="dxa"/>
            <w:vAlign w:val="bottom"/>
            <w:gridSpan w:val="2"/>
          </w:tcPr>
          <w:p>
            <w:pPr>
              <w:ind w:left="12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7"/>
        </w:trPr>
        <w:tc>
          <w:tcPr>
            <w:tcW w:w="180" w:type="dxa"/>
            <w:vAlign w:val="bottom"/>
            <w:tcBorders>
              <w:bottom w:val="single" w:sz="8" w:color="auto"/>
            </w:tcBorders>
          </w:tcPr>
          <w:p>
            <w:pPr>
              <w:spacing w:after="0"/>
              <w:rPr>
                <w:sz w:val="17"/>
                <w:szCs w:val="17"/>
                <w:color w:val="auto"/>
              </w:rPr>
            </w:pPr>
          </w:p>
        </w:tc>
        <w:tc>
          <w:tcPr>
            <w:tcW w:w="84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521"/>
              <w:spacing w:after="0"/>
              <w:rPr>
                <w:sz w:val="20"/>
                <w:szCs w:val="20"/>
                <w:color w:val="auto"/>
              </w:rPr>
            </w:pPr>
            <w:r>
              <w:rPr>
                <w:rFonts w:ascii="Arial" w:cs="Arial" w:eastAsia="Arial" w:hAnsi="Arial"/>
                <w:sz w:val="14"/>
                <w:szCs w:val="14"/>
                <w:color w:val="auto"/>
              </w:rPr>
              <w:t>2014</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color w:val="auto"/>
              </w:rPr>
              <w:t>2013(1)</w:t>
            </w:r>
          </w:p>
        </w:tc>
        <w:tc>
          <w:tcPr>
            <w:tcW w:w="0" w:type="dxa"/>
            <w:vAlign w:val="bottom"/>
          </w:tcPr>
          <w:p>
            <w:pPr>
              <w:spacing w:after="0"/>
              <w:rPr>
                <w:sz w:val="1"/>
                <w:szCs w:val="1"/>
                <w:color w:val="auto"/>
              </w:rPr>
            </w:pPr>
          </w:p>
        </w:tc>
      </w:tr>
      <w:tr>
        <w:trPr>
          <w:trHeight w:val="221"/>
        </w:trPr>
        <w:tc>
          <w:tcPr>
            <w:tcW w:w="180" w:type="dxa"/>
            <w:vAlign w:val="bottom"/>
          </w:tcPr>
          <w:p>
            <w:pPr>
              <w:spacing w:after="0"/>
              <w:rPr>
                <w:sz w:val="19"/>
                <w:szCs w:val="19"/>
                <w:color w:val="auto"/>
              </w:rPr>
            </w:pPr>
          </w:p>
        </w:tc>
        <w:tc>
          <w:tcPr>
            <w:tcW w:w="8420" w:type="dxa"/>
            <w:vAlign w:val="bottom"/>
          </w:tcPr>
          <w:p>
            <w:pPr>
              <w:spacing w:after="0"/>
              <w:rPr>
                <w:sz w:val="19"/>
                <w:szCs w:val="19"/>
                <w:color w:val="auto"/>
              </w:rPr>
            </w:pPr>
          </w:p>
        </w:tc>
        <w:tc>
          <w:tcPr>
            <w:tcW w:w="1540" w:type="dxa"/>
            <w:vAlign w:val="bottom"/>
            <w:gridSpan w:val="2"/>
          </w:tcPr>
          <w:p>
            <w:pPr>
              <w:jc w:val="center"/>
              <w:ind w:right="61"/>
              <w:spacing w:after="0"/>
              <w:rPr>
                <w:sz w:val="20"/>
                <w:szCs w:val="20"/>
                <w:color w:val="auto"/>
              </w:rPr>
            </w:pPr>
            <w:r>
              <w:rPr>
                <w:rFonts w:ascii="Arial" w:cs="Arial" w:eastAsia="Arial" w:hAnsi="Arial"/>
                <w:sz w:val="14"/>
                <w:szCs w:val="14"/>
                <w:color w:val="auto"/>
              </w:rPr>
              <w:t>(unaudited)</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8600" w:type="dxa"/>
            <w:vAlign w:val="bottom"/>
            <w:gridSpan w:val="2"/>
          </w:tcPr>
          <w:p>
            <w:pPr>
              <w:spacing w:after="0"/>
              <w:rPr>
                <w:sz w:val="20"/>
                <w:szCs w:val="20"/>
                <w:color w:val="auto"/>
              </w:rPr>
            </w:pPr>
            <w:r>
              <w:rPr>
                <w:rFonts w:ascii="Arial" w:cs="Arial" w:eastAsia="Arial" w:hAnsi="Arial"/>
                <w:sz w:val="16"/>
                <w:szCs w:val="16"/>
                <w:color w:val="auto"/>
              </w:rPr>
              <w:t>LIABILITIES AND EQUITY</w:t>
            </w: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600" w:type="dxa"/>
            <w:vAlign w:val="bottom"/>
            <w:gridSpan w:val="2"/>
          </w:tcPr>
          <w:p>
            <w:pPr>
              <w:spacing w:after="0"/>
              <w:rPr>
                <w:sz w:val="20"/>
                <w:szCs w:val="20"/>
                <w:color w:val="auto"/>
              </w:rPr>
            </w:pPr>
            <w:r>
              <w:rPr>
                <w:rFonts w:ascii="Arial" w:cs="Arial" w:eastAsia="Arial" w:hAnsi="Arial"/>
                <w:sz w:val="16"/>
                <w:szCs w:val="16"/>
                <w:color w:val="auto"/>
              </w:rPr>
              <w:t>Current liabilities:</w:t>
            </w:r>
          </w:p>
        </w:tc>
        <w:tc>
          <w:tcPr>
            <w:tcW w:w="4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80" w:type="dxa"/>
            <w:vAlign w:val="bottom"/>
          </w:tcPr>
          <w:p>
            <w:pPr>
              <w:spacing w:after="0"/>
              <w:rPr>
                <w:sz w:val="16"/>
                <w:szCs w:val="16"/>
                <w:color w:val="auto"/>
              </w:rPr>
            </w:pPr>
          </w:p>
        </w:tc>
        <w:tc>
          <w:tcPr>
            <w:tcW w:w="8420" w:type="dxa"/>
            <w:vAlign w:val="bottom"/>
          </w:tcPr>
          <w:p>
            <w:pPr>
              <w:spacing w:after="0"/>
              <w:rPr>
                <w:sz w:val="20"/>
                <w:szCs w:val="20"/>
                <w:color w:val="auto"/>
              </w:rPr>
            </w:pPr>
            <w:r>
              <w:rPr>
                <w:rFonts w:ascii="Arial" w:cs="Arial" w:eastAsia="Arial" w:hAnsi="Arial"/>
                <w:sz w:val="16"/>
                <w:szCs w:val="16"/>
                <w:color w:val="auto"/>
              </w:rPr>
              <w:t>Short-term debt</w:t>
            </w:r>
          </w:p>
        </w:tc>
        <w:tc>
          <w:tcPr>
            <w:tcW w:w="460" w:type="dxa"/>
            <w:vAlign w:val="bottom"/>
          </w:tcPr>
          <w:p>
            <w:pPr>
              <w:jc w:val="right"/>
              <w:ind w:right="25"/>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280" w:type="dxa"/>
            <w:vAlign w:val="bottom"/>
          </w:tcPr>
          <w:p>
            <w:pPr>
              <w:ind w:left="14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3"/>
        </w:trPr>
        <w:tc>
          <w:tcPr>
            <w:tcW w:w="8600" w:type="dxa"/>
            <w:vAlign w:val="bottom"/>
            <w:gridSpan w:val="2"/>
          </w:tcPr>
          <w:p>
            <w:pPr>
              <w:ind w:left="180"/>
              <w:spacing w:after="0"/>
              <w:rPr>
                <w:sz w:val="20"/>
                <w:szCs w:val="20"/>
                <w:color w:val="auto"/>
              </w:rPr>
            </w:pPr>
            <w:r>
              <w:rPr>
                <w:rFonts w:ascii="Arial" w:cs="Arial" w:eastAsia="Arial" w:hAnsi="Arial"/>
                <w:sz w:val="16"/>
                <w:szCs w:val="16"/>
                <w:color w:val="auto"/>
              </w:rPr>
              <w:t>Accounts payable</w:t>
            </w:r>
          </w:p>
        </w:tc>
        <w:tc>
          <w:tcPr>
            <w:tcW w:w="46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402</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420</w:t>
            </w: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6"/>
                <w:szCs w:val="16"/>
                <w:color w:val="auto"/>
              </w:rPr>
              <w:t>Due to unconsolidated affiliates</w:t>
            </w:r>
          </w:p>
        </w:tc>
        <w:tc>
          <w:tcPr>
            <w:tcW w:w="46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36</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6"/>
                <w:szCs w:val="16"/>
                <w:color w:val="auto"/>
              </w:rPr>
              <w:t>Income taxes payable</w:t>
            </w:r>
          </w:p>
        </w:tc>
        <w:tc>
          <w:tcPr>
            <w:tcW w:w="46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8</w:t>
            </w:r>
          </w:p>
        </w:tc>
        <w:tc>
          <w:tcPr>
            <w:tcW w:w="280" w:type="dxa"/>
            <w:vAlign w:val="bottom"/>
          </w:tcPr>
          <w:p>
            <w:pPr>
              <w:spacing w:after="0"/>
              <w:rPr>
                <w:sz w:val="18"/>
                <w:szCs w:val="18"/>
                <w:color w:val="auto"/>
              </w:rPr>
            </w:pP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6"/>
                <w:szCs w:val="16"/>
                <w:color w:val="auto"/>
              </w:rPr>
              <w:t>Deferred income taxes</w:t>
            </w:r>
          </w:p>
        </w:tc>
        <w:tc>
          <w:tcPr>
            <w:tcW w:w="46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41</w:t>
            </w:r>
          </w:p>
        </w:tc>
        <w:tc>
          <w:tcPr>
            <w:tcW w:w="280" w:type="dxa"/>
            <w:vAlign w:val="bottom"/>
          </w:tcPr>
          <w:p>
            <w:pPr>
              <w:spacing w:after="0"/>
              <w:rPr>
                <w:sz w:val="18"/>
                <w:szCs w:val="18"/>
                <w:color w:val="auto"/>
              </w:rPr>
            </w:pP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6"/>
                <w:szCs w:val="16"/>
                <w:color w:val="auto"/>
              </w:rPr>
              <w:t>Dividends and interest payable</w:t>
            </w:r>
          </w:p>
        </w:tc>
        <w:tc>
          <w:tcPr>
            <w:tcW w:w="46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51</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3"/>
        </w:trPr>
        <w:tc>
          <w:tcPr>
            <w:tcW w:w="8600" w:type="dxa"/>
            <w:vAlign w:val="bottom"/>
            <w:gridSpan w:val="2"/>
          </w:tcPr>
          <w:p>
            <w:pPr>
              <w:ind w:left="180"/>
              <w:spacing w:after="0"/>
              <w:rPr>
                <w:sz w:val="20"/>
                <w:szCs w:val="20"/>
                <w:color w:val="auto"/>
              </w:rPr>
            </w:pPr>
            <w:r>
              <w:rPr>
                <w:rFonts w:ascii="Arial" w:cs="Arial" w:eastAsia="Arial" w:hAnsi="Arial"/>
                <w:sz w:val="16"/>
                <w:szCs w:val="16"/>
                <w:color w:val="auto"/>
              </w:rPr>
              <w:t>Accrued compensation and benefits</w:t>
            </w:r>
          </w:p>
        </w:tc>
        <w:tc>
          <w:tcPr>
            <w:tcW w:w="46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111</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6"/>
                <w:szCs w:val="16"/>
                <w:color w:val="auto"/>
              </w:rPr>
              <w:t>Current portion of long-term debt</w:t>
            </w:r>
          </w:p>
        </w:tc>
        <w:tc>
          <w:tcPr>
            <w:tcW w:w="46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115</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6"/>
                <w:szCs w:val="16"/>
                <w:color w:val="auto"/>
              </w:rPr>
              <w:t>Fixed-price contracts and other derivatives</w:t>
            </w:r>
          </w:p>
        </w:tc>
        <w:tc>
          <w:tcPr>
            <w:tcW w:w="46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38</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6"/>
                <w:szCs w:val="16"/>
                <w:color w:val="auto"/>
              </w:rPr>
              <w:t>Customer deposits</w:t>
            </w:r>
          </w:p>
        </w:tc>
        <w:tc>
          <w:tcPr>
            <w:tcW w:w="46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69</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04"/>
        </w:trPr>
        <w:tc>
          <w:tcPr>
            <w:tcW w:w="180" w:type="dxa"/>
            <w:vAlign w:val="bottom"/>
          </w:tcPr>
          <w:p>
            <w:pPr>
              <w:spacing w:after="0"/>
              <w:rPr>
                <w:sz w:val="17"/>
                <w:szCs w:val="17"/>
                <w:color w:val="auto"/>
              </w:rPr>
            </w:pPr>
          </w:p>
        </w:tc>
        <w:tc>
          <w:tcPr>
            <w:tcW w:w="8420" w:type="dxa"/>
            <w:vAlign w:val="bottom"/>
          </w:tcPr>
          <w:p>
            <w:pPr>
              <w:spacing w:after="0"/>
              <w:rPr>
                <w:sz w:val="20"/>
                <w:szCs w:val="20"/>
                <w:color w:val="auto"/>
              </w:rPr>
            </w:pPr>
            <w:r>
              <w:rPr>
                <w:rFonts w:ascii="Arial" w:cs="Arial" w:eastAsia="Arial" w:hAnsi="Arial"/>
                <w:sz w:val="16"/>
                <w:szCs w:val="16"/>
                <w:color w:val="auto"/>
              </w:rPr>
              <w:t>Other</w:t>
            </w:r>
          </w:p>
        </w:tc>
        <w:tc>
          <w:tcPr>
            <w:tcW w:w="4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398</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206"/>
        </w:trPr>
        <w:tc>
          <w:tcPr>
            <w:tcW w:w="180" w:type="dxa"/>
            <w:vAlign w:val="bottom"/>
          </w:tcPr>
          <w:p>
            <w:pPr>
              <w:spacing w:after="0"/>
              <w:rPr>
                <w:sz w:val="17"/>
                <w:szCs w:val="17"/>
                <w:color w:val="auto"/>
              </w:rPr>
            </w:pPr>
          </w:p>
        </w:tc>
        <w:tc>
          <w:tcPr>
            <w:tcW w:w="8420" w:type="dxa"/>
            <w:vAlign w:val="bottom"/>
          </w:tcPr>
          <w:p>
            <w:pPr>
              <w:ind w:left="180"/>
              <w:spacing w:after="0"/>
              <w:rPr>
                <w:sz w:val="20"/>
                <w:szCs w:val="20"/>
                <w:color w:val="auto"/>
              </w:rPr>
            </w:pPr>
            <w:r>
              <w:rPr>
                <w:rFonts w:ascii="Arial" w:cs="Arial" w:eastAsia="Arial" w:hAnsi="Arial"/>
                <w:sz w:val="16"/>
                <w:szCs w:val="16"/>
                <w:color w:val="auto"/>
              </w:rPr>
              <w:t>Total current liabilities</w:t>
            </w:r>
          </w:p>
        </w:tc>
        <w:tc>
          <w:tcPr>
            <w:tcW w:w="4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1,269</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1,079</w:t>
            </w:r>
          </w:p>
        </w:tc>
        <w:tc>
          <w:tcPr>
            <w:tcW w:w="0" w:type="dxa"/>
            <w:vAlign w:val="bottom"/>
          </w:tcPr>
          <w:p>
            <w:pPr>
              <w:spacing w:after="0"/>
              <w:rPr>
                <w:sz w:val="1"/>
                <w:szCs w:val="1"/>
                <w:color w:val="auto"/>
              </w:rPr>
            </w:pPr>
          </w:p>
        </w:tc>
      </w:tr>
      <w:tr>
        <w:trPr>
          <w:trHeight w:val="155"/>
        </w:trPr>
        <w:tc>
          <w:tcPr>
            <w:tcW w:w="8600" w:type="dxa"/>
            <w:vAlign w:val="bottom"/>
            <w:gridSpan w:val="2"/>
          </w:tcPr>
          <w:p>
            <w:pPr>
              <w:spacing w:after="0" w:line="155" w:lineRule="exact"/>
              <w:rPr>
                <w:sz w:val="20"/>
                <w:szCs w:val="20"/>
                <w:color w:val="auto"/>
              </w:rPr>
            </w:pPr>
            <w:r>
              <w:rPr>
                <w:rFonts w:ascii="Arial" w:cs="Arial" w:eastAsia="Arial" w:hAnsi="Arial"/>
                <w:sz w:val="16"/>
                <w:szCs w:val="16"/>
                <w:color w:val="auto"/>
              </w:rPr>
              <w:t>Long-term debt ($317 and $325 at September 30, 2014 and December 31, 2013,</w:t>
            </w:r>
          </w:p>
        </w:tc>
        <w:tc>
          <w:tcPr>
            <w:tcW w:w="460" w:type="dxa"/>
            <w:vAlign w:val="bottom"/>
          </w:tcPr>
          <w:p>
            <w:pPr>
              <w:spacing w:after="0"/>
              <w:rPr>
                <w:sz w:val="13"/>
                <w:szCs w:val="13"/>
                <w:color w:val="auto"/>
              </w:rPr>
            </w:pPr>
          </w:p>
        </w:tc>
        <w:tc>
          <w:tcPr>
            <w:tcW w:w="1080" w:type="dxa"/>
            <w:vAlign w:val="bottom"/>
            <w:vMerge w:val="restart"/>
          </w:tcPr>
          <w:p>
            <w:pPr>
              <w:jc w:val="right"/>
              <w:ind w:right="61"/>
              <w:spacing w:after="0"/>
              <w:rPr>
                <w:sz w:val="20"/>
                <w:szCs w:val="20"/>
                <w:color w:val="auto"/>
              </w:rPr>
            </w:pPr>
            <w:r>
              <w:rPr>
                <w:rFonts w:ascii="Arial" w:cs="Arial" w:eastAsia="Arial" w:hAnsi="Arial"/>
                <w:sz w:val="16"/>
                <w:szCs w:val="16"/>
                <w:color w:val="auto"/>
              </w:rPr>
              <w:t>4,573</w:t>
            </w:r>
          </w:p>
        </w:tc>
        <w:tc>
          <w:tcPr>
            <w:tcW w:w="28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4,525</w:t>
            </w: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8420" w:type="dxa"/>
            <w:vAlign w:val="bottom"/>
          </w:tcPr>
          <w:p>
            <w:pPr>
              <w:spacing w:after="0" w:line="171" w:lineRule="exact"/>
              <w:rPr>
                <w:sz w:val="20"/>
                <w:szCs w:val="20"/>
                <w:color w:val="auto"/>
              </w:rPr>
            </w:pPr>
            <w:r>
              <w:rPr>
                <w:rFonts w:ascii="Arial" w:cs="Arial" w:eastAsia="Arial" w:hAnsi="Arial"/>
                <w:sz w:val="16"/>
                <w:szCs w:val="16"/>
                <w:color w:val="auto"/>
              </w:rPr>
              <w:t>respectively, related to VIE)</w:t>
            </w:r>
          </w:p>
        </w:tc>
        <w:tc>
          <w:tcPr>
            <w:tcW w:w="4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27"/>
        </w:trPr>
        <w:tc>
          <w:tcPr>
            <w:tcW w:w="8600" w:type="dxa"/>
            <w:vAlign w:val="bottom"/>
            <w:gridSpan w:val="2"/>
          </w:tcPr>
          <w:p>
            <w:pPr>
              <w:spacing w:after="0"/>
              <w:rPr>
                <w:sz w:val="20"/>
                <w:szCs w:val="20"/>
                <w:color w:val="auto"/>
              </w:rPr>
            </w:pPr>
            <w:r>
              <w:rPr>
                <w:rFonts w:ascii="Arial" w:cs="Arial" w:eastAsia="Arial" w:hAnsi="Arial"/>
                <w:sz w:val="16"/>
                <w:szCs w:val="16"/>
                <w:color w:val="auto"/>
              </w:rPr>
              <w:t>Deferred credits and other liabilities:</w:t>
            </w: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6"/>
                <w:szCs w:val="16"/>
                <w:color w:val="auto"/>
              </w:rPr>
              <w:t>Customer advances for construction</w:t>
            </w:r>
          </w:p>
        </w:tc>
        <w:tc>
          <w:tcPr>
            <w:tcW w:w="46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40</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6"/>
                <w:szCs w:val="16"/>
                <w:color w:val="auto"/>
              </w:rPr>
              <w:t>Pension and other postretirement benefit obligations, net of plan assets</w:t>
            </w:r>
          </w:p>
        </w:tc>
        <w:tc>
          <w:tcPr>
            <w:tcW w:w="46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120</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6"/>
                <w:szCs w:val="16"/>
                <w:color w:val="auto"/>
              </w:rPr>
              <w:t>Deferred income taxes</w:t>
            </w:r>
          </w:p>
        </w:tc>
        <w:tc>
          <w:tcPr>
            <w:tcW w:w="46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2,054</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6"/>
                <w:szCs w:val="16"/>
                <w:color w:val="auto"/>
              </w:rPr>
              <w:t>Deferred investment tax credits</w:t>
            </w:r>
          </w:p>
        </w:tc>
        <w:tc>
          <w:tcPr>
            <w:tcW w:w="46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22</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6"/>
                <w:szCs w:val="16"/>
                <w:color w:val="auto"/>
              </w:rPr>
              <w:t>Regulatory liabilities arising from removal obligations</w:t>
            </w:r>
          </w:p>
        </w:tc>
        <w:tc>
          <w:tcPr>
            <w:tcW w:w="46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1,535</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1,403</w:t>
            </w:r>
          </w:p>
        </w:tc>
        <w:tc>
          <w:tcPr>
            <w:tcW w:w="0" w:type="dxa"/>
            <w:vAlign w:val="bottom"/>
          </w:tcPr>
          <w:p>
            <w:pPr>
              <w:spacing w:after="0"/>
              <w:rPr>
                <w:sz w:val="1"/>
                <w:szCs w:val="1"/>
                <w:color w:val="auto"/>
              </w:rPr>
            </w:pPr>
          </w:p>
        </w:tc>
      </w:tr>
      <w:tr>
        <w:trPr>
          <w:trHeight w:val="213"/>
        </w:trPr>
        <w:tc>
          <w:tcPr>
            <w:tcW w:w="8600" w:type="dxa"/>
            <w:vAlign w:val="bottom"/>
            <w:gridSpan w:val="2"/>
          </w:tcPr>
          <w:p>
            <w:pPr>
              <w:ind w:left="180"/>
              <w:spacing w:after="0"/>
              <w:rPr>
                <w:sz w:val="20"/>
                <w:szCs w:val="20"/>
                <w:color w:val="auto"/>
              </w:rPr>
            </w:pPr>
            <w:r>
              <w:rPr>
                <w:rFonts w:ascii="Arial" w:cs="Arial" w:eastAsia="Arial" w:hAnsi="Arial"/>
                <w:sz w:val="16"/>
                <w:szCs w:val="16"/>
                <w:color w:val="auto"/>
              </w:rPr>
              <w:t>Asset retirement obligations</w:t>
            </w:r>
          </w:p>
        </w:tc>
        <w:tc>
          <w:tcPr>
            <w:tcW w:w="46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759</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861</w:t>
            </w: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6"/>
                <w:szCs w:val="16"/>
                <w:color w:val="auto"/>
              </w:rPr>
              <w:t>Fixed-price contracts and other derivatives</w:t>
            </w:r>
          </w:p>
        </w:tc>
        <w:tc>
          <w:tcPr>
            <w:tcW w:w="46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155</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04"/>
        </w:trPr>
        <w:tc>
          <w:tcPr>
            <w:tcW w:w="180" w:type="dxa"/>
            <w:vAlign w:val="bottom"/>
          </w:tcPr>
          <w:p>
            <w:pPr>
              <w:spacing w:after="0"/>
              <w:rPr>
                <w:sz w:val="17"/>
                <w:szCs w:val="17"/>
                <w:color w:val="auto"/>
              </w:rPr>
            </w:pPr>
          </w:p>
        </w:tc>
        <w:tc>
          <w:tcPr>
            <w:tcW w:w="8420" w:type="dxa"/>
            <w:vAlign w:val="bottom"/>
          </w:tcPr>
          <w:p>
            <w:pPr>
              <w:spacing w:after="0"/>
              <w:rPr>
                <w:sz w:val="20"/>
                <w:szCs w:val="20"/>
                <w:color w:val="auto"/>
              </w:rPr>
            </w:pPr>
            <w:r>
              <w:rPr>
                <w:rFonts w:ascii="Arial" w:cs="Arial" w:eastAsia="Arial" w:hAnsi="Arial"/>
                <w:sz w:val="16"/>
                <w:szCs w:val="16"/>
                <w:color w:val="auto"/>
              </w:rPr>
              <w:t>Deferred credits and other</w:t>
            </w:r>
          </w:p>
        </w:tc>
        <w:tc>
          <w:tcPr>
            <w:tcW w:w="4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362</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w:t>
            </w:r>
          </w:p>
        </w:tc>
        <w:tc>
          <w:tcPr>
            <w:tcW w:w="0" w:type="dxa"/>
            <w:vAlign w:val="bottom"/>
          </w:tcPr>
          <w:p>
            <w:pPr>
              <w:spacing w:after="0"/>
              <w:rPr>
                <w:sz w:val="1"/>
                <w:szCs w:val="1"/>
                <w:color w:val="auto"/>
              </w:rPr>
            </w:pPr>
          </w:p>
        </w:tc>
      </w:tr>
      <w:tr>
        <w:trPr>
          <w:trHeight w:val="206"/>
        </w:trPr>
        <w:tc>
          <w:tcPr>
            <w:tcW w:w="180" w:type="dxa"/>
            <w:vAlign w:val="bottom"/>
          </w:tcPr>
          <w:p>
            <w:pPr>
              <w:spacing w:after="0"/>
              <w:rPr>
                <w:sz w:val="17"/>
                <w:szCs w:val="17"/>
                <w:color w:val="auto"/>
              </w:rPr>
            </w:pPr>
          </w:p>
        </w:tc>
        <w:tc>
          <w:tcPr>
            <w:tcW w:w="8420" w:type="dxa"/>
            <w:vAlign w:val="bottom"/>
          </w:tcPr>
          <w:p>
            <w:pPr>
              <w:ind w:left="180"/>
              <w:spacing w:after="0"/>
              <w:rPr>
                <w:sz w:val="20"/>
                <w:szCs w:val="20"/>
                <w:color w:val="auto"/>
              </w:rPr>
            </w:pPr>
            <w:r>
              <w:rPr>
                <w:rFonts w:ascii="Arial" w:cs="Arial" w:eastAsia="Arial" w:hAnsi="Arial"/>
                <w:sz w:val="16"/>
                <w:szCs w:val="16"/>
                <w:color w:val="auto"/>
              </w:rPr>
              <w:t>Total deferred credits and other liabilities</w:t>
            </w:r>
          </w:p>
        </w:tc>
        <w:tc>
          <w:tcPr>
            <w:tcW w:w="4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5,047</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5,054</w:t>
            </w:r>
          </w:p>
        </w:tc>
        <w:tc>
          <w:tcPr>
            <w:tcW w:w="0" w:type="dxa"/>
            <w:vAlign w:val="bottom"/>
          </w:tcPr>
          <w:p>
            <w:pPr>
              <w:spacing w:after="0"/>
              <w:rPr>
                <w:sz w:val="1"/>
                <w:szCs w:val="1"/>
                <w:color w:val="auto"/>
              </w:rPr>
            </w:pPr>
          </w:p>
        </w:tc>
      </w:tr>
      <w:tr>
        <w:trPr>
          <w:trHeight w:val="427"/>
        </w:trPr>
        <w:tc>
          <w:tcPr>
            <w:tcW w:w="8600" w:type="dxa"/>
            <w:vAlign w:val="bottom"/>
            <w:gridSpan w:val="2"/>
          </w:tcPr>
          <w:p>
            <w:pPr>
              <w:spacing w:after="0"/>
              <w:rPr>
                <w:sz w:val="20"/>
                <w:szCs w:val="20"/>
                <w:color w:val="auto"/>
              </w:rPr>
            </w:pPr>
            <w:r>
              <w:rPr>
                <w:rFonts w:ascii="Arial" w:cs="Arial" w:eastAsia="Arial" w:hAnsi="Arial"/>
                <w:sz w:val="16"/>
                <w:szCs w:val="16"/>
                <w:color w:val="auto"/>
              </w:rPr>
              <w:t>Commitments and contingencies (Note 11)</w:t>
            </w: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8600" w:type="dxa"/>
            <w:vAlign w:val="bottom"/>
            <w:gridSpan w:val="2"/>
          </w:tcPr>
          <w:p>
            <w:pPr>
              <w:spacing w:after="0"/>
              <w:rPr>
                <w:sz w:val="20"/>
                <w:szCs w:val="20"/>
                <w:color w:val="auto"/>
              </w:rPr>
            </w:pPr>
            <w:r>
              <w:rPr>
                <w:rFonts w:ascii="Arial" w:cs="Arial" w:eastAsia="Arial" w:hAnsi="Arial"/>
                <w:sz w:val="16"/>
                <w:szCs w:val="16"/>
                <w:color w:val="auto"/>
              </w:rPr>
              <w:t>Equity:</w:t>
            </w: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6"/>
                <w:szCs w:val="16"/>
                <w:color w:val="auto"/>
              </w:rPr>
              <w:t>Common stock (255 million shares authorized; 117 million shares outstanding;</w:t>
            </w: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8420" w:type="dxa"/>
            <w:vAlign w:val="bottom"/>
          </w:tcPr>
          <w:p>
            <w:pPr>
              <w:ind w:left="180"/>
              <w:spacing w:after="0"/>
              <w:rPr>
                <w:sz w:val="20"/>
                <w:szCs w:val="20"/>
                <w:color w:val="auto"/>
              </w:rPr>
            </w:pPr>
            <w:r>
              <w:rPr>
                <w:rFonts w:ascii="Arial" w:cs="Arial" w:eastAsia="Arial" w:hAnsi="Arial"/>
                <w:sz w:val="16"/>
                <w:szCs w:val="16"/>
                <w:color w:val="auto"/>
              </w:rPr>
              <w:t>no par value)</w:t>
            </w:r>
          </w:p>
        </w:tc>
        <w:tc>
          <w:tcPr>
            <w:tcW w:w="46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1,338</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1,338</w:t>
            </w: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6"/>
                <w:szCs w:val="16"/>
                <w:color w:val="auto"/>
              </w:rPr>
              <w:t>Retained earnings</w:t>
            </w:r>
          </w:p>
        </w:tc>
        <w:tc>
          <w:tcPr>
            <w:tcW w:w="46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3,678</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3,299</w:t>
            </w:r>
          </w:p>
        </w:tc>
        <w:tc>
          <w:tcPr>
            <w:tcW w:w="0" w:type="dxa"/>
            <w:vAlign w:val="bottom"/>
          </w:tcPr>
          <w:p>
            <w:pPr>
              <w:spacing w:after="0"/>
              <w:rPr>
                <w:sz w:val="1"/>
                <w:szCs w:val="1"/>
                <w:color w:val="auto"/>
              </w:rPr>
            </w:pPr>
          </w:p>
        </w:tc>
      </w:tr>
      <w:tr>
        <w:trPr>
          <w:trHeight w:val="204"/>
        </w:trPr>
        <w:tc>
          <w:tcPr>
            <w:tcW w:w="8600" w:type="dxa"/>
            <w:vAlign w:val="bottom"/>
            <w:gridSpan w:val="2"/>
          </w:tcPr>
          <w:p>
            <w:pPr>
              <w:ind w:left="180"/>
              <w:spacing w:after="0"/>
              <w:rPr>
                <w:sz w:val="20"/>
                <w:szCs w:val="20"/>
                <w:color w:val="auto"/>
              </w:rPr>
            </w:pPr>
            <w:r>
              <w:rPr>
                <w:rFonts w:ascii="Arial" w:cs="Arial" w:eastAsia="Arial" w:hAnsi="Arial"/>
                <w:sz w:val="16"/>
                <w:szCs w:val="16"/>
                <w:color w:val="auto"/>
              </w:rPr>
              <w:t>Accumulated other comprehensive income (loss)</w:t>
            </w:r>
          </w:p>
        </w:tc>
        <w:tc>
          <w:tcPr>
            <w:tcW w:w="4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(7)</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8420" w:type="dxa"/>
            <w:vAlign w:val="bottom"/>
          </w:tcPr>
          <w:p>
            <w:pPr>
              <w:ind w:left="180"/>
              <w:spacing w:after="0"/>
              <w:rPr>
                <w:sz w:val="20"/>
                <w:szCs w:val="20"/>
                <w:color w:val="auto"/>
              </w:rPr>
            </w:pPr>
            <w:r>
              <w:rPr>
                <w:rFonts w:ascii="Arial" w:cs="Arial" w:eastAsia="Arial" w:hAnsi="Arial"/>
                <w:sz w:val="16"/>
                <w:szCs w:val="16"/>
                <w:color w:val="auto"/>
              </w:rPr>
              <w:t>Total SDG&amp;E shareholder's equity</w:t>
            </w:r>
          </w:p>
        </w:tc>
        <w:tc>
          <w:tcPr>
            <w:tcW w:w="46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5,009</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4,628</w:t>
            </w:r>
          </w:p>
        </w:tc>
        <w:tc>
          <w:tcPr>
            <w:tcW w:w="0" w:type="dxa"/>
            <w:vAlign w:val="bottom"/>
          </w:tcPr>
          <w:p>
            <w:pPr>
              <w:spacing w:after="0"/>
              <w:rPr>
                <w:sz w:val="1"/>
                <w:szCs w:val="1"/>
                <w:color w:val="auto"/>
              </w:rPr>
            </w:pPr>
          </w:p>
        </w:tc>
      </w:tr>
      <w:tr>
        <w:trPr>
          <w:trHeight w:val="204"/>
        </w:trPr>
        <w:tc>
          <w:tcPr>
            <w:tcW w:w="180" w:type="dxa"/>
            <w:vAlign w:val="bottom"/>
          </w:tcPr>
          <w:p>
            <w:pPr>
              <w:spacing w:after="0"/>
              <w:rPr>
                <w:sz w:val="17"/>
                <w:szCs w:val="17"/>
                <w:color w:val="auto"/>
              </w:rPr>
            </w:pPr>
          </w:p>
        </w:tc>
        <w:tc>
          <w:tcPr>
            <w:tcW w:w="8420" w:type="dxa"/>
            <w:vAlign w:val="bottom"/>
          </w:tcPr>
          <w:p>
            <w:pPr>
              <w:spacing w:after="0"/>
              <w:rPr>
                <w:sz w:val="20"/>
                <w:szCs w:val="20"/>
                <w:color w:val="auto"/>
              </w:rPr>
            </w:pPr>
            <w:r>
              <w:rPr>
                <w:rFonts w:ascii="Arial" w:cs="Arial" w:eastAsia="Arial" w:hAnsi="Arial"/>
                <w:sz w:val="16"/>
                <w:szCs w:val="16"/>
                <w:color w:val="auto"/>
              </w:rPr>
              <w:t>Noncontrolling interest</w:t>
            </w:r>
          </w:p>
        </w:tc>
        <w:tc>
          <w:tcPr>
            <w:tcW w:w="4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77</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06"/>
        </w:trPr>
        <w:tc>
          <w:tcPr>
            <w:tcW w:w="180" w:type="dxa"/>
            <w:vAlign w:val="bottom"/>
          </w:tcPr>
          <w:p>
            <w:pPr>
              <w:spacing w:after="0"/>
              <w:rPr>
                <w:sz w:val="17"/>
                <w:szCs w:val="17"/>
                <w:color w:val="auto"/>
              </w:rPr>
            </w:pPr>
          </w:p>
        </w:tc>
        <w:tc>
          <w:tcPr>
            <w:tcW w:w="8420" w:type="dxa"/>
            <w:vAlign w:val="bottom"/>
          </w:tcPr>
          <w:p>
            <w:pPr>
              <w:ind w:left="180"/>
              <w:spacing w:after="0"/>
              <w:rPr>
                <w:sz w:val="20"/>
                <w:szCs w:val="20"/>
                <w:color w:val="auto"/>
              </w:rPr>
            </w:pPr>
            <w:r>
              <w:rPr>
                <w:rFonts w:ascii="Arial" w:cs="Arial" w:eastAsia="Arial" w:hAnsi="Arial"/>
                <w:sz w:val="16"/>
                <w:szCs w:val="16"/>
                <w:color w:val="auto"/>
              </w:rPr>
              <w:t>Total equity</w:t>
            </w:r>
          </w:p>
        </w:tc>
        <w:tc>
          <w:tcPr>
            <w:tcW w:w="4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5,086</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4,719</w:t>
            </w:r>
          </w:p>
        </w:tc>
        <w:tc>
          <w:tcPr>
            <w:tcW w:w="0" w:type="dxa"/>
            <w:vAlign w:val="bottom"/>
          </w:tcPr>
          <w:p>
            <w:pPr>
              <w:spacing w:after="0"/>
              <w:rPr>
                <w:sz w:val="1"/>
                <w:szCs w:val="1"/>
                <w:color w:val="auto"/>
              </w:rPr>
            </w:pPr>
          </w:p>
        </w:tc>
      </w:tr>
      <w:tr>
        <w:trPr>
          <w:trHeight w:val="173"/>
        </w:trPr>
        <w:tc>
          <w:tcPr>
            <w:tcW w:w="8600" w:type="dxa"/>
            <w:vAlign w:val="bottom"/>
            <w:tcBorders>
              <w:bottom w:val="single" w:sz="8" w:color="auto"/>
            </w:tcBorders>
            <w:gridSpan w:val="2"/>
          </w:tcPr>
          <w:p>
            <w:pPr>
              <w:spacing w:after="0" w:line="166" w:lineRule="exact"/>
              <w:rPr>
                <w:sz w:val="20"/>
                <w:szCs w:val="20"/>
                <w:color w:val="auto"/>
              </w:rPr>
            </w:pPr>
            <w:r>
              <w:rPr>
                <w:rFonts w:ascii="Arial" w:cs="Arial" w:eastAsia="Arial" w:hAnsi="Arial"/>
                <w:sz w:val="16"/>
                <w:szCs w:val="16"/>
                <w:color w:val="auto"/>
              </w:rPr>
              <w:t>Total liabilities and equity</w:t>
            </w:r>
          </w:p>
        </w:tc>
        <w:tc>
          <w:tcPr>
            <w:tcW w:w="460" w:type="dxa"/>
            <w:vAlign w:val="bottom"/>
            <w:tcBorders>
              <w:bottom w:val="single" w:sz="8" w:color="auto"/>
            </w:tcBorders>
          </w:tcPr>
          <w:p>
            <w:pPr>
              <w:jc w:val="right"/>
              <w:ind w:right="25"/>
              <w:spacing w:after="0" w:line="166"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61"/>
              <w:spacing w:after="0" w:line="166" w:lineRule="exact"/>
              <w:rPr>
                <w:sz w:val="20"/>
                <w:szCs w:val="20"/>
                <w:color w:val="auto"/>
              </w:rPr>
            </w:pPr>
            <w:r>
              <w:rPr>
                <w:rFonts w:ascii="Arial" w:cs="Arial" w:eastAsia="Arial" w:hAnsi="Arial"/>
                <w:sz w:val="16"/>
                <w:szCs w:val="16"/>
                <w:color w:val="auto"/>
              </w:rPr>
              <w:t>15,975</w:t>
            </w:r>
          </w:p>
        </w:tc>
        <w:tc>
          <w:tcPr>
            <w:tcW w:w="280" w:type="dxa"/>
            <w:vAlign w:val="bottom"/>
            <w:tcBorders>
              <w:bottom w:val="single" w:sz="8" w:color="auto"/>
            </w:tcBorders>
          </w:tcPr>
          <w:p>
            <w:pPr>
              <w:ind w:left="140"/>
              <w:spacing w:after="0" w:line="166"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15,377</w:t>
            </w:r>
          </w:p>
        </w:tc>
        <w:tc>
          <w:tcPr>
            <w:tcW w:w="0" w:type="dxa"/>
            <w:vAlign w:val="bottom"/>
          </w:tcPr>
          <w:p>
            <w:pPr>
              <w:spacing w:after="0"/>
              <w:rPr>
                <w:sz w:val="1"/>
                <w:szCs w:val="1"/>
                <w:color w:val="auto"/>
              </w:rPr>
            </w:pPr>
          </w:p>
        </w:tc>
      </w:tr>
      <w:tr>
        <w:trPr>
          <w:trHeight w:val="228"/>
        </w:trPr>
        <w:tc>
          <w:tcPr>
            <w:tcW w:w="180" w:type="dxa"/>
            <w:vAlign w:val="bottom"/>
          </w:tcPr>
          <w:p>
            <w:pPr>
              <w:spacing w:after="0"/>
              <w:rPr>
                <w:sz w:val="20"/>
                <w:szCs w:val="20"/>
                <w:color w:val="auto"/>
              </w:rPr>
            </w:pPr>
            <w:r>
              <w:rPr>
                <w:rFonts w:ascii="Arial" w:cs="Arial" w:eastAsia="Arial" w:hAnsi="Arial"/>
                <w:sz w:val="14"/>
                <w:szCs w:val="14"/>
                <w:i w:val="1"/>
                <w:iCs w:val="1"/>
                <w:color w:val="auto"/>
                <w:w w:val="93"/>
              </w:rPr>
              <w:t>(1)</w:t>
            </w:r>
          </w:p>
        </w:tc>
        <w:tc>
          <w:tcPr>
            <w:tcW w:w="8420" w:type="dxa"/>
            <w:vAlign w:val="bottom"/>
          </w:tcPr>
          <w:p>
            <w:pPr>
              <w:ind w:left="340"/>
              <w:spacing w:after="0"/>
              <w:rPr>
                <w:sz w:val="20"/>
                <w:szCs w:val="20"/>
                <w:color w:val="auto"/>
              </w:rPr>
            </w:pPr>
            <w:r>
              <w:rPr>
                <w:rFonts w:ascii="Arial" w:cs="Arial" w:eastAsia="Arial" w:hAnsi="Arial"/>
                <w:sz w:val="14"/>
                <w:szCs w:val="14"/>
                <w:i w:val="1"/>
                <w:iCs w:val="1"/>
                <w:color w:val="auto"/>
              </w:rPr>
              <w:t>Derived from audited financial statements.</w:t>
            </w: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600" w:type="dxa"/>
            <w:vAlign w:val="bottom"/>
            <w:gridSpan w:val="2"/>
          </w:tcPr>
          <w:p>
            <w:pPr>
              <w:spacing w:after="0"/>
              <w:rPr>
                <w:sz w:val="20"/>
                <w:szCs w:val="20"/>
                <w:color w:val="auto"/>
              </w:rPr>
            </w:pPr>
            <w:r>
              <w:rPr>
                <w:rFonts w:ascii="Arial" w:cs="Arial" w:eastAsia="Arial" w:hAnsi="Arial"/>
                <w:sz w:val="14"/>
                <w:szCs w:val="14"/>
                <w:i w:val="1"/>
                <w:iCs w:val="1"/>
                <w:color w:val="auto"/>
              </w:rPr>
              <w:t>See Notes to Condensed Consolidated Financial Statements.</w:t>
            </w: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SAN DIEGO GAS &amp; ELECTRIC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-104775</wp:posOffset>
            </wp:positionV>
            <wp:extent cx="7248525" cy="3289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8525" cy="32893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280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color w:val="auto"/>
              </w:rPr>
              <w:t>Nine months ended September 30,</w:t>
            </w:r>
          </w:p>
        </w:tc>
      </w:tr>
      <w:tr>
        <w:trPr>
          <w:trHeight w:val="206"/>
        </w:trPr>
        <w:tc>
          <w:tcPr>
            <w:tcW w:w="86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6"/>
              <w:spacing w:after="0"/>
              <w:rPr>
                <w:sz w:val="20"/>
                <w:szCs w:val="20"/>
                <w:color w:val="auto"/>
              </w:rPr>
            </w:pPr>
            <w:r>
              <w:rPr>
                <w:rFonts w:ascii="Arial" w:cs="Arial" w:eastAsia="Arial" w:hAnsi="Arial"/>
                <w:sz w:val="14"/>
                <w:szCs w:val="14"/>
                <w:color w:val="auto"/>
              </w:rPr>
              <w:t>2014</w:t>
            </w:r>
          </w:p>
        </w:tc>
        <w:tc>
          <w:tcPr>
            <w:tcW w:w="8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color w:val="auto"/>
              </w:rPr>
              <w:t>2013</w:t>
            </w:r>
          </w:p>
        </w:tc>
      </w:tr>
      <w:tr>
        <w:trPr>
          <w:trHeight w:val="221"/>
        </w:trPr>
        <w:tc>
          <w:tcPr>
            <w:tcW w:w="8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(unaudited)</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186"/>
        </w:trPr>
        <w:tc>
          <w:tcPr>
            <w:tcW w:w="8620" w:type="dxa"/>
            <w:vAlign w:val="bottom"/>
          </w:tcPr>
          <w:p>
            <w:pPr>
              <w:spacing w:after="0"/>
              <w:rPr>
                <w:sz w:val="20"/>
                <w:szCs w:val="20"/>
                <w:color w:val="auto"/>
              </w:rPr>
            </w:pPr>
            <w:r>
              <w:rPr>
                <w:rFonts w:ascii="Arial" w:cs="Arial" w:eastAsia="Arial" w:hAnsi="Arial"/>
                <w:sz w:val="16"/>
                <w:szCs w:val="16"/>
                <w:color w:val="auto"/>
              </w:rPr>
              <w:t>CASH FLOWS FROM OPERATING ACTIVITIES</w:t>
            </w:r>
          </w:p>
        </w:tc>
        <w:tc>
          <w:tcPr>
            <w:tcW w:w="9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2"/>
        </w:trPr>
        <w:tc>
          <w:tcPr>
            <w:tcW w:w="862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960" w:type="dxa"/>
            <w:vAlign w:val="bottom"/>
          </w:tcPr>
          <w:p>
            <w:pPr>
              <w:ind w:left="30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41"/>
              <w:spacing w:after="0"/>
              <w:rPr>
                <w:sz w:val="20"/>
                <w:szCs w:val="20"/>
                <w:color w:val="auto"/>
              </w:rPr>
            </w:pPr>
            <w:r>
              <w:rPr>
                <w:rFonts w:ascii="Arial" w:cs="Arial" w:eastAsia="Arial" w:hAnsi="Arial"/>
                <w:sz w:val="16"/>
                <w:szCs w:val="16"/>
                <w:color w:val="auto"/>
              </w:rPr>
              <w:t>399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293</w:t>
            </w:r>
          </w:p>
        </w:tc>
      </w:tr>
      <w:tr>
        <w:trPr>
          <w:trHeight w:val="213"/>
        </w:trPr>
        <w:tc>
          <w:tcPr>
            <w:tcW w:w="8620" w:type="dxa"/>
            <w:vAlign w:val="bottom"/>
          </w:tcPr>
          <w:p>
            <w:pPr>
              <w:ind w:left="1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3"/>
        </w:trPr>
        <w:tc>
          <w:tcPr>
            <w:tcW w:w="862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960" w:type="dxa"/>
            <w:vAlign w:val="bottom"/>
          </w:tcPr>
          <w:p>
            <w:pPr>
              <w:spacing w:after="0"/>
              <w:rPr>
                <w:sz w:val="18"/>
                <w:szCs w:val="18"/>
                <w:color w:val="auto"/>
              </w:rPr>
            </w:pPr>
          </w:p>
        </w:tc>
        <w:tc>
          <w:tcPr>
            <w:tcW w:w="800" w:type="dxa"/>
            <w:vAlign w:val="bottom"/>
          </w:tcPr>
          <w:p>
            <w:pPr>
              <w:jc w:val="right"/>
              <w:ind w:right="241"/>
              <w:spacing w:after="0"/>
              <w:rPr>
                <w:sz w:val="20"/>
                <w:szCs w:val="20"/>
                <w:color w:val="auto"/>
              </w:rPr>
            </w:pPr>
            <w:r>
              <w:rPr>
                <w:rFonts w:ascii="Arial" w:cs="Arial" w:eastAsia="Arial" w:hAnsi="Arial"/>
                <w:sz w:val="16"/>
                <w:szCs w:val="16"/>
                <w:color w:val="auto"/>
              </w:rPr>
              <w:t>395</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367</w:t>
            </w:r>
          </w:p>
        </w:tc>
      </w:tr>
      <w:tr>
        <w:trPr>
          <w:trHeight w:val="213"/>
        </w:trPr>
        <w:tc>
          <w:tcPr>
            <w:tcW w:w="8620" w:type="dxa"/>
            <w:vAlign w:val="bottom"/>
          </w:tcPr>
          <w:p>
            <w:pPr>
              <w:ind w:left="360"/>
              <w:spacing w:after="0"/>
              <w:rPr>
                <w:sz w:val="20"/>
                <w:szCs w:val="20"/>
                <w:color w:val="auto"/>
              </w:rPr>
            </w:pPr>
            <w:r>
              <w:rPr>
                <w:rFonts w:ascii="Arial" w:cs="Arial" w:eastAsia="Arial" w:hAnsi="Arial"/>
                <w:sz w:val="16"/>
                <w:szCs w:val="16"/>
                <w:color w:val="auto"/>
              </w:rPr>
              <w:t>Deferred income taxes and investment tax credits</w:t>
            </w:r>
          </w:p>
        </w:tc>
        <w:tc>
          <w:tcPr>
            <w:tcW w:w="960" w:type="dxa"/>
            <w:vAlign w:val="bottom"/>
          </w:tcPr>
          <w:p>
            <w:pPr>
              <w:spacing w:after="0"/>
              <w:rPr>
                <w:sz w:val="18"/>
                <w:szCs w:val="18"/>
                <w:color w:val="auto"/>
              </w:rPr>
            </w:pPr>
          </w:p>
        </w:tc>
        <w:tc>
          <w:tcPr>
            <w:tcW w:w="800" w:type="dxa"/>
            <w:vAlign w:val="bottom"/>
          </w:tcPr>
          <w:p>
            <w:pPr>
              <w:jc w:val="right"/>
              <w:ind w:right="241"/>
              <w:spacing w:after="0"/>
              <w:rPr>
                <w:sz w:val="20"/>
                <w:szCs w:val="20"/>
                <w:color w:val="auto"/>
              </w:rPr>
            </w:pPr>
            <w:r>
              <w:rPr>
                <w:rFonts w:ascii="Arial" w:cs="Arial" w:eastAsia="Arial" w:hAnsi="Arial"/>
                <w:sz w:val="16"/>
                <w:szCs w:val="16"/>
                <w:color w:val="auto"/>
              </w:rPr>
              <w:t>193</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13"/>
        </w:trPr>
        <w:tc>
          <w:tcPr>
            <w:tcW w:w="8620" w:type="dxa"/>
            <w:vAlign w:val="bottom"/>
          </w:tcPr>
          <w:p>
            <w:pPr>
              <w:ind w:left="360"/>
              <w:spacing w:after="0"/>
              <w:rPr>
                <w:sz w:val="20"/>
                <w:szCs w:val="20"/>
                <w:color w:val="auto"/>
              </w:rPr>
            </w:pPr>
            <w:r>
              <w:rPr>
                <w:rFonts w:ascii="Arial" w:cs="Arial" w:eastAsia="Arial" w:hAnsi="Arial"/>
                <w:sz w:val="16"/>
                <w:szCs w:val="16"/>
                <w:color w:val="auto"/>
              </w:rPr>
              <w:t>Plant closure (adjustment) loss</w:t>
            </w:r>
          </w:p>
        </w:tc>
        <w:tc>
          <w:tcPr>
            <w:tcW w:w="960" w:type="dxa"/>
            <w:vAlign w:val="bottom"/>
          </w:tcPr>
          <w:p>
            <w:pPr>
              <w:spacing w:after="0"/>
              <w:rPr>
                <w:sz w:val="18"/>
                <w:szCs w:val="18"/>
                <w:color w:val="auto"/>
              </w:rPr>
            </w:pPr>
          </w:p>
        </w:tc>
        <w:tc>
          <w:tcPr>
            <w:tcW w:w="800" w:type="dxa"/>
            <w:vAlign w:val="bottom"/>
          </w:tcPr>
          <w:p>
            <w:pPr>
              <w:jc w:val="right"/>
              <w:ind w:right="241"/>
              <w:spacing w:after="0"/>
              <w:rPr>
                <w:sz w:val="20"/>
                <w:szCs w:val="20"/>
                <w:color w:val="auto"/>
              </w:rPr>
            </w:pPr>
            <w:r>
              <w:rPr>
                <w:rFonts w:ascii="Arial" w:cs="Arial" w:eastAsia="Arial" w:hAnsi="Arial"/>
                <w:sz w:val="16"/>
                <w:szCs w:val="16"/>
                <w:color w:val="auto"/>
              </w:rPr>
              <w:t>(13)</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200</w:t>
            </w:r>
          </w:p>
        </w:tc>
      </w:tr>
      <w:tr>
        <w:trPr>
          <w:trHeight w:val="213"/>
        </w:trPr>
        <w:tc>
          <w:tcPr>
            <w:tcW w:w="8620" w:type="dxa"/>
            <w:vAlign w:val="bottom"/>
          </w:tcPr>
          <w:p>
            <w:pPr>
              <w:ind w:left="360"/>
              <w:spacing w:after="0"/>
              <w:rPr>
                <w:sz w:val="20"/>
                <w:szCs w:val="20"/>
                <w:color w:val="auto"/>
              </w:rPr>
            </w:pPr>
            <w:r>
              <w:rPr>
                <w:rFonts w:ascii="Arial" w:cs="Arial" w:eastAsia="Arial" w:hAnsi="Arial"/>
                <w:sz w:val="16"/>
                <w:szCs w:val="16"/>
                <w:color w:val="auto"/>
              </w:rPr>
              <w:t>Fixed-price contracts and other derivatives</w:t>
            </w:r>
          </w:p>
        </w:tc>
        <w:tc>
          <w:tcPr>
            <w:tcW w:w="960" w:type="dxa"/>
            <w:vAlign w:val="bottom"/>
          </w:tcPr>
          <w:p>
            <w:pPr>
              <w:spacing w:after="0"/>
              <w:rPr>
                <w:sz w:val="18"/>
                <w:szCs w:val="18"/>
                <w:color w:val="auto"/>
              </w:rPr>
            </w:pPr>
          </w:p>
        </w:tc>
        <w:tc>
          <w:tcPr>
            <w:tcW w:w="800" w:type="dxa"/>
            <w:vAlign w:val="bottom"/>
          </w:tcPr>
          <w:p>
            <w:pPr>
              <w:jc w:val="right"/>
              <w:ind w:right="241"/>
              <w:spacing w:after="0"/>
              <w:rPr>
                <w:sz w:val="20"/>
                <w:szCs w:val="20"/>
                <w:color w:val="auto"/>
              </w:rPr>
            </w:pPr>
            <w:r>
              <w:rPr>
                <w:rFonts w:ascii="Arial" w:cs="Arial" w:eastAsia="Arial" w:hAnsi="Arial"/>
                <w:sz w:val="16"/>
                <w:szCs w:val="16"/>
                <w:color w:val="auto"/>
              </w:rPr>
              <w:t>(5)</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3"/>
        </w:trPr>
        <w:tc>
          <w:tcPr>
            <w:tcW w:w="8620" w:type="dxa"/>
            <w:vAlign w:val="bottom"/>
          </w:tcPr>
          <w:p>
            <w:pPr>
              <w:ind w:left="360"/>
              <w:spacing w:after="0"/>
              <w:rPr>
                <w:sz w:val="20"/>
                <w:szCs w:val="20"/>
                <w:color w:val="auto"/>
              </w:rPr>
            </w:pPr>
            <w:r>
              <w:rPr>
                <w:rFonts w:ascii="Arial" w:cs="Arial" w:eastAsia="Arial" w:hAnsi="Arial"/>
                <w:sz w:val="16"/>
                <w:szCs w:val="16"/>
                <w:color w:val="auto"/>
              </w:rPr>
              <w:t>Other</w:t>
            </w:r>
          </w:p>
        </w:tc>
        <w:tc>
          <w:tcPr>
            <w:tcW w:w="960" w:type="dxa"/>
            <w:vAlign w:val="bottom"/>
          </w:tcPr>
          <w:p>
            <w:pPr>
              <w:spacing w:after="0"/>
              <w:rPr>
                <w:sz w:val="18"/>
                <w:szCs w:val="18"/>
                <w:color w:val="auto"/>
              </w:rPr>
            </w:pPr>
          </w:p>
        </w:tc>
        <w:tc>
          <w:tcPr>
            <w:tcW w:w="800" w:type="dxa"/>
            <w:vAlign w:val="bottom"/>
          </w:tcPr>
          <w:p>
            <w:pPr>
              <w:jc w:val="right"/>
              <w:ind w:right="241"/>
              <w:spacing w:after="0"/>
              <w:rPr>
                <w:sz w:val="20"/>
                <w:szCs w:val="20"/>
                <w:color w:val="auto"/>
              </w:rPr>
            </w:pPr>
            <w:r>
              <w:rPr>
                <w:rFonts w:ascii="Arial" w:cs="Arial" w:eastAsia="Arial" w:hAnsi="Arial"/>
                <w:sz w:val="16"/>
                <w:szCs w:val="16"/>
                <w:color w:val="auto"/>
              </w:rPr>
              <w:t>(30)</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3"/>
        </w:trPr>
        <w:tc>
          <w:tcPr>
            <w:tcW w:w="8620" w:type="dxa"/>
            <w:vAlign w:val="bottom"/>
          </w:tcPr>
          <w:p>
            <w:pPr>
              <w:ind w:left="180"/>
              <w:spacing w:after="0"/>
              <w:rPr>
                <w:sz w:val="20"/>
                <w:szCs w:val="20"/>
                <w:color w:val="auto"/>
              </w:rPr>
            </w:pPr>
            <w:r>
              <w:rPr>
                <w:rFonts w:ascii="Arial" w:cs="Arial" w:eastAsia="Arial" w:hAnsi="Arial"/>
                <w:sz w:val="16"/>
                <w:szCs w:val="16"/>
                <w:color w:val="auto"/>
              </w:rPr>
              <w:t>Net change in other working capital components</w:t>
            </w:r>
          </w:p>
        </w:tc>
        <w:tc>
          <w:tcPr>
            <w:tcW w:w="960" w:type="dxa"/>
            <w:vAlign w:val="bottom"/>
          </w:tcPr>
          <w:p>
            <w:pPr>
              <w:spacing w:after="0"/>
              <w:rPr>
                <w:sz w:val="18"/>
                <w:szCs w:val="18"/>
                <w:color w:val="auto"/>
              </w:rPr>
            </w:pPr>
          </w:p>
        </w:tc>
        <w:tc>
          <w:tcPr>
            <w:tcW w:w="800" w:type="dxa"/>
            <w:vAlign w:val="bottom"/>
          </w:tcPr>
          <w:p>
            <w:pPr>
              <w:jc w:val="right"/>
              <w:ind w:right="241"/>
              <w:spacing w:after="0"/>
              <w:rPr>
                <w:sz w:val="20"/>
                <w:szCs w:val="20"/>
                <w:color w:val="auto"/>
              </w:rPr>
            </w:pPr>
            <w:r>
              <w:rPr>
                <w:rFonts w:ascii="Arial" w:cs="Arial" w:eastAsia="Arial" w:hAnsi="Arial"/>
                <w:sz w:val="16"/>
                <w:szCs w:val="16"/>
                <w:color w:val="auto"/>
              </w:rPr>
              <w:t>(252)</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(284)</w:t>
            </w:r>
          </w:p>
        </w:tc>
      </w:tr>
      <w:tr>
        <w:trPr>
          <w:trHeight w:val="213"/>
        </w:trPr>
        <w:tc>
          <w:tcPr>
            <w:tcW w:w="8620" w:type="dxa"/>
            <w:vAlign w:val="bottom"/>
          </w:tcPr>
          <w:p>
            <w:pPr>
              <w:ind w:left="180"/>
              <w:spacing w:after="0"/>
              <w:rPr>
                <w:sz w:val="20"/>
                <w:szCs w:val="20"/>
                <w:color w:val="auto"/>
              </w:rPr>
            </w:pPr>
            <w:r>
              <w:rPr>
                <w:rFonts w:ascii="Arial" w:cs="Arial" w:eastAsia="Arial" w:hAnsi="Arial"/>
                <w:sz w:val="16"/>
                <w:szCs w:val="16"/>
                <w:color w:val="auto"/>
              </w:rPr>
              <w:t>Changes in other assets</w:t>
            </w:r>
          </w:p>
        </w:tc>
        <w:tc>
          <w:tcPr>
            <w:tcW w:w="960" w:type="dxa"/>
            <w:vAlign w:val="bottom"/>
          </w:tcPr>
          <w:p>
            <w:pPr>
              <w:spacing w:after="0"/>
              <w:rPr>
                <w:sz w:val="18"/>
                <w:szCs w:val="18"/>
                <w:color w:val="auto"/>
              </w:rPr>
            </w:pPr>
          </w:p>
        </w:tc>
        <w:tc>
          <w:tcPr>
            <w:tcW w:w="800" w:type="dxa"/>
            <w:vAlign w:val="bottom"/>
          </w:tcPr>
          <w:p>
            <w:pPr>
              <w:jc w:val="right"/>
              <w:ind w:right="241"/>
              <w:spacing w:after="0"/>
              <w:rPr>
                <w:sz w:val="20"/>
                <w:szCs w:val="20"/>
                <w:color w:val="auto"/>
              </w:rPr>
            </w:pPr>
            <w:r>
              <w:rPr>
                <w:rFonts w:ascii="Arial" w:cs="Arial" w:eastAsia="Arial" w:hAnsi="Arial"/>
                <w:sz w:val="16"/>
                <w:szCs w:val="16"/>
                <w:color w:val="auto"/>
              </w:rPr>
              <w:t>106</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(164)</w:t>
            </w:r>
          </w:p>
        </w:tc>
      </w:tr>
      <w:tr>
        <w:trPr>
          <w:trHeight w:val="204"/>
        </w:trPr>
        <w:tc>
          <w:tcPr>
            <w:tcW w:w="8620" w:type="dxa"/>
            <w:vAlign w:val="bottom"/>
          </w:tcPr>
          <w:p>
            <w:pPr>
              <w:ind w:left="180"/>
              <w:spacing w:after="0"/>
              <w:rPr>
                <w:sz w:val="20"/>
                <w:szCs w:val="20"/>
                <w:color w:val="auto"/>
              </w:rPr>
            </w:pPr>
            <w:r>
              <w:rPr>
                <w:rFonts w:ascii="Arial" w:cs="Arial" w:eastAsia="Arial" w:hAnsi="Arial"/>
                <w:sz w:val="16"/>
                <w:szCs w:val="16"/>
                <w:color w:val="auto"/>
              </w:rPr>
              <w:t>Changes in other liabilities</w:t>
            </w:r>
          </w:p>
        </w:tc>
        <w:tc>
          <w:tcPr>
            <w:tcW w:w="9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28</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r>
      <w:tr>
        <w:trPr>
          <w:trHeight w:val="206"/>
        </w:trPr>
        <w:tc>
          <w:tcPr>
            <w:tcW w:w="8620" w:type="dxa"/>
            <w:vAlign w:val="bottom"/>
          </w:tcPr>
          <w:p>
            <w:pPr>
              <w:ind w:left="360"/>
              <w:spacing w:after="0"/>
              <w:rPr>
                <w:sz w:val="20"/>
                <w:szCs w:val="20"/>
                <w:color w:val="auto"/>
              </w:rPr>
            </w:pPr>
            <w:r>
              <w:rPr>
                <w:rFonts w:ascii="Arial" w:cs="Arial" w:eastAsia="Arial" w:hAnsi="Arial"/>
                <w:sz w:val="16"/>
                <w:szCs w:val="16"/>
                <w:color w:val="auto"/>
              </w:rPr>
              <w:t>Net cash provided by operating activities</w:t>
            </w:r>
          </w:p>
        </w:tc>
        <w:tc>
          <w:tcPr>
            <w:tcW w:w="9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821</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w:t>
            </w:r>
          </w:p>
        </w:tc>
      </w:tr>
      <w:tr>
        <w:trPr>
          <w:trHeight w:val="427"/>
        </w:trPr>
        <w:tc>
          <w:tcPr>
            <w:tcW w:w="862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3"/>
        </w:trPr>
        <w:tc>
          <w:tcPr>
            <w:tcW w:w="8620" w:type="dxa"/>
            <w:vAlign w:val="bottom"/>
          </w:tcPr>
          <w:p>
            <w:pPr>
              <w:ind w:left="180"/>
              <w:spacing w:after="0"/>
              <w:rPr>
                <w:sz w:val="20"/>
                <w:szCs w:val="20"/>
                <w:color w:val="auto"/>
              </w:rPr>
            </w:pPr>
            <w:r>
              <w:rPr>
                <w:rFonts w:ascii="Arial" w:cs="Arial" w:eastAsia="Arial" w:hAnsi="Arial"/>
                <w:sz w:val="16"/>
                <w:szCs w:val="16"/>
                <w:color w:val="auto"/>
              </w:rPr>
              <w:t>Expenditures for property, plant and equipment</w:t>
            </w:r>
          </w:p>
        </w:tc>
        <w:tc>
          <w:tcPr>
            <w:tcW w:w="960" w:type="dxa"/>
            <w:vAlign w:val="bottom"/>
          </w:tcPr>
          <w:p>
            <w:pPr>
              <w:spacing w:after="0"/>
              <w:rPr>
                <w:sz w:val="18"/>
                <w:szCs w:val="18"/>
                <w:color w:val="auto"/>
              </w:rPr>
            </w:pPr>
          </w:p>
        </w:tc>
        <w:tc>
          <w:tcPr>
            <w:tcW w:w="800" w:type="dxa"/>
            <w:vAlign w:val="bottom"/>
          </w:tcPr>
          <w:p>
            <w:pPr>
              <w:jc w:val="right"/>
              <w:ind w:right="241"/>
              <w:spacing w:after="0"/>
              <w:rPr>
                <w:sz w:val="20"/>
                <w:szCs w:val="20"/>
                <w:color w:val="auto"/>
              </w:rPr>
            </w:pPr>
            <w:r>
              <w:rPr>
                <w:rFonts w:ascii="Arial" w:cs="Arial" w:eastAsia="Arial" w:hAnsi="Arial"/>
                <w:sz w:val="16"/>
                <w:szCs w:val="16"/>
                <w:color w:val="auto"/>
              </w:rPr>
              <w:t>(790)</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(679)</w:t>
            </w:r>
          </w:p>
        </w:tc>
      </w:tr>
      <w:tr>
        <w:trPr>
          <w:trHeight w:val="213"/>
        </w:trPr>
        <w:tc>
          <w:tcPr>
            <w:tcW w:w="8620" w:type="dxa"/>
            <w:vAlign w:val="bottom"/>
          </w:tcPr>
          <w:p>
            <w:pPr>
              <w:ind w:left="180"/>
              <w:spacing w:after="0"/>
              <w:rPr>
                <w:sz w:val="20"/>
                <w:szCs w:val="20"/>
                <w:color w:val="auto"/>
              </w:rPr>
            </w:pPr>
            <w:r>
              <w:rPr>
                <w:rFonts w:ascii="Arial" w:cs="Arial" w:eastAsia="Arial" w:hAnsi="Arial"/>
                <w:sz w:val="16"/>
                <w:szCs w:val="16"/>
                <w:color w:val="auto"/>
              </w:rPr>
              <w:t>Purchases of nuclear decommissioning trust assets</w:t>
            </w:r>
          </w:p>
        </w:tc>
        <w:tc>
          <w:tcPr>
            <w:tcW w:w="960" w:type="dxa"/>
            <w:vAlign w:val="bottom"/>
          </w:tcPr>
          <w:p>
            <w:pPr>
              <w:spacing w:after="0"/>
              <w:rPr>
                <w:sz w:val="18"/>
                <w:szCs w:val="18"/>
                <w:color w:val="auto"/>
              </w:rPr>
            </w:pPr>
          </w:p>
        </w:tc>
        <w:tc>
          <w:tcPr>
            <w:tcW w:w="800" w:type="dxa"/>
            <w:vAlign w:val="bottom"/>
          </w:tcPr>
          <w:p>
            <w:pPr>
              <w:jc w:val="right"/>
              <w:ind w:right="241"/>
              <w:spacing w:after="0"/>
              <w:rPr>
                <w:sz w:val="20"/>
                <w:szCs w:val="20"/>
                <w:color w:val="auto"/>
              </w:rPr>
            </w:pPr>
            <w:r>
              <w:rPr>
                <w:rFonts w:ascii="Arial" w:cs="Arial" w:eastAsia="Arial" w:hAnsi="Arial"/>
                <w:sz w:val="16"/>
                <w:szCs w:val="16"/>
                <w:color w:val="auto"/>
              </w:rPr>
              <w:t>(501)</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(511)</w:t>
            </w:r>
          </w:p>
        </w:tc>
      </w:tr>
    </w:tbl>
    <w:p>
      <w:pPr>
        <w:sectPr>
          <w:pgSz w:w="11900" w:h="16838" w:orient="portrait"/>
          <w:cols w:equalWidth="0" w:num="1">
            <w:col w:w="11420"/>
          </w:cols>
          <w:pgMar w:left="240" w:top="130" w:right="239" w:bottom="0" w:gutter="0" w:footer="0" w:header="0"/>
        </w:sectPr>
      </w:pPr>
    </w:p>
    <w:bookmarkStart w:id="9" w:name="page10"/>
    <w:bookmarkEnd w:id="9"/>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620" w:type="dxa"/>
            <w:vAlign w:val="bottom"/>
          </w:tcPr>
          <w:p>
            <w:pPr>
              <w:ind w:left="180"/>
              <w:spacing w:after="0"/>
              <w:rPr>
                <w:sz w:val="20"/>
                <w:szCs w:val="20"/>
                <w:color w:val="auto"/>
              </w:rPr>
            </w:pPr>
            <w:r>
              <w:rPr>
                <w:rFonts w:ascii="Arial" w:cs="Arial" w:eastAsia="Arial" w:hAnsi="Arial"/>
                <w:sz w:val="16"/>
                <w:szCs w:val="16"/>
                <w:color w:val="auto"/>
              </w:rPr>
              <w:t>Proceeds from sales by nuclear decommissioning trusts</w:t>
            </w:r>
          </w:p>
        </w:tc>
        <w:tc>
          <w:tcPr>
            <w:tcW w:w="1940" w:type="dxa"/>
            <w:vAlign w:val="bottom"/>
          </w:tcPr>
          <w:p>
            <w:pPr>
              <w:jc w:val="right"/>
              <w:ind w:right="420"/>
              <w:spacing w:after="0"/>
              <w:rPr>
                <w:sz w:val="20"/>
                <w:szCs w:val="20"/>
                <w:color w:val="auto"/>
              </w:rPr>
            </w:pPr>
            <w:r>
              <w:rPr>
                <w:rFonts w:ascii="Arial" w:cs="Arial" w:eastAsia="Arial" w:hAnsi="Arial"/>
                <w:sz w:val="16"/>
                <w:szCs w:val="16"/>
                <w:color w:val="auto"/>
              </w:rPr>
              <w:t>498</w:t>
            </w:r>
          </w:p>
        </w:tc>
        <w:tc>
          <w:tcPr>
            <w:tcW w:w="860" w:type="dxa"/>
            <w:vAlign w:val="bottom"/>
          </w:tcPr>
          <w:p>
            <w:pPr>
              <w:jc w:val="right"/>
              <w:spacing w:after="0"/>
              <w:rPr>
                <w:sz w:val="20"/>
                <w:szCs w:val="20"/>
                <w:color w:val="auto"/>
              </w:rPr>
            </w:pPr>
            <w:r>
              <w:rPr>
                <w:rFonts w:ascii="Arial" w:cs="Arial" w:eastAsia="Arial" w:hAnsi="Arial"/>
                <w:sz w:val="16"/>
                <w:szCs w:val="16"/>
                <w:color w:val="auto"/>
              </w:rPr>
              <w:t>507</w:t>
            </w:r>
          </w:p>
        </w:tc>
      </w:tr>
      <w:tr>
        <w:trPr>
          <w:trHeight w:val="252"/>
        </w:trPr>
        <w:tc>
          <w:tcPr>
            <w:tcW w:w="8620" w:type="dxa"/>
            <w:vAlign w:val="bottom"/>
          </w:tcPr>
          <w:p>
            <w:pPr>
              <w:ind w:left="180"/>
              <w:spacing w:after="0"/>
              <w:rPr>
                <w:sz w:val="20"/>
                <w:szCs w:val="20"/>
                <w:color w:val="auto"/>
              </w:rPr>
            </w:pPr>
            <w:r>
              <w:rPr>
                <w:rFonts w:ascii="Arial" w:cs="Arial" w:eastAsia="Arial" w:hAnsi="Arial"/>
                <w:sz w:val="16"/>
                <w:szCs w:val="16"/>
                <w:color w:val="auto"/>
              </w:rPr>
              <w:t>Decrease in restricted cash</w:t>
            </w:r>
          </w:p>
        </w:tc>
        <w:tc>
          <w:tcPr>
            <w:tcW w:w="1940" w:type="dxa"/>
            <w:vAlign w:val="bottom"/>
          </w:tcPr>
          <w:p>
            <w:pPr>
              <w:jc w:val="right"/>
              <w:ind w:right="420"/>
              <w:spacing w:after="0"/>
              <w:rPr>
                <w:sz w:val="20"/>
                <w:szCs w:val="20"/>
                <w:color w:val="auto"/>
              </w:rPr>
            </w:pPr>
            <w:r>
              <w:rPr>
                <w:rFonts w:ascii="Arial" w:cs="Arial" w:eastAsia="Arial" w:hAnsi="Arial"/>
                <w:sz w:val="16"/>
                <w:szCs w:val="16"/>
                <w:color w:val="auto"/>
              </w:rPr>
              <w:t>109</w:t>
            </w:r>
          </w:p>
        </w:tc>
        <w:tc>
          <w:tcPr>
            <w:tcW w:w="86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13"/>
        </w:trPr>
        <w:tc>
          <w:tcPr>
            <w:tcW w:w="8620" w:type="dxa"/>
            <w:vAlign w:val="bottom"/>
          </w:tcPr>
          <w:p>
            <w:pPr>
              <w:ind w:left="180"/>
              <w:spacing w:after="0"/>
              <w:rPr>
                <w:sz w:val="20"/>
                <w:szCs w:val="20"/>
                <w:color w:val="auto"/>
              </w:rPr>
            </w:pPr>
            <w:r>
              <w:rPr>
                <w:rFonts w:ascii="Arial" w:cs="Arial" w:eastAsia="Arial" w:hAnsi="Arial"/>
                <w:sz w:val="16"/>
                <w:szCs w:val="16"/>
                <w:color w:val="auto"/>
              </w:rPr>
              <w:t>Increase in restricted cash</w:t>
            </w:r>
          </w:p>
        </w:tc>
        <w:tc>
          <w:tcPr>
            <w:tcW w:w="1940" w:type="dxa"/>
            <w:vAlign w:val="bottom"/>
          </w:tcPr>
          <w:p>
            <w:pPr>
              <w:jc w:val="right"/>
              <w:ind w:right="420"/>
              <w:spacing w:after="0"/>
              <w:rPr>
                <w:sz w:val="20"/>
                <w:szCs w:val="20"/>
                <w:color w:val="auto"/>
              </w:rPr>
            </w:pPr>
            <w:r>
              <w:rPr>
                <w:rFonts w:ascii="Arial" w:cs="Arial" w:eastAsia="Arial" w:hAnsi="Arial"/>
                <w:sz w:val="16"/>
                <w:szCs w:val="16"/>
                <w:color w:val="auto"/>
              </w:rPr>
              <w:t>(96)</w:t>
            </w:r>
          </w:p>
        </w:tc>
        <w:tc>
          <w:tcPr>
            <w:tcW w:w="86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04"/>
        </w:trPr>
        <w:tc>
          <w:tcPr>
            <w:tcW w:w="8620" w:type="dxa"/>
            <w:vAlign w:val="bottom"/>
          </w:tcPr>
          <w:p>
            <w:pPr>
              <w:ind w:left="180"/>
              <w:spacing w:after="0"/>
              <w:rPr>
                <w:sz w:val="20"/>
                <w:szCs w:val="20"/>
                <w:color w:val="auto"/>
              </w:rPr>
            </w:pPr>
            <w:r>
              <w:rPr>
                <w:rFonts w:ascii="Arial" w:cs="Arial" w:eastAsia="Arial" w:hAnsi="Arial"/>
                <w:sz w:val="16"/>
                <w:szCs w:val="16"/>
                <w:color w:val="auto"/>
              </w:rPr>
              <w:t>Other</w:t>
            </w:r>
          </w:p>
        </w:tc>
        <w:tc>
          <w:tcPr>
            <w:tcW w:w="194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auto"/>
              </w:rPr>
              <w:t>(16)</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06"/>
        </w:trPr>
        <w:tc>
          <w:tcPr>
            <w:tcW w:w="8620" w:type="dxa"/>
            <w:vAlign w:val="bottom"/>
          </w:tcPr>
          <w:p>
            <w:pPr>
              <w:ind w:left="360"/>
              <w:spacing w:after="0"/>
              <w:rPr>
                <w:sz w:val="20"/>
                <w:szCs w:val="20"/>
                <w:color w:val="auto"/>
              </w:rPr>
            </w:pPr>
            <w:r>
              <w:rPr>
                <w:rFonts w:ascii="Arial" w:cs="Arial" w:eastAsia="Arial" w:hAnsi="Arial"/>
                <w:sz w:val="16"/>
                <w:szCs w:val="16"/>
                <w:color w:val="auto"/>
              </w:rPr>
              <w:t>Net cash used in investing activities</w:t>
            </w:r>
          </w:p>
        </w:tc>
        <w:tc>
          <w:tcPr>
            <w:tcW w:w="194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auto"/>
              </w:rPr>
              <w:t>(796)</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(678)</w:t>
            </w:r>
          </w:p>
        </w:tc>
      </w:tr>
      <w:tr>
        <w:trPr>
          <w:trHeight w:val="427"/>
        </w:trPr>
        <w:tc>
          <w:tcPr>
            <w:tcW w:w="862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19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3"/>
        </w:trPr>
        <w:tc>
          <w:tcPr>
            <w:tcW w:w="8620" w:type="dxa"/>
            <w:vAlign w:val="bottom"/>
          </w:tcPr>
          <w:p>
            <w:pPr>
              <w:ind w:left="180"/>
              <w:spacing w:after="0"/>
              <w:rPr>
                <w:sz w:val="20"/>
                <w:szCs w:val="20"/>
                <w:color w:val="auto"/>
              </w:rPr>
            </w:pPr>
            <w:r>
              <w:rPr>
                <w:rFonts w:ascii="Arial" w:cs="Arial" w:eastAsia="Arial" w:hAnsi="Arial"/>
                <w:sz w:val="16"/>
                <w:szCs w:val="16"/>
                <w:color w:val="auto"/>
              </w:rPr>
              <w:t>Preferred dividends paid</w:t>
            </w:r>
          </w:p>
        </w:tc>
        <w:tc>
          <w:tcPr>
            <w:tcW w:w="1940" w:type="dxa"/>
            <w:vAlign w:val="bottom"/>
          </w:tcPr>
          <w:p>
            <w:pPr>
              <w:jc w:val="right"/>
              <w:ind w:right="5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3"/>
        </w:trPr>
        <w:tc>
          <w:tcPr>
            <w:tcW w:w="8620" w:type="dxa"/>
            <w:vAlign w:val="bottom"/>
          </w:tcPr>
          <w:p>
            <w:pPr>
              <w:ind w:left="180"/>
              <w:spacing w:after="0"/>
              <w:rPr>
                <w:sz w:val="20"/>
                <w:szCs w:val="20"/>
                <w:color w:val="auto"/>
              </w:rPr>
            </w:pPr>
            <w:r>
              <w:rPr>
                <w:rFonts w:ascii="Arial" w:cs="Arial" w:eastAsia="Arial" w:hAnsi="Arial"/>
                <w:sz w:val="16"/>
                <w:szCs w:val="16"/>
                <w:color w:val="auto"/>
              </w:rPr>
              <w:t>Issuances of long-term debt</w:t>
            </w:r>
          </w:p>
        </w:tc>
        <w:tc>
          <w:tcPr>
            <w:tcW w:w="1940" w:type="dxa"/>
            <w:vAlign w:val="bottom"/>
          </w:tcPr>
          <w:p>
            <w:pPr>
              <w:jc w:val="right"/>
              <w:ind w:right="420"/>
              <w:spacing w:after="0"/>
              <w:rPr>
                <w:sz w:val="20"/>
                <w:szCs w:val="20"/>
                <w:color w:val="auto"/>
              </w:rPr>
            </w:pPr>
            <w:r>
              <w:rPr>
                <w:rFonts w:ascii="Arial" w:cs="Arial" w:eastAsia="Arial" w:hAnsi="Arial"/>
                <w:sz w:val="16"/>
                <w:szCs w:val="16"/>
                <w:color w:val="auto"/>
              </w:rPr>
              <w:t>100</w:t>
            </w:r>
          </w:p>
        </w:tc>
        <w:tc>
          <w:tcPr>
            <w:tcW w:w="860" w:type="dxa"/>
            <w:vAlign w:val="bottom"/>
          </w:tcPr>
          <w:p>
            <w:pPr>
              <w:jc w:val="right"/>
              <w:spacing w:after="0"/>
              <w:rPr>
                <w:sz w:val="20"/>
                <w:szCs w:val="20"/>
                <w:color w:val="auto"/>
              </w:rPr>
            </w:pPr>
            <w:r>
              <w:rPr>
                <w:rFonts w:ascii="Arial" w:cs="Arial" w:eastAsia="Arial" w:hAnsi="Arial"/>
                <w:sz w:val="16"/>
                <w:szCs w:val="16"/>
                <w:color w:val="auto"/>
              </w:rPr>
              <w:t>450</w:t>
            </w:r>
          </w:p>
        </w:tc>
      </w:tr>
      <w:tr>
        <w:trPr>
          <w:trHeight w:val="213"/>
        </w:trPr>
        <w:tc>
          <w:tcPr>
            <w:tcW w:w="8620" w:type="dxa"/>
            <w:vAlign w:val="bottom"/>
          </w:tcPr>
          <w:p>
            <w:pPr>
              <w:ind w:left="180"/>
              <w:spacing w:after="0"/>
              <w:rPr>
                <w:sz w:val="20"/>
                <w:szCs w:val="20"/>
                <w:color w:val="auto"/>
              </w:rPr>
            </w:pPr>
            <w:r>
              <w:rPr>
                <w:rFonts w:ascii="Arial" w:cs="Arial" w:eastAsia="Arial" w:hAnsi="Arial"/>
                <w:sz w:val="16"/>
                <w:szCs w:val="16"/>
                <w:color w:val="auto"/>
              </w:rPr>
              <w:t>Payments on long-term debt</w:t>
            </w:r>
          </w:p>
        </w:tc>
        <w:tc>
          <w:tcPr>
            <w:tcW w:w="1940" w:type="dxa"/>
            <w:vAlign w:val="bottom"/>
          </w:tcPr>
          <w:p>
            <w:pPr>
              <w:jc w:val="right"/>
              <w:ind w:right="420"/>
              <w:spacing w:after="0"/>
              <w:rPr>
                <w:sz w:val="20"/>
                <w:szCs w:val="20"/>
                <w:color w:val="auto"/>
              </w:rPr>
            </w:pPr>
            <w:r>
              <w:rPr>
                <w:rFonts w:ascii="Arial" w:cs="Arial" w:eastAsia="Arial" w:hAnsi="Arial"/>
                <w:sz w:val="16"/>
                <w:szCs w:val="16"/>
                <w:color w:val="auto"/>
              </w:rPr>
              <w:t>(22)</w:t>
            </w:r>
          </w:p>
        </w:tc>
        <w:tc>
          <w:tcPr>
            <w:tcW w:w="860" w:type="dxa"/>
            <w:vAlign w:val="bottom"/>
          </w:tcPr>
          <w:p>
            <w:pPr>
              <w:jc w:val="right"/>
              <w:spacing w:after="0"/>
              <w:rPr>
                <w:sz w:val="20"/>
                <w:szCs w:val="20"/>
                <w:color w:val="auto"/>
              </w:rPr>
            </w:pPr>
            <w:r>
              <w:rPr>
                <w:rFonts w:ascii="Arial" w:cs="Arial" w:eastAsia="Arial" w:hAnsi="Arial"/>
                <w:sz w:val="16"/>
                <w:szCs w:val="16"/>
                <w:color w:val="auto"/>
              </w:rPr>
              <w:t>(183)</w:t>
            </w:r>
          </w:p>
        </w:tc>
      </w:tr>
      <w:tr>
        <w:trPr>
          <w:trHeight w:val="213"/>
        </w:trPr>
        <w:tc>
          <w:tcPr>
            <w:tcW w:w="8620" w:type="dxa"/>
            <w:vAlign w:val="bottom"/>
          </w:tcPr>
          <w:p>
            <w:pPr>
              <w:ind w:left="180"/>
              <w:spacing w:after="0"/>
              <w:rPr>
                <w:sz w:val="20"/>
                <w:szCs w:val="20"/>
                <w:color w:val="auto"/>
              </w:rPr>
            </w:pPr>
            <w:r>
              <w:rPr>
                <w:rFonts w:ascii="Arial" w:cs="Arial" w:eastAsia="Arial" w:hAnsi="Arial"/>
                <w:sz w:val="16"/>
                <w:szCs w:val="16"/>
                <w:color w:val="auto"/>
              </w:rPr>
              <w:t>Decrease in short-term debt, net</w:t>
            </w:r>
          </w:p>
        </w:tc>
        <w:tc>
          <w:tcPr>
            <w:tcW w:w="1940" w:type="dxa"/>
            <w:vAlign w:val="bottom"/>
          </w:tcPr>
          <w:p>
            <w:pPr>
              <w:jc w:val="right"/>
              <w:ind w:right="420"/>
              <w:spacing w:after="0"/>
              <w:rPr>
                <w:sz w:val="20"/>
                <w:szCs w:val="20"/>
                <w:color w:val="auto"/>
              </w:rPr>
            </w:pPr>
            <w:r>
              <w:rPr>
                <w:rFonts w:ascii="Arial" w:cs="Arial" w:eastAsia="Arial" w:hAnsi="Arial"/>
                <w:sz w:val="16"/>
                <w:szCs w:val="16"/>
                <w:color w:val="auto"/>
              </w:rPr>
              <w:t>(59)</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w:t>
            </w:r>
          </w:p>
        </w:tc>
      </w:tr>
      <w:tr>
        <w:trPr>
          <w:trHeight w:val="213"/>
        </w:trPr>
        <w:tc>
          <w:tcPr>
            <w:tcW w:w="8620" w:type="dxa"/>
            <w:vAlign w:val="bottom"/>
          </w:tcPr>
          <w:p>
            <w:pPr>
              <w:ind w:left="180"/>
              <w:spacing w:after="0"/>
              <w:rPr>
                <w:sz w:val="20"/>
                <w:szCs w:val="20"/>
                <w:color w:val="auto"/>
              </w:rPr>
            </w:pPr>
            <w:r>
              <w:rPr>
                <w:rFonts w:ascii="Arial" w:cs="Arial" w:eastAsia="Arial" w:hAnsi="Arial"/>
                <w:sz w:val="16"/>
                <w:szCs w:val="16"/>
                <w:color w:val="auto"/>
              </w:rPr>
              <w:t>Capital distribution made by Otay Mesa VIE</w:t>
            </w:r>
          </w:p>
        </w:tc>
        <w:tc>
          <w:tcPr>
            <w:tcW w:w="1940" w:type="dxa"/>
            <w:vAlign w:val="bottom"/>
          </w:tcPr>
          <w:p>
            <w:pPr>
              <w:jc w:val="right"/>
              <w:ind w:right="420"/>
              <w:spacing w:after="0"/>
              <w:rPr>
                <w:sz w:val="20"/>
                <w:szCs w:val="20"/>
                <w:color w:val="auto"/>
              </w:rPr>
            </w:pPr>
            <w:r>
              <w:rPr>
                <w:rFonts w:ascii="Arial" w:cs="Arial" w:eastAsia="Arial" w:hAnsi="Arial"/>
                <w:sz w:val="16"/>
                <w:szCs w:val="16"/>
                <w:color w:val="auto"/>
              </w:rPr>
              <w:t>(38)</w:t>
            </w:r>
          </w:p>
        </w:tc>
        <w:tc>
          <w:tcPr>
            <w:tcW w:w="86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04"/>
        </w:trPr>
        <w:tc>
          <w:tcPr>
            <w:tcW w:w="8620" w:type="dxa"/>
            <w:vAlign w:val="bottom"/>
          </w:tcPr>
          <w:p>
            <w:pPr>
              <w:ind w:left="180"/>
              <w:spacing w:after="0"/>
              <w:rPr>
                <w:sz w:val="20"/>
                <w:szCs w:val="20"/>
                <w:color w:val="auto"/>
              </w:rPr>
            </w:pPr>
            <w:r>
              <w:rPr>
                <w:rFonts w:ascii="Arial" w:cs="Arial" w:eastAsia="Arial" w:hAnsi="Arial"/>
                <w:sz w:val="16"/>
                <w:szCs w:val="16"/>
                <w:color w:val="auto"/>
              </w:rPr>
              <w:t>Other</w:t>
            </w:r>
          </w:p>
        </w:tc>
        <w:tc>
          <w:tcPr>
            <w:tcW w:w="194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06"/>
        </w:trPr>
        <w:tc>
          <w:tcPr>
            <w:tcW w:w="8620" w:type="dxa"/>
            <w:vAlign w:val="bottom"/>
          </w:tcPr>
          <w:p>
            <w:pPr>
              <w:ind w:left="360"/>
              <w:spacing w:after="0"/>
              <w:rPr>
                <w:sz w:val="20"/>
                <w:szCs w:val="20"/>
                <w:color w:val="auto"/>
              </w:rPr>
            </w:pPr>
            <w:r>
              <w:rPr>
                <w:rFonts w:ascii="Arial" w:cs="Arial" w:eastAsia="Arial" w:hAnsi="Arial"/>
                <w:sz w:val="16"/>
                <w:szCs w:val="16"/>
                <w:color w:val="auto"/>
              </w:rPr>
              <w:t>Net cash (used in) provided by financing activities</w:t>
            </w:r>
          </w:p>
        </w:tc>
        <w:tc>
          <w:tcPr>
            <w:tcW w:w="194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auto"/>
              </w:rPr>
              <w:t>(19)</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w:t>
            </w:r>
          </w:p>
        </w:tc>
      </w:tr>
    </w:tbl>
    <w:p>
      <w:pPr>
        <w:spacing w:after="0" w:line="200" w:lineRule="exact"/>
        <w:rPr>
          <w:sz w:val="20"/>
          <w:szCs w:val="20"/>
          <w:color w:val="auto"/>
        </w:rPr>
      </w:pPr>
    </w:p>
    <w:p>
      <w:pPr>
        <w:sectPr>
          <w:pgSz w:w="11900" w:h="16898" w:orient="portrait"/>
          <w:cols w:equalWidth="0" w:num="1">
            <w:col w:w="11420"/>
          </w:cols>
          <w:pgMar w:left="240" w:top="128" w:right="239" w:bottom="0" w:gutter="0" w:footer="0" w:header="0"/>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Increase in cash and cash equivalents</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January 1</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September 30</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820" w:type="dxa"/>
            <w:vAlign w:val="bottom"/>
          </w:tcPr>
          <w:p>
            <w:pPr>
              <w:spacing w:after="0"/>
              <w:rPr>
                <w:sz w:val="16"/>
                <w:szCs w:val="16"/>
                <w:color w:val="auto"/>
              </w:rPr>
            </w:pP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6</w:t>
            </w:r>
          </w:p>
        </w:tc>
        <w:tc>
          <w:tcPr>
            <w:tcW w:w="6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04"/>
        </w:trPr>
        <w:tc>
          <w:tcPr>
            <w:tcW w:w="8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27</w:t>
            </w:r>
          </w:p>
        </w:tc>
        <w:tc>
          <w:tcPr>
            <w:tcW w:w="6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w:t>
            </w:r>
          </w:p>
        </w:tc>
      </w:tr>
      <w:tr>
        <w:trPr>
          <w:trHeight w:val="173"/>
        </w:trPr>
        <w:tc>
          <w:tcPr>
            <w:tcW w:w="820" w:type="dxa"/>
            <w:vAlign w:val="bottom"/>
            <w:tcBorders>
              <w:bottom w:val="single" w:sz="8" w:color="auto"/>
            </w:tcBorders>
          </w:tcPr>
          <w:p>
            <w:pPr>
              <w:jc w:val="right"/>
              <w:ind w:right="360"/>
              <w:spacing w:after="0" w:line="166" w:lineRule="exact"/>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80"/>
              <w:spacing w:after="0" w:line="166" w:lineRule="exact"/>
              <w:rPr>
                <w:sz w:val="20"/>
                <w:szCs w:val="20"/>
                <w:color w:val="auto"/>
              </w:rPr>
            </w:pPr>
            <w:r>
              <w:rPr>
                <w:rFonts w:ascii="Arial" w:cs="Arial" w:eastAsia="Arial" w:hAnsi="Arial"/>
                <w:sz w:val="16"/>
                <w:szCs w:val="16"/>
                <w:color w:val="auto"/>
              </w:rPr>
              <w:t>33</w:t>
            </w:r>
          </w:p>
        </w:tc>
        <w:tc>
          <w:tcPr>
            <w:tcW w:w="600" w:type="dxa"/>
            <w:vAlign w:val="bottom"/>
            <w:tcBorders>
              <w:bottom w:val="single" w:sz="8" w:color="auto"/>
            </w:tcBorders>
          </w:tcPr>
          <w:p>
            <w:pPr>
              <w:jc w:val="right"/>
              <w:ind w:right="280"/>
              <w:spacing w:after="0" w:line="166" w:lineRule="exact"/>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167</w:t>
            </w:r>
          </w:p>
        </w:tc>
      </w:tr>
    </w:tbl>
    <w:p>
      <w:pPr>
        <w:spacing w:after="0" w:line="200" w:lineRule="exact"/>
        <w:rPr>
          <w:sz w:val="20"/>
          <w:szCs w:val="20"/>
          <w:color w:val="auto"/>
        </w:rPr>
      </w:pPr>
    </w:p>
    <w:p>
      <w:pPr>
        <w:sectPr>
          <w:pgSz w:w="11900" w:h="16898" w:orient="portrait"/>
          <w:cols w:equalWidth="0" w:num="2">
            <w:col w:w="7900" w:space="720"/>
            <w:col w:w="2800"/>
          </w:cols>
          <w:pgMar w:left="240" w:top="128" w:right="239" w:bottom="0" w:gutter="0" w:footer="0" w:header="0"/>
          <w:type w:val="continuous"/>
        </w:sectPr>
      </w:pP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40" w:type="dxa"/>
            <w:vAlign w:val="bottom"/>
          </w:tcPr>
          <w:p>
            <w:pPr>
              <w:spacing w:after="0"/>
              <w:rPr>
                <w:sz w:val="20"/>
                <w:szCs w:val="20"/>
                <w:color w:val="auto"/>
              </w:rPr>
            </w:pPr>
            <w:r>
              <w:rPr>
                <w:rFonts w:ascii="Arial" w:cs="Arial" w:eastAsia="Arial" w:hAnsi="Arial"/>
                <w:sz w:val="16"/>
                <w:szCs w:val="16"/>
                <w:color w:val="auto"/>
              </w:rPr>
              <w:t>SUPPLEMENTAL DISCLOSURE OF CASH FLOW INFORMATION</w:t>
            </w:r>
          </w:p>
        </w:tc>
        <w:tc>
          <w:tcPr>
            <w:tcW w:w="1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92"/>
        </w:trPr>
        <w:tc>
          <w:tcPr>
            <w:tcW w:w="7740" w:type="dxa"/>
            <w:vAlign w:val="bottom"/>
          </w:tcPr>
          <w:p>
            <w:pPr>
              <w:ind w:left="180"/>
              <w:spacing w:after="0"/>
              <w:rPr>
                <w:sz w:val="20"/>
                <w:szCs w:val="20"/>
                <w:color w:val="auto"/>
              </w:rPr>
            </w:pPr>
            <w:r>
              <w:rPr>
                <w:rFonts w:ascii="Arial" w:cs="Arial" w:eastAsia="Arial" w:hAnsi="Arial"/>
                <w:sz w:val="16"/>
                <w:szCs w:val="16"/>
                <w:color w:val="auto"/>
              </w:rPr>
              <w:t>Interest payments, net of amounts capitalized</w:t>
            </w:r>
          </w:p>
        </w:tc>
        <w:tc>
          <w:tcPr>
            <w:tcW w:w="1640" w:type="dxa"/>
            <w:vAlign w:val="bottom"/>
          </w:tcPr>
          <w:p>
            <w:pPr>
              <w:jc w:val="right"/>
              <w:ind w:right="30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136</w:t>
            </w:r>
          </w:p>
        </w:tc>
        <w:tc>
          <w:tcPr>
            <w:tcW w:w="58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127</w:t>
            </w:r>
          </w:p>
        </w:tc>
      </w:tr>
      <w:tr>
        <w:trPr>
          <w:trHeight w:val="213"/>
        </w:trPr>
        <w:tc>
          <w:tcPr>
            <w:tcW w:w="7740" w:type="dxa"/>
            <w:vAlign w:val="bottom"/>
          </w:tcPr>
          <w:p>
            <w:pPr>
              <w:ind w:left="180"/>
              <w:spacing w:after="0"/>
              <w:rPr>
                <w:sz w:val="20"/>
                <w:szCs w:val="20"/>
                <w:color w:val="auto"/>
              </w:rPr>
            </w:pPr>
            <w:r>
              <w:rPr>
                <w:rFonts w:ascii="Arial" w:cs="Arial" w:eastAsia="Arial" w:hAnsi="Arial"/>
                <w:sz w:val="16"/>
                <w:szCs w:val="16"/>
                <w:color w:val="auto"/>
              </w:rPr>
              <w:t>Income tax (refunds) payments, net</w:t>
            </w:r>
          </w:p>
        </w:tc>
        <w:tc>
          <w:tcPr>
            <w:tcW w:w="1640" w:type="dxa"/>
            <w:vAlign w:val="bottom"/>
          </w:tcPr>
          <w:p>
            <w:pPr>
              <w:spacing w:after="0"/>
              <w:rPr>
                <w:sz w:val="18"/>
                <w:szCs w:val="18"/>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(4)</w:t>
            </w:r>
          </w:p>
        </w:tc>
        <w:tc>
          <w:tcPr>
            <w:tcW w:w="5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406"/>
        </w:trPr>
        <w:tc>
          <w:tcPr>
            <w:tcW w:w="7740" w:type="dxa"/>
            <w:vAlign w:val="bottom"/>
          </w:tcPr>
          <w:p>
            <w:pPr>
              <w:spacing w:after="0"/>
              <w:rPr>
                <w:sz w:val="20"/>
                <w:szCs w:val="20"/>
                <w:color w:val="auto"/>
              </w:rPr>
            </w:pPr>
            <w:r>
              <w:rPr>
                <w:rFonts w:ascii="Arial" w:cs="Arial" w:eastAsia="Arial" w:hAnsi="Arial"/>
                <w:sz w:val="16"/>
                <w:szCs w:val="16"/>
                <w:color w:val="auto"/>
              </w:rPr>
              <w:t>SUPPLEMENTAL DISCLOSURE OF NONCASH INVESTING AND FINANCING ACTIVITIES</w:t>
            </w:r>
          </w:p>
        </w:tc>
        <w:tc>
          <w:tcPr>
            <w:tcW w:w="1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92"/>
        </w:trPr>
        <w:tc>
          <w:tcPr>
            <w:tcW w:w="7740" w:type="dxa"/>
            <w:vAlign w:val="bottom"/>
          </w:tcPr>
          <w:p>
            <w:pPr>
              <w:ind w:left="180"/>
              <w:spacing w:after="0"/>
              <w:rPr>
                <w:sz w:val="20"/>
                <w:szCs w:val="20"/>
                <w:color w:val="auto"/>
              </w:rPr>
            </w:pPr>
            <w:r>
              <w:rPr>
                <w:rFonts w:ascii="Arial" w:cs="Arial" w:eastAsia="Arial" w:hAnsi="Arial"/>
                <w:sz w:val="16"/>
                <w:szCs w:val="16"/>
                <w:color w:val="auto"/>
              </w:rPr>
              <w:t>Nuclear facility plant reclassified to regulatory asset, net of depreciation and amortization</w:t>
            </w:r>
          </w:p>
        </w:tc>
        <w:tc>
          <w:tcPr>
            <w:tcW w:w="1640" w:type="dxa"/>
            <w:vAlign w:val="bottom"/>
          </w:tcPr>
          <w:p>
            <w:pPr>
              <w:jc w:val="right"/>
              <w:ind w:right="30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512</w:t>
            </w:r>
          </w:p>
        </w:tc>
      </w:tr>
      <w:tr>
        <w:trPr>
          <w:trHeight w:val="213"/>
        </w:trPr>
        <w:tc>
          <w:tcPr>
            <w:tcW w:w="7740" w:type="dxa"/>
            <w:vAlign w:val="bottom"/>
          </w:tcPr>
          <w:p>
            <w:pPr>
              <w:ind w:left="180"/>
              <w:spacing w:after="0"/>
              <w:rPr>
                <w:sz w:val="20"/>
                <w:szCs w:val="20"/>
                <w:color w:val="auto"/>
              </w:rPr>
            </w:pPr>
            <w:r>
              <w:rPr>
                <w:rFonts w:ascii="Arial" w:cs="Arial" w:eastAsia="Arial" w:hAnsi="Arial"/>
                <w:sz w:val="16"/>
                <w:szCs w:val="16"/>
                <w:color w:val="auto"/>
              </w:rPr>
              <w:t>Accrued capital expenditures</w:t>
            </w:r>
          </w:p>
        </w:tc>
        <w:tc>
          <w:tcPr>
            <w:tcW w:w="1640" w:type="dxa"/>
            <w:vAlign w:val="bottom"/>
          </w:tcPr>
          <w:p>
            <w:pPr>
              <w:spacing w:after="0"/>
              <w:rPr>
                <w:sz w:val="18"/>
                <w:szCs w:val="18"/>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118</w:t>
            </w:r>
          </w:p>
        </w:tc>
        <w:tc>
          <w:tcPr>
            <w:tcW w:w="5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108</w:t>
            </w:r>
          </w:p>
        </w:tc>
      </w:tr>
      <w:tr>
        <w:trPr>
          <w:trHeight w:val="213"/>
        </w:trPr>
        <w:tc>
          <w:tcPr>
            <w:tcW w:w="7740" w:type="dxa"/>
            <w:vAlign w:val="bottom"/>
          </w:tcPr>
          <w:p>
            <w:pPr>
              <w:ind w:left="180"/>
              <w:spacing w:after="0"/>
              <w:rPr>
                <w:sz w:val="20"/>
                <w:szCs w:val="20"/>
                <w:color w:val="auto"/>
              </w:rPr>
            </w:pPr>
            <w:r>
              <w:rPr>
                <w:rFonts w:ascii="Arial" w:cs="Arial" w:eastAsia="Arial" w:hAnsi="Arial"/>
                <w:sz w:val="16"/>
                <w:szCs w:val="16"/>
                <w:color w:val="auto"/>
              </w:rPr>
              <w:t>Increase in capital lease obligations for investment in property, plant and equipment</w:t>
            </w:r>
          </w:p>
        </w:tc>
        <w:tc>
          <w:tcPr>
            <w:tcW w:w="1640" w:type="dxa"/>
            <w:vAlign w:val="bottom"/>
          </w:tcPr>
          <w:p>
            <w:pPr>
              <w:spacing w:after="0"/>
              <w:rPr>
                <w:sz w:val="18"/>
                <w:szCs w:val="18"/>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60</w:t>
            </w:r>
          </w:p>
        </w:tc>
        <w:tc>
          <w:tcPr>
            <w:tcW w:w="580" w:type="dxa"/>
            <w:vAlign w:val="bottom"/>
          </w:tcPr>
          <w:p>
            <w:pPr>
              <w:spacing w:after="0"/>
              <w:rPr>
                <w:sz w:val="18"/>
                <w:szCs w:val="18"/>
                <w:color w:val="auto"/>
              </w:rPr>
            </w:pPr>
          </w:p>
        </w:tc>
        <w:tc>
          <w:tcPr>
            <w:tcW w:w="620" w:type="dxa"/>
            <w:vAlign w:val="bottom"/>
          </w:tcPr>
          <w:p>
            <w:pPr>
              <w:jc w:val="right"/>
              <w:ind w:right="60"/>
              <w:spacing w:after="0"/>
              <w:rPr>
                <w:sz w:val="20"/>
                <w:szCs w:val="20"/>
                <w:color w:val="auto"/>
              </w:rPr>
            </w:pPr>
            <w:r>
              <w:rPr>
                <w:rFonts w:ascii="Arial" w:cs="Arial" w:eastAsia="Arial" w:hAnsi="Arial"/>
                <w:sz w:val="16"/>
                <w:szCs w:val="16"/>
                <w:color w:val="auto"/>
              </w:rPr>
              <w:t>―</w:t>
            </w:r>
          </w:p>
        </w:tc>
      </w:tr>
      <w:tr>
        <w:trPr>
          <w:trHeight w:val="213"/>
        </w:trPr>
        <w:tc>
          <w:tcPr>
            <w:tcW w:w="7740" w:type="dxa"/>
            <w:vAlign w:val="bottom"/>
          </w:tcPr>
          <w:p>
            <w:pPr>
              <w:ind w:left="320"/>
              <w:spacing w:after="0"/>
              <w:rPr>
                <w:sz w:val="20"/>
                <w:szCs w:val="20"/>
                <w:color w:val="auto"/>
              </w:rPr>
            </w:pPr>
            <w:r>
              <w:rPr>
                <w:rFonts w:ascii="Arial" w:cs="Arial" w:eastAsia="Arial" w:hAnsi="Arial"/>
                <w:sz w:val="16"/>
                <w:szCs w:val="16"/>
                <w:color w:val="auto"/>
              </w:rPr>
              <w:t>Call premium on preferred stock</w:t>
            </w:r>
          </w:p>
        </w:tc>
        <w:tc>
          <w:tcPr>
            <w:tcW w:w="1640" w:type="dxa"/>
            <w:vAlign w:val="bottom"/>
          </w:tcPr>
          <w:p>
            <w:pPr>
              <w:spacing w:after="0"/>
              <w:rPr>
                <w:sz w:val="18"/>
                <w:szCs w:val="18"/>
                <w:color w:val="auto"/>
              </w:rPr>
            </w:pPr>
          </w:p>
        </w:tc>
        <w:tc>
          <w:tcPr>
            <w:tcW w:w="84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3"/>
        </w:trPr>
        <w:tc>
          <w:tcPr>
            <w:tcW w:w="7740" w:type="dxa"/>
            <w:vAlign w:val="bottom"/>
          </w:tcPr>
          <w:p>
            <w:pPr>
              <w:ind w:left="180"/>
              <w:spacing w:after="0"/>
              <w:rPr>
                <w:sz w:val="20"/>
                <w:szCs w:val="20"/>
                <w:color w:val="auto"/>
              </w:rPr>
            </w:pPr>
            <w:r>
              <w:rPr>
                <w:rFonts w:ascii="Arial" w:cs="Arial" w:eastAsia="Arial" w:hAnsi="Arial"/>
                <w:sz w:val="16"/>
                <w:szCs w:val="16"/>
                <w:color w:val="auto"/>
              </w:rPr>
              <w:t>Dividends declared but not paid</w:t>
            </w:r>
          </w:p>
        </w:tc>
        <w:tc>
          <w:tcPr>
            <w:tcW w:w="1640" w:type="dxa"/>
            <w:vAlign w:val="bottom"/>
          </w:tcPr>
          <w:p>
            <w:pPr>
              <w:spacing w:after="0"/>
              <w:rPr>
                <w:sz w:val="18"/>
                <w:szCs w:val="18"/>
                <w:color w:val="auto"/>
              </w:rPr>
            </w:pPr>
          </w:p>
        </w:tc>
        <w:tc>
          <w:tcPr>
            <w:tcW w:w="84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724852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8525" cy="1714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511175</wp:posOffset>
            </wp:positionV>
            <wp:extent cx="7248525" cy="413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8525" cy="413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SOUTHERN CALIFORNIA GAS COMPANY</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94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2260" w:type="dxa"/>
            <w:vAlign w:val="bottom"/>
            <w:gridSpan w:val="4"/>
            <w:vMerge w:val="restart"/>
          </w:tcPr>
          <w:p>
            <w:pPr>
              <w:jc w:val="right"/>
              <w:ind w:right="263"/>
              <w:spacing w:after="0"/>
              <w:rPr>
                <w:sz w:val="20"/>
                <w:szCs w:val="20"/>
                <w:color w:val="auto"/>
              </w:rPr>
            </w:pPr>
            <w:r>
              <w:rPr>
                <w:rFonts w:ascii="Arial" w:cs="Arial" w:eastAsia="Arial" w:hAnsi="Arial"/>
                <w:sz w:val="14"/>
                <w:szCs w:val="14"/>
                <w:color w:val="auto"/>
              </w:rPr>
              <w:t>Three months ended</w:t>
            </w: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shd w:val="clear" w:color="auto" w:fill="C0C0C0"/>
          </w:tcPr>
          <w:p>
            <w:pPr>
              <w:spacing w:after="0"/>
              <w:rPr>
                <w:sz w:val="16"/>
                <w:szCs w:val="16"/>
                <w:color w:val="auto"/>
              </w:rPr>
            </w:pPr>
          </w:p>
        </w:tc>
        <w:tc>
          <w:tcPr>
            <w:tcW w:w="1160" w:type="dxa"/>
            <w:vAlign w:val="bottom"/>
            <w:shd w:val="clear" w:color="auto" w:fill="C0C0C0"/>
          </w:tcPr>
          <w:p>
            <w:pPr>
              <w:spacing w:after="0"/>
              <w:rPr>
                <w:sz w:val="16"/>
                <w:szCs w:val="16"/>
                <w:color w:val="auto"/>
              </w:rPr>
            </w:pPr>
          </w:p>
        </w:tc>
        <w:tc>
          <w:tcPr>
            <w:tcW w:w="720" w:type="dxa"/>
            <w:vAlign w:val="bottom"/>
            <w:shd w:val="clear" w:color="auto" w:fill="C0C0C0"/>
          </w:tcPr>
          <w:p>
            <w:pPr>
              <w:spacing w:after="0"/>
              <w:rPr>
                <w:sz w:val="16"/>
                <w:szCs w:val="16"/>
                <w:color w:val="auto"/>
              </w:rPr>
            </w:pPr>
          </w:p>
        </w:tc>
        <w:tc>
          <w:tcPr>
            <w:tcW w:w="440" w:type="dxa"/>
            <w:vAlign w:val="bottom"/>
            <w:shd w:val="clear" w:color="auto" w:fill="C0C0C0"/>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5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4"/>
            <w:vMerge w:val="continue"/>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2"/>
          </w:tcPr>
          <w:p>
            <w:pPr>
              <w:jc w:val="center"/>
              <w:spacing w:after="0"/>
              <w:rPr>
                <w:sz w:val="20"/>
                <w:szCs w:val="20"/>
                <w:color w:val="auto"/>
              </w:rPr>
            </w:pPr>
            <w:r>
              <w:rPr>
                <w:rFonts w:ascii="Arial" w:cs="Arial" w:eastAsia="Arial" w:hAnsi="Arial"/>
                <w:sz w:val="14"/>
                <w:szCs w:val="14"/>
                <w:color w:val="auto"/>
              </w:rPr>
              <w:t>Nine months ended</w:t>
            </w: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September 30,</w:t>
            </w:r>
          </w:p>
        </w:tc>
        <w:tc>
          <w:tcPr>
            <w:tcW w:w="4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2"/>
          </w:tcPr>
          <w:p>
            <w:pPr>
              <w:jc w:val="center"/>
              <w:spacing w:after="0" w:line="155" w:lineRule="exact"/>
              <w:rPr>
                <w:sz w:val="20"/>
                <w:szCs w:val="20"/>
                <w:color w:val="auto"/>
              </w:rPr>
            </w:pPr>
            <w:r>
              <w:rPr>
                <w:rFonts w:ascii="Arial" w:cs="Arial" w:eastAsia="Arial" w:hAnsi="Arial"/>
                <w:sz w:val="14"/>
                <w:szCs w:val="14"/>
                <w:color w:val="auto"/>
              </w:rPr>
              <w:t>September 30,</w:t>
            </w:r>
          </w:p>
        </w:tc>
        <w:tc>
          <w:tcPr>
            <w:tcW w:w="4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5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2014</w:t>
            </w:r>
          </w:p>
        </w:tc>
        <w:tc>
          <w:tcPr>
            <w:tcW w:w="5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color w:val="auto"/>
              </w:rPr>
              <w:t>2013</w:t>
            </w:r>
          </w:p>
        </w:tc>
        <w:tc>
          <w:tcPr>
            <w:tcW w:w="5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721"/>
              <w:spacing w:after="0"/>
              <w:rPr>
                <w:sz w:val="20"/>
                <w:szCs w:val="20"/>
                <w:color w:val="auto"/>
              </w:rPr>
            </w:pPr>
            <w:r>
              <w:rPr>
                <w:rFonts w:ascii="Arial" w:cs="Arial" w:eastAsia="Arial" w:hAnsi="Arial"/>
                <w:sz w:val="14"/>
                <w:szCs w:val="14"/>
                <w:color w:val="auto"/>
              </w:rPr>
              <w:t>2014</w:t>
            </w:r>
          </w:p>
        </w:tc>
        <w:tc>
          <w:tcPr>
            <w:tcW w:w="72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2013</w:t>
            </w:r>
          </w:p>
        </w:tc>
        <w:tc>
          <w:tcPr>
            <w:tcW w:w="4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4"/>
                <w:szCs w:val="14"/>
                <w:color w:val="auto"/>
              </w:rPr>
              <w:t>(unaudited)</w:t>
            </w:r>
          </w:p>
        </w:tc>
        <w:tc>
          <w:tcPr>
            <w:tcW w:w="1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0"/>
        </w:trPr>
        <w:tc>
          <w:tcPr>
            <w:tcW w:w="5820" w:type="dxa"/>
            <w:vAlign w:val="bottom"/>
          </w:tcPr>
          <w:p>
            <w:pPr>
              <w:spacing w:after="0"/>
              <w:rPr>
                <w:sz w:val="20"/>
                <w:szCs w:val="20"/>
                <w:color w:val="auto"/>
              </w:rPr>
            </w:pPr>
            <w:r>
              <w:rPr>
                <w:rFonts w:ascii="Arial" w:cs="Arial" w:eastAsia="Arial" w:hAnsi="Arial"/>
                <w:sz w:val="16"/>
                <w:szCs w:val="16"/>
                <w:color w:val="auto"/>
              </w:rPr>
              <w:t>Operating revenues</w:t>
            </w: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444"/>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855</w:t>
            </w:r>
          </w:p>
        </w:tc>
        <w:tc>
          <w:tcPr>
            <w:tcW w:w="4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807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2,857</w:t>
            </w: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5940" w:type="dxa"/>
            <w:vAlign w:val="bottom"/>
            <w:gridSpan w:val="2"/>
          </w:tcPr>
          <w:p>
            <w:pPr>
              <w:spacing w:after="0"/>
              <w:rPr>
                <w:sz w:val="20"/>
                <w:szCs w:val="20"/>
                <w:color w:val="auto"/>
              </w:rPr>
            </w:pPr>
            <w:r>
              <w:rPr>
                <w:rFonts w:ascii="Arial" w:cs="Arial" w:eastAsia="Arial" w:hAnsi="Arial"/>
                <w:sz w:val="16"/>
                <w:szCs w:val="16"/>
                <w:color w:val="auto"/>
              </w:rPr>
              <w:t>Operating expenses</w:t>
            </w: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40" w:type="dxa"/>
            <w:vAlign w:val="bottom"/>
            <w:gridSpan w:val="2"/>
          </w:tcPr>
          <w:p>
            <w:pPr>
              <w:ind w:left="180"/>
              <w:spacing w:after="0"/>
              <w:rPr>
                <w:sz w:val="20"/>
                <w:szCs w:val="20"/>
                <w:color w:val="auto"/>
              </w:rPr>
            </w:pPr>
            <w:r>
              <w:rPr>
                <w:rFonts w:ascii="Arial" w:cs="Arial" w:eastAsia="Arial" w:hAnsi="Arial"/>
                <w:sz w:val="16"/>
                <w:szCs w:val="16"/>
                <w:color w:val="auto"/>
              </w:rPr>
              <w:t>Cost of natural gas</w:t>
            </w:r>
          </w:p>
        </w:tc>
        <w:tc>
          <w:tcPr>
            <w:tcW w:w="7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237</w:t>
            </w: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jc w:val="right"/>
              <w:ind w:right="62"/>
              <w:spacing w:after="0"/>
              <w:rPr>
                <w:sz w:val="20"/>
                <w:szCs w:val="20"/>
                <w:color w:val="auto"/>
              </w:rPr>
            </w:pPr>
            <w:r>
              <w:rPr>
                <w:rFonts w:ascii="Arial" w:cs="Arial" w:eastAsia="Arial" w:hAnsi="Arial"/>
                <w:sz w:val="16"/>
                <w:szCs w:val="16"/>
                <w:color w:val="auto"/>
              </w:rPr>
              <w:t>209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181"/>
              <w:spacing w:after="0"/>
              <w:rPr>
                <w:sz w:val="20"/>
                <w:szCs w:val="20"/>
                <w:color w:val="auto"/>
              </w:rPr>
            </w:pPr>
            <w:r>
              <w:rPr>
                <w:rFonts w:ascii="Arial" w:cs="Arial" w:eastAsia="Arial" w:hAnsi="Arial"/>
                <w:sz w:val="16"/>
                <w:szCs w:val="16"/>
                <w:color w:val="auto"/>
              </w:rPr>
              <w:t>1,066</w:t>
            </w:r>
          </w:p>
        </w:tc>
        <w:tc>
          <w:tcPr>
            <w:tcW w:w="72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6"/>
                <w:szCs w:val="16"/>
                <w:color w:val="auto"/>
              </w:rPr>
              <w:t>966</w:t>
            </w:r>
          </w:p>
        </w:tc>
        <w:tc>
          <w:tcPr>
            <w:tcW w:w="0" w:type="dxa"/>
            <w:vAlign w:val="bottom"/>
          </w:tcPr>
          <w:p>
            <w:pPr>
              <w:spacing w:after="0"/>
              <w:rPr>
                <w:sz w:val="1"/>
                <w:szCs w:val="1"/>
                <w:color w:val="auto"/>
              </w:rPr>
            </w:pPr>
          </w:p>
        </w:tc>
      </w:tr>
      <w:tr>
        <w:trPr>
          <w:trHeight w:val="213"/>
        </w:trPr>
        <w:tc>
          <w:tcPr>
            <w:tcW w:w="5940" w:type="dxa"/>
            <w:vAlign w:val="bottom"/>
            <w:gridSpan w:val="2"/>
          </w:tcPr>
          <w:p>
            <w:pPr>
              <w:ind w:left="180"/>
              <w:spacing w:after="0"/>
              <w:rPr>
                <w:sz w:val="20"/>
                <w:szCs w:val="20"/>
                <w:color w:val="auto"/>
              </w:rPr>
            </w:pPr>
            <w:r>
              <w:rPr>
                <w:rFonts w:ascii="Arial" w:cs="Arial" w:eastAsia="Arial" w:hAnsi="Arial"/>
                <w:sz w:val="16"/>
                <w:szCs w:val="16"/>
                <w:color w:val="auto"/>
              </w:rPr>
              <w:t>Operation and maintenance</w:t>
            </w:r>
          </w:p>
        </w:tc>
        <w:tc>
          <w:tcPr>
            <w:tcW w:w="7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326</w:t>
            </w: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jc w:val="right"/>
              <w:ind w:right="62"/>
              <w:spacing w:after="0"/>
              <w:rPr>
                <w:sz w:val="20"/>
                <w:szCs w:val="20"/>
                <w:color w:val="auto"/>
              </w:rPr>
            </w:pPr>
            <w:r>
              <w:rPr>
                <w:rFonts w:ascii="Arial" w:cs="Arial" w:eastAsia="Arial" w:hAnsi="Arial"/>
                <w:sz w:val="16"/>
                <w:szCs w:val="16"/>
                <w:color w:val="auto"/>
              </w:rPr>
              <w:t>314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181"/>
              <w:spacing w:after="0"/>
              <w:rPr>
                <w:sz w:val="20"/>
                <w:szCs w:val="20"/>
                <w:color w:val="auto"/>
              </w:rPr>
            </w:pPr>
            <w:r>
              <w:rPr>
                <w:rFonts w:ascii="Arial" w:cs="Arial" w:eastAsia="Arial" w:hAnsi="Arial"/>
                <w:sz w:val="16"/>
                <w:szCs w:val="16"/>
                <w:color w:val="auto"/>
              </w:rPr>
              <w:t>968</w:t>
            </w:r>
          </w:p>
        </w:tc>
        <w:tc>
          <w:tcPr>
            <w:tcW w:w="72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6"/>
                <w:szCs w:val="16"/>
                <w:color w:val="auto"/>
              </w:rPr>
              <w:t>936</w:t>
            </w:r>
          </w:p>
        </w:tc>
        <w:tc>
          <w:tcPr>
            <w:tcW w:w="0" w:type="dxa"/>
            <w:vAlign w:val="bottom"/>
          </w:tcPr>
          <w:p>
            <w:pPr>
              <w:spacing w:after="0"/>
              <w:rPr>
                <w:sz w:val="1"/>
                <w:szCs w:val="1"/>
                <w:color w:val="auto"/>
              </w:rPr>
            </w:pPr>
          </w:p>
        </w:tc>
      </w:tr>
      <w:tr>
        <w:trPr>
          <w:trHeight w:val="213"/>
        </w:trPr>
        <w:tc>
          <w:tcPr>
            <w:tcW w:w="5940" w:type="dxa"/>
            <w:vAlign w:val="bottom"/>
            <w:gridSpan w:val="2"/>
          </w:tcPr>
          <w:p>
            <w:pPr>
              <w:ind w:left="180"/>
              <w:spacing w:after="0"/>
              <w:rPr>
                <w:sz w:val="20"/>
                <w:szCs w:val="20"/>
                <w:color w:val="auto"/>
              </w:rPr>
            </w:pPr>
            <w:r>
              <w:rPr>
                <w:rFonts w:ascii="Arial" w:cs="Arial" w:eastAsia="Arial" w:hAnsi="Arial"/>
                <w:sz w:val="16"/>
                <w:szCs w:val="16"/>
                <w:color w:val="auto"/>
              </w:rPr>
              <w:t>Depreciation and amortization</w:t>
            </w:r>
          </w:p>
        </w:tc>
        <w:tc>
          <w:tcPr>
            <w:tcW w:w="7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109</w:t>
            </w: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jc w:val="right"/>
              <w:ind w:right="62"/>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181"/>
              <w:spacing w:after="0"/>
              <w:rPr>
                <w:sz w:val="20"/>
                <w:szCs w:val="20"/>
                <w:color w:val="auto"/>
              </w:rPr>
            </w:pPr>
            <w:r>
              <w:rPr>
                <w:rFonts w:ascii="Arial" w:cs="Arial" w:eastAsia="Arial" w:hAnsi="Arial"/>
                <w:sz w:val="16"/>
                <w:szCs w:val="16"/>
                <w:color w:val="auto"/>
              </w:rPr>
              <w:t>321</w:t>
            </w:r>
          </w:p>
        </w:tc>
        <w:tc>
          <w:tcPr>
            <w:tcW w:w="72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204"/>
        </w:trPr>
        <w:tc>
          <w:tcPr>
            <w:tcW w:w="5820" w:type="dxa"/>
            <w:vAlign w:val="bottom"/>
          </w:tcPr>
          <w:p>
            <w:pPr>
              <w:ind w:left="180"/>
              <w:spacing w:after="0"/>
              <w:rPr>
                <w:sz w:val="20"/>
                <w:szCs w:val="20"/>
                <w:color w:val="auto"/>
              </w:rPr>
            </w:pPr>
            <w:r>
              <w:rPr>
                <w:rFonts w:ascii="Arial" w:cs="Arial" w:eastAsia="Arial" w:hAnsi="Arial"/>
                <w:sz w:val="16"/>
                <w:szCs w:val="16"/>
                <w:color w:val="auto"/>
              </w:rPr>
              <w:t>Franchise fees and other taxes</w:t>
            </w: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4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29</w:t>
            </w:r>
          </w:p>
        </w:tc>
        <w:tc>
          <w:tcPr>
            <w:tcW w:w="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98</w:t>
            </w:r>
          </w:p>
        </w:tc>
        <w:tc>
          <w:tcPr>
            <w:tcW w:w="7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820" w:type="dxa"/>
            <w:vAlign w:val="bottom"/>
          </w:tcPr>
          <w:p>
            <w:pPr>
              <w:ind w:left="360"/>
              <w:spacing w:after="0"/>
              <w:rPr>
                <w:sz w:val="20"/>
                <w:szCs w:val="20"/>
                <w:color w:val="auto"/>
              </w:rPr>
            </w:pPr>
            <w:r>
              <w:rPr>
                <w:rFonts w:ascii="Arial" w:cs="Arial" w:eastAsia="Arial" w:hAnsi="Arial"/>
                <w:sz w:val="16"/>
                <w:szCs w:val="16"/>
                <w:color w:val="auto"/>
              </w:rPr>
              <w:t>Total operating expenses</w:t>
            </w: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702</w:t>
            </w:r>
          </w:p>
        </w:tc>
        <w:tc>
          <w:tcPr>
            <w:tcW w:w="4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652</w:t>
            </w:r>
          </w:p>
        </w:tc>
        <w:tc>
          <w:tcPr>
            <w:tcW w:w="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2,453</w:t>
            </w:r>
          </w:p>
        </w:tc>
        <w:tc>
          <w:tcPr>
            <w:tcW w:w="7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940" w:type="dxa"/>
            <w:vAlign w:val="bottom"/>
            <w:gridSpan w:val="2"/>
          </w:tcPr>
          <w:p>
            <w:pPr>
              <w:spacing w:after="0"/>
              <w:rPr>
                <w:sz w:val="20"/>
                <w:szCs w:val="20"/>
                <w:color w:val="auto"/>
              </w:rPr>
            </w:pPr>
            <w:r>
              <w:rPr>
                <w:rFonts w:ascii="Arial" w:cs="Arial" w:eastAsia="Arial" w:hAnsi="Arial"/>
                <w:sz w:val="16"/>
                <w:szCs w:val="16"/>
                <w:color w:val="auto"/>
              </w:rPr>
              <w:t>Operating income</w:t>
            </w:r>
          </w:p>
        </w:tc>
        <w:tc>
          <w:tcPr>
            <w:tcW w:w="7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153</w:t>
            </w: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jc w:val="right"/>
              <w:ind w:right="62"/>
              <w:spacing w:after="0"/>
              <w:rPr>
                <w:sz w:val="20"/>
                <w:szCs w:val="20"/>
                <w:color w:val="auto"/>
              </w:rPr>
            </w:pPr>
            <w:r>
              <w:rPr>
                <w:rFonts w:ascii="Arial" w:cs="Arial" w:eastAsia="Arial" w:hAnsi="Arial"/>
                <w:sz w:val="16"/>
                <w:szCs w:val="16"/>
                <w:color w:val="auto"/>
              </w:rPr>
              <w:t>155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181"/>
              <w:spacing w:after="0"/>
              <w:rPr>
                <w:sz w:val="20"/>
                <w:szCs w:val="20"/>
                <w:color w:val="auto"/>
              </w:rPr>
            </w:pPr>
            <w:r>
              <w:rPr>
                <w:rFonts w:ascii="Arial" w:cs="Arial" w:eastAsia="Arial" w:hAnsi="Arial"/>
                <w:sz w:val="16"/>
                <w:szCs w:val="16"/>
                <w:color w:val="auto"/>
              </w:rPr>
              <w:t>404</w:t>
            </w:r>
          </w:p>
        </w:tc>
        <w:tc>
          <w:tcPr>
            <w:tcW w:w="72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6"/>
                <w:szCs w:val="16"/>
                <w:color w:val="auto"/>
              </w:rPr>
              <w:t>417</w:t>
            </w:r>
          </w:p>
        </w:tc>
        <w:tc>
          <w:tcPr>
            <w:tcW w:w="0" w:type="dxa"/>
            <w:vAlign w:val="bottom"/>
          </w:tcPr>
          <w:p>
            <w:pPr>
              <w:spacing w:after="0"/>
              <w:rPr>
                <w:sz w:val="1"/>
                <w:szCs w:val="1"/>
                <w:color w:val="auto"/>
              </w:rPr>
            </w:pPr>
          </w:p>
        </w:tc>
      </w:tr>
      <w:tr>
        <w:trPr>
          <w:trHeight w:val="213"/>
        </w:trPr>
        <w:tc>
          <w:tcPr>
            <w:tcW w:w="5940" w:type="dxa"/>
            <w:vAlign w:val="bottom"/>
            <w:gridSpan w:val="2"/>
          </w:tcPr>
          <w:p>
            <w:pPr>
              <w:spacing w:after="0"/>
              <w:rPr>
                <w:sz w:val="20"/>
                <w:szCs w:val="20"/>
                <w:color w:val="auto"/>
              </w:rPr>
            </w:pPr>
            <w:r>
              <w:rPr>
                <w:rFonts w:ascii="Arial" w:cs="Arial" w:eastAsia="Arial" w:hAnsi="Arial"/>
                <w:sz w:val="16"/>
                <w:szCs w:val="16"/>
                <w:color w:val="auto"/>
              </w:rPr>
              <w:t>Other income, net</w:t>
            </w:r>
          </w:p>
        </w:tc>
        <w:tc>
          <w:tcPr>
            <w:tcW w:w="7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w:t>
            </w: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jc w:val="right"/>
              <w:ind w:right="62"/>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181"/>
              <w:spacing w:after="0"/>
              <w:rPr>
                <w:sz w:val="20"/>
                <w:szCs w:val="20"/>
                <w:color w:val="auto"/>
              </w:rPr>
            </w:pPr>
            <w:r>
              <w:rPr>
                <w:rFonts w:ascii="Arial" w:cs="Arial" w:eastAsia="Arial" w:hAnsi="Arial"/>
                <w:sz w:val="16"/>
                <w:szCs w:val="16"/>
                <w:color w:val="auto"/>
              </w:rPr>
              <w:t>13</w:t>
            </w:r>
          </w:p>
        </w:tc>
        <w:tc>
          <w:tcPr>
            <w:tcW w:w="72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4"/>
        </w:trPr>
        <w:tc>
          <w:tcPr>
            <w:tcW w:w="5820" w:type="dxa"/>
            <w:vAlign w:val="bottom"/>
          </w:tcPr>
          <w:p>
            <w:pPr>
              <w:spacing w:after="0"/>
              <w:rPr>
                <w:sz w:val="20"/>
                <w:szCs w:val="20"/>
                <w:color w:val="auto"/>
              </w:rPr>
            </w:pPr>
            <w:r>
              <w:rPr>
                <w:rFonts w:ascii="Arial" w:cs="Arial" w:eastAsia="Arial" w:hAnsi="Arial"/>
                <w:sz w:val="16"/>
                <w:szCs w:val="16"/>
                <w:color w:val="auto"/>
              </w:rPr>
              <w:t>Interest expense</w:t>
            </w: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4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(17)</w:t>
            </w:r>
          </w:p>
        </w:tc>
        <w:tc>
          <w:tcPr>
            <w:tcW w:w="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(50)</w:t>
            </w:r>
          </w:p>
        </w:tc>
        <w:tc>
          <w:tcPr>
            <w:tcW w:w="7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940" w:type="dxa"/>
            <w:vAlign w:val="bottom"/>
            <w:gridSpan w:val="2"/>
          </w:tcPr>
          <w:p>
            <w:pPr>
              <w:spacing w:after="0"/>
              <w:rPr>
                <w:sz w:val="20"/>
                <w:szCs w:val="20"/>
                <w:color w:val="auto"/>
              </w:rPr>
            </w:pPr>
            <w:r>
              <w:rPr>
                <w:rFonts w:ascii="Arial" w:cs="Arial" w:eastAsia="Arial" w:hAnsi="Arial"/>
                <w:sz w:val="16"/>
                <w:szCs w:val="16"/>
                <w:color w:val="auto"/>
              </w:rPr>
              <w:t>Income before income taxes</w:t>
            </w:r>
          </w:p>
        </w:tc>
        <w:tc>
          <w:tcPr>
            <w:tcW w:w="7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142</w:t>
            </w: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jc w:val="right"/>
              <w:ind w:right="62"/>
              <w:spacing w:after="0"/>
              <w:rPr>
                <w:sz w:val="20"/>
                <w:szCs w:val="20"/>
                <w:color w:val="auto"/>
              </w:rPr>
            </w:pPr>
            <w:r>
              <w:rPr>
                <w:rFonts w:ascii="Arial" w:cs="Arial" w:eastAsia="Arial" w:hAnsi="Arial"/>
                <w:sz w:val="16"/>
                <w:szCs w:val="16"/>
                <w:color w:val="auto"/>
              </w:rPr>
              <w:t>140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181"/>
              <w:spacing w:after="0"/>
              <w:rPr>
                <w:sz w:val="20"/>
                <w:szCs w:val="20"/>
                <w:color w:val="auto"/>
              </w:rPr>
            </w:pPr>
            <w:r>
              <w:rPr>
                <w:rFonts w:ascii="Arial" w:cs="Arial" w:eastAsia="Arial" w:hAnsi="Arial"/>
                <w:sz w:val="16"/>
                <w:szCs w:val="16"/>
                <w:color w:val="auto"/>
              </w:rPr>
              <w:t>367</w:t>
            </w:r>
          </w:p>
        </w:tc>
        <w:tc>
          <w:tcPr>
            <w:tcW w:w="72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6"/>
                <w:szCs w:val="16"/>
                <w:color w:val="auto"/>
              </w:rPr>
              <w:t>374</w:t>
            </w:r>
          </w:p>
        </w:tc>
        <w:tc>
          <w:tcPr>
            <w:tcW w:w="0" w:type="dxa"/>
            <w:vAlign w:val="bottom"/>
          </w:tcPr>
          <w:p>
            <w:pPr>
              <w:spacing w:after="0"/>
              <w:rPr>
                <w:sz w:val="1"/>
                <w:szCs w:val="1"/>
                <w:color w:val="auto"/>
              </w:rPr>
            </w:pPr>
          </w:p>
        </w:tc>
      </w:tr>
      <w:tr>
        <w:trPr>
          <w:trHeight w:val="204"/>
        </w:trPr>
        <w:tc>
          <w:tcPr>
            <w:tcW w:w="5820" w:type="dxa"/>
            <w:vAlign w:val="bottom"/>
          </w:tcPr>
          <w:p>
            <w:pPr>
              <w:spacing w:after="0"/>
              <w:rPr>
                <w:sz w:val="20"/>
                <w:szCs w:val="20"/>
                <w:color w:val="auto"/>
              </w:rPr>
            </w:pPr>
            <w:r>
              <w:rPr>
                <w:rFonts w:ascii="Arial" w:cs="Arial" w:eastAsia="Arial" w:hAnsi="Arial"/>
                <w:sz w:val="16"/>
                <w:szCs w:val="16"/>
                <w:color w:val="auto"/>
              </w:rPr>
              <w:t>Income tax expense</w:t>
            </w: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4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(38)</w:t>
            </w:r>
          </w:p>
        </w:tc>
        <w:tc>
          <w:tcPr>
            <w:tcW w:w="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(110)</w:t>
            </w:r>
          </w:p>
        </w:tc>
        <w:tc>
          <w:tcPr>
            <w:tcW w:w="7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94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7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98</w:t>
            </w: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jc w:val="right"/>
              <w:ind w:right="62"/>
              <w:spacing w:after="0"/>
              <w:rPr>
                <w:sz w:val="20"/>
                <w:szCs w:val="20"/>
                <w:color w:val="auto"/>
              </w:rPr>
            </w:pPr>
            <w:r>
              <w:rPr>
                <w:rFonts w:ascii="Arial" w:cs="Arial" w:eastAsia="Arial" w:hAnsi="Arial"/>
                <w:sz w:val="16"/>
                <w:szCs w:val="16"/>
                <w:color w:val="auto"/>
              </w:rPr>
              <w:t>102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181"/>
              <w:spacing w:after="0"/>
              <w:rPr>
                <w:sz w:val="20"/>
                <w:szCs w:val="20"/>
                <w:color w:val="auto"/>
              </w:rPr>
            </w:pPr>
            <w:r>
              <w:rPr>
                <w:rFonts w:ascii="Arial" w:cs="Arial" w:eastAsia="Arial" w:hAnsi="Arial"/>
                <w:sz w:val="16"/>
                <w:szCs w:val="16"/>
                <w:color w:val="auto"/>
              </w:rPr>
              <w:t>257</w:t>
            </w:r>
          </w:p>
        </w:tc>
        <w:tc>
          <w:tcPr>
            <w:tcW w:w="72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204"/>
        </w:trPr>
        <w:tc>
          <w:tcPr>
            <w:tcW w:w="5940" w:type="dxa"/>
            <w:vAlign w:val="bottom"/>
            <w:gridSpan w:val="2"/>
          </w:tcPr>
          <w:p>
            <w:pPr>
              <w:spacing w:after="0"/>
              <w:rPr>
                <w:sz w:val="20"/>
                <w:szCs w:val="20"/>
                <w:color w:val="auto"/>
              </w:rPr>
            </w:pPr>
            <w:r>
              <w:rPr>
                <w:rFonts w:ascii="Arial" w:cs="Arial" w:eastAsia="Arial" w:hAnsi="Arial"/>
                <w:sz w:val="16"/>
                <w:szCs w:val="16"/>
                <w:color w:val="auto"/>
              </w:rPr>
              <w:t>Preferred dividend requirements</w:t>
            </w:r>
          </w:p>
        </w:tc>
        <w:tc>
          <w:tcPr>
            <w:tcW w:w="760" w:type="dxa"/>
            <w:vAlign w:val="bottom"/>
          </w:tcPr>
          <w:p>
            <w:pPr>
              <w:spacing w:after="0"/>
              <w:rPr>
                <w:sz w:val="17"/>
                <w:szCs w:val="17"/>
                <w:color w:val="auto"/>
              </w:rPr>
            </w:pPr>
          </w:p>
        </w:tc>
        <w:tc>
          <w:tcPr>
            <w:tcW w:w="54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181"/>
              <w:spacing w:after="0"/>
              <w:rPr>
                <w:sz w:val="20"/>
                <w:szCs w:val="20"/>
                <w:color w:val="auto"/>
              </w:rPr>
            </w:pPr>
            <w:r>
              <w:rPr>
                <w:rFonts w:ascii="Arial" w:cs="Arial" w:eastAsia="Arial" w:hAnsi="Arial"/>
                <w:sz w:val="16"/>
                <w:szCs w:val="16"/>
                <w:color w:val="auto"/>
              </w:rPr>
              <w:t>(1)</w:t>
            </w:r>
          </w:p>
        </w:tc>
        <w:tc>
          <w:tcPr>
            <w:tcW w:w="7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5820" w:type="dxa"/>
            <w:vAlign w:val="bottom"/>
            <w:tcBorders>
              <w:bottom w:val="single" w:sz="8" w:color="auto"/>
            </w:tcBorders>
          </w:tcPr>
          <w:p>
            <w:pPr>
              <w:spacing w:after="0" w:line="166" w:lineRule="exact"/>
              <w:rPr>
                <w:sz w:val="20"/>
                <w:szCs w:val="20"/>
                <w:color w:val="auto"/>
              </w:rPr>
            </w:pPr>
            <w:r>
              <w:rPr>
                <w:rFonts w:ascii="Arial" w:cs="Arial" w:eastAsia="Arial" w:hAnsi="Arial"/>
                <w:sz w:val="16"/>
                <w:szCs w:val="16"/>
                <w:color w:val="auto"/>
              </w:rPr>
              <w:t>Earnings attributable to common shares</w:t>
            </w:r>
          </w:p>
        </w:tc>
        <w:tc>
          <w:tcPr>
            <w:tcW w:w="12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444"/>
              <w:spacing w:after="0" w:line="166" w:lineRule="exact"/>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98</w:t>
            </w:r>
          </w:p>
        </w:tc>
        <w:tc>
          <w:tcPr>
            <w:tcW w:w="480" w:type="dxa"/>
            <w:vAlign w:val="bottom"/>
            <w:tcBorders>
              <w:top w:val="single" w:sz="8" w:color="auto"/>
              <w:bottom w:val="single" w:sz="8" w:color="auto"/>
            </w:tcBorders>
          </w:tcPr>
          <w:p>
            <w:pPr>
              <w:jc w:val="right"/>
              <w:ind w:right="60"/>
              <w:spacing w:after="0" w:line="166" w:lineRule="exact"/>
              <w:rPr>
                <w:sz w:val="20"/>
                <w:szCs w:val="20"/>
                <w:color w:val="auto"/>
              </w:rPr>
            </w:pPr>
            <w:r>
              <w:rPr>
                <w:rFonts w:ascii="Arial" w:cs="Arial" w:eastAsia="Arial" w:hAnsi="Arial"/>
                <w:sz w:val="16"/>
                <w:szCs w:val="16"/>
                <w:color w:val="auto"/>
              </w:rPr>
              <w:t>$</w:t>
            </w:r>
          </w:p>
        </w:tc>
        <w:tc>
          <w:tcPr>
            <w:tcW w:w="48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ind w:right="62"/>
              <w:spacing w:after="0" w:line="166" w:lineRule="exact"/>
              <w:rPr>
                <w:sz w:val="20"/>
                <w:szCs w:val="20"/>
                <w:color w:val="auto"/>
              </w:rPr>
            </w:pPr>
            <w:r>
              <w:rPr>
                <w:rFonts w:ascii="Arial" w:cs="Arial" w:eastAsia="Arial" w:hAnsi="Arial"/>
                <w:sz w:val="16"/>
                <w:szCs w:val="16"/>
                <w:color w:val="auto"/>
              </w:rPr>
              <w:t>102</w:t>
            </w:r>
          </w:p>
        </w:tc>
        <w:tc>
          <w:tcPr>
            <w:tcW w:w="240" w:type="dxa"/>
            <w:vAlign w:val="bottom"/>
            <w:tcBorders>
              <w:top w:val="single" w:sz="8" w:color="auto"/>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w:t>
            </w:r>
          </w:p>
        </w:tc>
        <w:tc>
          <w:tcPr>
            <w:tcW w:w="12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181"/>
              <w:spacing w:after="0" w:line="166" w:lineRule="exact"/>
              <w:rPr>
                <w:sz w:val="20"/>
                <w:szCs w:val="20"/>
                <w:color w:val="auto"/>
              </w:rPr>
            </w:pPr>
            <w:r>
              <w:rPr>
                <w:rFonts w:ascii="Arial" w:cs="Arial" w:eastAsia="Arial" w:hAnsi="Arial"/>
                <w:sz w:val="16"/>
                <w:szCs w:val="16"/>
                <w:color w:val="auto"/>
              </w:rPr>
              <w:t>256</w:t>
            </w:r>
          </w:p>
        </w:tc>
        <w:tc>
          <w:tcPr>
            <w:tcW w:w="720" w:type="dxa"/>
            <w:vAlign w:val="bottom"/>
            <w:tcBorders>
              <w:top w:val="single" w:sz="8" w:color="auto"/>
              <w:bottom w:val="single" w:sz="8" w:color="auto"/>
            </w:tcBorders>
          </w:tcPr>
          <w:p>
            <w:pPr>
              <w:ind w:left="20"/>
              <w:spacing w:after="0" w:line="166" w:lineRule="exact"/>
              <w:rPr>
                <w:sz w:val="20"/>
                <w:szCs w:val="20"/>
                <w:color w:val="auto"/>
              </w:rPr>
            </w:pPr>
            <w:r>
              <w:rPr>
                <w:rFonts w:ascii="Arial" w:cs="Arial" w:eastAsia="Arial" w:hAnsi="Arial"/>
                <w:sz w:val="16"/>
                <w:szCs w:val="16"/>
                <w:color w:val="auto"/>
              </w:rPr>
              <w:t>$</w:t>
            </w:r>
          </w:p>
        </w:tc>
        <w:tc>
          <w:tcPr>
            <w:tcW w:w="440" w:type="dxa"/>
            <w:vAlign w:val="bottom"/>
            <w:tcBorders>
              <w:top w:val="single" w:sz="8" w:color="auto"/>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266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5940" w:type="dxa"/>
            <w:vAlign w:val="bottom"/>
            <w:gridSpan w:val="2"/>
          </w:tcPr>
          <w:p>
            <w:pPr>
              <w:spacing w:after="0"/>
              <w:rPr>
                <w:sz w:val="20"/>
                <w:szCs w:val="20"/>
                <w:color w:val="auto"/>
              </w:rPr>
            </w:pPr>
            <w:r>
              <w:rPr>
                <w:rFonts w:ascii="Arial" w:cs="Arial" w:eastAsia="Arial" w:hAnsi="Arial"/>
                <w:sz w:val="14"/>
                <w:szCs w:val="14"/>
                <w:i w:val="1"/>
                <w:iCs w:val="1"/>
                <w:color w:val="auto"/>
              </w:rPr>
              <w:t>See Notes to Condensed Consolidated Financial Statements.</w:t>
            </w: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3"/>
        </w:trPr>
        <w:tc>
          <w:tcPr>
            <w:tcW w:w="5940" w:type="dxa"/>
            <w:vAlign w:val="bottom"/>
            <w:tcBorders>
              <w:bottom w:val="single" w:sz="8" w:color="auto"/>
            </w:tcBorders>
            <w:gridSpan w:val="2"/>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5940" w:type="dxa"/>
            <w:vAlign w:val="bottom"/>
            <w:gridSpan w:val="2"/>
            <w:shd w:val="clear" w:color="auto" w:fill="C0C0C0"/>
          </w:tcPr>
          <w:p>
            <w:pPr>
              <w:spacing w:after="0" w:line="135" w:lineRule="exact"/>
              <w:rPr>
                <w:sz w:val="20"/>
                <w:szCs w:val="20"/>
                <w:color w:val="auto"/>
              </w:rPr>
            </w:pPr>
            <w:r>
              <w:rPr>
                <w:rFonts w:ascii="Arial" w:cs="Arial" w:eastAsia="Arial" w:hAnsi="Arial"/>
                <w:sz w:val="15"/>
                <w:szCs w:val="15"/>
                <w:b w:val="1"/>
                <w:bCs w:val="1"/>
                <w:color w:val="auto"/>
              </w:rPr>
              <w:t>SOUTHERN CALIFORNIA GAS COMPANY</w:t>
            </w:r>
          </w:p>
        </w:tc>
        <w:tc>
          <w:tcPr>
            <w:tcW w:w="760" w:type="dxa"/>
            <w:vAlign w:val="bottom"/>
            <w:shd w:val="clear" w:color="auto" w:fill="C0C0C0"/>
          </w:tcPr>
          <w:p>
            <w:pPr>
              <w:spacing w:after="0"/>
              <w:rPr>
                <w:sz w:val="11"/>
                <w:szCs w:val="11"/>
                <w:color w:val="auto"/>
              </w:rPr>
            </w:pPr>
          </w:p>
        </w:tc>
        <w:tc>
          <w:tcPr>
            <w:tcW w:w="540" w:type="dxa"/>
            <w:vAlign w:val="bottom"/>
            <w:shd w:val="clear" w:color="auto" w:fill="C0C0C0"/>
          </w:tcPr>
          <w:p>
            <w:pPr>
              <w:spacing w:after="0"/>
              <w:rPr>
                <w:sz w:val="11"/>
                <w:szCs w:val="11"/>
                <w:color w:val="auto"/>
              </w:rPr>
            </w:pPr>
          </w:p>
        </w:tc>
        <w:tc>
          <w:tcPr>
            <w:tcW w:w="480" w:type="dxa"/>
            <w:vAlign w:val="bottom"/>
            <w:shd w:val="clear" w:color="auto" w:fill="C0C0C0"/>
          </w:tcPr>
          <w:p>
            <w:pPr>
              <w:spacing w:after="0"/>
              <w:rPr>
                <w:sz w:val="11"/>
                <w:szCs w:val="11"/>
                <w:color w:val="auto"/>
              </w:rPr>
            </w:pPr>
          </w:p>
        </w:tc>
        <w:tc>
          <w:tcPr>
            <w:tcW w:w="480" w:type="dxa"/>
            <w:vAlign w:val="bottom"/>
            <w:shd w:val="clear" w:color="auto" w:fill="C0C0C0"/>
          </w:tcPr>
          <w:p>
            <w:pPr>
              <w:spacing w:after="0"/>
              <w:rPr>
                <w:sz w:val="11"/>
                <w:szCs w:val="11"/>
                <w:color w:val="auto"/>
              </w:rPr>
            </w:pPr>
          </w:p>
        </w:tc>
        <w:tc>
          <w:tcPr>
            <w:tcW w:w="540" w:type="dxa"/>
            <w:vAlign w:val="bottom"/>
            <w:shd w:val="clear" w:color="auto" w:fill="C0C0C0"/>
          </w:tcPr>
          <w:p>
            <w:pPr>
              <w:spacing w:after="0"/>
              <w:rPr>
                <w:sz w:val="11"/>
                <w:szCs w:val="11"/>
                <w:color w:val="auto"/>
              </w:rPr>
            </w:pPr>
          </w:p>
        </w:tc>
        <w:tc>
          <w:tcPr>
            <w:tcW w:w="240" w:type="dxa"/>
            <w:vAlign w:val="bottom"/>
            <w:shd w:val="clear" w:color="auto" w:fill="C0C0C0"/>
          </w:tcPr>
          <w:p>
            <w:pPr>
              <w:spacing w:after="0"/>
              <w:rPr>
                <w:sz w:val="11"/>
                <w:szCs w:val="11"/>
                <w:color w:val="auto"/>
              </w:rPr>
            </w:pPr>
          </w:p>
        </w:tc>
        <w:tc>
          <w:tcPr>
            <w:tcW w:w="120" w:type="dxa"/>
            <w:vAlign w:val="bottom"/>
            <w:shd w:val="clear" w:color="auto" w:fill="C0C0C0"/>
          </w:tcPr>
          <w:p>
            <w:pPr>
              <w:spacing w:after="0"/>
              <w:rPr>
                <w:sz w:val="11"/>
                <w:szCs w:val="11"/>
                <w:color w:val="auto"/>
              </w:rPr>
            </w:pPr>
          </w:p>
        </w:tc>
        <w:tc>
          <w:tcPr>
            <w:tcW w:w="1160" w:type="dxa"/>
            <w:vAlign w:val="bottom"/>
            <w:shd w:val="clear" w:color="auto" w:fill="C0C0C0"/>
          </w:tcPr>
          <w:p>
            <w:pPr>
              <w:spacing w:after="0"/>
              <w:rPr>
                <w:sz w:val="11"/>
                <w:szCs w:val="11"/>
                <w:color w:val="auto"/>
              </w:rPr>
            </w:pPr>
          </w:p>
        </w:tc>
        <w:tc>
          <w:tcPr>
            <w:tcW w:w="720" w:type="dxa"/>
            <w:vAlign w:val="bottom"/>
            <w:shd w:val="clear" w:color="auto" w:fill="C0C0C0"/>
          </w:tcPr>
          <w:p>
            <w:pPr>
              <w:spacing w:after="0"/>
              <w:rPr>
                <w:sz w:val="11"/>
                <w:szCs w:val="11"/>
                <w:color w:val="auto"/>
              </w:rPr>
            </w:pPr>
          </w:p>
        </w:tc>
        <w:tc>
          <w:tcPr>
            <w:tcW w:w="440" w:type="dxa"/>
            <w:vAlign w:val="bottom"/>
            <w:shd w:val="clear" w:color="auto" w:fill="C0C0C0"/>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5940" w:type="dxa"/>
            <w:vAlign w:val="bottom"/>
            <w:gridSpan w:val="2"/>
            <w:shd w:val="clear" w:color="auto" w:fill="C0C0C0"/>
          </w:tcPr>
          <w:p>
            <w:pPr>
              <w:spacing w:after="0"/>
              <w:rPr>
                <w:sz w:val="20"/>
                <w:szCs w:val="20"/>
                <w:color w:val="auto"/>
              </w:rPr>
            </w:pPr>
            <w:r>
              <w:rPr>
                <w:rFonts w:ascii="Arial" w:cs="Arial" w:eastAsia="Arial" w:hAnsi="Arial"/>
                <w:sz w:val="16"/>
                <w:szCs w:val="16"/>
                <w:b w:val="1"/>
                <w:bCs w:val="1"/>
                <w:color w:val="auto"/>
              </w:rPr>
              <w:t>CONDENSED CONSOLIDATED STATEMENTS OF COMPREHENSIVE INCOME</w:t>
            </w:r>
          </w:p>
        </w:tc>
        <w:tc>
          <w:tcPr>
            <w:tcW w:w="760" w:type="dxa"/>
            <w:vAlign w:val="bottom"/>
            <w:shd w:val="clear" w:color="auto" w:fill="C0C0C0"/>
          </w:tcPr>
          <w:p>
            <w:pPr>
              <w:spacing w:after="0"/>
              <w:rPr>
                <w:sz w:val="16"/>
                <w:szCs w:val="16"/>
                <w:color w:val="auto"/>
              </w:rPr>
            </w:pPr>
          </w:p>
        </w:tc>
        <w:tc>
          <w:tcPr>
            <w:tcW w:w="540" w:type="dxa"/>
            <w:vAlign w:val="bottom"/>
            <w:shd w:val="clear" w:color="auto" w:fill="C0C0C0"/>
          </w:tcPr>
          <w:p>
            <w:pPr>
              <w:spacing w:after="0"/>
              <w:rPr>
                <w:sz w:val="16"/>
                <w:szCs w:val="16"/>
                <w:color w:val="auto"/>
              </w:rPr>
            </w:pPr>
          </w:p>
        </w:tc>
        <w:tc>
          <w:tcPr>
            <w:tcW w:w="480" w:type="dxa"/>
            <w:vAlign w:val="bottom"/>
            <w:shd w:val="clear" w:color="auto" w:fill="C0C0C0"/>
          </w:tcPr>
          <w:p>
            <w:pPr>
              <w:spacing w:after="0"/>
              <w:rPr>
                <w:sz w:val="16"/>
                <w:szCs w:val="16"/>
                <w:color w:val="auto"/>
              </w:rPr>
            </w:pPr>
          </w:p>
        </w:tc>
        <w:tc>
          <w:tcPr>
            <w:tcW w:w="480" w:type="dxa"/>
            <w:vAlign w:val="bottom"/>
            <w:shd w:val="clear" w:color="auto" w:fill="C0C0C0"/>
          </w:tcPr>
          <w:p>
            <w:pPr>
              <w:spacing w:after="0"/>
              <w:rPr>
                <w:sz w:val="16"/>
                <w:szCs w:val="16"/>
                <w:color w:val="auto"/>
              </w:rPr>
            </w:pPr>
          </w:p>
        </w:tc>
        <w:tc>
          <w:tcPr>
            <w:tcW w:w="540" w:type="dxa"/>
            <w:vAlign w:val="bottom"/>
            <w:shd w:val="clear" w:color="auto" w:fill="C0C0C0"/>
          </w:tcPr>
          <w:p>
            <w:pPr>
              <w:spacing w:after="0"/>
              <w:rPr>
                <w:sz w:val="16"/>
                <w:szCs w:val="16"/>
                <w:color w:val="auto"/>
              </w:rPr>
            </w:pPr>
          </w:p>
        </w:tc>
        <w:tc>
          <w:tcPr>
            <w:tcW w:w="240" w:type="dxa"/>
            <w:vAlign w:val="bottom"/>
            <w:shd w:val="clear" w:color="auto" w:fill="C0C0C0"/>
          </w:tcPr>
          <w:p>
            <w:pPr>
              <w:spacing w:after="0"/>
              <w:rPr>
                <w:sz w:val="16"/>
                <w:szCs w:val="16"/>
                <w:color w:val="auto"/>
              </w:rPr>
            </w:pPr>
          </w:p>
        </w:tc>
        <w:tc>
          <w:tcPr>
            <w:tcW w:w="120" w:type="dxa"/>
            <w:vAlign w:val="bottom"/>
            <w:shd w:val="clear" w:color="auto" w:fill="C0C0C0"/>
          </w:tcPr>
          <w:p>
            <w:pPr>
              <w:spacing w:after="0"/>
              <w:rPr>
                <w:sz w:val="16"/>
                <w:szCs w:val="16"/>
                <w:color w:val="auto"/>
              </w:rPr>
            </w:pPr>
          </w:p>
        </w:tc>
        <w:tc>
          <w:tcPr>
            <w:tcW w:w="1160" w:type="dxa"/>
            <w:vAlign w:val="bottom"/>
            <w:shd w:val="clear" w:color="auto" w:fill="C0C0C0"/>
          </w:tcPr>
          <w:p>
            <w:pPr>
              <w:spacing w:after="0"/>
              <w:rPr>
                <w:sz w:val="16"/>
                <w:szCs w:val="16"/>
                <w:color w:val="auto"/>
              </w:rPr>
            </w:pPr>
          </w:p>
        </w:tc>
        <w:tc>
          <w:tcPr>
            <w:tcW w:w="720" w:type="dxa"/>
            <w:vAlign w:val="bottom"/>
            <w:shd w:val="clear" w:color="auto" w:fill="C0C0C0"/>
          </w:tcPr>
          <w:p>
            <w:pPr>
              <w:spacing w:after="0"/>
              <w:rPr>
                <w:sz w:val="16"/>
                <w:szCs w:val="16"/>
                <w:color w:val="auto"/>
              </w:rPr>
            </w:pPr>
          </w:p>
        </w:tc>
        <w:tc>
          <w:tcPr>
            <w:tcW w:w="440" w:type="dxa"/>
            <w:vAlign w:val="bottom"/>
            <w:shd w:val="clear" w:color="auto" w:fill="C0C0C0"/>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940" w:type="dxa"/>
            <w:vAlign w:val="bottom"/>
            <w:gridSpan w:val="2"/>
            <w:shd w:val="clear" w:color="auto" w:fill="C0C0C0"/>
          </w:tcPr>
          <w:p>
            <w:pPr>
              <w:spacing w:after="0"/>
              <w:rPr>
                <w:sz w:val="20"/>
                <w:szCs w:val="20"/>
                <w:color w:val="auto"/>
              </w:rPr>
            </w:pPr>
            <w:r>
              <w:rPr>
                <w:rFonts w:ascii="Arial" w:cs="Arial" w:eastAsia="Arial" w:hAnsi="Arial"/>
                <w:sz w:val="14"/>
                <w:szCs w:val="14"/>
                <w:i w:val="1"/>
                <w:iCs w:val="1"/>
                <w:color w:val="auto"/>
              </w:rPr>
              <w:t>(Dollars in millions)</w:t>
            </w:r>
          </w:p>
        </w:tc>
        <w:tc>
          <w:tcPr>
            <w:tcW w:w="760" w:type="dxa"/>
            <w:vAlign w:val="bottom"/>
            <w:shd w:val="clear" w:color="auto" w:fill="C0C0C0"/>
          </w:tcPr>
          <w:p>
            <w:pPr>
              <w:spacing w:after="0"/>
              <w:rPr>
                <w:sz w:val="14"/>
                <w:szCs w:val="14"/>
                <w:color w:val="auto"/>
              </w:rPr>
            </w:pPr>
          </w:p>
        </w:tc>
        <w:tc>
          <w:tcPr>
            <w:tcW w:w="540" w:type="dxa"/>
            <w:vAlign w:val="bottom"/>
            <w:shd w:val="clear" w:color="auto" w:fill="C0C0C0"/>
          </w:tcPr>
          <w:p>
            <w:pPr>
              <w:spacing w:after="0"/>
              <w:rPr>
                <w:sz w:val="14"/>
                <w:szCs w:val="14"/>
                <w:color w:val="auto"/>
              </w:rPr>
            </w:pPr>
          </w:p>
        </w:tc>
        <w:tc>
          <w:tcPr>
            <w:tcW w:w="480" w:type="dxa"/>
            <w:vAlign w:val="bottom"/>
            <w:shd w:val="clear" w:color="auto" w:fill="C0C0C0"/>
          </w:tcPr>
          <w:p>
            <w:pPr>
              <w:spacing w:after="0"/>
              <w:rPr>
                <w:sz w:val="14"/>
                <w:szCs w:val="14"/>
                <w:color w:val="auto"/>
              </w:rPr>
            </w:pPr>
          </w:p>
        </w:tc>
        <w:tc>
          <w:tcPr>
            <w:tcW w:w="480" w:type="dxa"/>
            <w:vAlign w:val="bottom"/>
            <w:shd w:val="clear" w:color="auto" w:fill="C0C0C0"/>
          </w:tcPr>
          <w:p>
            <w:pPr>
              <w:spacing w:after="0"/>
              <w:rPr>
                <w:sz w:val="14"/>
                <w:szCs w:val="14"/>
                <w:color w:val="auto"/>
              </w:rPr>
            </w:pPr>
          </w:p>
        </w:tc>
        <w:tc>
          <w:tcPr>
            <w:tcW w:w="540" w:type="dxa"/>
            <w:vAlign w:val="bottom"/>
            <w:shd w:val="clear" w:color="auto" w:fill="C0C0C0"/>
          </w:tcPr>
          <w:p>
            <w:pPr>
              <w:spacing w:after="0"/>
              <w:rPr>
                <w:sz w:val="14"/>
                <w:szCs w:val="14"/>
                <w:color w:val="auto"/>
              </w:rPr>
            </w:pPr>
          </w:p>
        </w:tc>
        <w:tc>
          <w:tcPr>
            <w:tcW w:w="240" w:type="dxa"/>
            <w:vAlign w:val="bottom"/>
            <w:shd w:val="clear" w:color="auto" w:fill="C0C0C0"/>
          </w:tcPr>
          <w:p>
            <w:pPr>
              <w:spacing w:after="0"/>
              <w:rPr>
                <w:sz w:val="14"/>
                <w:szCs w:val="14"/>
                <w:color w:val="auto"/>
              </w:rPr>
            </w:pPr>
          </w:p>
        </w:tc>
        <w:tc>
          <w:tcPr>
            <w:tcW w:w="120" w:type="dxa"/>
            <w:vAlign w:val="bottom"/>
            <w:shd w:val="clear" w:color="auto" w:fill="C0C0C0"/>
          </w:tcPr>
          <w:p>
            <w:pPr>
              <w:spacing w:after="0"/>
              <w:rPr>
                <w:sz w:val="14"/>
                <w:szCs w:val="14"/>
                <w:color w:val="auto"/>
              </w:rPr>
            </w:pPr>
          </w:p>
        </w:tc>
        <w:tc>
          <w:tcPr>
            <w:tcW w:w="1160" w:type="dxa"/>
            <w:vAlign w:val="bottom"/>
            <w:shd w:val="clear" w:color="auto" w:fill="C0C0C0"/>
          </w:tcPr>
          <w:p>
            <w:pPr>
              <w:spacing w:after="0"/>
              <w:rPr>
                <w:sz w:val="14"/>
                <w:szCs w:val="14"/>
                <w:color w:val="auto"/>
              </w:rPr>
            </w:pPr>
          </w:p>
        </w:tc>
        <w:tc>
          <w:tcPr>
            <w:tcW w:w="720" w:type="dxa"/>
            <w:vAlign w:val="bottom"/>
            <w:shd w:val="clear" w:color="auto" w:fill="C0C0C0"/>
          </w:tcPr>
          <w:p>
            <w:pPr>
              <w:spacing w:after="0"/>
              <w:rPr>
                <w:sz w:val="14"/>
                <w:szCs w:val="14"/>
                <w:color w:val="auto"/>
              </w:rPr>
            </w:pPr>
          </w:p>
        </w:tc>
        <w:tc>
          <w:tcPr>
            <w:tcW w:w="440" w:type="dxa"/>
            <w:vAlign w:val="bottom"/>
            <w:shd w:val="clear" w:color="auto" w:fill="C0C0C0"/>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5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222"/>
              <w:spacing w:after="0"/>
              <w:rPr>
                <w:sz w:val="20"/>
                <w:szCs w:val="20"/>
                <w:color w:val="auto"/>
              </w:rPr>
            </w:pPr>
            <w:r>
              <w:rPr>
                <w:rFonts w:ascii="Arial" w:cs="Arial" w:eastAsia="Arial" w:hAnsi="Arial"/>
                <w:sz w:val="14"/>
                <w:szCs w:val="14"/>
                <w:color w:val="auto"/>
              </w:rPr>
              <w:t>Pretax</w:t>
            </w: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gridSpan w:val="3"/>
          </w:tcPr>
          <w:p>
            <w:pPr>
              <w:jc w:val="center"/>
              <w:spacing w:after="0"/>
              <w:rPr>
                <w:sz w:val="20"/>
                <w:szCs w:val="20"/>
                <w:color w:val="auto"/>
              </w:rPr>
            </w:pPr>
            <w:r>
              <w:rPr>
                <w:rFonts w:ascii="Arial" w:cs="Arial" w:eastAsia="Arial" w:hAnsi="Arial"/>
                <w:sz w:val="14"/>
                <w:szCs w:val="14"/>
                <w:color w:val="auto"/>
                <w:w w:val="98"/>
              </w:rPr>
              <w:t>Income Tax</w:t>
            </w:r>
          </w:p>
        </w:tc>
        <w:tc>
          <w:tcPr>
            <w:tcW w:w="1160" w:type="dxa"/>
            <w:vAlign w:val="bottom"/>
          </w:tcPr>
          <w:p>
            <w:pPr>
              <w:spacing w:after="0"/>
              <w:rPr>
                <w:sz w:val="19"/>
                <w:szCs w:val="19"/>
                <w:color w:val="auto"/>
              </w:rPr>
            </w:pPr>
          </w:p>
        </w:tc>
        <w:tc>
          <w:tcPr>
            <w:tcW w:w="720" w:type="dxa"/>
            <w:vAlign w:val="bottom"/>
          </w:tcPr>
          <w:p>
            <w:pPr>
              <w:ind w:left="20"/>
              <w:spacing w:after="0"/>
              <w:rPr>
                <w:sz w:val="20"/>
                <w:szCs w:val="20"/>
                <w:color w:val="auto"/>
              </w:rPr>
            </w:pPr>
            <w:r>
              <w:rPr>
                <w:rFonts w:ascii="Arial" w:cs="Arial" w:eastAsia="Arial" w:hAnsi="Arial"/>
                <w:sz w:val="14"/>
                <w:szCs w:val="14"/>
                <w:color w:val="auto"/>
              </w:rPr>
              <w:t>Net-of-Tax</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5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Borders>
              <w:bottom w:val="single" w:sz="8" w:color="auto"/>
            </w:tcBorders>
            <w:gridSpan w:val="2"/>
          </w:tcPr>
          <w:p>
            <w:pPr>
              <w:jc w:val="right"/>
              <w:ind w:right="182"/>
              <w:spacing w:after="0"/>
              <w:rPr>
                <w:sz w:val="20"/>
                <w:szCs w:val="20"/>
                <w:color w:val="auto"/>
              </w:rPr>
            </w:pPr>
            <w:r>
              <w:rPr>
                <w:rFonts w:ascii="Arial" w:cs="Arial" w:eastAsia="Arial" w:hAnsi="Arial"/>
                <w:sz w:val="14"/>
                <w:szCs w:val="14"/>
                <w:color w:val="auto"/>
              </w:rPr>
              <w:t>Amount</w:t>
            </w:r>
          </w:p>
        </w:tc>
        <w:tc>
          <w:tcPr>
            <w:tcW w:w="48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5"/>
          </w:tcPr>
          <w:p>
            <w:pPr>
              <w:jc w:val="center"/>
              <w:ind w:right="581"/>
              <w:spacing w:after="0"/>
              <w:rPr>
                <w:sz w:val="20"/>
                <w:szCs w:val="20"/>
                <w:color w:val="auto"/>
              </w:rPr>
            </w:pPr>
            <w:r>
              <w:rPr>
                <w:rFonts w:ascii="Arial" w:cs="Arial" w:eastAsia="Arial" w:hAnsi="Arial"/>
                <w:sz w:val="14"/>
                <w:szCs w:val="14"/>
                <w:color w:val="auto"/>
              </w:rPr>
              <w:t>(Expense) Benefit</w:t>
            </w: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Amount</w:t>
            </w:r>
          </w:p>
        </w:tc>
        <w:tc>
          <w:tcPr>
            <w:tcW w:w="4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5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280" w:type="dxa"/>
            <w:vAlign w:val="bottom"/>
            <w:tcBorders>
              <w:bottom w:val="single" w:sz="8" w:color="auto"/>
            </w:tcBorders>
            <w:gridSpan w:val="8"/>
          </w:tcPr>
          <w:p>
            <w:pPr>
              <w:jc w:val="center"/>
              <w:ind w:right="263"/>
              <w:spacing w:after="0"/>
              <w:rPr>
                <w:sz w:val="20"/>
                <w:szCs w:val="20"/>
                <w:color w:val="auto"/>
              </w:rPr>
            </w:pPr>
            <w:r>
              <w:rPr>
                <w:rFonts w:ascii="Arial" w:cs="Arial" w:eastAsia="Arial" w:hAnsi="Arial"/>
                <w:sz w:val="14"/>
                <w:szCs w:val="14"/>
                <w:color w:val="auto"/>
              </w:rPr>
              <w:t>Three months ended September 30, 2014 and 2013</w:t>
            </w:r>
          </w:p>
        </w:tc>
        <w:tc>
          <w:tcPr>
            <w:tcW w:w="4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rPr>
              <w:t>(unaudited)</w:t>
            </w:r>
          </w:p>
        </w:tc>
        <w:tc>
          <w:tcPr>
            <w:tcW w:w="1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820" w:type="dxa"/>
            <w:vAlign w:val="bottom"/>
          </w:tcPr>
          <w:p>
            <w:pPr>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760" w:type="dxa"/>
            <w:vAlign w:val="bottom"/>
            <w:vMerge w:val="restart"/>
          </w:tcPr>
          <w:p>
            <w:pPr>
              <w:jc w:val="right"/>
              <w:ind w:right="104"/>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480" w:type="dxa"/>
            <w:vAlign w:val="bottom"/>
            <w:vMerge w:val="restart"/>
          </w:tcPr>
          <w:p>
            <w:pPr>
              <w:jc w:val="right"/>
              <w:ind w:right="80"/>
              <w:spacing w:after="0"/>
              <w:rPr>
                <w:sz w:val="20"/>
                <w:szCs w:val="20"/>
                <w:color w:val="auto"/>
              </w:rPr>
            </w:pPr>
            <w:r>
              <w:rPr>
                <w:rFonts w:ascii="Arial" w:cs="Arial" w:eastAsia="Arial" w:hAnsi="Arial"/>
                <w:sz w:val="16"/>
                <w:szCs w:val="16"/>
                <w:color w:val="auto"/>
              </w:rPr>
              <w:t>142</w:t>
            </w: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restart"/>
          </w:tcPr>
          <w:p>
            <w:pPr>
              <w:jc w:val="right"/>
              <w:ind w:right="401"/>
              <w:spacing w:after="0"/>
              <w:rPr>
                <w:sz w:val="20"/>
                <w:szCs w:val="20"/>
                <w:color w:val="auto"/>
              </w:rPr>
            </w:pPr>
            <w:r>
              <w:rPr>
                <w:rFonts w:ascii="Arial" w:cs="Arial" w:eastAsia="Arial" w:hAnsi="Arial"/>
                <w:sz w:val="16"/>
                <w:szCs w:val="16"/>
                <w:color w:val="auto"/>
              </w:rPr>
              <w:t>(44)</w:t>
            </w:r>
          </w:p>
        </w:tc>
        <w:tc>
          <w:tcPr>
            <w:tcW w:w="720" w:type="dxa"/>
            <w:vAlign w:val="bottom"/>
            <w:vMerge w:val="restart"/>
          </w:tcPr>
          <w:p>
            <w:pPr>
              <w:spacing w:after="0"/>
              <w:rPr>
                <w:sz w:val="20"/>
                <w:szCs w:val="20"/>
                <w:color w:val="auto"/>
              </w:rPr>
            </w:pPr>
            <w:r>
              <w:rPr>
                <w:rFonts w:ascii="Arial" w:cs="Arial" w:eastAsia="Arial" w:hAnsi="Arial"/>
                <w:sz w:val="16"/>
                <w:szCs w:val="16"/>
                <w:color w:val="auto"/>
              </w:rPr>
              <w:t>$</w:t>
            </w:r>
          </w:p>
        </w:tc>
        <w:tc>
          <w:tcPr>
            <w:tcW w:w="46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171"/>
        </w:trPr>
        <w:tc>
          <w:tcPr>
            <w:tcW w:w="5940" w:type="dxa"/>
            <w:vAlign w:val="bottom"/>
            <w:gridSpan w:val="2"/>
          </w:tcPr>
          <w:p>
            <w:pPr>
              <w:spacing w:after="0" w:line="171" w:lineRule="exact"/>
              <w:rPr>
                <w:sz w:val="20"/>
                <w:szCs w:val="20"/>
                <w:color w:val="auto"/>
              </w:rPr>
            </w:pPr>
            <w:r>
              <w:rPr>
                <w:rFonts w:ascii="Arial" w:cs="Arial" w:eastAsia="Arial" w:hAnsi="Arial"/>
                <w:sz w:val="16"/>
                <w:szCs w:val="16"/>
                <w:color w:val="auto"/>
              </w:rPr>
              <w:t>Net income</w:t>
            </w:r>
          </w:p>
        </w:tc>
        <w:tc>
          <w:tcPr>
            <w:tcW w:w="76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940" w:type="dxa"/>
            <w:vAlign w:val="bottom"/>
            <w:gridSpan w:val="2"/>
          </w:tcPr>
          <w:p>
            <w:pPr>
              <w:spacing w:after="0"/>
              <w:rPr>
                <w:sz w:val="20"/>
                <w:szCs w:val="20"/>
                <w:color w:val="auto"/>
              </w:rPr>
            </w:pPr>
            <w:r>
              <w:rPr>
                <w:rFonts w:ascii="Arial" w:cs="Arial" w:eastAsia="Arial" w:hAnsi="Arial"/>
                <w:sz w:val="16"/>
                <w:szCs w:val="16"/>
                <w:color w:val="auto"/>
              </w:rPr>
              <w:t>Other comprehensive income:</w:t>
            </w:r>
          </w:p>
        </w:tc>
        <w:tc>
          <w:tcPr>
            <w:tcW w:w="7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940" w:type="dxa"/>
            <w:vAlign w:val="bottom"/>
            <w:gridSpan w:val="2"/>
          </w:tcPr>
          <w:p>
            <w:pPr>
              <w:ind w:left="140"/>
              <w:spacing w:after="0"/>
              <w:rPr>
                <w:sz w:val="20"/>
                <w:szCs w:val="20"/>
                <w:color w:val="auto"/>
              </w:rPr>
            </w:pPr>
            <w:r>
              <w:rPr>
                <w:rFonts w:ascii="Arial" w:cs="Arial" w:eastAsia="Arial" w:hAnsi="Arial"/>
                <w:sz w:val="16"/>
                <w:szCs w:val="16"/>
                <w:color w:val="auto"/>
              </w:rPr>
              <w:t>Pension and other postretirement benefits</w:t>
            </w:r>
          </w:p>
        </w:tc>
        <w:tc>
          <w:tcPr>
            <w:tcW w:w="7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w:t>
            </w:r>
          </w:p>
        </w:tc>
        <w:tc>
          <w:tcPr>
            <w:tcW w:w="4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color w:val="auto"/>
              </w:rPr>
              <w:t>(2)</w:t>
            </w:r>
          </w:p>
        </w:tc>
        <w:tc>
          <w:tcPr>
            <w:tcW w:w="7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6"/>
        </w:trPr>
        <w:tc>
          <w:tcPr>
            <w:tcW w:w="5940" w:type="dxa"/>
            <w:vAlign w:val="bottom"/>
            <w:gridSpan w:val="2"/>
          </w:tcPr>
          <w:p>
            <w:pPr>
              <w:ind w:left="140"/>
              <w:spacing w:after="0"/>
              <w:rPr>
                <w:sz w:val="20"/>
                <w:szCs w:val="20"/>
                <w:color w:val="auto"/>
              </w:rPr>
            </w:pPr>
            <w:r>
              <w:rPr>
                <w:rFonts w:ascii="Arial" w:cs="Arial" w:eastAsia="Arial" w:hAnsi="Arial"/>
                <w:sz w:val="16"/>
                <w:szCs w:val="16"/>
                <w:color w:val="auto"/>
              </w:rPr>
              <w:t>Total other comprehensive income</w:t>
            </w:r>
          </w:p>
        </w:tc>
        <w:tc>
          <w:tcPr>
            <w:tcW w:w="7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w:t>
            </w:r>
          </w:p>
        </w:tc>
        <w:tc>
          <w:tcPr>
            <w:tcW w:w="4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color w:val="auto"/>
              </w:rPr>
              <w:t>(2)</w:t>
            </w:r>
          </w:p>
        </w:tc>
        <w:tc>
          <w:tcPr>
            <w:tcW w:w="7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73"/>
        </w:trPr>
        <w:tc>
          <w:tcPr>
            <w:tcW w:w="5940" w:type="dxa"/>
            <w:vAlign w:val="bottom"/>
            <w:gridSpan w:val="2"/>
          </w:tcPr>
          <w:p>
            <w:pPr>
              <w:spacing w:after="0" w:line="166" w:lineRule="exact"/>
              <w:rPr>
                <w:sz w:val="20"/>
                <w:szCs w:val="20"/>
                <w:color w:val="auto"/>
              </w:rPr>
            </w:pPr>
            <w:r>
              <w:rPr>
                <w:rFonts w:ascii="Arial" w:cs="Arial" w:eastAsia="Arial" w:hAnsi="Arial"/>
                <w:sz w:val="16"/>
                <w:szCs w:val="16"/>
                <w:color w:val="auto"/>
              </w:rPr>
              <w:t>Comprehensive income</w:t>
            </w:r>
          </w:p>
        </w:tc>
        <w:tc>
          <w:tcPr>
            <w:tcW w:w="760" w:type="dxa"/>
            <w:vAlign w:val="bottom"/>
          </w:tcPr>
          <w:p>
            <w:pPr>
              <w:jc w:val="right"/>
              <w:ind w:right="104"/>
              <w:spacing w:after="0" w:line="166" w:lineRule="exact"/>
              <w:rPr>
                <w:sz w:val="20"/>
                <w:szCs w:val="20"/>
                <w:color w:val="auto"/>
              </w:rPr>
            </w:pPr>
            <w:r>
              <w:rPr>
                <w:rFonts w:ascii="Arial" w:cs="Arial" w:eastAsia="Arial" w:hAnsi="Arial"/>
                <w:sz w:val="16"/>
                <w:szCs w:val="16"/>
                <w:color w:val="auto"/>
              </w:rPr>
              <w:t>$</w:t>
            </w:r>
          </w:p>
        </w:tc>
        <w:tc>
          <w:tcPr>
            <w:tcW w:w="540" w:type="dxa"/>
            <w:vAlign w:val="bottom"/>
          </w:tcPr>
          <w:p>
            <w:pPr>
              <w:spacing w:after="0"/>
              <w:rPr>
                <w:sz w:val="15"/>
                <w:szCs w:val="15"/>
                <w:color w:val="auto"/>
              </w:rPr>
            </w:pPr>
          </w:p>
        </w:tc>
        <w:tc>
          <w:tcPr>
            <w:tcW w:w="480" w:type="dxa"/>
            <w:vAlign w:val="bottom"/>
          </w:tcPr>
          <w:p>
            <w:pPr>
              <w:jc w:val="right"/>
              <w:ind w:right="80"/>
              <w:spacing w:after="0" w:line="166" w:lineRule="exact"/>
              <w:rPr>
                <w:sz w:val="20"/>
                <w:szCs w:val="20"/>
                <w:color w:val="auto"/>
              </w:rPr>
            </w:pPr>
            <w:r>
              <w:rPr>
                <w:rFonts w:ascii="Arial" w:cs="Arial" w:eastAsia="Arial" w:hAnsi="Arial"/>
                <w:sz w:val="16"/>
                <w:szCs w:val="16"/>
                <w:color w:val="auto"/>
              </w:rPr>
              <w:t>146</w:t>
            </w:r>
          </w:p>
        </w:tc>
        <w:tc>
          <w:tcPr>
            <w:tcW w:w="480" w:type="dxa"/>
            <w:vAlign w:val="bottom"/>
          </w:tcPr>
          <w:p>
            <w:pPr>
              <w:jc w:val="right"/>
              <w:spacing w:after="0" w:line="166" w:lineRule="exact"/>
              <w:rPr>
                <w:sz w:val="20"/>
                <w:szCs w:val="20"/>
                <w:color w:val="auto"/>
              </w:rPr>
            </w:pPr>
            <w:r>
              <w:rPr>
                <w:rFonts w:ascii="Arial" w:cs="Arial" w:eastAsia="Arial" w:hAnsi="Arial"/>
                <w:sz w:val="16"/>
                <w:szCs w:val="16"/>
                <w:color w:val="auto"/>
              </w:rPr>
              <w:t>$</w:t>
            </w: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ind w:right="401"/>
              <w:spacing w:after="0" w:line="166" w:lineRule="exact"/>
              <w:rPr>
                <w:sz w:val="20"/>
                <w:szCs w:val="20"/>
                <w:color w:val="auto"/>
              </w:rPr>
            </w:pPr>
            <w:r>
              <w:rPr>
                <w:rFonts w:ascii="Arial" w:cs="Arial" w:eastAsia="Arial" w:hAnsi="Arial"/>
                <w:sz w:val="16"/>
                <w:szCs w:val="16"/>
                <w:color w:val="auto"/>
              </w:rPr>
              <w:t>(46)</w:t>
            </w:r>
          </w:p>
        </w:tc>
        <w:tc>
          <w:tcPr>
            <w:tcW w:w="720" w:type="dxa"/>
            <w:vAlign w:val="bottom"/>
          </w:tcPr>
          <w:p>
            <w:pPr>
              <w:spacing w:after="0" w:line="166" w:lineRule="exact"/>
              <w:rPr>
                <w:sz w:val="20"/>
                <w:szCs w:val="20"/>
                <w:color w:val="auto"/>
              </w:rPr>
            </w:pPr>
            <w:r>
              <w:rPr>
                <w:rFonts w:ascii="Arial" w:cs="Arial" w:eastAsia="Arial" w:hAnsi="Arial"/>
                <w:sz w:val="16"/>
                <w:szCs w:val="16"/>
                <w:color w:val="auto"/>
              </w:rPr>
              <w:t>$</w:t>
            </w:r>
          </w:p>
        </w:tc>
        <w:tc>
          <w:tcPr>
            <w:tcW w:w="460" w:type="dxa"/>
            <w:vAlign w:val="bottom"/>
            <w:gridSpan w:val="2"/>
          </w:tcPr>
          <w:p>
            <w:pPr>
              <w:jc w:val="right"/>
              <w:ind w:right="20"/>
              <w:spacing w:after="0" w:line="166"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1"/>
        </w:trPr>
        <w:tc>
          <w:tcPr>
            <w:tcW w:w="58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940" w:type="dxa"/>
            <w:vAlign w:val="bottom"/>
            <w:gridSpan w:val="2"/>
          </w:tcPr>
          <w:p>
            <w:pPr>
              <w:spacing w:after="0"/>
              <w:rPr>
                <w:sz w:val="20"/>
                <w:szCs w:val="20"/>
                <w:color w:val="auto"/>
              </w:rPr>
            </w:pPr>
            <w:r>
              <w:rPr>
                <w:rFonts w:ascii="Arial" w:cs="Arial" w:eastAsia="Arial" w:hAnsi="Arial"/>
                <w:sz w:val="16"/>
                <w:szCs w:val="16"/>
                <w:color w:val="auto"/>
              </w:rPr>
              <w:t>Net income/Comprehensive income</w:t>
            </w:r>
          </w:p>
        </w:tc>
        <w:tc>
          <w:tcPr>
            <w:tcW w:w="760" w:type="dxa"/>
            <w:vAlign w:val="bottom"/>
          </w:tcPr>
          <w:p>
            <w:pPr>
              <w:jc w:val="right"/>
              <w:ind w:right="104"/>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6"/>
                <w:szCs w:val="16"/>
                <w:color w:val="auto"/>
              </w:rPr>
            </w:pPr>
          </w:p>
        </w:tc>
        <w:tc>
          <w:tcPr>
            <w:tcW w:w="480" w:type="dxa"/>
            <w:vAlign w:val="bottom"/>
          </w:tcPr>
          <w:p>
            <w:pPr>
              <w:jc w:val="right"/>
              <w:ind w:right="80"/>
              <w:spacing w:after="0"/>
              <w:rPr>
                <w:sz w:val="20"/>
                <w:szCs w:val="20"/>
                <w:color w:val="auto"/>
              </w:rPr>
            </w:pPr>
            <w:r>
              <w:rPr>
                <w:rFonts w:ascii="Arial" w:cs="Arial" w:eastAsia="Arial" w:hAnsi="Arial"/>
                <w:sz w:val="16"/>
                <w:szCs w:val="16"/>
                <w:color w:val="auto"/>
              </w:rPr>
              <w:t>140</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401"/>
              <w:spacing w:after="0"/>
              <w:rPr>
                <w:sz w:val="20"/>
                <w:szCs w:val="20"/>
                <w:color w:val="auto"/>
              </w:rPr>
            </w:pPr>
            <w:r>
              <w:rPr>
                <w:rFonts w:ascii="Arial" w:cs="Arial" w:eastAsia="Arial" w:hAnsi="Arial"/>
                <w:sz w:val="16"/>
                <w:szCs w:val="16"/>
                <w:color w:val="auto"/>
              </w:rPr>
              <w:t>(38)</w:t>
            </w:r>
          </w:p>
        </w:tc>
        <w:tc>
          <w:tcPr>
            <w:tcW w:w="720" w:type="dxa"/>
            <w:vAlign w:val="bottom"/>
          </w:tcPr>
          <w:p>
            <w:pPr>
              <w:spacing w:after="0"/>
              <w:rPr>
                <w:sz w:val="20"/>
                <w:szCs w:val="20"/>
                <w:color w:val="auto"/>
              </w:rPr>
            </w:pPr>
            <w:r>
              <w:rPr>
                <w:rFonts w:ascii="Arial" w:cs="Arial" w:eastAsia="Arial" w:hAnsi="Arial"/>
                <w:sz w:val="16"/>
                <w:szCs w:val="16"/>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199"/>
        </w:trPr>
        <w:tc>
          <w:tcPr>
            <w:tcW w:w="58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spacing w:after="0"/>
              <w:rPr>
                <w:sz w:val="17"/>
                <w:szCs w:val="17"/>
                <w:color w:val="auto"/>
              </w:rPr>
            </w:pPr>
          </w:p>
        </w:tc>
        <w:tc>
          <w:tcPr>
            <w:tcW w:w="3560" w:type="dxa"/>
            <w:vAlign w:val="bottom"/>
            <w:tcBorders>
              <w:top w:val="single" w:sz="8" w:color="auto"/>
              <w:bottom w:val="single" w:sz="8" w:color="auto"/>
            </w:tcBorders>
            <w:gridSpan w:val="7"/>
          </w:tcPr>
          <w:p>
            <w:pPr>
              <w:jc w:val="center"/>
              <w:ind w:left="302"/>
              <w:spacing w:after="0"/>
              <w:rPr>
                <w:sz w:val="20"/>
                <w:szCs w:val="20"/>
                <w:color w:val="auto"/>
              </w:rPr>
            </w:pPr>
            <w:r>
              <w:rPr>
                <w:rFonts w:ascii="Arial" w:cs="Arial" w:eastAsia="Arial" w:hAnsi="Arial"/>
                <w:sz w:val="14"/>
                <w:szCs w:val="14"/>
                <w:color w:val="auto"/>
              </w:rPr>
              <w:t>Nine months ended September 30, 2014 and 2013</w:t>
            </w:r>
          </w:p>
        </w:tc>
        <w:tc>
          <w:tcPr>
            <w:tcW w:w="72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rPr>
              <w:t>(unaudited)</w:t>
            </w:r>
          </w:p>
        </w:tc>
        <w:tc>
          <w:tcPr>
            <w:tcW w:w="1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820" w:type="dxa"/>
            <w:vAlign w:val="bottom"/>
          </w:tcPr>
          <w:p>
            <w:pPr>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760" w:type="dxa"/>
            <w:vAlign w:val="bottom"/>
            <w:vMerge w:val="restart"/>
          </w:tcPr>
          <w:p>
            <w:pPr>
              <w:jc w:val="right"/>
              <w:ind w:right="104"/>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480" w:type="dxa"/>
            <w:vAlign w:val="bottom"/>
            <w:vMerge w:val="restart"/>
          </w:tcPr>
          <w:p>
            <w:pPr>
              <w:jc w:val="right"/>
              <w:ind w:right="80"/>
              <w:spacing w:after="0"/>
              <w:rPr>
                <w:sz w:val="20"/>
                <w:szCs w:val="20"/>
                <w:color w:val="auto"/>
              </w:rPr>
            </w:pPr>
            <w:r>
              <w:rPr>
                <w:rFonts w:ascii="Arial" w:cs="Arial" w:eastAsia="Arial" w:hAnsi="Arial"/>
                <w:sz w:val="16"/>
                <w:szCs w:val="16"/>
                <w:color w:val="auto"/>
              </w:rPr>
              <w:t>367</w:t>
            </w: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restart"/>
          </w:tcPr>
          <w:p>
            <w:pPr>
              <w:jc w:val="right"/>
              <w:ind w:right="401"/>
              <w:spacing w:after="0"/>
              <w:rPr>
                <w:sz w:val="20"/>
                <w:szCs w:val="20"/>
                <w:color w:val="auto"/>
              </w:rPr>
            </w:pPr>
            <w:r>
              <w:rPr>
                <w:rFonts w:ascii="Arial" w:cs="Arial" w:eastAsia="Arial" w:hAnsi="Arial"/>
                <w:sz w:val="16"/>
                <w:szCs w:val="16"/>
                <w:color w:val="auto"/>
              </w:rPr>
              <w:t>(110)</w:t>
            </w:r>
          </w:p>
        </w:tc>
        <w:tc>
          <w:tcPr>
            <w:tcW w:w="720" w:type="dxa"/>
            <w:vAlign w:val="bottom"/>
            <w:vMerge w:val="restart"/>
          </w:tcPr>
          <w:p>
            <w:pPr>
              <w:spacing w:after="0"/>
              <w:rPr>
                <w:sz w:val="20"/>
                <w:szCs w:val="20"/>
                <w:color w:val="auto"/>
              </w:rPr>
            </w:pPr>
            <w:r>
              <w:rPr>
                <w:rFonts w:ascii="Arial" w:cs="Arial" w:eastAsia="Arial" w:hAnsi="Arial"/>
                <w:sz w:val="16"/>
                <w:szCs w:val="16"/>
                <w:color w:val="auto"/>
              </w:rPr>
              <w:t>$</w:t>
            </w:r>
          </w:p>
        </w:tc>
        <w:tc>
          <w:tcPr>
            <w:tcW w:w="46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257</w:t>
            </w:r>
          </w:p>
        </w:tc>
        <w:tc>
          <w:tcPr>
            <w:tcW w:w="0" w:type="dxa"/>
            <w:vAlign w:val="bottom"/>
          </w:tcPr>
          <w:p>
            <w:pPr>
              <w:spacing w:after="0"/>
              <w:rPr>
                <w:sz w:val="1"/>
                <w:szCs w:val="1"/>
                <w:color w:val="auto"/>
              </w:rPr>
            </w:pPr>
          </w:p>
        </w:tc>
      </w:tr>
      <w:tr>
        <w:trPr>
          <w:trHeight w:val="171"/>
        </w:trPr>
        <w:tc>
          <w:tcPr>
            <w:tcW w:w="5940" w:type="dxa"/>
            <w:vAlign w:val="bottom"/>
            <w:gridSpan w:val="2"/>
          </w:tcPr>
          <w:p>
            <w:pPr>
              <w:spacing w:after="0" w:line="171" w:lineRule="exact"/>
              <w:rPr>
                <w:sz w:val="20"/>
                <w:szCs w:val="20"/>
                <w:color w:val="auto"/>
              </w:rPr>
            </w:pPr>
            <w:r>
              <w:rPr>
                <w:rFonts w:ascii="Arial" w:cs="Arial" w:eastAsia="Arial" w:hAnsi="Arial"/>
                <w:sz w:val="16"/>
                <w:szCs w:val="16"/>
                <w:color w:val="auto"/>
              </w:rPr>
              <w:t>Net income</w:t>
            </w:r>
          </w:p>
        </w:tc>
        <w:tc>
          <w:tcPr>
            <w:tcW w:w="760" w:type="dxa"/>
            <w:vAlign w:val="bottom"/>
            <w:tcBorders>
              <w:bottom w:val="single" w:sz="8" w:color="auto"/>
            </w:tcBorders>
            <w:vMerge w:val="continue"/>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6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bl>
    <w:p>
      <w:pPr>
        <w:sectPr>
          <w:pgSz w:w="11900" w:h="16898" w:orient="portrait"/>
          <w:cols w:equalWidth="0" w:num="1">
            <w:col w:w="11420"/>
          </w:cols>
          <w:pgMar w:left="240" w:top="128" w:right="239" w:bottom="0" w:gutter="0" w:footer="0" w:header="0"/>
          <w:type w:val="continuous"/>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940" w:type="dxa"/>
            <w:vAlign w:val="bottom"/>
          </w:tcPr>
          <w:p>
            <w:pPr>
              <w:spacing w:after="0"/>
              <w:rPr>
                <w:sz w:val="20"/>
                <w:szCs w:val="20"/>
                <w:color w:val="auto"/>
              </w:rPr>
            </w:pPr>
            <w:r>
              <w:rPr>
                <w:rFonts w:ascii="Arial" w:cs="Arial" w:eastAsia="Arial" w:hAnsi="Arial"/>
                <w:sz w:val="16"/>
                <w:szCs w:val="16"/>
                <w:color w:val="auto"/>
              </w:rPr>
              <w:t>Other comprehensive income:</w:t>
            </w:r>
          </w:p>
        </w:tc>
        <w:tc>
          <w:tcPr>
            <w:tcW w:w="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5940" w:type="dxa"/>
            <w:vAlign w:val="bottom"/>
          </w:tcPr>
          <w:p>
            <w:pPr>
              <w:ind w:left="140"/>
              <w:spacing w:after="0"/>
              <w:rPr>
                <w:sz w:val="20"/>
                <w:szCs w:val="20"/>
                <w:color w:val="auto"/>
              </w:rPr>
            </w:pPr>
            <w:r>
              <w:rPr>
                <w:rFonts w:ascii="Arial" w:cs="Arial" w:eastAsia="Arial" w:hAnsi="Arial"/>
                <w:sz w:val="16"/>
                <w:szCs w:val="16"/>
                <w:color w:val="auto"/>
              </w:rPr>
              <w:t>Pension and other postretirement benefits</w:t>
            </w:r>
          </w:p>
        </w:tc>
        <w:tc>
          <w:tcPr>
            <w:tcW w:w="9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4</w:t>
            </w:r>
          </w:p>
        </w:tc>
        <w:tc>
          <w:tcPr>
            <w:tcW w:w="9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(2)</w:t>
            </w:r>
          </w:p>
        </w:tc>
        <w:tc>
          <w:tcPr>
            <w:tcW w:w="7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6"/>
        </w:trPr>
        <w:tc>
          <w:tcPr>
            <w:tcW w:w="5940" w:type="dxa"/>
            <w:vAlign w:val="bottom"/>
          </w:tcPr>
          <w:p>
            <w:pPr>
              <w:ind w:left="140"/>
              <w:spacing w:after="0"/>
              <w:rPr>
                <w:sz w:val="20"/>
                <w:szCs w:val="20"/>
                <w:color w:val="auto"/>
              </w:rPr>
            </w:pPr>
            <w:r>
              <w:rPr>
                <w:rFonts w:ascii="Arial" w:cs="Arial" w:eastAsia="Arial" w:hAnsi="Arial"/>
                <w:sz w:val="16"/>
                <w:szCs w:val="16"/>
                <w:color w:val="auto"/>
              </w:rPr>
              <w:t>Total other comprehensive income</w:t>
            </w:r>
          </w:p>
        </w:tc>
        <w:tc>
          <w:tcPr>
            <w:tcW w:w="9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4</w:t>
            </w:r>
          </w:p>
        </w:tc>
        <w:tc>
          <w:tcPr>
            <w:tcW w:w="9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(2)</w:t>
            </w:r>
          </w:p>
        </w:tc>
        <w:tc>
          <w:tcPr>
            <w:tcW w:w="7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73"/>
        </w:trPr>
        <w:tc>
          <w:tcPr>
            <w:tcW w:w="5940" w:type="dxa"/>
            <w:vAlign w:val="bottom"/>
            <w:tcBorders>
              <w:bottom w:val="single" w:sz="8" w:color="auto"/>
            </w:tcBorders>
          </w:tcPr>
          <w:p>
            <w:pPr>
              <w:spacing w:after="0" w:line="166" w:lineRule="exact"/>
              <w:rPr>
                <w:sz w:val="20"/>
                <w:szCs w:val="20"/>
                <w:color w:val="auto"/>
              </w:rPr>
            </w:pPr>
            <w:r>
              <w:rPr>
                <w:rFonts w:ascii="Arial" w:cs="Arial" w:eastAsia="Arial" w:hAnsi="Arial"/>
                <w:sz w:val="16"/>
                <w:szCs w:val="16"/>
                <w:color w:val="auto"/>
              </w:rPr>
              <w:t>Comprehensive income</w:t>
            </w:r>
          </w:p>
        </w:tc>
        <w:tc>
          <w:tcPr>
            <w:tcW w:w="960" w:type="dxa"/>
            <w:vAlign w:val="bottom"/>
            <w:tcBorders>
              <w:bottom w:val="single" w:sz="8" w:color="auto"/>
            </w:tcBorders>
          </w:tcPr>
          <w:p>
            <w:pPr>
              <w:jc w:val="right"/>
              <w:ind w:right="300"/>
              <w:spacing w:after="0" w:line="166"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60"/>
              <w:spacing w:after="0" w:line="166" w:lineRule="exact"/>
              <w:rPr>
                <w:sz w:val="20"/>
                <w:szCs w:val="20"/>
                <w:color w:val="auto"/>
              </w:rPr>
            </w:pPr>
            <w:r>
              <w:rPr>
                <w:rFonts w:ascii="Arial" w:cs="Arial" w:eastAsia="Arial" w:hAnsi="Arial"/>
                <w:sz w:val="16"/>
                <w:szCs w:val="16"/>
                <w:color w:val="auto"/>
              </w:rPr>
              <w:t>371</w:t>
            </w:r>
          </w:p>
        </w:tc>
        <w:tc>
          <w:tcPr>
            <w:tcW w:w="980" w:type="dxa"/>
            <w:vAlign w:val="bottom"/>
            <w:tcBorders>
              <w:bottom w:val="single" w:sz="8" w:color="auto"/>
            </w:tcBorders>
          </w:tcPr>
          <w:p>
            <w:pPr>
              <w:jc w:val="right"/>
              <w:ind w:right="560"/>
              <w:spacing w:after="0" w:line="166"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60"/>
              <w:spacing w:after="0" w:line="166" w:lineRule="exact"/>
              <w:rPr>
                <w:sz w:val="20"/>
                <w:szCs w:val="20"/>
                <w:color w:val="auto"/>
              </w:rPr>
            </w:pPr>
            <w:r>
              <w:rPr>
                <w:rFonts w:ascii="Arial" w:cs="Arial" w:eastAsia="Arial" w:hAnsi="Arial"/>
                <w:sz w:val="16"/>
                <w:szCs w:val="16"/>
                <w:color w:val="auto"/>
              </w:rPr>
              <w:t>(112)</w:t>
            </w:r>
          </w:p>
        </w:tc>
        <w:tc>
          <w:tcPr>
            <w:tcW w:w="740" w:type="dxa"/>
            <w:vAlign w:val="bottom"/>
            <w:tcBorders>
              <w:bottom w:val="single" w:sz="8" w:color="auto"/>
            </w:tcBorders>
          </w:tcPr>
          <w:p>
            <w:pPr>
              <w:jc w:val="right"/>
              <w:ind w:right="320"/>
              <w:spacing w:after="0" w:line="166" w:lineRule="exact"/>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214"/>
        </w:trPr>
        <w:tc>
          <w:tcPr>
            <w:tcW w:w="5940" w:type="dxa"/>
            <w:vAlign w:val="bottom"/>
          </w:tcPr>
          <w:p>
            <w:pPr>
              <w:spacing w:after="0"/>
              <w:rPr>
                <w:sz w:val="20"/>
                <w:szCs w:val="20"/>
                <w:color w:val="auto"/>
              </w:rPr>
            </w:pPr>
            <w:r>
              <w:rPr>
                <w:rFonts w:ascii="Arial" w:cs="Arial" w:eastAsia="Arial" w:hAnsi="Arial"/>
                <w:sz w:val="16"/>
                <w:szCs w:val="16"/>
                <w:b w:val="1"/>
                <w:bCs w:val="1"/>
                <w:color w:val="auto"/>
              </w:rPr>
              <w:t>2013:</w:t>
            </w:r>
          </w:p>
        </w:tc>
        <w:tc>
          <w:tcPr>
            <w:tcW w:w="960" w:type="dxa"/>
            <w:vAlign w:val="bottom"/>
            <w:vMerge w:val="restart"/>
          </w:tcPr>
          <w:p>
            <w:pPr>
              <w:jc w:val="right"/>
              <w:ind w:right="300"/>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ind w:right="160"/>
              <w:spacing w:after="0"/>
              <w:rPr>
                <w:sz w:val="20"/>
                <w:szCs w:val="20"/>
                <w:color w:val="auto"/>
              </w:rPr>
            </w:pPr>
            <w:r>
              <w:rPr>
                <w:rFonts w:ascii="Arial" w:cs="Arial" w:eastAsia="Arial" w:hAnsi="Arial"/>
                <w:sz w:val="16"/>
                <w:szCs w:val="16"/>
                <w:color w:val="auto"/>
              </w:rPr>
              <w:t>374</w:t>
            </w:r>
          </w:p>
        </w:tc>
        <w:tc>
          <w:tcPr>
            <w:tcW w:w="980" w:type="dxa"/>
            <w:vAlign w:val="bottom"/>
            <w:vMerge w:val="restart"/>
          </w:tcPr>
          <w:p>
            <w:pPr>
              <w:jc w:val="right"/>
              <w:ind w:right="560"/>
              <w:spacing w:after="0"/>
              <w:rPr>
                <w:sz w:val="20"/>
                <w:szCs w:val="20"/>
                <w:color w:val="auto"/>
              </w:rPr>
            </w:pPr>
            <w:r>
              <w:rPr>
                <w:rFonts w:ascii="Arial" w:cs="Arial" w:eastAsia="Arial" w:hAnsi="Arial"/>
                <w:sz w:val="16"/>
                <w:szCs w:val="16"/>
                <w:color w:val="auto"/>
              </w:rPr>
              <w:t>$</w:t>
            </w:r>
          </w:p>
        </w:tc>
        <w:tc>
          <w:tcPr>
            <w:tcW w:w="1240" w:type="dxa"/>
            <w:vAlign w:val="bottom"/>
            <w:vMerge w:val="restart"/>
          </w:tcPr>
          <w:p>
            <w:pPr>
              <w:jc w:val="right"/>
              <w:ind w:right="160"/>
              <w:spacing w:after="0"/>
              <w:rPr>
                <w:sz w:val="20"/>
                <w:szCs w:val="20"/>
                <w:color w:val="auto"/>
              </w:rPr>
            </w:pPr>
            <w:r>
              <w:rPr>
                <w:rFonts w:ascii="Arial" w:cs="Arial" w:eastAsia="Arial" w:hAnsi="Arial"/>
                <w:sz w:val="16"/>
                <w:szCs w:val="16"/>
                <w:color w:val="auto"/>
              </w:rPr>
              <w:t>(107)</w:t>
            </w:r>
          </w:p>
        </w:tc>
        <w:tc>
          <w:tcPr>
            <w:tcW w:w="740" w:type="dxa"/>
            <w:vAlign w:val="bottom"/>
            <w:vMerge w:val="restart"/>
          </w:tcPr>
          <w:p>
            <w:pPr>
              <w:jc w:val="right"/>
              <w:ind w:right="320"/>
              <w:spacing w:after="0"/>
              <w:rPr>
                <w:sz w:val="20"/>
                <w:szCs w:val="20"/>
                <w:color w:val="auto"/>
              </w:rPr>
            </w:pPr>
            <w:r>
              <w:rPr>
                <w:rFonts w:ascii="Arial" w:cs="Arial" w:eastAsia="Arial" w:hAnsi="Arial"/>
                <w:sz w:val="16"/>
                <w:szCs w:val="16"/>
                <w:color w:val="auto"/>
              </w:rPr>
              <w:t>$</w:t>
            </w: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176"/>
        </w:trPr>
        <w:tc>
          <w:tcPr>
            <w:tcW w:w="5940" w:type="dxa"/>
            <w:vAlign w:val="bottom"/>
          </w:tcPr>
          <w:p>
            <w:pPr>
              <w:spacing w:after="0" w:line="171" w:lineRule="exact"/>
              <w:rPr>
                <w:sz w:val="20"/>
                <w:szCs w:val="20"/>
                <w:color w:val="auto"/>
              </w:rPr>
            </w:pPr>
            <w:r>
              <w:rPr>
                <w:rFonts w:ascii="Arial" w:cs="Arial" w:eastAsia="Arial" w:hAnsi="Arial"/>
                <w:sz w:val="16"/>
                <w:szCs w:val="16"/>
                <w:color w:val="auto"/>
              </w:rPr>
              <w:t>Net income</w:t>
            </w:r>
          </w:p>
        </w:tc>
        <w:tc>
          <w:tcPr>
            <w:tcW w:w="96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940" w:type="dxa"/>
            <w:vAlign w:val="bottom"/>
          </w:tcPr>
          <w:p>
            <w:pPr>
              <w:spacing w:after="0"/>
              <w:rPr>
                <w:sz w:val="20"/>
                <w:szCs w:val="20"/>
                <w:color w:val="auto"/>
              </w:rPr>
            </w:pPr>
            <w:r>
              <w:rPr>
                <w:rFonts w:ascii="Arial" w:cs="Arial" w:eastAsia="Arial" w:hAnsi="Arial"/>
                <w:sz w:val="16"/>
                <w:szCs w:val="16"/>
                <w:color w:val="auto"/>
              </w:rPr>
              <w:t>Other comprehensive income:</w:t>
            </w:r>
          </w:p>
        </w:tc>
        <w:tc>
          <w:tcPr>
            <w:tcW w:w="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940" w:type="dxa"/>
            <w:vAlign w:val="bottom"/>
          </w:tcPr>
          <w:p>
            <w:pPr>
              <w:ind w:left="140"/>
              <w:spacing w:after="0"/>
              <w:rPr>
                <w:sz w:val="20"/>
                <w:szCs w:val="20"/>
                <w:color w:val="auto"/>
              </w:rPr>
            </w:pPr>
            <w:r>
              <w:rPr>
                <w:rFonts w:ascii="Arial" w:cs="Arial" w:eastAsia="Arial" w:hAnsi="Arial"/>
                <w:sz w:val="16"/>
                <w:szCs w:val="16"/>
                <w:color w:val="auto"/>
              </w:rPr>
              <w:t>Financial instruments</w:t>
            </w:r>
          </w:p>
        </w:tc>
        <w:tc>
          <w:tcPr>
            <w:tcW w:w="9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1</w:t>
            </w:r>
          </w:p>
        </w:tc>
        <w:tc>
          <w:tcPr>
            <w:tcW w:w="9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6"/>
        </w:trPr>
        <w:tc>
          <w:tcPr>
            <w:tcW w:w="5940" w:type="dxa"/>
            <w:vAlign w:val="bottom"/>
          </w:tcPr>
          <w:p>
            <w:pPr>
              <w:ind w:left="140"/>
              <w:spacing w:after="0"/>
              <w:rPr>
                <w:sz w:val="20"/>
                <w:szCs w:val="20"/>
                <w:color w:val="auto"/>
              </w:rPr>
            </w:pPr>
            <w:r>
              <w:rPr>
                <w:rFonts w:ascii="Arial" w:cs="Arial" w:eastAsia="Arial" w:hAnsi="Arial"/>
                <w:sz w:val="16"/>
                <w:szCs w:val="16"/>
                <w:color w:val="auto"/>
              </w:rPr>
              <w:t>Total other comprehensive income</w:t>
            </w:r>
          </w:p>
        </w:tc>
        <w:tc>
          <w:tcPr>
            <w:tcW w:w="9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1</w:t>
            </w:r>
          </w:p>
        </w:tc>
        <w:tc>
          <w:tcPr>
            <w:tcW w:w="9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73"/>
        </w:trPr>
        <w:tc>
          <w:tcPr>
            <w:tcW w:w="5940" w:type="dxa"/>
            <w:vAlign w:val="bottom"/>
            <w:tcBorders>
              <w:bottom w:val="single" w:sz="8" w:color="auto"/>
            </w:tcBorders>
          </w:tcPr>
          <w:p>
            <w:pPr>
              <w:spacing w:after="0" w:line="166" w:lineRule="exact"/>
              <w:rPr>
                <w:sz w:val="20"/>
                <w:szCs w:val="20"/>
                <w:color w:val="auto"/>
              </w:rPr>
            </w:pPr>
            <w:r>
              <w:rPr>
                <w:rFonts w:ascii="Arial" w:cs="Arial" w:eastAsia="Arial" w:hAnsi="Arial"/>
                <w:sz w:val="16"/>
                <w:szCs w:val="16"/>
                <w:color w:val="auto"/>
              </w:rPr>
              <w:t>Comprehensive income</w:t>
            </w:r>
          </w:p>
        </w:tc>
        <w:tc>
          <w:tcPr>
            <w:tcW w:w="960" w:type="dxa"/>
            <w:vAlign w:val="bottom"/>
            <w:tcBorders>
              <w:bottom w:val="single" w:sz="8" w:color="auto"/>
            </w:tcBorders>
          </w:tcPr>
          <w:p>
            <w:pPr>
              <w:jc w:val="right"/>
              <w:ind w:right="300"/>
              <w:spacing w:after="0" w:line="166"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60"/>
              <w:spacing w:after="0" w:line="166" w:lineRule="exact"/>
              <w:rPr>
                <w:sz w:val="20"/>
                <w:szCs w:val="20"/>
                <w:color w:val="auto"/>
              </w:rPr>
            </w:pPr>
            <w:r>
              <w:rPr>
                <w:rFonts w:ascii="Arial" w:cs="Arial" w:eastAsia="Arial" w:hAnsi="Arial"/>
                <w:sz w:val="16"/>
                <w:szCs w:val="16"/>
                <w:color w:val="auto"/>
              </w:rPr>
              <w:t>375</w:t>
            </w:r>
          </w:p>
        </w:tc>
        <w:tc>
          <w:tcPr>
            <w:tcW w:w="980" w:type="dxa"/>
            <w:vAlign w:val="bottom"/>
            <w:tcBorders>
              <w:bottom w:val="single" w:sz="8" w:color="auto"/>
            </w:tcBorders>
          </w:tcPr>
          <w:p>
            <w:pPr>
              <w:jc w:val="right"/>
              <w:ind w:right="560"/>
              <w:spacing w:after="0" w:line="166"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60"/>
              <w:spacing w:after="0" w:line="166" w:lineRule="exact"/>
              <w:rPr>
                <w:sz w:val="20"/>
                <w:szCs w:val="20"/>
                <w:color w:val="auto"/>
              </w:rPr>
            </w:pPr>
            <w:r>
              <w:rPr>
                <w:rFonts w:ascii="Arial" w:cs="Arial" w:eastAsia="Arial" w:hAnsi="Arial"/>
                <w:sz w:val="16"/>
                <w:szCs w:val="16"/>
                <w:color w:val="auto"/>
              </w:rPr>
              <w:t>(107)</w:t>
            </w:r>
          </w:p>
        </w:tc>
        <w:tc>
          <w:tcPr>
            <w:tcW w:w="740" w:type="dxa"/>
            <w:vAlign w:val="bottom"/>
            <w:tcBorders>
              <w:bottom w:val="single" w:sz="8" w:color="auto"/>
            </w:tcBorders>
          </w:tcPr>
          <w:p>
            <w:pPr>
              <w:jc w:val="right"/>
              <w:ind w:right="320"/>
              <w:spacing w:after="0" w:line="166" w:lineRule="exact"/>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268</w:t>
            </w:r>
          </w:p>
        </w:tc>
        <w:tc>
          <w:tcPr>
            <w:tcW w:w="0" w:type="dxa"/>
            <w:vAlign w:val="bottom"/>
          </w:tcPr>
          <w:p>
            <w:pPr>
              <w:spacing w:after="0"/>
              <w:rPr>
                <w:sz w:val="1"/>
                <w:szCs w:val="1"/>
                <w:color w:val="auto"/>
              </w:rPr>
            </w:pPr>
          </w:p>
        </w:tc>
      </w:tr>
    </w:tbl>
    <w:p>
      <w:pPr>
        <w:spacing w:after="0" w:line="4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SOUTHERN CALIFORNIA GAS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-104775</wp:posOffset>
            </wp:positionV>
            <wp:extent cx="7248525" cy="3289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8525" cy="32893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1540" w:type="dxa"/>
            <w:vAlign w:val="bottom"/>
            <w:gridSpan w:val="2"/>
          </w:tcPr>
          <w:p>
            <w:pPr>
              <w:jc w:val="center"/>
              <w:ind w:right="61"/>
              <w:spacing w:after="0"/>
              <w:rPr>
                <w:sz w:val="20"/>
                <w:szCs w:val="20"/>
                <w:color w:val="auto"/>
              </w:rPr>
            </w:pPr>
            <w:r>
              <w:rPr>
                <w:rFonts w:ascii="Arial" w:cs="Arial" w:eastAsia="Arial" w:hAnsi="Arial"/>
                <w:sz w:val="14"/>
                <w:szCs w:val="14"/>
                <w:color w:val="auto"/>
              </w:rPr>
              <w:t>September 30,</w:t>
            </w:r>
          </w:p>
        </w:tc>
        <w:tc>
          <w:tcPr>
            <w:tcW w:w="1280" w:type="dxa"/>
            <w:vAlign w:val="bottom"/>
            <w:gridSpan w:val="2"/>
          </w:tcPr>
          <w:p>
            <w:pPr>
              <w:ind w:left="120"/>
              <w:spacing w:after="0"/>
              <w:rPr>
                <w:sz w:val="20"/>
                <w:szCs w:val="20"/>
                <w:color w:val="auto"/>
              </w:rPr>
            </w:pPr>
            <w:r>
              <w:rPr>
                <w:rFonts w:ascii="Arial" w:cs="Arial" w:eastAsia="Arial" w:hAnsi="Arial"/>
                <w:sz w:val="14"/>
                <w:szCs w:val="14"/>
                <w:color w:val="auto"/>
              </w:rPr>
              <w:t>December 31,</w:t>
            </w:r>
          </w:p>
        </w:tc>
      </w:tr>
      <w:tr>
        <w:trPr>
          <w:trHeight w:val="197"/>
        </w:trPr>
        <w:tc>
          <w:tcPr>
            <w:tcW w:w="180" w:type="dxa"/>
            <w:vAlign w:val="bottom"/>
            <w:tcBorders>
              <w:bottom w:val="single" w:sz="8" w:color="auto"/>
            </w:tcBorders>
          </w:tcPr>
          <w:p>
            <w:pPr>
              <w:spacing w:after="0"/>
              <w:rPr>
                <w:sz w:val="17"/>
                <w:szCs w:val="17"/>
                <w:color w:val="auto"/>
              </w:rPr>
            </w:pPr>
          </w:p>
        </w:tc>
        <w:tc>
          <w:tcPr>
            <w:tcW w:w="84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521"/>
              <w:spacing w:after="0"/>
              <w:rPr>
                <w:sz w:val="20"/>
                <w:szCs w:val="20"/>
                <w:color w:val="auto"/>
              </w:rPr>
            </w:pPr>
            <w:r>
              <w:rPr>
                <w:rFonts w:ascii="Arial" w:cs="Arial" w:eastAsia="Arial" w:hAnsi="Arial"/>
                <w:sz w:val="14"/>
                <w:szCs w:val="14"/>
                <w:color w:val="auto"/>
              </w:rPr>
              <w:t>2014</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color w:val="auto"/>
              </w:rPr>
              <w:t>2013(1)</w:t>
            </w:r>
          </w:p>
        </w:tc>
      </w:tr>
      <w:tr>
        <w:trPr>
          <w:trHeight w:val="221"/>
        </w:trPr>
        <w:tc>
          <w:tcPr>
            <w:tcW w:w="180" w:type="dxa"/>
            <w:vAlign w:val="bottom"/>
          </w:tcPr>
          <w:p>
            <w:pPr>
              <w:spacing w:after="0"/>
              <w:rPr>
                <w:sz w:val="19"/>
                <w:szCs w:val="19"/>
                <w:color w:val="auto"/>
              </w:rPr>
            </w:pPr>
          </w:p>
        </w:tc>
        <w:tc>
          <w:tcPr>
            <w:tcW w:w="8420" w:type="dxa"/>
            <w:vAlign w:val="bottom"/>
          </w:tcPr>
          <w:p>
            <w:pPr>
              <w:spacing w:after="0"/>
              <w:rPr>
                <w:sz w:val="19"/>
                <w:szCs w:val="19"/>
                <w:color w:val="auto"/>
              </w:rPr>
            </w:pPr>
          </w:p>
        </w:tc>
        <w:tc>
          <w:tcPr>
            <w:tcW w:w="1540" w:type="dxa"/>
            <w:vAlign w:val="bottom"/>
            <w:gridSpan w:val="2"/>
          </w:tcPr>
          <w:p>
            <w:pPr>
              <w:jc w:val="center"/>
              <w:ind w:right="61"/>
              <w:spacing w:after="0"/>
              <w:rPr>
                <w:sz w:val="20"/>
                <w:szCs w:val="20"/>
                <w:color w:val="auto"/>
              </w:rPr>
            </w:pPr>
            <w:r>
              <w:rPr>
                <w:rFonts w:ascii="Arial" w:cs="Arial" w:eastAsia="Arial" w:hAnsi="Arial"/>
                <w:sz w:val="14"/>
                <w:szCs w:val="14"/>
                <w:color w:val="auto"/>
              </w:rPr>
              <w:t>(unaudited)</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05"/>
        </w:trPr>
        <w:tc>
          <w:tcPr>
            <w:tcW w:w="8600" w:type="dxa"/>
            <w:vAlign w:val="bottom"/>
            <w:gridSpan w:val="2"/>
          </w:tcPr>
          <w:p>
            <w:pPr>
              <w:spacing w:after="0"/>
              <w:rPr>
                <w:sz w:val="20"/>
                <w:szCs w:val="20"/>
                <w:color w:val="auto"/>
              </w:rPr>
            </w:pPr>
            <w:r>
              <w:rPr>
                <w:rFonts w:ascii="Arial" w:cs="Arial" w:eastAsia="Arial" w:hAnsi="Arial"/>
                <w:sz w:val="16"/>
                <w:szCs w:val="16"/>
                <w:color w:val="auto"/>
              </w:rPr>
              <w:t>ASSETS</w:t>
            </w: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3"/>
        </w:trPr>
        <w:tc>
          <w:tcPr>
            <w:tcW w:w="8600" w:type="dxa"/>
            <w:vAlign w:val="bottom"/>
            <w:gridSpan w:val="2"/>
          </w:tcPr>
          <w:p>
            <w:pPr>
              <w:spacing w:after="0"/>
              <w:rPr>
                <w:sz w:val="20"/>
                <w:szCs w:val="20"/>
                <w:color w:val="auto"/>
              </w:rPr>
            </w:pPr>
            <w:r>
              <w:rPr>
                <w:rFonts w:ascii="Arial" w:cs="Arial" w:eastAsia="Arial" w:hAnsi="Arial"/>
                <w:sz w:val="16"/>
                <w:szCs w:val="16"/>
                <w:color w:val="auto"/>
              </w:rPr>
              <w:t>Current assets:</w:t>
            </w:r>
          </w:p>
        </w:tc>
        <w:tc>
          <w:tcPr>
            <w:tcW w:w="4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2"/>
        </w:trPr>
        <w:tc>
          <w:tcPr>
            <w:tcW w:w="180" w:type="dxa"/>
            <w:vAlign w:val="bottom"/>
          </w:tcPr>
          <w:p>
            <w:pPr>
              <w:spacing w:after="0"/>
              <w:rPr>
                <w:sz w:val="16"/>
                <w:szCs w:val="16"/>
                <w:color w:val="auto"/>
              </w:rPr>
            </w:pPr>
          </w:p>
        </w:tc>
        <w:tc>
          <w:tcPr>
            <w:tcW w:w="842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460" w:type="dxa"/>
            <w:vAlign w:val="bottom"/>
          </w:tcPr>
          <w:p>
            <w:pPr>
              <w:jc w:val="right"/>
              <w:ind w:right="25"/>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25</w:t>
            </w:r>
          </w:p>
        </w:tc>
        <w:tc>
          <w:tcPr>
            <w:tcW w:w="280" w:type="dxa"/>
            <w:vAlign w:val="bottom"/>
          </w:tcPr>
          <w:p>
            <w:pPr>
              <w:ind w:left="14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13"/>
        </w:trPr>
        <w:tc>
          <w:tcPr>
            <w:tcW w:w="8600" w:type="dxa"/>
            <w:vAlign w:val="bottom"/>
            <w:gridSpan w:val="2"/>
          </w:tcPr>
          <w:p>
            <w:pPr>
              <w:ind w:left="180"/>
              <w:spacing w:after="0"/>
              <w:rPr>
                <w:sz w:val="20"/>
                <w:szCs w:val="20"/>
                <w:color w:val="auto"/>
              </w:rPr>
            </w:pPr>
            <w:r>
              <w:rPr>
                <w:rFonts w:ascii="Arial" w:cs="Arial" w:eastAsia="Arial" w:hAnsi="Arial"/>
                <w:sz w:val="16"/>
                <w:szCs w:val="16"/>
                <w:color w:val="auto"/>
              </w:rPr>
              <w:t>Accounts receivable – trade, net</w:t>
            </w:r>
          </w:p>
        </w:tc>
        <w:tc>
          <w:tcPr>
            <w:tcW w:w="46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324</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595</w:t>
            </w:r>
          </w:p>
        </w:tc>
      </w:tr>
      <w:tr>
        <w:trPr>
          <w:trHeight w:val="213"/>
        </w:trPr>
        <w:tc>
          <w:tcPr>
            <w:tcW w:w="8600" w:type="dxa"/>
            <w:vAlign w:val="bottom"/>
            <w:gridSpan w:val="2"/>
          </w:tcPr>
          <w:p>
            <w:pPr>
              <w:ind w:left="180"/>
              <w:spacing w:after="0"/>
              <w:rPr>
                <w:sz w:val="20"/>
                <w:szCs w:val="20"/>
                <w:color w:val="auto"/>
              </w:rPr>
            </w:pPr>
            <w:r>
              <w:rPr>
                <w:rFonts w:ascii="Arial" w:cs="Arial" w:eastAsia="Arial" w:hAnsi="Arial"/>
                <w:sz w:val="16"/>
                <w:szCs w:val="16"/>
                <w:color w:val="auto"/>
              </w:rPr>
              <w:t>Accounts receivable – other, net</w:t>
            </w:r>
          </w:p>
        </w:tc>
        <w:tc>
          <w:tcPr>
            <w:tcW w:w="46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55</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97</w:t>
            </w:r>
          </w:p>
        </w:tc>
      </w:tr>
      <w:tr>
        <w:trPr>
          <w:trHeight w:val="213"/>
        </w:trPr>
        <w:tc>
          <w:tcPr>
            <w:tcW w:w="18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6"/>
                <w:szCs w:val="16"/>
                <w:color w:val="auto"/>
              </w:rPr>
              <w:t>Due from unconsolidated affiliates</w:t>
            </w:r>
          </w:p>
        </w:tc>
        <w:tc>
          <w:tcPr>
            <w:tcW w:w="46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274</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13"/>
        </w:trPr>
        <w:tc>
          <w:tcPr>
            <w:tcW w:w="18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6"/>
                <w:szCs w:val="16"/>
                <w:color w:val="auto"/>
              </w:rPr>
              <w:t>Income taxes receivable</w:t>
            </w:r>
          </w:p>
        </w:tc>
        <w:tc>
          <w:tcPr>
            <w:tcW w:w="46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29</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13"/>
        </w:trPr>
        <w:tc>
          <w:tcPr>
            <w:tcW w:w="18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6"/>
                <w:szCs w:val="16"/>
                <w:color w:val="auto"/>
              </w:rPr>
              <w:t>Inventories</w:t>
            </w:r>
          </w:p>
        </w:tc>
        <w:tc>
          <w:tcPr>
            <w:tcW w:w="46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221</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213"/>
        </w:trPr>
        <w:tc>
          <w:tcPr>
            <w:tcW w:w="18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6"/>
                <w:szCs w:val="16"/>
                <w:color w:val="auto"/>
              </w:rPr>
              <w:t>Regulatory balancing accounts, net</w:t>
            </w:r>
          </w:p>
        </w:tc>
        <w:tc>
          <w:tcPr>
            <w:tcW w:w="46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49</w:t>
            </w:r>
          </w:p>
        </w:tc>
        <w:tc>
          <w:tcPr>
            <w:tcW w:w="280" w:type="dxa"/>
            <w:vAlign w:val="bottom"/>
          </w:tcPr>
          <w:p>
            <w:pPr>
              <w:spacing w:after="0"/>
              <w:rPr>
                <w:sz w:val="18"/>
                <w:szCs w:val="18"/>
                <w:color w:val="auto"/>
              </w:rPr>
            </w:pPr>
          </w:p>
        </w:tc>
        <w:tc>
          <w:tcPr>
            <w:tcW w:w="1000" w:type="dxa"/>
            <w:vAlign w:val="bottom"/>
          </w:tcPr>
          <w:p>
            <w:pPr>
              <w:jc w:val="right"/>
              <w:ind w:right="61"/>
              <w:spacing w:after="0"/>
              <w:rPr>
                <w:sz w:val="20"/>
                <w:szCs w:val="20"/>
                <w:color w:val="auto"/>
              </w:rPr>
            </w:pPr>
            <w:r>
              <w:rPr>
                <w:rFonts w:ascii="Arial" w:cs="Arial" w:eastAsia="Arial" w:hAnsi="Arial"/>
                <w:sz w:val="16"/>
                <w:szCs w:val="16"/>
                <w:color w:val="auto"/>
              </w:rPr>
              <w:t>―</w:t>
            </w:r>
          </w:p>
        </w:tc>
      </w:tr>
      <w:tr>
        <w:trPr>
          <w:trHeight w:val="213"/>
        </w:trPr>
        <w:tc>
          <w:tcPr>
            <w:tcW w:w="18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6"/>
                <w:szCs w:val="16"/>
                <w:color w:val="auto"/>
              </w:rPr>
              <w:t>Other regulatory assets</w:t>
            </w:r>
          </w:p>
        </w:tc>
        <w:tc>
          <w:tcPr>
            <w:tcW w:w="46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6</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04"/>
        </w:trPr>
        <w:tc>
          <w:tcPr>
            <w:tcW w:w="180" w:type="dxa"/>
            <w:vAlign w:val="bottom"/>
          </w:tcPr>
          <w:p>
            <w:pPr>
              <w:spacing w:after="0"/>
              <w:rPr>
                <w:sz w:val="17"/>
                <w:szCs w:val="17"/>
                <w:color w:val="auto"/>
              </w:rPr>
            </w:pPr>
          </w:p>
        </w:tc>
        <w:tc>
          <w:tcPr>
            <w:tcW w:w="8420" w:type="dxa"/>
            <w:vAlign w:val="bottom"/>
          </w:tcPr>
          <w:p>
            <w:pPr>
              <w:spacing w:after="0"/>
              <w:rPr>
                <w:sz w:val="20"/>
                <w:szCs w:val="20"/>
                <w:color w:val="auto"/>
              </w:rPr>
            </w:pPr>
            <w:r>
              <w:rPr>
                <w:rFonts w:ascii="Arial" w:cs="Arial" w:eastAsia="Arial" w:hAnsi="Arial"/>
                <w:sz w:val="16"/>
                <w:szCs w:val="16"/>
                <w:color w:val="auto"/>
              </w:rPr>
              <w:t>Other</w:t>
            </w:r>
          </w:p>
        </w:tc>
        <w:tc>
          <w:tcPr>
            <w:tcW w:w="4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35</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r>
      <w:tr>
        <w:trPr>
          <w:trHeight w:val="206"/>
        </w:trPr>
        <w:tc>
          <w:tcPr>
            <w:tcW w:w="180" w:type="dxa"/>
            <w:vAlign w:val="bottom"/>
          </w:tcPr>
          <w:p>
            <w:pPr>
              <w:spacing w:after="0"/>
              <w:rPr>
                <w:sz w:val="17"/>
                <w:szCs w:val="17"/>
                <w:color w:val="auto"/>
              </w:rPr>
            </w:pPr>
          </w:p>
        </w:tc>
        <w:tc>
          <w:tcPr>
            <w:tcW w:w="8420" w:type="dxa"/>
            <w:vAlign w:val="bottom"/>
          </w:tcPr>
          <w:p>
            <w:pPr>
              <w:ind w:left="180"/>
              <w:spacing w:after="0"/>
              <w:rPr>
                <w:sz w:val="20"/>
                <w:szCs w:val="20"/>
                <w:color w:val="auto"/>
              </w:rPr>
            </w:pPr>
            <w:r>
              <w:rPr>
                <w:rFonts w:ascii="Arial" w:cs="Arial" w:eastAsia="Arial" w:hAnsi="Arial"/>
                <w:sz w:val="16"/>
                <w:szCs w:val="16"/>
                <w:color w:val="auto"/>
              </w:rPr>
              <w:t>Total current assets</w:t>
            </w:r>
          </w:p>
        </w:tc>
        <w:tc>
          <w:tcPr>
            <w:tcW w:w="4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1,018</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873</w:t>
            </w:r>
          </w:p>
        </w:tc>
      </w:tr>
      <w:tr>
        <w:trPr>
          <w:trHeight w:val="427"/>
        </w:trPr>
        <w:tc>
          <w:tcPr>
            <w:tcW w:w="8600" w:type="dxa"/>
            <w:vAlign w:val="bottom"/>
            <w:gridSpan w:val="2"/>
          </w:tcPr>
          <w:p>
            <w:pPr>
              <w:spacing w:after="0"/>
              <w:rPr>
                <w:sz w:val="20"/>
                <w:szCs w:val="20"/>
                <w:color w:val="auto"/>
              </w:rPr>
            </w:pPr>
            <w:r>
              <w:rPr>
                <w:rFonts w:ascii="Arial" w:cs="Arial" w:eastAsia="Arial" w:hAnsi="Arial"/>
                <w:sz w:val="16"/>
                <w:szCs w:val="16"/>
                <w:color w:val="auto"/>
              </w:rPr>
              <w:t>Other assets:</w:t>
            </w: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3"/>
        </w:trPr>
        <w:tc>
          <w:tcPr>
            <w:tcW w:w="18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6"/>
                <w:szCs w:val="16"/>
                <w:color w:val="auto"/>
              </w:rPr>
              <w:t>Regulatory assets arising from pension obligations</w:t>
            </w:r>
          </w:p>
        </w:tc>
        <w:tc>
          <w:tcPr>
            <w:tcW w:w="46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341</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326</w:t>
            </w:r>
          </w:p>
        </w:tc>
      </w:tr>
      <w:tr>
        <w:trPr>
          <w:trHeight w:val="213"/>
        </w:trPr>
        <w:tc>
          <w:tcPr>
            <w:tcW w:w="18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6"/>
                <w:szCs w:val="16"/>
                <w:color w:val="auto"/>
              </w:rPr>
              <w:t>Other regulatory assets</w:t>
            </w:r>
          </w:p>
        </w:tc>
        <w:tc>
          <w:tcPr>
            <w:tcW w:w="46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399</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262</w:t>
            </w:r>
          </w:p>
        </w:tc>
      </w:tr>
      <w:tr>
        <w:trPr>
          <w:trHeight w:val="213"/>
        </w:trPr>
        <w:tc>
          <w:tcPr>
            <w:tcW w:w="18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6"/>
                <w:szCs w:val="16"/>
                <w:color w:val="auto"/>
              </w:rPr>
              <w:t>Other postretirement benefit plan assets, net of plan liabilities</w:t>
            </w:r>
          </w:p>
        </w:tc>
        <w:tc>
          <w:tcPr>
            <w:tcW w:w="46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93</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204"/>
        </w:trPr>
        <w:tc>
          <w:tcPr>
            <w:tcW w:w="180" w:type="dxa"/>
            <w:vAlign w:val="bottom"/>
          </w:tcPr>
          <w:p>
            <w:pPr>
              <w:spacing w:after="0"/>
              <w:rPr>
                <w:sz w:val="17"/>
                <w:szCs w:val="17"/>
                <w:color w:val="auto"/>
              </w:rPr>
            </w:pPr>
          </w:p>
        </w:tc>
        <w:tc>
          <w:tcPr>
            <w:tcW w:w="8420" w:type="dxa"/>
            <w:vAlign w:val="bottom"/>
          </w:tcPr>
          <w:p>
            <w:pPr>
              <w:spacing w:after="0"/>
              <w:rPr>
                <w:sz w:val="20"/>
                <w:szCs w:val="20"/>
                <w:color w:val="auto"/>
              </w:rPr>
            </w:pPr>
            <w:r>
              <w:rPr>
                <w:rFonts w:ascii="Arial" w:cs="Arial" w:eastAsia="Arial" w:hAnsi="Arial"/>
                <w:sz w:val="16"/>
                <w:szCs w:val="16"/>
                <w:color w:val="auto"/>
              </w:rPr>
              <w:t>Sundry</w:t>
            </w:r>
          </w:p>
        </w:tc>
        <w:tc>
          <w:tcPr>
            <w:tcW w:w="4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137</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r>
      <w:tr>
        <w:trPr>
          <w:trHeight w:val="206"/>
        </w:trPr>
        <w:tc>
          <w:tcPr>
            <w:tcW w:w="180" w:type="dxa"/>
            <w:vAlign w:val="bottom"/>
          </w:tcPr>
          <w:p>
            <w:pPr>
              <w:spacing w:after="0"/>
              <w:rPr>
                <w:sz w:val="17"/>
                <w:szCs w:val="17"/>
                <w:color w:val="auto"/>
              </w:rPr>
            </w:pPr>
          </w:p>
        </w:tc>
        <w:tc>
          <w:tcPr>
            <w:tcW w:w="8420" w:type="dxa"/>
            <w:vAlign w:val="bottom"/>
          </w:tcPr>
          <w:p>
            <w:pPr>
              <w:ind w:left="180"/>
              <w:spacing w:after="0"/>
              <w:rPr>
                <w:sz w:val="20"/>
                <w:szCs w:val="20"/>
                <w:color w:val="auto"/>
              </w:rPr>
            </w:pPr>
            <w:r>
              <w:rPr>
                <w:rFonts w:ascii="Arial" w:cs="Arial" w:eastAsia="Arial" w:hAnsi="Arial"/>
                <w:sz w:val="16"/>
                <w:szCs w:val="16"/>
                <w:color w:val="auto"/>
              </w:rPr>
              <w:t>Total other assets</w:t>
            </w:r>
          </w:p>
        </w:tc>
        <w:tc>
          <w:tcPr>
            <w:tcW w:w="4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970</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807</w:t>
            </w:r>
          </w:p>
        </w:tc>
      </w:tr>
      <w:tr>
        <w:trPr>
          <w:trHeight w:val="427"/>
        </w:trPr>
        <w:tc>
          <w:tcPr>
            <w:tcW w:w="8600" w:type="dxa"/>
            <w:vAlign w:val="bottom"/>
            <w:gridSpan w:val="2"/>
          </w:tcPr>
          <w:p>
            <w:pPr>
              <w:spacing w:after="0"/>
              <w:rPr>
                <w:sz w:val="20"/>
                <w:szCs w:val="20"/>
                <w:color w:val="auto"/>
              </w:rPr>
            </w:pPr>
            <w:r>
              <w:rPr>
                <w:rFonts w:ascii="Arial" w:cs="Arial" w:eastAsia="Arial" w:hAnsi="Arial"/>
                <w:sz w:val="16"/>
                <w:szCs w:val="16"/>
                <w:color w:val="auto"/>
              </w:rPr>
              <w:t>Property, plant and equipment:</w:t>
            </w: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3"/>
        </w:trPr>
        <w:tc>
          <w:tcPr>
            <w:tcW w:w="18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6"/>
                <w:szCs w:val="16"/>
                <w:color w:val="auto"/>
              </w:rPr>
              <w:t>Property, plant and equipment</w:t>
            </w:r>
          </w:p>
        </w:tc>
        <w:tc>
          <w:tcPr>
            <w:tcW w:w="46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12,542</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11,831</w:t>
            </w:r>
          </w:p>
        </w:tc>
      </w:tr>
      <w:tr>
        <w:trPr>
          <w:trHeight w:val="204"/>
        </w:trPr>
        <w:tc>
          <w:tcPr>
            <w:tcW w:w="180" w:type="dxa"/>
            <w:vAlign w:val="bottom"/>
          </w:tcPr>
          <w:p>
            <w:pPr>
              <w:spacing w:after="0"/>
              <w:rPr>
                <w:sz w:val="17"/>
                <w:szCs w:val="17"/>
                <w:color w:val="auto"/>
              </w:rPr>
            </w:pPr>
          </w:p>
        </w:tc>
        <w:tc>
          <w:tcPr>
            <w:tcW w:w="8420" w:type="dxa"/>
            <w:vAlign w:val="bottom"/>
          </w:tcPr>
          <w:p>
            <w:pPr>
              <w:spacing w:after="0"/>
              <w:rPr>
                <w:sz w:val="20"/>
                <w:szCs w:val="20"/>
                <w:color w:val="auto"/>
              </w:rPr>
            </w:pPr>
            <w:r>
              <w:rPr>
                <w:rFonts w:ascii="Arial" w:cs="Arial" w:eastAsia="Arial" w:hAnsi="Arial"/>
                <w:sz w:val="16"/>
                <w:szCs w:val="16"/>
                <w:color w:val="auto"/>
              </w:rPr>
              <w:t>Less accumulated depreciation and amortization</w:t>
            </w:r>
          </w:p>
        </w:tc>
        <w:tc>
          <w:tcPr>
            <w:tcW w:w="4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(4,576)</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(4,364)</w:t>
            </w:r>
          </w:p>
        </w:tc>
      </w:tr>
      <w:tr>
        <w:trPr>
          <w:trHeight w:val="206"/>
        </w:trPr>
        <w:tc>
          <w:tcPr>
            <w:tcW w:w="180" w:type="dxa"/>
            <w:vAlign w:val="bottom"/>
          </w:tcPr>
          <w:p>
            <w:pPr>
              <w:spacing w:after="0"/>
              <w:rPr>
                <w:sz w:val="17"/>
                <w:szCs w:val="17"/>
                <w:color w:val="auto"/>
              </w:rPr>
            </w:pPr>
          </w:p>
        </w:tc>
        <w:tc>
          <w:tcPr>
            <w:tcW w:w="8420" w:type="dxa"/>
            <w:vAlign w:val="bottom"/>
          </w:tcPr>
          <w:p>
            <w:pPr>
              <w:ind w:left="180"/>
              <w:spacing w:after="0"/>
              <w:rPr>
                <w:sz w:val="20"/>
                <w:szCs w:val="20"/>
                <w:color w:val="auto"/>
              </w:rPr>
            </w:pPr>
            <w:r>
              <w:rPr>
                <w:rFonts w:ascii="Arial" w:cs="Arial" w:eastAsia="Arial" w:hAnsi="Arial"/>
                <w:sz w:val="16"/>
                <w:szCs w:val="16"/>
                <w:color w:val="auto"/>
              </w:rPr>
              <w:t>Property, plant and equipment, net</w:t>
            </w:r>
          </w:p>
        </w:tc>
        <w:tc>
          <w:tcPr>
            <w:tcW w:w="4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7,966</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7,467</w:t>
            </w:r>
          </w:p>
        </w:tc>
      </w:tr>
      <w:tr>
        <w:trPr>
          <w:trHeight w:val="173"/>
        </w:trPr>
        <w:tc>
          <w:tcPr>
            <w:tcW w:w="8600" w:type="dxa"/>
            <w:vAlign w:val="bottom"/>
            <w:tcBorders>
              <w:bottom w:val="single" w:sz="8" w:color="auto"/>
            </w:tcBorders>
            <w:gridSpan w:val="2"/>
          </w:tcPr>
          <w:p>
            <w:pPr>
              <w:spacing w:after="0" w:line="166" w:lineRule="exact"/>
              <w:rPr>
                <w:sz w:val="20"/>
                <w:szCs w:val="20"/>
                <w:color w:val="auto"/>
              </w:rPr>
            </w:pPr>
            <w:r>
              <w:rPr>
                <w:rFonts w:ascii="Arial" w:cs="Arial" w:eastAsia="Arial" w:hAnsi="Arial"/>
                <w:sz w:val="16"/>
                <w:szCs w:val="16"/>
                <w:color w:val="auto"/>
              </w:rPr>
              <w:t>Total assets</w:t>
            </w:r>
          </w:p>
        </w:tc>
        <w:tc>
          <w:tcPr>
            <w:tcW w:w="460" w:type="dxa"/>
            <w:vAlign w:val="bottom"/>
            <w:tcBorders>
              <w:bottom w:val="single" w:sz="8" w:color="auto"/>
            </w:tcBorders>
          </w:tcPr>
          <w:p>
            <w:pPr>
              <w:jc w:val="right"/>
              <w:ind w:right="25"/>
              <w:spacing w:after="0" w:line="166"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61"/>
              <w:spacing w:after="0" w:line="166" w:lineRule="exact"/>
              <w:rPr>
                <w:sz w:val="20"/>
                <w:szCs w:val="20"/>
                <w:color w:val="auto"/>
              </w:rPr>
            </w:pPr>
            <w:r>
              <w:rPr>
                <w:rFonts w:ascii="Arial" w:cs="Arial" w:eastAsia="Arial" w:hAnsi="Arial"/>
                <w:sz w:val="16"/>
                <w:szCs w:val="16"/>
                <w:color w:val="auto"/>
              </w:rPr>
              <w:t>9,954</w:t>
            </w:r>
          </w:p>
        </w:tc>
        <w:tc>
          <w:tcPr>
            <w:tcW w:w="280" w:type="dxa"/>
            <w:vAlign w:val="bottom"/>
            <w:tcBorders>
              <w:bottom w:val="single" w:sz="8" w:color="auto"/>
            </w:tcBorders>
          </w:tcPr>
          <w:p>
            <w:pPr>
              <w:ind w:left="140"/>
              <w:spacing w:after="0" w:line="166"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9,147</w:t>
            </w:r>
          </w:p>
        </w:tc>
      </w:tr>
      <w:tr>
        <w:trPr>
          <w:trHeight w:val="150"/>
        </w:trPr>
        <w:tc>
          <w:tcPr>
            <w:tcW w:w="180" w:type="dxa"/>
            <w:vAlign w:val="bottom"/>
          </w:tcPr>
          <w:p>
            <w:pPr>
              <w:spacing w:after="0" w:line="150" w:lineRule="exact"/>
              <w:rPr>
                <w:sz w:val="20"/>
                <w:szCs w:val="20"/>
                <w:color w:val="auto"/>
              </w:rPr>
            </w:pPr>
            <w:r>
              <w:rPr>
                <w:rFonts w:ascii="Arial" w:cs="Arial" w:eastAsia="Arial" w:hAnsi="Arial"/>
                <w:sz w:val="14"/>
                <w:szCs w:val="14"/>
                <w:i w:val="1"/>
                <w:iCs w:val="1"/>
                <w:color w:val="auto"/>
                <w:w w:val="93"/>
              </w:rPr>
              <w:t>(1)</w:t>
            </w:r>
          </w:p>
        </w:tc>
        <w:tc>
          <w:tcPr>
            <w:tcW w:w="8420" w:type="dxa"/>
            <w:vAlign w:val="bottom"/>
          </w:tcPr>
          <w:p>
            <w:pPr>
              <w:ind w:left="340"/>
              <w:spacing w:after="0" w:line="150" w:lineRule="exact"/>
              <w:rPr>
                <w:sz w:val="20"/>
                <w:szCs w:val="20"/>
                <w:color w:val="auto"/>
              </w:rPr>
            </w:pPr>
            <w:r>
              <w:rPr>
                <w:rFonts w:ascii="Arial" w:cs="Arial" w:eastAsia="Arial" w:hAnsi="Arial"/>
                <w:sz w:val="14"/>
                <w:szCs w:val="14"/>
                <w:i w:val="1"/>
                <w:iCs w:val="1"/>
                <w:color w:val="auto"/>
              </w:rPr>
              <w:t>Derived from audited financial statements.</w:t>
            </w:r>
          </w:p>
        </w:tc>
        <w:tc>
          <w:tcPr>
            <w:tcW w:w="4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84"/>
        </w:trPr>
        <w:tc>
          <w:tcPr>
            <w:tcW w:w="8600" w:type="dxa"/>
            <w:vAlign w:val="bottom"/>
            <w:gridSpan w:val="2"/>
          </w:tcPr>
          <w:p>
            <w:pPr>
              <w:spacing w:after="0"/>
              <w:rPr>
                <w:sz w:val="20"/>
                <w:szCs w:val="20"/>
                <w:color w:val="auto"/>
              </w:rPr>
            </w:pPr>
            <w:r>
              <w:rPr>
                <w:rFonts w:ascii="Arial" w:cs="Arial" w:eastAsia="Arial" w:hAnsi="Arial"/>
                <w:sz w:val="14"/>
                <w:szCs w:val="14"/>
                <w:i w:val="1"/>
                <w:iCs w:val="1"/>
                <w:color w:val="auto"/>
              </w:rPr>
              <w:t>See Notes to Condensed Consolidated Financial Statements.</w:t>
            </w:r>
          </w:p>
        </w:tc>
        <w:tc>
          <w:tcPr>
            <w:tcW w:w="4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SOUTHERN CALIFORNIA GAS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-104775</wp:posOffset>
            </wp:positionV>
            <wp:extent cx="7248525" cy="3289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8525" cy="32893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BALANCE SHEETS (CONTINUED)</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600" w:type="dxa"/>
            <w:vAlign w:val="bottom"/>
          </w:tcPr>
          <w:p>
            <w:pPr>
              <w:spacing w:after="0"/>
              <w:rPr>
                <w:sz w:val="14"/>
                <w:szCs w:val="14"/>
                <w:color w:val="auto"/>
              </w:rPr>
            </w:pPr>
          </w:p>
        </w:tc>
        <w:tc>
          <w:tcPr>
            <w:tcW w:w="1540" w:type="dxa"/>
            <w:vAlign w:val="bottom"/>
            <w:gridSpan w:val="2"/>
          </w:tcPr>
          <w:p>
            <w:pPr>
              <w:jc w:val="center"/>
              <w:ind w:right="61"/>
              <w:spacing w:after="0"/>
              <w:rPr>
                <w:sz w:val="20"/>
                <w:szCs w:val="20"/>
                <w:color w:val="auto"/>
              </w:rPr>
            </w:pPr>
            <w:r>
              <w:rPr>
                <w:rFonts w:ascii="Arial" w:cs="Arial" w:eastAsia="Arial" w:hAnsi="Arial"/>
                <w:sz w:val="14"/>
                <w:szCs w:val="14"/>
                <w:color w:val="auto"/>
              </w:rPr>
              <w:t>September 30,</w:t>
            </w:r>
          </w:p>
        </w:tc>
        <w:tc>
          <w:tcPr>
            <w:tcW w:w="1280" w:type="dxa"/>
            <w:vAlign w:val="bottom"/>
            <w:gridSpan w:val="2"/>
          </w:tcPr>
          <w:p>
            <w:pPr>
              <w:ind w:left="120"/>
              <w:spacing w:after="0"/>
              <w:rPr>
                <w:sz w:val="20"/>
                <w:szCs w:val="20"/>
                <w:color w:val="auto"/>
              </w:rPr>
            </w:pPr>
            <w:r>
              <w:rPr>
                <w:rFonts w:ascii="Arial" w:cs="Arial" w:eastAsia="Arial" w:hAnsi="Arial"/>
                <w:sz w:val="14"/>
                <w:szCs w:val="14"/>
                <w:color w:val="auto"/>
              </w:rPr>
              <w:t>December 31,</w:t>
            </w:r>
          </w:p>
        </w:tc>
      </w:tr>
      <w:tr>
        <w:trPr>
          <w:trHeight w:val="197"/>
        </w:trPr>
        <w:tc>
          <w:tcPr>
            <w:tcW w:w="86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521"/>
              <w:spacing w:after="0"/>
              <w:rPr>
                <w:sz w:val="20"/>
                <w:szCs w:val="20"/>
                <w:color w:val="auto"/>
              </w:rPr>
            </w:pPr>
            <w:r>
              <w:rPr>
                <w:rFonts w:ascii="Arial" w:cs="Arial" w:eastAsia="Arial" w:hAnsi="Arial"/>
                <w:sz w:val="14"/>
                <w:szCs w:val="14"/>
                <w:color w:val="auto"/>
              </w:rPr>
              <w:t>2014</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color w:val="auto"/>
              </w:rPr>
              <w:t>2013(1)</w:t>
            </w:r>
          </w:p>
        </w:tc>
      </w:tr>
      <w:tr>
        <w:trPr>
          <w:trHeight w:val="221"/>
        </w:trPr>
        <w:tc>
          <w:tcPr>
            <w:tcW w:w="8600" w:type="dxa"/>
            <w:vAlign w:val="bottom"/>
          </w:tcPr>
          <w:p>
            <w:pPr>
              <w:spacing w:after="0"/>
              <w:rPr>
                <w:sz w:val="19"/>
                <w:szCs w:val="19"/>
                <w:color w:val="auto"/>
              </w:rPr>
            </w:pPr>
          </w:p>
        </w:tc>
        <w:tc>
          <w:tcPr>
            <w:tcW w:w="1540" w:type="dxa"/>
            <w:vAlign w:val="bottom"/>
            <w:gridSpan w:val="2"/>
          </w:tcPr>
          <w:p>
            <w:pPr>
              <w:jc w:val="center"/>
              <w:ind w:right="61"/>
              <w:spacing w:after="0"/>
              <w:rPr>
                <w:sz w:val="20"/>
                <w:szCs w:val="20"/>
                <w:color w:val="auto"/>
              </w:rPr>
            </w:pPr>
            <w:r>
              <w:rPr>
                <w:rFonts w:ascii="Arial" w:cs="Arial" w:eastAsia="Arial" w:hAnsi="Arial"/>
                <w:sz w:val="14"/>
                <w:szCs w:val="14"/>
                <w:color w:val="auto"/>
              </w:rPr>
              <w:t>(unaudited)</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05"/>
        </w:trPr>
        <w:tc>
          <w:tcPr>
            <w:tcW w:w="8600" w:type="dxa"/>
            <w:vAlign w:val="bottom"/>
          </w:tcPr>
          <w:p>
            <w:pPr>
              <w:spacing w:after="0"/>
              <w:rPr>
                <w:sz w:val="20"/>
                <w:szCs w:val="20"/>
                <w:color w:val="auto"/>
              </w:rPr>
            </w:pPr>
            <w:r>
              <w:rPr>
                <w:rFonts w:ascii="Arial" w:cs="Arial" w:eastAsia="Arial" w:hAnsi="Arial"/>
                <w:sz w:val="16"/>
                <w:szCs w:val="16"/>
                <w:color w:val="auto"/>
              </w:rPr>
              <w:t>LIABILITIES AND SHAREHOLDERS' EQUITY</w:t>
            </w: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3"/>
        </w:trPr>
        <w:tc>
          <w:tcPr>
            <w:tcW w:w="8600" w:type="dxa"/>
            <w:vAlign w:val="bottom"/>
          </w:tcPr>
          <w:p>
            <w:pPr>
              <w:spacing w:after="0"/>
              <w:rPr>
                <w:sz w:val="20"/>
                <w:szCs w:val="20"/>
                <w:color w:val="auto"/>
              </w:rPr>
            </w:pPr>
            <w:r>
              <w:rPr>
                <w:rFonts w:ascii="Arial" w:cs="Arial" w:eastAsia="Arial" w:hAnsi="Arial"/>
                <w:sz w:val="16"/>
                <w:szCs w:val="16"/>
                <w:color w:val="auto"/>
              </w:rPr>
              <w:t>Current liabilities:</w:t>
            </w:r>
          </w:p>
        </w:tc>
        <w:tc>
          <w:tcPr>
            <w:tcW w:w="4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2"/>
        </w:trPr>
        <w:tc>
          <w:tcPr>
            <w:tcW w:w="8600" w:type="dxa"/>
            <w:vAlign w:val="bottom"/>
          </w:tcPr>
          <w:p>
            <w:pPr>
              <w:ind w:left="180"/>
              <w:spacing w:after="0"/>
              <w:rPr>
                <w:sz w:val="20"/>
                <w:szCs w:val="20"/>
                <w:color w:val="auto"/>
              </w:rPr>
            </w:pPr>
            <w:r>
              <w:rPr>
                <w:rFonts w:ascii="Arial" w:cs="Arial" w:eastAsia="Arial" w:hAnsi="Arial"/>
                <w:sz w:val="16"/>
                <w:szCs w:val="16"/>
                <w:color w:val="auto"/>
              </w:rPr>
              <w:t>Short-term debt</w:t>
            </w:r>
          </w:p>
        </w:tc>
        <w:tc>
          <w:tcPr>
            <w:tcW w:w="460" w:type="dxa"/>
            <w:vAlign w:val="bottom"/>
          </w:tcPr>
          <w:p>
            <w:pPr>
              <w:jc w:val="right"/>
              <w:ind w:right="26"/>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280" w:type="dxa"/>
            <w:vAlign w:val="bottom"/>
          </w:tcPr>
          <w:p>
            <w:pPr>
              <w:ind w:left="14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13"/>
        </w:trPr>
        <w:tc>
          <w:tcPr>
            <w:tcW w:w="8600" w:type="dxa"/>
            <w:vAlign w:val="bottom"/>
          </w:tcPr>
          <w:p>
            <w:pPr>
              <w:ind w:left="180"/>
              <w:spacing w:after="0"/>
              <w:rPr>
                <w:sz w:val="20"/>
                <w:szCs w:val="20"/>
                <w:color w:val="auto"/>
              </w:rPr>
            </w:pPr>
            <w:r>
              <w:rPr>
                <w:rFonts w:ascii="Arial" w:cs="Arial" w:eastAsia="Arial" w:hAnsi="Arial"/>
                <w:sz w:val="16"/>
                <w:szCs w:val="16"/>
                <w:color w:val="auto"/>
              </w:rPr>
              <w:t>Accounts payable – trade</w:t>
            </w:r>
          </w:p>
        </w:tc>
        <w:tc>
          <w:tcPr>
            <w:tcW w:w="46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336</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346</w:t>
            </w:r>
          </w:p>
        </w:tc>
      </w:tr>
      <w:tr>
        <w:trPr>
          <w:trHeight w:val="213"/>
        </w:trPr>
        <w:tc>
          <w:tcPr>
            <w:tcW w:w="8600" w:type="dxa"/>
            <w:vAlign w:val="bottom"/>
          </w:tcPr>
          <w:p>
            <w:pPr>
              <w:ind w:left="180"/>
              <w:spacing w:after="0"/>
              <w:rPr>
                <w:sz w:val="20"/>
                <w:szCs w:val="20"/>
                <w:color w:val="auto"/>
              </w:rPr>
            </w:pPr>
            <w:r>
              <w:rPr>
                <w:rFonts w:ascii="Arial" w:cs="Arial" w:eastAsia="Arial" w:hAnsi="Arial"/>
                <w:sz w:val="16"/>
                <w:szCs w:val="16"/>
                <w:color w:val="auto"/>
              </w:rPr>
              <w:t>Accounts payable – other</w:t>
            </w:r>
          </w:p>
        </w:tc>
        <w:tc>
          <w:tcPr>
            <w:tcW w:w="46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83</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79</w:t>
            </w:r>
          </w:p>
        </w:tc>
      </w:tr>
      <w:tr>
        <w:trPr>
          <w:trHeight w:val="213"/>
        </w:trPr>
        <w:tc>
          <w:tcPr>
            <w:tcW w:w="8600" w:type="dxa"/>
            <w:vAlign w:val="bottom"/>
          </w:tcPr>
          <w:p>
            <w:pPr>
              <w:ind w:left="180"/>
              <w:spacing w:after="0"/>
              <w:rPr>
                <w:sz w:val="20"/>
                <w:szCs w:val="20"/>
                <w:color w:val="auto"/>
              </w:rPr>
            </w:pPr>
            <w:r>
              <w:rPr>
                <w:rFonts w:ascii="Arial" w:cs="Arial" w:eastAsia="Arial" w:hAnsi="Arial"/>
                <w:sz w:val="16"/>
                <w:szCs w:val="16"/>
                <w:color w:val="auto"/>
              </w:rPr>
              <w:t>Due to unconsolidated affiliate</w:t>
            </w:r>
          </w:p>
        </w:tc>
        <w:tc>
          <w:tcPr>
            <w:tcW w:w="460" w:type="dxa"/>
            <w:vAlign w:val="bottom"/>
          </w:tcPr>
          <w:p>
            <w:pPr>
              <w:spacing w:after="0"/>
              <w:rPr>
                <w:sz w:val="18"/>
                <w:szCs w:val="18"/>
                <w:color w:val="auto"/>
              </w:rPr>
            </w:pPr>
          </w:p>
        </w:tc>
        <w:tc>
          <w:tcPr>
            <w:tcW w:w="108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13"/>
        </w:trPr>
        <w:tc>
          <w:tcPr>
            <w:tcW w:w="8600" w:type="dxa"/>
            <w:vAlign w:val="bottom"/>
          </w:tcPr>
          <w:p>
            <w:pPr>
              <w:ind w:left="180"/>
              <w:spacing w:after="0"/>
              <w:rPr>
                <w:sz w:val="20"/>
                <w:szCs w:val="20"/>
                <w:color w:val="auto"/>
              </w:rPr>
            </w:pPr>
            <w:r>
              <w:rPr>
                <w:rFonts w:ascii="Arial" w:cs="Arial" w:eastAsia="Arial" w:hAnsi="Arial"/>
                <w:sz w:val="16"/>
                <w:szCs w:val="16"/>
                <w:color w:val="auto"/>
              </w:rPr>
              <w:t>Deferred income taxes</w:t>
            </w:r>
          </w:p>
        </w:tc>
        <w:tc>
          <w:tcPr>
            <w:tcW w:w="46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164</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213"/>
        </w:trPr>
        <w:tc>
          <w:tcPr>
            <w:tcW w:w="8600" w:type="dxa"/>
            <w:vAlign w:val="bottom"/>
          </w:tcPr>
          <w:p>
            <w:pPr>
              <w:ind w:left="180"/>
              <w:spacing w:after="0"/>
              <w:rPr>
                <w:sz w:val="20"/>
                <w:szCs w:val="20"/>
                <w:color w:val="auto"/>
              </w:rPr>
            </w:pPr>
            <w:r>
              <w:rPr>
                <w:rFonts w:ascii="Arial" w:cs="Arial" w:eastAsia="Arial" w:hAnsi="Arial"/>
                <w:sz w:val="16"/>
                <w:szCs w:val="16"/>
                <w:color w:val="auto"/>
              </w:rPr>
              <w:t>Accrued compensation and benefits</w:t>
            </w:r>
          </w:p>
        </w:tc>
        <w:tc>
          <w:tcPr>
            <w:tcW w:w="46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131</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141</w:t>
            </w:r>
          </w:p>
        </w:tc>
      </w:tr>
      <w:tr>
        <w:trPr>
          <w:trHeight w:val="213"/>
        </w:trPr>
        <w:tc>
          <w:tcPr>
            <w:tcW w:w="8600" w:type="dxa"/>
            <w:vAlign w:val="bottom"/>
          </w:tcPr>
          <w:p>
            <w:pPr>
              <w:ind w:left="180"/>
              <w:spacing w:after="0"/>
              <w:rPr>
                <w:sz w:val="20"/>
                <w:szCs w:val="20"/>
                <w:color w:val="auto"/>
              </w:rPr>
            </w:pPr>
            <w:r>
              <w:rPr>
                <w:rFonts w:ascii="Arial" w:cs="Arial" w:eastAsia="Arial" w:hAnsi="Arial"/>
                <w:sz w:val="16"/>
                <w:szCs w:val="16"/>
                <w:color w:val="auto"/>
              </w:rPr>
              <w:t>Regulatory balancing accounts, net</w:t>
            </w:r>
          </w:p>
        </w:tc>
        <w:tc>
          <w:tcPr>
            <w:tcW w:w="460" w:type="dxa"/>
            <w:vAlign w:val="bottom"/>
          </w:tcPr>
          <w:p>
            <w:pPr>
              <w:spacing w:after="0"/>
              <w:rPr>
                <w:sz w:val="18"/>
                <w:szCs w:val="18"/>
                <w:color w:val="auto"/>
              </w:rPr>
            </w:pPr>
          </w:p>
        </w:tc>
        <w:tc>
          <w:tcPr>
            <w:tcW w:w="108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213"/>
        </w:trPr>
        <w:tc>
          <w:tcPr>
            <w:tcW w:w="8600" w:type="dxa"/>
            <w:vAlign w:val="bottom"/>
          </w:tcPr>
          <w:p>
            <w:pPr>
              <w:ind w:left="180"/>
              <w:spacing w:after="0"/>
              <w:rPr>
                <w:sz w:val="20"/>
                <w:szCs w:val="20"/>
                <w:color w:val="auto"/>
              </w:rPr>
            </w:pPr>
            <w:r>
              <w:rPr>
                <w:rFonts w:ascii="Arial" w:cs="Arial" w:eastAsia="Arial" w:hAnsi="Arial"/>
                <w:sz w:val="16"/>
                <w:szCs w:val="16"/>
                <w:color w:val="auto"/>
              </w:rPr>
              <w:t>Current portion of long-term debt</w:t>
            </w:r>
          </w:p>
        </w:tc>
        <w:tc>
          <w:tcPr>
            <w:tcW w:w="460" w:type="dxa"/>
            <w:vAlign w:val="bottom"/>
          </w:tcPr>
          <w:p>
            <w:pPr>
              <w:spacing w:after="0"/>
              <w:rPr>
                <w:sz w:val="18"/>
                <w:szCs w:val="18"/>
                <w:color w:val="auto"/>
              </w:rPr>
            </w:pPr>
          </w:p>
        </w:tc>
        <w:tc>
          <w:tcPr>
            <w:tcW w:w="108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252</w:t>
            </w:r>
          </w:p>
        </w:tc>
      </w:tr>
      <w:tr>
        <w:trPr>
          <w:trHeight w:val="213"/>
        </w:trPr>
        <w:tc>
          <w:tcPr>
            <w:tcW w:w="8600" w:type="dxa"/>
            <w:vAlign w:val="bottom"/>
          </w:tcPr>
          <w:p>
            <w:pPr>
              <w:ind w:left="180"/>
              <w:spacing w:after="0"/>
              <w:rPr>
                <w:sz w:val="20"/>
                <w:szCs w:val="20"/>
                <w:color w:val="auto"/>
              </w:rPr>
            </w:pPr>
            <w:r>
              <w:rPr>
                <w:rFonts w:ascii="Arial" w:cs="Arial" w:eastAsia="Arial" w:hAnsi="Arial"/>
                <w:sz w:val="16"/>
                <w:szCs w:val="16"/>
                <w:color w:val="auto"/>
              </w:rPr>
              <w:t>Customer deposits</w:t>
            </w:r>
          </w:p>
        </w:tc>
        <w:tc>
          <w:tcPr>
            <w:tcW w:w="46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74</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204"/>
        </w:trPr>
        <w:tc>
          <w:tcPr>
            <w:tcW w:w="8600" w:type="dxa"/>
            <w:vAlign w:val="bottom"/>
          </w:tcPr>
          <w:p>
            <w:pPr>
              <w:ind w:left="180"/>
              <w:spacing w:after="0"/>
              <w:rPr>
                <w:sz w:val="20"/>
                <w:szCs w:val="20"/>
                <w:color w:val="auto"/>
              </w:rPr>
            </w:pPr>
            <w:r>
              <w:rPr>
                <w:rFonts w:ascii="Arial" w:cs="Arial" w:eastAsia="Arial" w:hAnsi="Arial"/>
                <w:sz w:val="16"/>
                <w:szCs w:val="16"/>
                <w:color w:val="auto"/>
              </w:rPr>
              <w:t>Other</w:t>
            </w:r>
          </w:p>
        </w:tc>
        <w:tc>
          <w:tcPr>
            <w:tcW w:w="4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125</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r>
      <w:tr>
        <w:trPr>
          <w:trHeight w:val="206"/>
        </w:trPr>
        <w:tc>
          <w:tcPr>
            <w:tcW w:w="8600" w:type="dxa"/>
            <w:vAlign w:val="bottom"/>
          </w:tcPr>
          <w:p>
            <w:pPr>
              <w:ind w:left="360"/>
              <w:spacing w:after="0"/>
              <w:rPr>
                <w:sz w:val="20"/>
                <w:szCs w:val="20"/>
                <w:color w:val="auto"/>
              </w:rPr>
            </w:pPr>
            <w:r>
              <w:rPr>
                <w:rFonts w:ascii="Arial" w:cs="Arial" w:eastAsia="Arial" w:hAnsi="Arial"/>
                <w:sz w:val="16"/>
                <w:szCs w:val="16"/>
                <w:color w:val="auto"/>
              </w:rPr>
              <w:t>Total current liabilities</w:t>
            </w:r>
          </w:p>
        </w:tc>
        <w:tc>
          <w:tcPr>
            <w:tcW w:w="4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913</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1,212</w:t>
            </w:r>
          </w:p>
        </w:tc>
      </w:tr>
      <w:tr>
        <w:trPr>
          <w:trHeight w:val="206"/>
        </w:trPr>
        <w:tc>
          <w:tcPr>
            <w:tcW w:w="8600" w:type="dxa"/>
            <w:vAlign w:val="bottom"/>
          </w:tcPr>
          <w:p>
            <w:pPr>
              <w:spacing w:after="0"/>
              <w:rPr>
                <w:sz w:val="20"/>
                <w:szCs w:val="20"/>
                <w:color w:val="auto"/>
              </w:rPr>
            </w:pPr>
            <w:r>
              <w:rPr>
                <w:rFonts w:ascii="Arial" w:cs="Arial" w:eastAsia="Arial" w:hAnsi="Arial"/>
                <w:sz w:val="16"/>
                <w:szCs w:val="16"/>
                <w:color w:val="auto"/>
              </w:rPr>
              <w:t>Long-term debt</w:t>
            </w:r>
          </w:p>
        </w:tc>
        <w:tc>
          <w:tcPr>
            <w:tcW w:w="4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1,906</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1,159</w:t>
            </w:r>
          </w:p>
        </w:tc>
      </w:tr>
      <w:tr>
        <w:trPr>
          <w:trHeight w:val="214"/>
        </w:trPr>
        <w:tc>
          <w:tcPr>
            <w:tcW w:w="8600" w:type="dxa"/>
            <w:vAlign w:val="bottom"/>
          </w:tcPr>
          <w:p>
            <w:pPr>
              <w:spacing w:after="0"/>
              <w:rPr>
                <w:sz w:val="20"/>
                <w:szCs w:val="20"/>
                <w:color w:val="auto"/>
              </w:rPr>
            </w:pPr>
            <w:r>
              <w:rPr>
                <w:rFonts w:ascii="Arial" w:cs="Arial" w:eastAsia="Arial" w:hAnsi="Arial"/>
                <w:sz w:val="16"/>
                <w:szCs w:val="16"/>
                <w:color w:val="auto"/>
              </w:rPr>
              <w:t>Deferred credits and other liabilities:</w:t>
            </w: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3"/>
        </w:trPr>
        <w:tc>
          <w:tcPr>
            <w:tcW w:w="8600" w:type="dxa"/>
            <w:vAlign w:val="bottom"/>
          </w:tcPr>
          <w:p>
            <w:pPr>
              <w:ind w:left="180"/>
              <w:spacing w:after="0"/>
              <w:rPr>
                <w:sz w:val="20"/>
                <w:szCs w:val="20"/>
                <w:color w:val="auto"/>
              </w:rPr>
            </w:pPr>
            <w:r>
              <w:rPr>
                <w:rFonts w:ascii="Arial" w:cs="Arial" w:eastAsia="Arial" w:hAnsi="Arial"/>
                <w:sz w:val="16"/>
                <w:szCs w:val="16"/>
                <w:color w:val="auto"/>
              </w:rPr>
              <w:t>Customer advances for construction</w:t>
            </w:r>
          </w:p>
        </w:tc>
        <w:tc>
          <w:tcPr>
            <w:tcW w:w="46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102</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108</w:t>
            </w:r>
          </w:p>
        </w:tc>
      </w:tr>
      <w:tr>
        <w:trPr>
          <w:trHeight w:val="213"/>
        </w:trPr>
        <w:tc>
          <w:tcPr>
            <w:tcW w:w="8600" w:type="dxa"/>
            <w:vAlign w:val="bottom"/>
          </w:tcPr>
          <w:p>
            <w:pPr>
              <w:ind w:left="180"/>
              <w:spacing w:after="0"/>
              <w:rPr>
                <w:sz w:val="20"/>
                <w:szCs w:val="20"/>
                <w:color w:val="auto"/>
              </w:rPr>
            </w:pPr>
            <w:r>
              <w:rPr>
                <w:rFonts w:ascii="Arial" w:cs="Arial" w:eastAsia="Arial" w:hAnsi="Arial"/>
                <w:sz w:val="16"/>
                <w:szCs w:val="16"/>
                <w:color w:val="auto"/>
              </w:rPr>
              <w:t>Pension obligation, net of plan assets</w:t>
            </w:r>
          </w:p>
        </w:tc>
        <w:tc>
          <w:tcPr>
            <w:tcW w:w="46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357</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339</w:t>
            </w:r>
          </w:p>
        </w:tc>
      </w:tr>
      <w:tr>
        <w:trPr>
          <w:trHeight w:val="213"/>
        </w:trPr>
        <w:tc>
          <w:tcPr>
            <w:tcW w:w="8600" w:type="dxa"/>
            <w:vAlign w:val="bottom"/>
          </w:tcPr>
          <w:p>
            <w:pPr>
              <w:ind w:left="180"/>
              <w:spacing w:after="0"/>
              <w:rPr>
                <w:sz w:val="20"/>
                <w:szCs w:val="20"/>
                <w:color w:val="auto"/>
              </w:rPr>
            </w:pPr>
            <w:r>
              <w:rPr>
                <w:rFonts w:ascii="Arial" w:cs="Arial" w:eastAsia="Arial" w:hAnsi="Arial"/>
                <w:sz w:val="16"/>
                <w:szCs w:val="16"/>
                <w:color w:val="auto"/>
              </w:rPr>
              <w:t>Regulatory liabilities arising from other postretirement benefit assets</w:t>
            </w:r>
          </w:p>
        </w:tc>
        <w:tc>
          <w:tcPr>
            <w:tcW w:w="46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93</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213"/>
        </w:trPr>
        <w:tc>
          <w:tcPr>
            <w:tcW w:w="8600" w:type="dxa"/>
            <w:vAlign w:val="bottom"/>
          </w:tcPr>
          <w:p>
            <w:pPr>
              <w:ind w:left="180"/>
              <w:spacing w:after="0"/>
              <w:rPr>
                <w:sz w:val="20"/>
                <w:szCs w:val="20"/>
                <w:color w:val="auto"/>
              </w:rPr>
            </w:pPr>
            <w:r>
              <w:rPr>
                <w:rFonts w:ascii="Arial" w:cs="Arial" w:eastAsia="Arial" w:hAnsi="Arial"/>
                <w:sz w:val="16"/>
                <w:szCs w:val="16"/>
                <w:color w:val="auto"/>
              </w:rPr>
              <w:t>Deferred income taxes</w:t>
            </w:r>
          </w:p>
        </w:tc>
        <w:tc>
          <w:tcPr>
            <w:tcW w:w="46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1,050</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993</w:t>
            </w:r>
          </w:p>
        </w:tc>
      </w:tr>
      <w:tr>
        <w:trPr>
          <w:trHeight w:val="213"/>
        </w:trPr>
        <w:tc>
          <w:tcPr>
            <w:tcW w:w="8600" w:type="dxa"/>
            <w:vAlign w:val="bottom"/>
          </w:tcPr>
          <w:p>
            <w:pPr>
              <w:ind w:left="180"/>
              <w:spacing w:after="0"/>
              <w:rPr>
                <w:sz w:val="20"/>
                <w:szCs w:val="20"/>
                <w:color w:val="auto"/>
              </w:rPr>
            </w:pPr>
            <w:r>
              <w:rPr>
                <w:rFonts w:ascii="Arial" w:cs="Arial" w:eastAsia="Arial" w:hAnsi="Arial"/>
                <w:sz w:val="16"/>
                <w:szCs w:val="16"/>
                <w:color w:val="auto"/>
              </w:rPr>
              <w:t>Deferred investment tax credits</w:t>
            </w:r>
          </w:p>
        </w:tc>
        <w:tc>
          <w:tcPr>
            <w:tcW w:w="46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16</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w:t>
            </w:r>
          </w:p>
        </w:tc>
      </w:tr>
    </w:tbl>
    <w:p>
      <w:pPr>
        <w:sectPr>
          <w:pgSz w:w="11900" w:h="16838" w:orient="portrait"/>
          <w:cols w:equalWidth="0" w:num="1">
            <w:col w:w="11420"/>
          </w:cols>
          <w:pgMar w:left="240" w:top="128" w:right="239"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600" w:type="dxa"/>
            <w:vAlign w:val="bottom"/>
          </w:tcPr>
          <w:p>
            <w:pPr>
              <w:ind w:left="180"/>
              <w:spacing w:after="0"/>
              <w:rPr>
                <w:sz w:val="20"/>
                <w:szCs w:val="20"/>
                <w:color w:val="auto"/>
              </w:rPr>
            </w:pPr>
            <w:r>
              <w:rPr>
                <w:rFonts w:ascii="Arial" w:cs="Arial" w:eastAsia="Arial" w:hAnsi="Arial"/>
                <w:sz w:val="16"/>
                <w:szCs w:val="16"/>
                <w:color w:val="auto"/>
              </w:rPr>
              <w:t>Regulatory liabilities arising from removal obligations</w:t>
            </w:r>
          </w:p>
        </w:tc>
        <w:tc>
          <w:tcPr>
            <w:tcW w:w="680" w:type="dxa"/>
            <w:vAlign w:val="bottom"/>
          </w:tcPr>
          <w:p>
            <w:pPr>
              <w:spacing w:after="0"/>
              <w:rPr>
                <w:sz w:val="16"/>
                <w:szCs w:val="16"/>
                <w:color w:val="auto"/>
              </w:rPr>
            </w:pP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1,173</w:t>
            </w:r>
          </w:p>
        </w:tc>
        <w:tc>
          <w:tcPr>
            <w:tcW w:w="5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1,205</w:t>
            </w:r>
          </w:p>
        </w:tc>
      </w:tr>
      <w:tr>
        <w:trPr>
          <w:trHeight w:val="252"/>
        </w:trPr>
        <w:tc>
          <w:tcPr>
            <w:tcW w:w="8600" w:type="dxa"/>
            <w:vAlign w:val="bottom"/>
          </w:tcPr>
          <w:p>
            <w:pPr>
              <w:ind w:left="180"/>
              <w:spacing w:after="0"/>
              <w:rPr>
                <w:sz w:val="20"/>
                <w:szCs w:val="20"/>
                <w:color w:val="auto"/>
              </w:rPr>
            </w:pPr>
            <w:r>
              <w:rPr>
                <w:rFonts w:ascii="Arial" w:cs="Arial" w:eastAsia="Arial" w:hAnsi="Arial"/>
                <w:sz w:val="16"/>
                <w:szCs w:val="16"/>
                <w:color w:val="auto"/>
              </w:rPr>
              <w:t>Asset retirement obligations</w:t>
            </w:r>
          </w:p>
        </w:tc>
        <w:tc>
          <w:tcPr>
            <w:tcW w:w="680" w:type="dxa"/>
            <w:vAlign w:val="bottom"/>
          </w:tcPr>
          <w:p>
            <w:pPr>
              <w:spacing w:after="0"/>
              <w:rPr>
                <w:sz w:val="21"/>
                <w:szCs w:val="21"/>
                <w:color w:val="auto"/>
              </w:rPr>
            </w:pP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1,245</w:t>
            </w:r>
          </w:p>
        </w:tc>
        <w:tc>
          <w:tcPr>
            <w:tcW w:w="5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1,182</w:t>
            </w:r>
          </w:p>
        </w:tc>
      </w:tr>
      <w:tr>
        <w:trPr>
          <w:trHeight w:val="204"/>
        </w:trPr>
        <w:tc>
          <w:tcPr>
            <w:tcW w:w="8600" w:type="dxa"/>
            <w:vAlign w:val="bottom"/>
          </w:tcPr>
          <w:p>
            <w:pPr>
              <w:ind w:left="180"/>
              <w:spacing w:after="0"/>
              <w:rPr>
                <w:sz w:val="20"/>
                <w:szCs w:val="20"/>
                <w:color w:val="auto"/>
              </w:rPr>
            </w:pPr>
            <w:r>
              <w:rPr>
                <w:rFonts w:ascii="Arial" w:cs="Arial" w:eastAsia="Arial" w:hAnsi="Arial"/>
                <w:sz w:val="16"/>
                <w:szCs w:val="16"/>
                <w:color w:val="auto"/>
              </w:rPr>
              <w:t>Deferred credits and other</w:t>
            </w:r>
          </w:p>
        </w:tc>
        <w:tc>
          <w:tcPr>
            <w:tcW w:w="6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292</w:t>
            </w:r>
          </w:p>
        </w:tc>
        <w:tc>
          <w:tcPr>
            <w:tcW w:w="5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w:t>
            </w:r>
          </w:p>
        </w:tc>
      </w:tr>
      <w:tr>
        <w:trPr>
          <w:trHeight w:val="206"/>
        </w:trPr>
        <w:tc>
          <w:tcPr>
            <w:tcW w:w="8600" w:type="dxa"/>
            <w:vAlign w:val="bottom"/>
          </w:tcPr>
          <w:p>
            <w:pPr>
              <w:ind w:left="360"/>
              <w:spacing w:after="0"/>
              <w:rPr>
                <w:sz w:val="20"/>
                <w:szCs w:val="20"/>
                <w:color w:val="auto"/>
              </w:rPr>
            </w:pPr>
            <w:r>
              <w:rPr>
                <w:rFonts w:ascii="Arial" w:cs="Arial" w:eastAsia="Arial" w:hAnsi="Arial"/>
                <w:sz w:val="16"/>
                <w:szCs w:val="16"/>
                <w:color w:val="auto"/>
              </w:rPr>
              <w:t>Total deferred credits and other liabilities</w:t>
            </w:r>
          </w:p>
        </w:tc>
        <w:tc>
          <w:tcPr>
            <w:tcW w:w="6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4,328</w:t>
            </w:r>
          </w:p>
        </w:tc>
        <w:tc>
          <w:tcPr>
            <w:tcW w:w="5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4,227</w:t>
            </w:r>
          </w:p>
        </w:tc>
      </w:tr>
      <w:tr>
        <w:trPr>
          <w:trHeight w:val="427"/>
        </w:trPr>
        <w:tc>
          <w:tcPr>
            <w:tcW w:w="8600" w:type="dxa"/>
            <w:vAlign w:val="bottom"/>
          </w:tcPr>
          <w:p>
            <w:pPr>
              <w:spacing w:after="0"/>
              <w:rPr>
                <w:sz w:val="20"/>
                <w:szCs w:val="20"/>
                <w:color w:val="auto"/>
              </w:rPr>
            </w:pPr>
            <w:r>
              <w:rPr>
                <w:rFonts w:ascii="Arial" w:cs="Arial" w:eastAsia="Arial" w:hAnsi="Arial"/>
                <w:sz w:val="16"/>
                <w:szCs w:val="16"/>
                <w:color w:val="auto"/>
              </w:rPr>
              <w:t>Commitments and contingencies (Note 11)</w:t>
            </w: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25"/>
        </w:trPr>
        <w:tc>
          <w:tcPr>
            <w:tcW w:w="8600" w:type="dxa"/>
            <w:vAlign w:val="bottom"/>
          </w:tcPr>
          <w:p>
            <w:pPr>
              <w:spacing w:after="0"/>
              <w:rPr>
                <w:sz w:val="20"/>
                <w:szCs w:val="20"/>
                <w:color w:val="auto"/>
              </w:rPr>
            </w:pPr>
            <w:r>
              <w:rPr>
                <w:rFonts w:ascii="Arial" w:cs="Arial" w:eastAsia="Arial" w:hAnsi="Arial"/>
                <w:sz w:val="16"/>
                <w:szCs w:val="16"/>
                <w:color w:val="auto"/>
              </w:rPr>
              <w:t>Shareholders' equity:</w:t>
            </w: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3"/>
        </w:trPr>
        <w:tc>
          <w:tcPr>
            <w:tcW w:w="8600" w:type="dxa"/>
            <w:vAlign w:val="bottom"/>
          </w:tcPr>
          <w:p>
            <w:pPr>
              <w:ind w:left="180"/>
              <w:spacing w:after="0"/>
              <w:rPr>
                <w:sz w:val="20"/>
                <w:szCs w:val="20"/>
                <w:color w:val="auto"/>
              </w:rPr>
            </w:pPr>
            <w:r>
              <w:rPr>
                <w:rFonts w:ascii="Arial" w:cs="Arial" w:eastAsia="Arial" w:hAnsi="Arial"/>
                <w:sz w:val="16"/>
                <w:szCs w:val="16"/>
                <w:color w:val="auto"/>
              </w:rPr>
              <w:t>Preferred stock</w:t>
            </w:r>
          </w:p>
        </w:tc>
        <w:tc>
          <w:tcPr>
            <w:tcW w:w="680" w:type="dxa"/>
            <w:vAlign w:val="bottom"/>
          </w:tcPr>
          <w:p>
            <w:pPr>
              <w:spacing w:after="0"/>
              <w:rPr>
                <w:sz w:val="18"/>
                <w:szCs w:val="18"/>
                <w:color w:val="auto"/>
              </w:rPr>
            </w:pP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22</w:t>
            </w:r>
          </w:p>
        </w:tc>
        <w:tc>
          <w:tcPr>
            <w:tcW w:w="5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13"/>
        </w:trPr>
        <w:tc>
          <w:tcPr>
            <w:tcW w:w="8600" w:type="dxa"/>
            <w:vAlign w:val="bottom"/>
          </w:tcPr>
          <w:p>
            <w:pPr>
              <w:ind w:left="180"/>
              <w:spacing w:after="0"/>
              <w:rPr>
                <w:sz w:val="20"/>
                <w:szCs w:val="20"/>
                <w:color w:val="auto"/>
              </w:rPr>
            </w:pPr>
            <w:r>
              <w:rPr>
                <w:rFonts w:ascii="Arial" w:cs="Arial" w:eastAsia="Arial" w:hAnsi="Arial"/>
                <w:sz w:val="16"/>
                <w:szCs w:val="16"/>
                <w:color w:val="auto"/>
              </w:rPr>
              <w:t>Common stock (100 million shares authorized; 91 million shares outstanding;</w:t>
            </w: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3"/>
        </w:trPr>
        <w:tc>
          <w:tcPr>
            <w:tcW w:w="8600" w:type="dxa"/>
            <w:vAlign w:val="bottom"/>
          </w:tcPr>
          <w:p>
            <w:pPr>
              <w:ind w:left="360"/>
              <w:spacing w:after="0"/>
              <w:rPr>
                <w:sz w:val="20"/>
                <w:szCs w:val="20"/>
                <w:color w:val="auto"/>
              </w:rPr>
            </w:pPr>
            <w:r>
              <w:rPr>
                <w:rFonts w:ascii="Arial" w:cs="Arial" w:eastAsia="Arial" w:hAnsi="Arial"/>
                <w:sz w:val="16"/>
                <w:szCs w:val="16"/>
                <w:color w:val="auto"/>
              </w:rPr>
              <w:t>no par value)</w:t>
            </w:r>
          </w:p>
        </w:tc>
        <w:tc>
          <w:tcPr>
            <w:tcW w:w="680" w:type="dxa"/>
            <w:vAlign w:val="bottom"/>
          </w:tcPr>
          <w:p>
            <w:pPr>
              <w:spacing w:after="0"/>
              <w:rPr>
                <w:sz w:val="18"/>
                <w:szCs w:val="18"/>
                <w:color w:val="auto"/>
              </w:rPr>
            </w:pP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866</w:t>
            </w:r>
          </w:p>
        </w:tc>
        <w:tc>
          <w:tcPr>
            <w:tcW w:w="5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866</w:t>
            </w:r>
          </w:p>
        </w:tc>
      </w:tr>
      <w:tr>
        <w:trPr>
          <w:trHeight w:val="213"/>
        </w:trPr>
        <w:tc>
          <w:tcPr>
            <w:tcW w:w="8600" w:type="dxa"/>
            <w:vAlign w:val="bottom"/>
          </w:tcPr>
          <w:p>
            <w:pPr>
              <w:ind w:left="180"/>
              <w:spacing w:after="0"/>
              <w:rPr>
                <w:sz w:val="20"/>
                <w:szCs w:val="20"/>
                <w:color w:val="auto"/>
              </w:rPr>
            </w:pPr>
            <w:r>
              <w:rPr>
                <w:rFonts w:ascii="Arial" w:cs="Arial" w:eastAsia="Arial" w:hAnsi="Arial"/>
                <w:sz w:val="16"/>
                <w:szCs w:val="16"/>
                <w:color w:val="auto"/>
              </w:rPr>
              <w:t>Retained earnings</w:t>
            </w:r>
          </w:p>
        </w:tc>
        <w:tc>
          <w:tcPr>
            <w:tcW w:w="680" w:type="dxa"/>
            <w:vAlign w:val="bottom"/>
          </w:tcPr>
          <w:p>
            <w:pPr>
              <w:spacing w:after="0"/>
              <w:rPr>
                <w:sz w:val="18"/>
                <w:szCs w:val="18"/>
                <w:color w:val="auto"/>
              </w:rPr>
            </w:pP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1,935</w:t>
            </w:r>
          </w:p>
        </w:tc>
        <w:tc>
          <w:tcPr>
            <w:tcW w:w="5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1,679</w:t>
            </w:r>
          </w:p>
        </w:tc>
      </w:tr>
      <w:tr>
        <w:trPr>
          <w:trHeight w:val="204"/>
        </w:trPr>
        <w:tc>
          <w:tcPr>
            <w:tcW w:w="8600" w:type="dxa"/>
            <w:vAlign w:val="bottom"/>
          </w:tcPr>
          <w:p>
            <w:pPr>
              <w:ind w:left="180"/>
              <w:spacing w:after="0"/>
              <w:rPr>
                <w:sz w:val="20"/>
                <w:szCs w:val="20"/>
                <w:color w:val="auto"/>
              </w:rPr>
            </w:pPr>
            <w:r>
              <w:rPr>
                <w:rFonts w:ascii="Arial" w:cs="Arial" w:eastAsia="Arial" w:hAnsi="Arial"/>
                <w:sz w:val="16"/>
                <w:szCs w:val="16"/>
                <w:color w:val="auto"/>
              </w:rPr>
              <w:t>Accumulated other comprehensive income (loss)</w:t>
            </w:r>
          </w:p>
        </w:tc>
        <w:tc>
          <w:tcPr>
            <w:tcW w:w="6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(16)</w:t>
            </w:r>
          </w:p>
        </w:tc>
        <w:tc>
          <w:tcPr>
            <w:tcW w:w="5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r>
      <w:tr>
        <w:trPr>
          <w:trHeight w:val="206"/>
        </w:trPr>
        <w:tc>
          <w:tcPr>
            <w:tcW w:w="8600" w:type="dxa"/>
            <w:vAlign w:val="bottom"/>
          </w:tcPr>
          <w:p>
            <w:pPr>
              <w:ind w:left="360"/>
              <w:spacing w:after="0"/>
              <w:rPr>
                <w:sz w:val="20"/>
                <w:szCs w:val="20"/>
                <w:color w:val="auto"/>
              </w:rPr>
            </w:pPr>
            <w:r>
              <w:rPr>
                <w:rFonts w:ascii="Arial" w:cs="Arial" w:eastAsia="Arial" w:hAnsi="Arial"/>
                <w:sz w:val="16"/>
                <w:szCs w:val="16"/>
                <w:color w:val="auto"/>
              </w:rPr>
              <w:t>Total shareholders' equity</w:t>
            </w:r>
          </w:p>
        </w:tc>
        <w:tc>
          <w:tcPr>
            <w:tcW w:w="6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2,807</w:t>
            </w:r>
          </w:p>
        </w:tc>
        <w:tc>
          <w:tcPr>
            <w:tcW w:w="5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2,549</w:t>
            </w:r>
          </w:p>
        </w:tc>
      </w:tr>
      <w:tr>
        <w:trPr>
          <w:trHeight w:val="186"/>
        </w:trPr>
        <w:tc>
          <w:tcPr>
            <w:tcW w:w="8600" w:type="dxa"/>
            <w:vAlign w:val="bottom"/>
          </w:tcPr>
          <w:p>
            <w:pPr>
              <w:spacing w:after="0" w:line="175" w:lineRule="exact"/>
              <w:rPr>
                <w:sz w:val="20"/>
                <w:szCs w:val="20"/>
                <w:color w:val="auto"/>
              </w:rPr>
            </w:pPr>
            <w:r>
              <w:rPr>
                <w:rFonts w:ascii="Arial" w:cs="Arial" w:eastAsia="Arial" w:hAnsi="Arial"/>
                <w:sz w:val="16"/>
                <w:szCs w:val="16"/>
                <w:color w:val="auto"/>
              </w:rPr>
              <w:t>Total liabilities and shareholders' equity</w:t>
            </w:r>
          </w:p>
        </w:tc>
        <w:tc>
          <w:tcPr>
            <w:tcW w:w="68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9,954</w:t>
            </w:r>
          </w:p>
        </w:tc>
        <w:tc>
          <w:tcPr>
            <w:tcW w:w="56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9,147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24852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8525" cy="17145"/>
                    </a:xfrm>
                    <a:prstGeom prst="rect">
                      <a:avLst/>
                    </a:prstGeom>
                    <a:noFill/>
                  </pic:spPr>
                </pic:pic>
              </a:graphicData>
            </a:graphic>
          </wp:anchor>
        </w:drawing>
      </w:r>
    </w:p>
    <w:p>
      <w:pPr>
        <w:ind w:left="520" w:hanging="514"/>
        <w:spacing w:after="0"/>
        <w:tabs>
          <w:tab w:leader="none" w:pos="520"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Derived from audited financial statements.</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SOUTHERN CALIFORNIA GAS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-104775</wp:posOffset>
            </wp:positionV>
            <wp:extent cx="7248525" cy="3289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8525" cy="32893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2780" w:type="dxa"/>
            <w:vAlign w:val="bottom"/>
            <w:tcBorders>
              <w:bottom w:val="single" w:sz="8" w:color="auto"/>
            </w:tcBorders>
            <w:gridSpan w:val="3"/>
          </w:tcPr>
          <w:p>
            <w:pPr>
              <w:jc w:val="center"/>
              <w:ind w:left="386"/>
              <w:spacing w:after="0"/>
              <w:rPr>
                <w:sz w:val="20"/>
                <w:szCs w:val="20"/>
                <w:color w:val="auto"/>
              </w:rPr>
            </w:pPr>
            <w:r>
              <w:rPr>
                <w:rFonts w:ascii="Arial" w:cs="Arial" w:eastAsia="Arial" w:hAnsi="Arial"/>
                <w:sz w:val="14"/>
                <w:szCs w:val="14"/>
                <w:color w:val="auto"/>
              </w:rPr>
              <w:t>Nine months ended September 30,</w:t>
            </w:r>
          </w:p>
        </w:tc>
        <w:tc>
          <w:tcPr>
            <w:tcW w:w="440" w:type="dxa"/>
            <w:vAlign w:val="bottom"/>
            <w:tcBorders>
              <w:bottom w:val="single" w:sz="8" w:color="auto"/>
            </w:tcBorders>
          </w:tcPr>
          <w:p>
            <w:pPr>
              <w:spacing w:after="0"/>
              <w:rPr>
                <w:sz w:val="14"/>
                <w:szCs w:val="14"/>
                <w:color w:val="auto"/>
              </w:rPr>
            </w:pPr>
          </w:p>
        </w:tc>
      </w:tr>
      <w:tr>
        <w:trPr>
          <w:trHeight w:val="206"/>
        </w:trPr>
        <w:tc>
          <w:tcPr>
            <w:tcW w:w="8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2014</w:t>
            </w:r>
          </w:p>
        </w:tc>
        <w:tc>
          <w:tcPr>
            <w:tcW w:w="7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45"/>
              <w:spacing w:after="0"/>
              <w:rPr>
                <w:sz w:val="20"/>
                <w:szCs w:val="20"/>
                <w:color w:val="auto"/>
              </w:rPr>
            </w:pPr>
            <w:r>
              <w:rPr>
                <w:rFonts w:ascii="Arial" w:cs="Arial" w:eastAsia="Arial" w:hAnsi="Arial"/>
                <w:sz w:val="14"/>
                <w:szCs w:val="14"/>
                <w:color w:val="auto"/>
              </w:rPr>
              <w:t>2013</w:t>
            </w:r>
          </w:p>
        </w:tc>
        <w:tc>
          <w:tcPr>
            <w:tcW w:w="440" w:type="dxa"/>
            <w:vAlign w:val="bottom"/>
            <w:tcBorders>
              <w:bottom w:val="single" w:sz="8" w:color="auto"/>
            </w:tcBorders>
          </w:tcPr>
          <w:p>
            <w:pPr>
              <w:spacing w:after="0"/>
              <w:rPr>
                <w:sz w:val="17"/>
                <w:szCs w:val="17"/>
                <w:color w:val="auto"/>
              </w:rPr>
            </w:pPr>
          </w:p>
        </w:tc>
      </w:tr>
      <w:tr>
        <w:trPr>
          <w:trHeight w:val="221"/>
        </w:trPr>
        <w:tc>
          <w:tcPr>
            <w:tcW w:w="8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760" w:type="dxa"/>
            <w:vAlign w:val="bottom"/>
            <w:gridSpan w:val="2"/>
          </w:tcPr>
          <w:p>
            <w:pPr>
              <w:jc w:val="center"/>
              <w:ind w:right="485"/>
              <w:spacing w:after="0"/>
              <w:rPr>
                <w:sz w:val="20"/>
                <w:szCs w:val="20"/>
                <w:color w:val="auto"/>
              </w:rPr>
            </w:pPr>
            <w:r>
              <w:rPr>
                <w:rFonts w:ascii="Arial" w:cs="Arial" w:eastAsia="Arial" w:hAnsi="Arial"/>
                <w:sz w:val="14"/>
                <w:szCs w:val="14"/>
                <w:color w:val="auto"/>
              </w:rPr>
              <w:t>(unaudited)</w:t>
            </w:r>
          </w:p>
        </w:tc>
        <w:tc>
          <w:tcPr>
            <w:tcW w:w="440" w:type="dxa"/>
            <w:vAlign w:val="bottom"/>
          </w:tcPr>
          <w:p>
            <w:pPr>
              <w:spacing w:after="0"/>
              <w:rPr>
                <w:sz w:val="19"/>
                <w:szCs w:val="19"/>
                <w:color w:val="auto"/>
              </w:rPr>
            </w:pPr>
          </w:p>
        </w:tc>
      </w:tr>
      <w:tr>
        <w:trPr>
          <w:trHeight w:val="186"/>
        </w:trPr>
        <w:tc>
          <w:tcPr>
            <w:tcW w:w="8200" w:type="dxa"/>
            <w:vAlign w:val="bottom"/>
          </w:tcPr>
          <w:p>
            <w:pPr>
              <w:spacing w:after="0"/>
              <w:rPr>
                <w:sz w:val="20"/>
                <w:szCs w:val="20"/>
                <w:color w:val="auto"/>
              </w:rPr>
            </w:pPr>
            <w:r>
              <w:rPr>
                <w:rFonts w:ascii="Arial" w:cs="Arial" w:eastAsia="Arial" w:hAnsi="Arial"/>
                <w:sz w:val="16"/>
                <w:szCs w:val="16"/>
                <w:color w:val="auto"/>
              </w:rPr>
              <w:t>CASH FLOWS FROM OPERATING ACTIVITIES</w:t>
            </w:r>
          </w:p>
        </w:tc>
        <w:tc>
          <w:tcPr>
            <w:tcW w:w="10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192"/>
        </w:trPr>
        <w:tc>
          <w:tcPr>
            <w:tcW w:w="820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1020" w:type="dxa"/>
            <w:vAlign w:val="bottom"/>
          </w:tcPr>
          <w:p>
            <w:pPr>
              <w:jc w:val="right"/>
              <w:ind w:right="546"/>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81"/>
              <w:spacing w:after="0"/>
              <w:rPr>
                <w:sz w:val="20"/>
                <w:szCs w:val="20"/>
                <w:color w:val="auto"/>
              </w:rPr>
            </w:pPr>
            <w:r>
              <w:rPr>
                <w:rFonts w:ascii="Arial" w:cs="Arial" w:eastAsia="Arial" w:hAnsi="Arial"/>
                <w:sz w:val="16"/>
                <w:szCs w:val="16"/>
                <w:color w:val="auto"/>
              </w:rPr>
              <w:t>257</w:t>
            </w:r>
          </w:p>
        </w:tc>
        <w:tc>
          <w:tcPr>
            <w:tcW w:w="1020" w:type="dxa"/>
            <w:vAlign w:val="bottom"/>
          </w:tcPr>
          <w:p>
            <w:pPr>
              <w:jc w:val="right"/>
              <w:ind w:right="705"/>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267</w:t>
            </w:r>
          </w:p>
        </w:tc>
      </w:tr>
      <w:tr>
        <w:trPr>
          <w:trHeight w:val="213"/>
        </w:trPr>
        <w:tc>
          <w:tcPr>
            <w:tcW w:w="8200" w:type="dxa"/>
            <w:vAlign w:val="bottom"/>
          </w:tcPr>
          <w:p>
            <w:pPr>
              <w:ind w:left="1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3"/>
        </w:trPr>
        <w:tc>
          <w:tcPr>
            <w:tcW w:w="820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1020" w:type="dxa"/>
            <w:vAlign w:val="bottom"/>
          </w:tcPr>
          <w:p>
            <w:pPr>
              <w:spacing w:after="0"/>
              <w:rPr>
                <w:sz w:val="18"/>
                <w:szCs w:val="18"/>
                <w:color w:val="auto"/>
              </w:rPr>
            </w:pPr>
          </w:p>
        </w:tc>
        <w:tc>
          <w:tcPr>
            <w:tcW w:w="740" w:type="dxa"/>
            <w:vAlign w:val="bottom"/>
          </w:tcPr>
          <w:p>
            <w:pPr>
              <w:jc w:val="right"/>
              <w:ind w:right="81"/>
              <w:spacing w:after="0"/>
              <w:rPr>
                <w:sz w:val="20"/>
                <w:szCs w:val="20"/>
                <w:color w:val="auto"/>
              </w:rPr>
            </w:pPr>
            <w:r>
              <w:rPr>
                <w:rFonts w:ascii="Arial" w:cs="Arial" w:eastAsia="Arial" w:hAnsi="Arial"/>
                <w:sz w:val="16"/>
                <w:szCs w:val="16"/>
                <w:color w:val="auto"/>
              </w:rPr>
              <w:t>321</w:t>
            </w: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280</w:t>
            </w:r>
          </w:p>
        </w:tc>
      </w:tr>
      <w:tr>
        <w:trPr>
          <w:trHeight w:val="213"/>
        </w:trPr>
        <w:tc>
          <w:tcPr>
            <w:tcW w:w="8200" w:type="dxa"/>
            <w:vAlign w:val="bottom"/>
          </w:tcPr>
          <w:p>
            <w:pPr>
              <w:ind w:left="360"/>
              <w:spacing w:after="0"/>
              <w:rPr>
                <w:sz w:val="20"/>
                <w:szCs w:val="20"/>
                <w:color w:val="auto"/>
              </w:rPr>
            </w:pPr>
            <w:r>
              <w:rPr>
                <w:rFonts w:ascii="Arial" w:cs="Arial" w:eastAsia="Arial" w:hAnsi="Arial"/>
                <w:sz w:val="16"/>
                <w:szCs w:val="16"/>
                <w:color w:val="auto"/>
              </w:rPr>
              <w:t>Deferred income taxes and investment tax credits</w:t>
            </w:r>
          </w:p>
        </w:tc>
        <w:tc>
          <w:tcPr>
            <w:tcW w:w="1020" w:type="dxa"/>
            <w:vAlign w:val="bottom"/>
          </w:tcPr>
          <w:p>
            <w:pPr>
              <w:spacing w:after="0"/>
              <w:rPr>
                <w:sz w:val="18"/>
                <w:szCs w:val="18"/>
                <w:color w:val="auto"/>
              </w:rPr>
            </w:pPr>
          </w:p>
        </w:tc>
        <w:tc>
          <w:tcPr>
            <w:tcW w:w="740" w:type="dxa"/>
            <w:vAlign w:val="bottom"/>
          </w:tcPr>
          <w:p>
            <w:pPr>
              <w:jc w:val="right"/>
              <w:ind w:right="81"/>
              <w:spacing w:after="0"/>
              <w:rPr>
                <w:sz w:val="20"/>
                <w:szCs w:val="20"/>
                <w:color w:val="auto"/>
              </w:rPr>
            </w:pPr>
            <w:r>
              <w:rPr>
                <w:rFonts w:ascii="Arial" w:cs="Arial" w:eastAsia="Arial" w:hAnsi="Arial"/>
                <w:sz w:val="16"/>
                <w:szCs w:val="16"/>
                <w:color w:val="auto"/>
              </w:rPr>
              <w:t>94</w:t>
            </w: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13"/>
        </w:trPr>
        <w:tc>
          <w:tcPr>
            <w:tcW w:w="8200" w:type="dxa"/>
            <w:vAlign w:val="bottom"/>
          </w:tcPr>
          <w:p>
            <w:pPr>
              <w:ind w:left="360"/>
              <w:spacing w:after="0"/>
              <w:rPr>
                <w:sz w:val="20"/>
                <w:szCs w:val="20"/>
                <w:color w:val="auto"/>
              </w:rPr>
            </w:pPr>
            <w:r>
              <w:rPr>
                <w:rFonts w:ascii="Arial" w:cs="Arial" w:eastAsia="Arial" w:hAnsi="Arial"/>
                <w:sz w:val="16"/>
                <w:szCs w:val="16"/>
                <w:color w:val="auto"/>
              </w:rPr>
              <w:t>Other</w:t>
            </w:r>
          </w:p>
        </w:tc>
        <w:tc>
          <w:tcPr>
            <w:tcW w:w="1020" w:type="dxa"/>
            <w:vAlign w:val="bottom"/>
          </w:tcPr>
          <w:p>
            <w:pPr>
              <w:spacing w:after="0"/>
              <w:rPr>
                <w:sz w:val="18"/>
                <w:szCs w:val="18"/>
                <w:color w:val="auto"/>
              </w:rPr>
            </w:pPr>
          </w:p>
        </w:tc>
        <w:tc>
          <w:tcPr>
            <w:tcW w:w="740" w:type="dxa"/>
            <w:vAlign w:val="bottom"/>
          </w:tcPr>
          <w:p>
            <w:pPr>
              <w:jc w:val="right"/>
              <w:ind w:right="81"/>
              <w:spacing w:after="0"/>
              <w:rPr>
                <w:sz w:val="20"/>
                <w:szCs w:val="20"/>
                <w:color w:val="auto"/>
              </w:rPr>
            </w:pPr>
            <w:r>
              <w:rPr>
                <w:rFonts w:ascii="Arial" w:cs="Arial" w:eastAsia="Arial" w:hAnsi="Arial"/>
                <w:sz w:val="16"/>
                <w:szCs w:val="16"/>
                <w:color w:val="auto"/>
              </w:rPr>
              <w:t>(2)</w:t>
            </w: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3"/>
        </w:trPr>
        <w:tc>
          <w:tcPr>
            <w:tcW w:w="8200" w:type="dxa"/>
            <w:vAlign w:val="bottom"/>
          </w:tcPr>
          <w:p>
            <w:pPr>
              <w:ind w:left="180"/>
              <w:spacing w:after="0"/>
              <w:rPr>
                <w:sz w:val="20"/>
                <w:szCs w:val="20"/>
                <w:color w:val="auto"/>
              </w:rPr>
            </w:pPr>
            <w:r>
              <w:rPr>
                <w:rFonts w:ascii="Arial" w:cs="Arial" w:eastAsia="Arial" w:hAnsi="Arial"/>
                <w:sz w:val="16"/>
                <w:szCs w:val="16"/>
                <w:color w:val="auto"/>
              </w:rPr>
              <w:t>Net change in other working capital components</w:t>
            </w:r>
          </w:p>
        </w:tc>
        <w:tc>
          <w:tcPr>
            <w:tcW w:w="1020" w:type="dxa"/>
            <w:vAlign w:val="bottom"/>
          </w:tcPr>
          <w:p>
            <w:pPr>
              <w:spacing w:after="0"/>
              <w:rPr>
                <w:sz w:val="18"/>
                <w:szCs w:val="18"/>
                <w:color w:val="auto"/>
              </w:rPr>
            </w:pPr>
          </w:p>
        </w:tc>
        <w:tc>
          <w:tcPr>
            <w:tcW w:w="740" w:type="dxa"/>
            <w:vAlign w:val="bottom"/>
          </w:tcPr>
          <w:p>
            <w:pPr>
              <w:jc w:val="right"/>
              <w:ind w:right="81"/>
              <w:spacing w:after="0"/>
              <w:rPr>
                <w:sz w:val="20"/>
                <w:szCs w:val="20"/>
                <w:color w:val="auto"/>
              </w:rPr>
            </w:pPr>
            <w:r>
              <w:rPr>
                <w:rFonts w:ascii="Arial" w:cs="Arial" w:eastAsia="Arial" w:hAnsi="Arial"/>
                <w:sz w:val="16"/>
                <w:szCs w:val="16"/>
                <w:color w:val="auto"/>
              </w:rPr>
              <w:t>(19)</w:t>
            </w: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13"/>
        </w:trPr>
        <w:tc>
          <w:tcPr>
            <w:tcW w:w="8200" w:type="dxa"/>
            <w:vAlign w:val="bottom"/>
          </w:tcPr>
          <w:p>
            <w:pPr>
              <w:ind w:left="180"/>
              <w:spacing w:after="0"/>
              <w:rPr>
                <w:sz w:val="20"/>
                <w:szCs w:val="20"/>
                <w:color w:val="auto"/>
              </w:rPr>
            </w:pPr>
            <w:r>
              <w:rPr>
                <w:rFonts w:ascii="Arial" w:cs="Arial" w:eastAsia="Arial" w:hAnsi="Arial"/>
                <w:sz w:val="16"/>
                <w:szCs w:val="16"/>
                <w:color w:val="auto"/>
              </w:rPr>
              <w:t>Changes in other assets</w:t>
            </w:r>
          </w:p>
        </w:tc>
        <w:tc>
          <w:tcPr>
            <w:tcW w:w="1020" w:type="dxa"/>
            <w:vAlign w:val="bottom"/>
          </w:tcPr>
          <w:p>
            <w:pPr>
              <w:spacing w:after="0"/>
              <w:rPr>
                <w:sz w:val="18"/>
                <w:szCs w:val="18"/>
                <w:color w:val="auto"/>
              </w:rPr>
            </w:pPr>
          </w:p>
        </w:tc>
        <w:tc>
          <w:tcPr>
            <w:tcW w:w="740" w:type="dxa"/>
            <w:vAlign w:val="bottom"/>
          </w:tcPr>
          <w:p>
            <w:pPr>
              <w:jc w:val="right"/>
              <w:ind w:right="81"/>
              <w:spacing w:after="0"/>
              <w:rPr>
                <w:sz w:val="20"/>
                <w:szCs w:val="20"/>
                <w:color w:val="auto"/>
              </w:rPr>
            </w:pPr>
            <w:r>
              <w:rPr>
                <w:rFonts w:ascii="Arial" w:cs="Arial" w:eastAsia="Arial" w:hAnsi="Arial"/>
                <w:sz w:val="16"/>
                <w:szCs w:val="16"/>
                <w:color w:val="auto"/>
              </w:rPr>
              <w:t>(70)</w:t>
            </w: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04"/>
        </w:trPr>
        <w:tc>
          <w:tcPr>
            <w:tcW w:w="8200" w:type="dxa"/>
            <w:vAlign w:val="bottom"/>
          </w:tcPr>
          <w:p>
            <w:pPr>
              <w:ind w:left="180"/>
              <w:spacing w:after="0"/>
              <w:rPr>
                <w:sz w:val="20"/>
                <w:szCs w:val="20"/>
                <w:color w:val="auto"/>
              </w:rPr>
            </w:pPr>
            <w:r>
              <w:rPr>
                <w:rFonts w:ascii="Arial" w:cs="Arial" w:eastAsia="Arial" w:hAnsi="Arial"/>
                <w:sz w:val="16"/>
                <w:szCs w:val="16"/>
                <w:color w:val="auto"/>
              </w:rPr>
              <w:t>Changes in other liabilities</w:t>
            </w:r>
          </w:p>
        </w:tc>
        <w:tc>
          <w:tcPr>
            <w:tcW w:w="10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15</w:t>
            </w:r>
          </w:p>
        </w:tc>
        <w:tc>
          <w:tcPr>
            <w:tcW w:w="10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206"/>
        </w:trPr>
        <w:tc>
          <w:tcPr>
            <w:tcW w:w="8200" w:type="dxa"/>
            <w:vAlign w:val="bottom"/>
          </w:tcPr>
          <w:p>
            <w:pPr>
              <w:ind w:left="360"/>
              <w:spacing w:after="0"/>
              <w:rPr>
                <w:sz w:val="20"/>
                <w:szCs w:val="20"/>
                <w:color w:val="auto"/>
              </w:rPr>
            </w:pPr>
            <w:r>
              <w:rPr>
                <w:rFonts w:ascii="Arial" w:cs="Arial" w:eastAsia="Arial" w:hAnsi="Arial"/>
                <w:sz w:val="16"/>
                <w:szCs w:val="16"/>
                <w:color w:val="auto"/>
              </w:rPr>
              <w:t>Net cash provided by operating activities</w:t>
            </w:r>
          </w:p>
        </w:tc>
        <w:tc>
          <w:tcPr>
            <w:tcW w:w="10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596</w:t>
            </w:r>
          </w:p>
        </w:tc>
        <w:tc>
          <w:tcPr>
            <w:tcW w:w="10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w:t>
            </w:r>
          </w:p>
        </w:tc>
      </w:tr>
      <w:tr>
        <w:trPr>
          <w:trHeight w:val="427"/>
        </w:trPr>
        <w:tc>
          <w:tcPr>
            <w:tcW w:w="820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13"/>
        </w:trPr>
        <w:tc>
          <w:tcPr>
            <w:tcW w:w="8200" w:type="dxa"/>
            <w:vAlign w:val="bottom"/>
          </w:tcPr>
          <w:p>
            <w:pPr>
              <w:ind w:left="180"/>
              <w:spacing w:after="0"/>
              <w:rPr>
                <w:sz w:val="20"/>
                <w:szCs w:val="20"/>
                <w:color w:val="auto"/>
              </w:rPr>
            </w:pPr>
            <w:r>
              <w:rPr>
                <w:rFonts w:ascii="Arial" w:cs="Arial" w:eastAsia="Arial" w:hAnsi="Arial"/>
                <w:sz w:val="16"/>
                <w:szCs w:val="16"/>
                <w:color w:val="auto"/>
              </w:rPr>
              <w:t>Expenditures for property, plant and equipment</w:t>
            </w:r>
          </w:p>
        </w:tc>
        <w:tc>
          <w:tcPr>
            <w:tcW w:w="1020" w:type="dxa"/>
            <w:vAlign w:val="bottom"/>
          </w:tcPr>
          <w:p>
            <w:pPr>
              <w:spacing w:after="0"/>
              <w:rPr>
                <w:sz w:val="18"/>
                <w:szCs w:val="18"/>
                <w:color w:val="auto"/>
              </w:rPr>
            </w:pPr>
          </w:p>
        </w:tc>
        <w:tc>
          <w:tcPr>
            <w:tcW w:w="740" w:type="dxa"/>
            <w:vAlign w:val="bottom"/>
          </w:tcPr>
          <w:p>
            <w:pPr>
              <w:jc w:val="right"/>
              <w:ind w:right="81"/>
              <w:spacing w:after="0"/>
              <w:rPr>
                <w:sz w:val="20"/>
                <w:szCs w:val="20"/>
                <w:color w:val="auto"/>
              </w:rPr>
            </w:pPr>
            <w:r>
              <w:rPr>
                <w:rFonts w:ascii="Arial" w:cs="Arial" w:eastAsia="Arial" w:hAnsi="Arial"/>
                <w:sz w:val="16"/>
                <w:szCs w:val="16"/>
                <w:color w:val="auto"/>
              </w:rPr>
              <w:t>(764)</w:t>
            </w: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(521)</w:t>
            </w:r>
          </w:p>
        </w:tc>
      </w:tr>
      <w:tr>
        <w:trPr>
          <w:trHeight w:val="204"/>
        </w:trPr>
        <w:tc>
          <w:tcPr>
            <w:tcW w:w="8200" w:type="dxa"/>
            <w:vAlign w:val="bottom"/>
          </w:tcPr>
          <w:p>
            <w:pPr>
              <w:ind w:left="180"/>
              <w:spacing w:after="0"/>
              <w:rPr>
                <w:sz w:val="20"/>
                <w:szCs w:val="20"/>
                <w:color w:val="auto"/>
              </w:rPr>
            </w:pPr>
            <w:r>
              <w:rPr>
                <w:rFonts w:ascii="Arial" w:cs="Arial" w:eastAsia="Arial" w:hAnsi="Arial"/>
                <w:sz w:val="16"/>
                <w:szCs w:val="16"/>
                <w:color w:val="auto"/>
              </w:rPr>
              <w:t>(Increase) decrease in loans to affiliates, net</w:t>
            </w:r>
          </w:p>
        </w:tc>
        <w:tc>
          <w:tcPr>
            <w:tcW w:w="10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(281)</w:t>
            </w:r>
          </w:p>
        </w:tc>
        <w:tc>
          <w:tcPr>
            <w:tcW w:w="10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r>
      <w:tr>
        <w:trPr>
          <w:trHeight w:val="206"/>
        </w:trPr>
        <w:tc>
          <w:tcPr>
            <w:tcW w:w="8200" w:type="dxa"/>
            <w:vAlign w:val="bottom"/>
          </w:tcPr>
          <w:p>
            <w:pPr>
              <w:ind w:left="360"/>
              <w:spacing w:after="0"/>
              <w:rPr>
                <w:sz w:val="20"/>
                <w:szCs w:val="20"/>
                <w:color w:val="auto"/>
              </w:rPr>
            </w:pPr>
            <w:r>
              <w:rPr>
                <w:rFonts w:ascii="Arial" w:cs="Arial" w:eastAsia="Arial" w:hAnsi="Arial"/>
                <w:sz w:val="16"/>
                <w:szCs w:val="16"/>
                <w:color w:val="auto"/>
              </w:rPr>
              <w:t>Net cash used in investing activities</w:t>
            </w:r>
          </w:p>
        </w:tc>
        <w:tc>
          <w:tcPr>
            <w:tcW w:w="10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(1,045)</w:t>
            </w:r>
          </w:p>
        </w:tc>
        <w:tc>
          <w:tcPr>
            <w:tcW w:w="10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(504)</w:t>
            </w:r>
          </w:p>
        </w:tc>
      </w:tr>
      <w:tr>
        <w:trPr>
          <w:trHeight w:val="427"/>
        </w:trPr>
        <w:tc>
          <w:tcPr>
            <w:tcW w:w="820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13"/>
        </w:trPr>
        <w:tc>
          <w:tcPr>
            <w:tcW w:w="8200" w:type="dxa"/>
            <w:vAlign w:val="bottom"/>
          </w:tcPr>
          <w:p>
            <w:pPr>
              <w:ind w:left="180"/>
              <w:spacing w:after="0"/>
              <w:rPr>
                <w:sz w:val="20"/>
                <w:szCs w:val="20"/>
                <w:color w:val="auto"/>
              </w:rPr>
            </w:pPr>
            <w:r>
              <w:rPr>
                <w:rFonts w:ascii="Arial" w:cs="Arial" w:eastAsia="Arial" w:hAnsi="Arial"/>
                <w:sz w:val="16"/>
                <w:szCs w:val="16"/>
                <w:color w:val="auto"/>
              </w:rPr>
              <w:t>Common dividends paid</w:t>
            </w:r>
          </w:p>
        </w:tc>
        <w:tc>
          <w:tcPr>
            <w:tcW w:w="1020" w:type="dxa"/>
            <w:vAlign w:val="bottom"/>
          </w:tcPr>
          <w:p>
            <w:pPr>
              <w:spacing w:after="0"/>
              <w:rPr>
                <w:sz w:val="18"/>
                <w:szCs w:val="18"/>
                <w:color w:val="auto"/>
              </w:rPr>
            </w:pPr>
          </w:p>
        </w:tc>
        <w:tc>
          <w:tcPr>
            <w:tcW w:w="74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13"/>
        </w:trPr>
        <w:tc>
          <w:tcPr>
            <w:tcW w:w="8200" w:type="dxa"/>
            <w:vAlign w:val="bottom"/>
          </w:tcPr>
          <w:p>
            <w:pPr>
              <w:ind w:left="180"/>
              <w:spacing w:after="0"/>
              <w:rPr>
                <w:sz w:val="20"/>
                <w:szCs w:val="20"/>
                <w:color w:val="auto"/>
              </w:rPr>
            </w:pPr>
            <w:r>
              <w:rPr>
                <w:rFonts w:ascii="Arial" w:cs="Arial" w:eastAsia="Arial" w:hAnsi="Arial"/>
                <w:sz w:val="16"/>
                <w:szCs w:val="16"/>
                <w:color w:val="auto"/>
              </w:rPr>
              <w:t>Preferred dividends paid</w:t>
            </w:r>
          </w:p>
        </w:tc>
        <w:tc>
          <w:tcPr>
            <w:tcW w:w="1020" w:type="dxa"/>
            <w:vAlign w:val="bottom"/>
          </w:tcPr>
          <w:p>
            <w:pPr>
              <w:spacing w:after="0"/>
              <w:rPr>
                <w:sz w:val="18"/>
                <w:szCs w:val="18"/>
                <w:color w:val="auto"/>
              </w:rPr>
            </w:pPr>
          </w:p>
        </w:tc>
        <w:tc>
          <w:tcPr>
            <w:tcW w:w="740" w:type="dxa"/>
            <w:vAlign w:val="bottom"/>
          </w:tcPr>
          <w:p>
            <w:pPr>
              <w:jc w:val="right"/>
              <w:ind w:right="81"/>
              <w:spacing w:after="0"/>
              <w:rPr>
                <w:sz w:val="20"/>
                <w:szCs w:val="20"/>
                <w:color w:val="auto"/>
              </w:rPr>
            </w:pPr>
            <w:r>
              <w:rPr>
                <w:rFonts w:ascii="Arial" w:cs="Arial" w:eastAsia="Arial" w:hAnsi="Arial"/>
                <w:sz w:val="16"/>
                <w:szCs w:val="16"/>
                <w:color w:val="auto"/>
              </w:rPr>
              <w:t>(1)</w:t>
            </w: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3"/>
        </w:trPr>
        <w:tc>
          <w:tcPr>
            <w:tcW w:w="8200" w:type="dxa"/>
            <w:vAlign w:val="bottom"/>
          </w:tcPr>
          <w:p>
            <w:pPr>
              <w:ind w:left="180"/>
              <w:spacing w:after="0"/>
              <w:rPr>
                <w:sz w:val="20"/>
                <w:szCs w:val="20"/>
                <w:color w:val="auto"/>
              </w:rPr>
            </w:pPr>
            <w:r>
              <w:rPr>
                <w:rFonts w:ascii="Arial" w:cs="Arial" w:eastAsia="Arial" w:hAnsi="Arial"/>
                <w:sz w:val="16"/>
                <w:szCs w:val="16"/>
                <w:color w:val="auto"/>
              </w:rPr>
              <w:t>Issuances of long-term debt</w:t>
            </w:r>
          </w:p>
        </w:tc>
        <w:tc>
          <w:tcPr>
            <w:tcW w:w="1020" w:type="dxa"/>
            <w:vAlign w:val="bottom"/>
          </w:tcPr>
          <w:p>
            <w:pPr>
              <w:spacing w:after="0"/>
              <w:rPr>
                <w:sz w:val="18"/>
                <w:szCs w:val="18"/>
                <w:color w:val="auto"/>
              </w:rPr>
            </w:pPr>
          </w:p>
        </w:tc>
        <w:tc>
          <w:tcPr>
            <w:tcW w:w="740" w:type="dxa"/>
            <w:vAlign w:val="bottom"/>
          </w:tcPr>
          <w:p>
            <w:pPr>
              <w:jc w:val="right"/>
              <w:ind w:right="81"/>
              <w:spacing w:after="0"/>
              <w:rPr>
                <w:sz w:val="20"/>
                <w:szCs w:val="20"/>
                <w:color w:val="auto"/>
              </w:rPr>
            </w:pPr>
            <w:r>
              <w:rPr>
                <w:rFonts w:ascii="Arial" w:cs="Arial" w:eastAsia="Arial" w:hAnsi="Arial"/>
                <w:sz w:val="16"/>
                <w:szCs w:val="16"/>
                <w:color w:val="auto"/>
              </w:rPr>
              <w:t>747</w:t>
            </w:r>
          </w:p>
        </w:tc>
        <w:tc>
          <w:tcPr>
            <w:tcW w:w="1020" w:type="dxa"/>
            <w:vAlign w:val="bottom"/>
          </w:tcPr>
          <w:p>
            <w:pPr>
              <w:spacing w:after="0"/>
              <w:rPr>
                <w:sz w:val="18"/>
                <w:szCs w:val="18"/>
                <w:color w:val="auto"/>
              </w:rPr>
            </w:pPr>
          </w:p>
        </w:tc>
        <w:tc>
          <w:tcPr>
            <w:tcW w:w="440" w:type="dxa"/>
            <w:vAlign w:val="bottom"/>
          </w:tcPr>
          <w:p>
            <w:pPr>
              <w:jc w:val="right"/>
              <w:ind w:right="60"/>
              <w:spacing w:after="0"/>
              <w:rPr>
                <w:sz w:val="20"/>
                <w:szCs w:val="20"/>
                <w:color w:val="auto"/>
              </w:rPr>
            </w:pPr>
            <w:r>
              <w:rPr>
                <w:rFonts w:ascii="Arial" w:cs="Arial" w:eastAsia="Arial" w:hAnsi="Arial"/>
                <w:sz w:val="16"/>
                <w:szCs w:val="16"/>
                <w:color w:val="auto"/>
              </w:rPr>
              <w:t>―</w:t>
            </w:r>
          </w:p>
        </w:tc>
      </w:tr>
      <w:tr>
        <w:trPr>
          <w:trHeight w:val="213"/>
        </w:trPr>
        <w:tc>
          <w:tcPr>
            <w:tcW w:w="8200" w:type="dxa"/>
            <w:vAlign w:val="bottom"/>
          </w:tcPr>
          <w:p>
            <w:pPr>
              <w:ind w:left="180"/>
              <w:spacing w:after="0"/>
              <w:rPr>
                <w:sz w:val="20"/>
                <w:szCs w:val="20"/>
                <w:color w:val="auto"/>
              </w:rPr>
            </w:pPr>
            <w:r>
              <w:rPr>
                <w:rFonts w:ascii="Arial" w:cs="Arial" w:eastAsia="Arial" w:hAnsi="Arial"/>
                <w:sz w:val="16"/>
                <w:szCs w:val="16"/>
                <w:color w:val="auto"/>
              </w:rPr>
              <w:t>Repayment of long-term debt</w:t>
            </w:r>
          </w:p>
        </w:tc>
        <w:tc>
          <w:tcPr>
            <w:tcW w:w="1020" w:type="dxa"/>
            <w:vAlign w:val="bottom"/>
          </w:tcPr>
          <w:p>
            <w:pPr>
              <w:spacing w:after="0"/>
              <w:rPr>
                <w:sz w:val="18"/>
                <w:szCs w:val="18"/>
                <w:color w:val="auto"/>
              </w:rPr>
            </w:pPr>
          </w:p>
        </w:tc>
        <w:tc>
          <w:tcPr>
            <w:tcW w:w="740" w:type="dxa"/>
            <w:vAlign w:val="bottom"/>
          </w:tcPr>
          <w:p>
            <w:pPr>
              <w:jc w:val="right"/>
              <w:ind w:right="81"/>
              <w:spacing w:after="0"/>
              <w:rPr>
                <w:sz w:val="20"/>
                <w:szCs w:val="20"/>
                <w:color w:val="auto"/>
              </w:rPr>
            </w:pPr>
            <w:r>
              <w:rPr>
                <w:rFonts w:ascii="Arial" w:cs="Arial" w:eastAsia="Arial" w:hAnsi="Arial"/>
                <w:sz w:val="16"/>
                <w:szCs w:val="16"/>
                <w:color w:val="auto"/>
              </w:rPr>
              <w:t>(250)</w:t>
            </w:r>
          </w:p>
        </w:tc>
        <w:tc>
          <w:tcPr>
            <w:tcW w:w="1020" w:type="dxa"/>
            <w:vAlign w:val="bottom"/>
          </w:tcPr>
          <w:p>
            <w:pPr>
              <w:spacing w:after="0"/>
              <w:rPr>
                <w:sz w:val="18"/>
                <w:szCs w:val="18"/>
                <w:color w:val="auto"/>
              </w:rPr>
            </w:pPr>
          </w:p>
        </w:tc>
        <w:tc>
          <w:tcPr>
            <w:tcW w:w="440" w:type="dxa"/>
            <w:vAlign w:val="bottom"/>
          </w:tcPr>
          <w:p>
            <w:pPr>
              <w:jc w:val="right"/>
              <w:ind w:right="60"/>
              <w:spacing w:after="0"/>
              <w:rPr>
                <w:sz w:val="20"/>
                <w:szCs w:val="20"/>
                <w:color w:val="auto"/>
              </w:rPr>
            </w:pPr>
            <w:r>
              <w:rPr>
                <w:rFonts w:ascii="Arial" w:cs="Arial" w:eastAsia="Arial" w:hAnsi="Arial"/>
                <w:sz w:val="16"/>
                <w:szCs w:val="16"/>
                <w:color w:val="auto"/>
              </w:rPr>
              <w:t>―</w:t>
            </w:r>
          </w:p>
        </w:tc>
      </w:tr>
      <w:tr>
        <w:trPr>
          <w:trHeight w:val="213"/>
        </w:trPr>
        <w:tc>
          <w:tcPr>
            <w:tcW w:w="8200" w:type="dxa"/>
            <w:vAlign w:val="bottom"/>
          </w:tcPr>
          <w:p>
            <w:pPr>
              <w:ind w:left="180"/>
              <w:spacing w:after="0"/>
              <w:rPr>
                <w:sz w:val="20"/>
                <w:szCs w:val="20"/>
                <w:color w:val="auto"/>
              </w:rPr>
            </w:pPr>
            <w:r>
              <w:rPr>
                <w:rFonts w:ascii="Arial" w:cs="Arial" w:eastAsia="Arial" w:hAnsi="Arial"/>
                <w:sz w:val="16"/>
                <w:szCs w:val="16"/>
                <w:color w:val="auto"/>
              </w:rPr>
              <w:t>Decrease in short-term debt, net</w:t>
            </w:r>
          </w:p>
        </w:tc>
        <w:tc>
          <w:tcPr>
            <w:tcW w:w="1020" w:type="dxa"/>
            <w:vAlign w:val="bottom"/>
          </w:tcPr>
          <w:p>
            <w:pPr>
              <w:spacing w:after="0"/>
              <w:rPr>
                <w:sz w:val="18"/>
                <w:szCs w:val="18"/>
                <w:color w:val="auto"/>
              </w:rPr>
            </w:pPr>
          </w:p>
        </w:tc>
        <w:tc>
          <w:tcPr>
            <w:tcW w:w="740" w:type="dxa"/>
            <w:vAlign w:val="bottom"/>
          </w:tcPr>
          <w:p>
            <w:pPr>
              <w:jc w:val="right"/>
              <w:ind w:right="81"/>
              <w:spacing w:after="0"/>
              <w:rPr>
                <w:sz w:val="20"/>
                <w:szCs w:val="20"/>
                <w:color w:val="auto"/>
              </w:rPr>
            </w:pPr>
            <w:r>
              <w:rPr>
                <w:rFonts w:ascii="Arial" w:cs="Arial" w:eastAsia="Arial" w:hAnsi="Arial"/>
                <w:sz w:val="16"/>
                <w:szCs w:val="16"/>
                <w:color w:val="auto"/>
              </w:rPr>
              <w:t>(42)</w:t>
            </w:r>
          </w:p>
        </w:tc>
        <w:tc>
          <w:tcPr>
            <w:tcW w:w="1020" w:type="dxa"/>
            <w:vAlign w:val="bottom"/>
          </w:tcPr>
          <w:p>
            <w:pPr>
              <w:spacing w:after="0"/>
              <w:rPr>
                <w:sz w:val="18"/>
                <w:szCs w:val="18"/>
                <w:color w:val="auto"/>
              </w:rPr>
            </w:pPr>
          </w:p>
        </w:tc>
        <w:tc>
          <w:tcPr>
            <w:tcW w:w="440" w:type="dxa"/>
            <w:vAlign w:val="bottom"/>
          </w:tcPr>
          <w:p>
            <w:pPr>
              <w:jc w:val="right"/>
              <w:ind w:right="60"/>
              <w:spacing w:after="0"/>
              <w:rPr>
                <w:sz w:val="20"/>
                <w:szCs w:val="20"/>
                <w:color w:val="auto"/>
              </w:rPr>
            </w:pPr>
            <w:r>
              <w:rPr>
                <w:rFonts w:ascii="Arial" w:cs="Arial" w:eastAsia="Arial" w:hAnsi="Arial"/>
                <w:sz w:val="16"/>
                <w:szCs w:val="16"/>
                <w:color w:val="auto"/>
              </w:rPr>
              <w:t>―</w:t>
            </w:r>
          </w:p>
        </w:tc>
      </w:tr>
      <w:tr>
        <w:trPr>
          <w:trHeight w:val="204"/>
        </w:trPr>
        <w:tc>
          <w:tcPr>
            <w:tcW w:w="8200" w:type="dxa"/>
            <w:vAlign w:val="bottom"/>
          </w:tcPr>
          <w:p>
            <w:pPr>
              <w:ind w:left="180"/>
              <w:spacing w:after="0"/>
              <w:rPr>
                <w:sz w:val="20"/>
                <w:szCs w:val="20"/>
                <w:color w:val="auto"/>
              </w:rPr>
            </w:pPr>
            <w:r>
              <w:rPr>
                <w:rFonts w:ascii="Arial" w:cs="Arial" w:eastAsia="Arial" w:hAnsi="Arial"/>
                <w:sz w:val="16"/>
                <w:szCs w:val="16"/>
                <w:color w:val="auto"/>
              </w:rPr>
              <w:t>Other</w:t>
            </w:r>
          </w:p>
        </w:tc>
        <w:tc>
          <w:tcPr>
            <w:tcW w:w="10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(7)</w:t>
            </w:r>
          </w:p>
        </w:tc>
        <w:tc>
          <w:tcPr>
            <w:tcW w:w="10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r>
      <w:tr>
        <w:trPr>
          <w:trHeight w:val="206"/>
        </w:trPr>
        <w:tc>
          <w:tcPr>
            <w:tcW w:w="8200" w:type="dxa"/>
            <w:vAlign w:val="bottom"/>
          </w:tcPr>
          <w:p>
            <w:pPr>
              <w:ind w:left="360"/>
              <w:spacing w:after="0"/>
              <w:rPr>
                <w:sz w:val="20"/>
                <w:szCs w:val="20"/>
                <w:color w:val="auto"/>
              </w:rPr>
            </w:pPr>
            <w:r>
              <w:rPr>
                <w:rFonts w:ascii="Arial" w:cs="Arial" w:eastAsia="Arial" w:hAnsi="Arial"/>
                <w:sz w:val="16"/>
                <w:szCs w:val="16"/>
                <w:color w:val="auto"/>
              </w:rPr>
              <w:t>Net cash provided by (used in) financing activities</w:t>
            </w:r>
          </w:p>
        </w:tc>
        <w:tc>
          <w:tcPr>
            <w:tcW w:w="10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447</w:t>
            </w:r>
          </w:p>
        </w:tc>
        <w:tc>
          <w:tcPr>
            <w:tcW w:w="10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r>
    </w:tbl>
    <w:p>
      <w:pPr>
        <w:spacing w:after="0" w:line="200" w:lineRule="exact"/>
        <w:rPr>
          <w:sz w:val="20"/>
          <w:szCs w:val="20"/>
          <w:color w:val="auto"/>
        </w:rPr>
      </w:pPr>
    </w:p>
    <w:p>
      <w:pPr>
        <w:sectPr>
          <w:pgSz w:w="11900" w:h="16838" w:orient="portrait"/>
          <w:cols w:equalWidth="0" w:num="1">
            <w:col w:w="11420"/>
          </w:cols>
          <w:pgMar w:left="240" w:top="128" w:right="239" w:bottom="52" w:gutter="0" w:footer="0" w:header="0"/>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Decrease in cash and cash equivalents</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January 1</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September 30</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900" w:type="dxa"/>
            <w:vAlign w:val="bottom"/>
          </w:tcPr>
          <w:p>
            <w:pPr>
              <w:spacing w:after="0"/>
              <w:rPr>
                <w:sz w:val="16"/>
                <w:szCs w:val="16"/>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color w:val="auto"/>
              </w:rPr>
              <w:t>(2)</w:t>
            </w:r>
          </w:p>
        </w:tc>
        <w:tc>
          <w:tcPr>
            <w:tcW w:w="7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204"/>
        </w:trPr>
        <w:tc>
          <w:tcPr>
            <w:tcW w:w="9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27</w:t>
            </w:r>
          </w:p>
        </w:tc>
        <w:tc>
          <w:tcPr>
            <w:tcW w:w="7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w:t>
            </w:r>
          </w:p>
        </w:tc>
      </w:tr>
      <w:tr>
        <w:trPr>
          <w:trHeight w:val="173"/>
        </w:trPr>
        <w:tc>
          <w:tcPr>
            <w:tcW w:w="900" w:type="dxa"/>
            <w:vAlign w:val="bottom"/>
            <w:tcBorders>
              <w:bottom w:val="single" w:sz="8" w:color="auto"/>
            </w:tcBorders>
          </w:tcPr>
          <w:p>
            <w:pPr>
              <w:jc w:val="right"/>
              <w:ind w:right="420"/>
              <w:spacing w:after="0" w:line="166"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80"/>
              <w:spacing w:after="0" w:line="166" w:lineRule="exact"/>
              <w:rPr>
                <w:sz w:val="20"/>
                <w:szCs w:val="20"/>
                <w:color w:val="auto"/>
              </w:rPr>
            </w:pPr>
            <w:r>
              <w:rPr>
                <w:rFonts w:ascii="Arial" w:cs="Arial" w:eastAsia="Arial" w:hAnsi="Arial"/>
                <w:sz w:val="16"/>
                <w:szCs w:val="16"/>
                <w:color w:val="auto"/>
              </w:rPr>
              <w:t>25</w:t>
            </w:r>
          </w:p>
        </w:tc>
        <w:tc>
          <w:tcPr>
            <w:tcW w:w="700" w:type="dxa"/>
            <w:vAlign w:val="bottom"/>
            <w:tcBorders>
              <w:bottom w:val="single" w:sz="8" w:color="auto"/>
            </w:tcBorders>
          </w:tcPr>
          <w:p>
            <w:pPr>
              <w:jc w:val="right"/>
              <w:ind w:right="380"/>
              <w:spacing w:after="0" w:line="166"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15</w:t>
            </w:r>
          </w:p>
        </w:tc>
      </w:tr>
    </w:tbl>
    <w:p>
      <w:pPr>
        <w:spacing w:after="0" w:line="200" w:lineRule="exact"/>
        <w:rPr>
          <w:sz w:val="20"/>
          <w:szCs w:val="20"/>
          <w:color w:val="auto"/>
        </w:rPr>
      </w:pPr>
    </w:p>
    <w:p>
      <w:pPr>
        <w:sectPr>
          <w:pgSz w:w="11900" w:h="16838" w:orient="portrait"/>
          <w:cols w:equalWidth="0" w:num="2">
            <w:col w:w="7480" w:space="720"/>
            <w:col w:w="3220"/>
          </w:cols>
          <w:pgMar w:left="240" w:top="128" w:right="239" w:bottom="52" w:gutter="0" w:footer="0" w:header="0"/>
          <w:type w:val="continuous"/>
        </w:sectPr>
      </w:pP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80" w:type="dxa"/>
            <w:vAlign w:val="bottom"/>
          </w:tcPr>
          <w:p>
            <w:pPr>
              <w:spacing w:after="0"/>
              <w:rPr>
                <w:sz w:val="20"/>
                <w:szCs w:val="20"/>
                <w:color w:val="auto"/>
              </w:rPr>
            </w:pPr>
            <w:r>
              <w:rPr>
                <w:rFonts w:ascii="Arial" w:cs="Arial" w:eastAsia="Arial" w:hAnsi="Arial"/>
                <w:sz w:val="16"/>
                <w:szCs w:val="16"/>
                <w:color w:val="auto"/>
              </w:rPr>
              <w:t>SUPPLEMENTAL DISCLOSURE OF CASH FLOW INFORMATION</w:t>
            </w:r>
          </w:p>
        </w:tc>
        <w:tc>
          <w:tcPr>
            <w:tcW w:w="2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2"/>
        </w:trPr>
        <w:tc>
          <w:tcPr>
            <w:tcW w:w="6880" w:type="dxa"/>
            <w:vAlign w:val="bottom"/>
          </w:tcPr>
          <w:p>
            <w:pPr>
              <w:ind w:left="180"/>
              <w:spacing w:after="0"/>
              <w:rPr>
                <w:sz w:val="20"/>
                <w:szCs w:val="20"/>
                <w:color w:val="auto"/>
              </w:rPr>
            </w:pPr>
            <w:r>
              <w:rPr>
                <w:rFonts w:ascii="Arial" w:cs="Arial" w:eastAsia="Arial" w:hAnsi="Arial"/>
                <w:sz w:val="16"/>
                <w:szCs w:val="16"/>
                <w:color w:val="auto"/>
              </w:rPr>
              <w:t>Interest payments, net of amounts capitalized</w:t>
            </w:r>
          </w:p>
        </w:tc>
        <w:tc>
          <w:tcPr>
            <w:tcW w:w="2180" w:type="dxa"/>
            <w:vAlign w:val="bottom"/>
          </w:tcPr>
          <w:p>
            <w:pPr>
              <w:jc w:val="right"/>
              <w:ind w:right="38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43</w:t>
            </w:r>
          </w:p>
        </w:tc>
        <w:tc>
          <w:tcPr>
            <w:tcW w:w="760" w:type="dxa"/>
            <w:vAlign w:val="bottom"/>
          </w:tcPr>
          <w:p>
            <w:pPr>
              <w:jc w:val="right"/>
              <w:ind w:right="44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13"/>
        </w:trPr>
        <w:tc>
          <w:tcPr>
            <w:tcW w:w="6880" w:type="dxa"/>
            <w:vAlign w:val="bottom"/>
          </w:tcPr>
          <w:p>
            <w:pPr>
              <w:ind w:left="180"/>
              <w:spacing w:after="0"/>
              <w:rPr>
                <w:sz w:val="20"/>
                <w:szCs w:val="20"/>
                <w:color w:val="auto"/>
              </w:rPr>
            </w:pPr>
            <w:r>
              <w:rPr>
                <w:rFonts w:ascii="Arial" w:cs="Arial" w:eastAsia="Arial" w:hAnsi="Arial"/>
                <w:sz w:val="16"/>
                <w:szCs w:val="16"/>
                <w:color w:val="auto"/>
              </w:rPr>
              <w:t>Income tax payments, net of refunds</w:t>
            </w:r>
          </w:p>
        </w:tc>
        <w:tc>
          <w:tcPr>
            <w:tcW w:w="2180" w:type="dxa"/>
            <w:vAlign w:val="bottom"/>
          </w:tcPr>
          <w:p>
            <w:pPr>
              <w:spacing w:after="0"/>
              <w:rPr>
                <w:sz w:val="18"/>
                <w:szCs w:val="18"/>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19</w:t>
            </w:r>
          </w:p>
        </w:tc>
        <w:tc>
          <w:tcPr>
            <w:tcW w:w="7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406"/>
        </w:trPr>
        <w:tc>
          <w:tcPr>
            <w:tcW w:w="6880" w:type="dxa"/>
            <w:vAlign w:val="bottom"/>
          </w:tcPr>
          <w:p>
            <w:pPr>
              <w:spacing w:after="0"/>
              <w:rPr>
                <w:sz w:val="20"/>
                <w:szCs w:val="20"/>
                <w:color w:val="auto"/>
              </w:rPr>
            </w:pPr>
            <w:r>
              <w:rPr>
                <w:rFonts w:ascii="Arial" w:cs="Arial" w:eastAsia="Arial" w:hAnsi="Arial"/>
                <w:sz w:val="16"/>
                <w:szCs w:val="16"/>
                <w:color w:val="auto"/>
              </w:rPr>
              <w:t>SUPPLEMENTAL DISCLOSURE OF NONCASH INVESTING ACTIVITIES</w:t>
            </w:r>
          </w:p>
        </w:tc>
        <w:tc>
          <w:tcPr>
            <w:tcW w:w="2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92"/>
        </w:trPr>
        <w:tc>
          <w:tcPr>
            <w:tcW w:w="6880" w:type="dxa"/>
            <w:vAlign w:val="bottom"/>
          </w:tcPr>
          <w:p>
            <w:pPr>
              <w:ind w:left="180"/>
              <w:spacing w:after="0"/>
              <w:rPr>
                <w:sz w:val="20"/>
                <w:szCs w:val="20"/>
                <w:color w:val="auto"/>
              </w:rPr>
            </w:pPr>
            <w:r>
              <w:rPr>
                <w:rFonts w:ascii="Arial" w:cs="Arial" w:eastAsia="Arial" w:hAnsi="Arial"/>
                <w:sz w:val="16"/>
                <w:szCs w:val="16"/>
                <w:color w:val="auto"/>
              </w:rPr>
              <w:t>Accrued capital expenditures</w:t>
            </w:r>
          </w:p>
        </w:tc>
        <w:tc>
          <w:tcPr>
            <w:tcW w:w="2180" w:type="dxa"/>
            <w:vAlign w:val="bottom"/>
          </w:tcPr>
          <w:p>
            <w:pPr>
              <w:jc w:val="right"/>
              <w:ind w:right="38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137</w:t>
            </w:r>
          </w:p>
        </w:tc>
        <w:tc>
          <w:tcPr>
            <w:tcW w:w="760" w:type="dxa"/>
            <w:vAlign w:val="bottom"/>
          </w:tcPr>
          <w:p>
            <w:pPr>
              <w:jc w:val="right"/>
              <w:ind w:right="44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724852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8525" cy="1714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3"/>
          <w:szCs w:val="23"/>
          <w:color w:val="auto"/>
        </w:rPr>
        <w:t>SEMPRA ENERGY AND SUBSIDIARIES</w:t>
      </w:r>
    </w:p>
    <w:p>
      <w:pPr>
        <w:spacing w:after="0" w:line="267" w:lineRule="exact"/>
        <w:rPr>
          <w:sz w:val="20"/>
          <w:szCs w:val="20"/>
          <w:color w:val="auto"/>
        </w:rPr>
      </w:pPr>
    </w:p>
    <w:p>
      <w:pPr>
        <w:spacing w:after="0"/>
        <w:rPr>
          <w:sz w:val="20"/>
          <w:szCs w:val="20"/>
          <w:color w:val="auto"/>
        </w:rPr>
      </w:pPr>
      <w:r>
        <w:rPr>
          <w:rFonts w:ascii="Arial" w:cs="Arial" w:eastAsia="Arial" w:hAnsi="Arial"/>
          <w:sz w:val="23"/>
          <w:szCs w:val="23"/>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369570</wp:posOffset>
            </wp:positionV>
            <wp:extent cx="72656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5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color w:val="auto"/>
        </w:rPr>
        <w:t>NOTE 1. GENERAL</w:t>
      </w:r>
    </w:p>
    <w:p>
      <w:pPr>
        <w:sectPr>
          <w:pgSz w:w="11900" w:h="16838" w:orient="portrait"/>
          <w:cols w:equalWidth="0" w:num="1">
            <w:col w:w="11420"/>
          </w:cols>
          <w:pgMar w:left="240" w:top="128" w:right="239" w:bottom="52"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PRINCIPLES OF CONSOLIDATION</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Sempra Energy</w:t>
      </w:r>
    </w:p>
    <w:p>
      <w:pPr>
        <w:spacing w:after="0" w:line="211" w:lineRule="exact"/>
        <w:rPr>
          <w:sz w:val="20"/>
          <w:szCs w:val="20"/>
          <w:color w:val="auto"/>
        </w:rPr>
      </w:pPr>
    </w:p>
    <w:p>
      <w:pPr>
        <w:ind w:right="20"/>
        <w:spacing w:after="0" w:line="295" w:lineRule="auto"/>
        <w:rPr>
          <w:sz w:val="20"/>
          <w:szCs w:val="20"/>
          <w:color w:val="auto"/>
        </w:rPr>
      </w:pPr>
      <w:r>
        <w:rPr>
          <w:rFonts w:ascii="Arial" w:cs="Arial" w:eastAsia="Arial" w:hAnsi="Arial"/>
          <w:sz w:val="17"/>
          <w:szCs w:val="17"/>
          <w:color w:val="auto"/>
        </w:rPr>
        <w:t>Sempra Energy’s Condensed Consolidated Financial Statements include the accounts of Sempra Energy, a California-based Fortune 500 energy-services holding company, and its consolidated subsidiaries and variable interest entities (VIEs). Sempra Energy’s principal operating units are</w:t>
      </w:r>
    </w:p>
    <w:p>
      <w:pPr>
        <w:spacing w:after="0" w:line="157" w:lineRule="exact"/>
        <w:rPr>
          <w:sz w:val="20"/>
          <w:szCs w:val="20"/>
          <w:color w:val="auto"/>
        </w:rPr>
      </w:pPr>
    </w:p>
    <w:p>
      <w:pPr>
        <w:ind w:left="320" w:hanging="172"/>
        <w:spacing w:after="0"/>
        <w:tabs>
          <w:tab w:leader="none" w:pos="320" w:val="left"/>
        </w:tabs>
        <w:numPr>
          <w:ilvl w:val="0"/>
          <w:numId w:val="9"/>
        </w:numPr>
        <w:rPr>
          <w:rFonts w:ascii="Arial" w:cs="Arial" w:eastAsia="Arial" w:hAnsi="Arial"/>
          <w:sz w:val="17"/>
          <w:szCs w:val="17"/>
          <w:color w:val="auto"/>
        </w:rPr>
      </w:pPr>
      <w:r>
        <w:rPr>
          <w:rFonts w:ascii="Arial" w:cs="Arial" w:eastAsia="Arial" w:hAnsi="Arial"/>
          <w:sz w:val="17"/>
          <w:szCs w:val="17"/>
          <w:color w:val="auto"/>
        </w:rPr>
        <w:t>San Diego Gas &amp; Electric Company (SDG&amp;E) and Southern California Gas Company (SoCalGas), which are separate, reportable segments;</w:t>
      </w:r>
    </w:p>
    <w:p>
      <w:pPr>
        <w:spacing w:after="0" w:line="256" w:lineRule="exact"/>
        <w:rPr>
          <w:rFonts w:ascii="Arial" w:cs="Arial" w:eastAsia="Arial" w:hAnsi="Arial"/>
          <w:sz w:val="17"/>
          <w:szCs w:val="17"/>
          <w:color w:val="auto"/>
        </w:rPr>
      </w:pPr>
    </w:p>
    <w:p>
      <w:pPr>
        <w:ind w:left="320" w:hanging="17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Sempra International, which includes our Sempra South American Utilities and Sempra Mexico reportable segments; and</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Sempra U.S. Gas &amp; Power, which includes our Sempra Renewables and Sempra Natural Gas reportable segments.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We provide descriptions of each of our segments in Note 12.</w:t>
      </w:r>
    </w:p>
    <w:p>
      <w:pPr>
        <w:spacing w:after="0" w:line="21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refer to SDG&amp;E and SoCalGas collectively as the California Utilities, which do not include the utilities in our Sempra International and Sempra U.S. Gas &amp; Power operating units. Sempra Global is the holding company for most of our subsidiaries that are not subject to California utility regulation. All references in these Notes to “Sempra International,” “Sempra U.S. Gas &amp; Power” and their respective reportable segments are not intended to refer to any legal entity with the same or similar name.</w:t>
      </w:r>
    </w:p>
    <w:p>
      <w:pPr>
        <w:spacing w:after="0" w:line="190"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Our Sempra Mexico segment includes the operating companies of our subsidiary, Infraestructura Energética Nova, S.A.B. de C.V. (IEnova), as well as certain holding companies and risk management activity. We discuss IEnova further in Note 5 under “Shareholders’ Equity and Noncontrolling Interests – Sale of Noncontrolling Interests.”</w:t>
      </w:r>
    </w:p>
    <w:p>
      <w:pPr>
        <w:spacing w:after="0" w:line="188"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Sempra Energy uses the equity method to account for investments in affiliated companies over which we have the ability to exercise significant influence, but not control. We discuss our investments in unconsolidated entities in Notes 4 and 13 herein and in Notes 3 and 4 of the Notes to Consolidated Financial Statements in our Annual Report on Form 10-K for the year ended December 31, 2013 (the Annual Report), which includes the combined reports for Sempra Energy, SDG&amp;E and SoCalGas.</w:t>
      </w:r>
    </w:p>
    <w:p>
      <w:pPr>
        <w:spacing w:after="0" w:line="39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SDG&amp;E</w:t>
      </w:r>
    </w:p>
    <w:p>
      <w:pPr>
        <w:spacing w:after="0" w:line="211"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SDG&amp;E’s Condensed Consolidated Financial Statements include its accounts and the accounts of a VIE of which SDG&amp;E is the primary beneficiary, as we discuss in Note 5 under “Variable Interest Entities.” SDG&amp;E’s common stock is wholly owned by Enova Corporation, which is a wholly owned subsidiary of Sempra Energy.</w:t>
      </w:r>
    </w:p>
    <w:p>
      <w:pPr>
        <w:spacing w:after="0" w:line="39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SoCalGas</w:t>
      </w:r>
    </w:p>
    <w:p>
      <w:pPr>
        <w:spacing w:after="0" w:line="211"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color w:val="auto"/>
        </w:rPr>
        <w:t>SoCalGas’ Condensed Consolidated Financial Statements include its accounts and the de minimus accounts of inactive subsidiaries. SoCalGas’ common stock is wholly owned by Pacific Enterprises (PE), which is a wholly owned subsidiary of Sempra Energy.</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This is a combined report of Sempra Energy, SDG&amp;E and SoCalGas. We provide separate information for SDG&amp;E and SoCalGas as required. References in this report to “we,” “our” and “Sempra Energy Consolidated” are to Sempra Energy and its consolidated entities, unless otherwise indicated by the context. We have eliminated intercompany accounts and transactions within the consolidated financial statements of each reporting entity.</w:t>
      </w:r>
    </w:p>
    <w:p>
      <w:pPr>
        <w:spacing w:after="0" w:line="154" w:lineRule="exact"/>
        <w:rPr>
          <w:sz w:val="20"/>
          <w:szCs w:val="20"/>
          <w:color w:val="auto"/>
        </w:rPr>
      </w:pPr>
    </w:p>
    <w:p>
      <w:pPr>
        <w:ind w:right="220"/>
        <w:spacing w:after="0" w:line="251" w:lineRule="auto"/>
        <w:rPr>
          <w:sz w:val="20"/>
          <w:szCs w:val="20"/>
          <w:color w:val="auto"/>
        </w:rPr>
      </w:pPr>
      <w:r>
        <w:rPr>
          <w:rFonts w:ascii="Arial" w:cs="Arial" w:eastAsia="Arial" w:hAnsi="Arial"/>
          <w:sz w:val="18"/>
          <w:szCs w:val="18"/>
          <w:color w:val="auto"/>
        </w:rPr>
        <w:t>We have prepared the Condensed Consolidated Financial Statements in conformity with accounting principles generally accepted in the United States of America (U.S. GAAP) and in accordance with the interim-period-reporting requirements of Form 10-Q. Results of operations for interim periods are not necessarily indicative of results for the entire year. We evaluated events and transactions that occurred after September 30, 2014 through the date the financial statements were issued and, in the opinion of management, the accompanying statements reflect all adjustments necessary for a fair presentation. These adjustments are only of a normal, recurring nature.</w:t>
      </w:r>
    </w:p>
    <w:p>
      <w:pPr>
        <w:spacing w:after="0" w:line="193" w:lineRule="exact"/>
        <w:rPr>
          <w:sz w:val="20"/>
          <w:szCs w:val="20"/>
          <w:color w:val="auto"/>
        </w:rPr>
      </w:pPr>
    </w:p>
    <w:p>
      <w:pPr>
        <w:jc w:val="both"/>
        <w:ind w:right="220"/>
        <w:spacing w:after="0" w:line="303" w:lineRule="auto"/>
        <w:rPr>
          <w:sz w:val="20"/>
          <w:szCs w:val="20"/>
          <w:color w:val="auto"/>
        </w:rPr>
      </w:pPr>
      <w:r>
        <w:rPr>
          <w:rFonts w:ascii="Arial" w:cs="Arial" w:eastAsia="Arial" w:hAnsi="Arial"/>
          <w:sz w:val="16"/>
          <w:szCs w:val="16"/>
          <w:color w:val="auto"/>
        </w:rPr>
        <w:t>All December 31, 2013 balance sheet information in the Condensed Consolidated Financial Statements has been derived from our audited 2013 consolidated financial statements. Certain information and note disclosures normally included in annual financial statements prepared in accordance with U.S. GAAP have been condensed or omitted pursuant to the interim-period-reporting provisions of U.S. GAAP and the Securities and Exchange Commission.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You should read the information in this Quarterly Report in conjunction with the Annual Report.</w:t>
      </w:r>
    </w:p>
    <w:p>
      <w:pPr>
        <w:spacing w:after="0" w:line="218"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Sempra South American Utilities has controlling interests in two electric distribution utilities in South America. Sempra Natural Gas owns Mobile Gas Service Corporation (Mobile Gas) in southwest Alabama and Willmut Gas Company (Willmut Gas) in Mississippi, and Sempra Mexico owns Ecogas México, S. de R.L. de C.V. (Ecogas) in northern Mexico, all natural gas distribution utilities. The California Utilities, Sempra Natural Gas’ Mobile Gas and Willmut Gas, and Sempra Mexico’s Ecogas prepare their financial statements in accordance with U.S. GAAP provisions governing regulated operations, as we discuss in Note 1 of the Notes to Consolidated Financial Statements in the Annual Report.</w:t>
      </w:r>
    </w:p>
    <w:p>
      <w:pPr>
        <w:spacing w:after="0" w:line="180" w:lineRule="exact"/>
        <w:rPr>
          <w:sz w:val="20"/>
          <w:szCs w:val="20"/>
          <w:color w:val="auto"/>
        </w:rPr>
      </w:pPr>
    </w:p>
    <w:p>
      <w:pPr>
        <w:ind w:right="720"/>
        <w:spacing w:after="0" w:line="295" w:lineRule="auto"/>
        <w:rPr>
          <w:sz w:val="20"/>
          <w:szCs w:val="20"/>
          <w:color w:val="auto"/>
        </w:rPr>
      </w:pPr>
      <w:r>
        <w:rPr>
          <w:rFonts w:ascii="Arial" w:cs="Arial" w:eastAsia="Arial" w:hAnsi="Arial"/>
          <w:sz w:val="17"/>
          <w:szCs w:val="17"/>
          <w:color w:val="auto"/>
        </w:rPr>
        <w:t>We describe our significant accounting policies in Note 1 of the Notes to Consolidated Financial Statements in the Annual Report. We follow the same accounting policies for interim reporting purposes, except for the adoption of new accounting standards as we discuss in Note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445135</wp:posOffset>
            </wp:positionV>
            <wp:extent cx="72656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5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9"/>
          <w:szCs w:val="19"/>
          <w:color w:val="auto"/>
        </w:rPr>
        <w:t>NOTE 2. NEW ACCOUNTING STANDARDS</w:t>
      </w:r>
    </w:p>
    <w:p>
      <w:pPr>
        <w:sectPr>
          <w:pgSz w:w="11900" w:h="16838" w:orient="portrait"/>
          <w:cols w:equalWidth="0" w:num="1">
            <w:col w:w="11420"/>
          </w:cols>
          <w:pgMar w:left="240" w:top="118" w:right="239" w:bottom="92" w:gutter="0" w:footer="0" w:header="0"/>
        </w:sectPr>
      </w:pPr>
    </w:p>
    <w:bookmarkStart w:id="13" w:name="page14"/>
    <w:bookmarkEnd w:id="13"/>
    <w:p>
      <w:pPr>
        <w:ind w:right="100"/>
        <w:spacing w:after="0" w:line="329" w:lineRule="auto"/>
        <w:rPr>
          <w:sz w:val="20"/>
          <w:szCs w:val="20"/>
          <w:color w:val="auto"/>
        </w:rPr>
      </w:pPr>
      <w:r>
        <w:rPr>
          <w:rFonts w:ascii="Arial" w:cs="Arial" w:eastAsia="Arial" w:hAnsi="Arial"/>
          <w:sz w:val="16"/>
          <w:szCs w:val="16"/>
          <w:color w:val="auto"/>
        </w:rPr>
        <w:t>We describe below recent pronouncements that have had or may have a significant effect on our financial statements. We do not discuss recent pronouncements that are not anticipated to have an impact on or are unrelated to our financial condition, results of operations, cash flows or disclosures.</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ENERGY, SDG&amp;E AND SOCALGAS</w:t>
      </w:r>
    </w:p>
    <w:p>
      <w:pPr>
        <w:spacing w:after="0" w:line="223" w:lineRule="exact"/>
        <w:rPr>
          <w:sz w:val="20"/>
          <w:szCs w:val="20"/>
          <w:color w:val="auto"/>
        </w:rPr>
      </w:pPr>
    </w:p>
    <w:p>
      <w:pPr>
        <w:ind w:right="420"/>
        <w:spacing w:after="0" w:line="288" w:lineRule="auto"/>
        <w:rPr>
          <w:sz w:val="20"/>
          <w:szCs w:val="20"/>
          <w:color w:val="auto"/>
        </w:rPr>
      </w:pPr>
      <w:r>
        <w:rPr>
          <w:rFonts w:ascii="Arial" w:cs="Arial" w:eastAsia="Arial" w:hAnsi="Arial"/>
          <w:sz w:val="16"/>
          <w:szCs w:val="16"/>
          <w:b w:val="1"/>
          <w:bCs w:val="1"/>
          <w:i w:val="1"/>
          <w:iCs w:val="1"/>
          <w:color w:val="auto"/>
        </w:rPr>
        <w:t xml:space="preserve">Accounting Standards Update (ASU) 2013-11,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Presentation of an Unrecognized Tax Benefit When a Net Operating Loss Carryforward, a Similar Tax Loss, or a Tax Credit Carryforward Exists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(ASU 2013-11): </w:t>
      </w:r>
      <w:r>
        <w:rPr>
          <w:rFonts w:ascii="Arial" w:cs="Arial" w:eastAsia="Arial" w:hAnsi="Arial"/>
          <w:sz w:val="16"/>
          <w:szCs w:val="16"/>
          <w:color w:val="auto"/>
        </w:rPr>
        <w:t>ASU 2013-11 provides explicit guidance on the financial statement presentation of an</w:t>
      </w:r>
    </w:p>
    <w:p>
      <w:pPr>
        <w:spacing w:after="0" w:line="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unrecognized tax benefit when a net operating loss carryforward, a similar tax loss, or a tax credit carryforward exists. ASU 2013-11 requires an entity to present an unrecognized tax benefit, or a portion of an unrecognized tax benefit, as a reduction to a deferred tax asset for a net operating loss carryforward, a similar tax loss, or a tax credit carryforward. If a net operating loss carryforward, a similar tax loss, or a tax credit carryforward is not available at the reporting date under the tax law of the applicable jurisdiction to settle any additional income taxes that would result from the disallowance of a tax position or the tax law of the applicable jurisdiction does not require the entity to use, and the entity does not intend to use, the deferred tax asset for such purposes, an entity is required to present the unrecognized tax benefit in the financial statements as a liability instead of combined with deferred tax assets.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We adopted ASU 2013-11 on January 1, 2014 as required, and it did not significantly affect our financial condition, results of operations or cash flows.</w:t>
      </w:r>
    </w:p>
    <w:p>
      <w:pPr>
        <w:spacing w:after="0" w:line="224" w:lineRule="exact"/>
        <w:rPr>
          <w:sz w:val="20"/>
          <w:szCs w:val="20"/>
          <w:color w:val="auto"/>
        </w:rPr>
      </w:pPr>
    </w:p>
    <w:p>
      <w:pPr>
        <w:spacing w:after="0" w:line="279" w:lineRule="auto"/>
        <w:rPr>
          <w:sz w:val="20"/>
          <w:szCs w:val="20"/>
          <w:color w:val="auto"/>
        </w:rPr>
      </w:pPr>
      <w:r>
        <w:rPr>
          <w:rFonts w:ascii="Arial" w:cs="Arial" w:eastAsia="Arial" w:hAnsi="Arial"/>
          <w:sz w:val="16"/>
          <w:szCs w:val="16"/>
          <w:b w:val="1"/>
          <w:bCs w:val="1"/>
          <w:i w:val="1"/>
          <w:iCs w:val="1"/>
          <w:color w:val="auto"/>
        </w:rPr>
        <w:t xml:space="preserve">ASU 2014-09,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Revenue from Contracts with Customers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(ASU 2014-09): </w:t>
      </w:r>
      <w:r>
        <w:rPr>
          <w:rFonts w:ascii="Arial" w:cs="Arial" w:eastAsia="Arial" w:hAnsi="Arial"/>
          <w:sz w:val="16"/>
          <w:szCs w:val="16"/>
          <w:color w:val="auto"/>
        </w:rPr>
        <w:t>ASU 2014-09 provides accounting guidance for revenue arising from contracts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customers and affects all entities that enter into contracts to provide goods or services to their customers. The guidance also provides a model for the measurement and recognition of gains and losses on the sale of certain nonfinancial assets, such as property and equipment, including real estate. This guidance must be adopted using either a full retrospective approach for all periods presented in the period of adoption or a modified retrospective approach.</w:t>
      </w:r>
    </w:p>
    <w:p>
      <w:pPr>
        <w:spacing w:after="0" w:line="147" w:lineRule="exact"/>
        <w:rPr>
          <w:sz w:val="20"/>
          <w:szCs w:val="20"/>
          <w:color w:val="auto"/>
        </w:rPr>
      </w:pPr>
    </w:p>
    <w:p>
      <w:pPr>
        <w:ind w:right="520"/>
        <w:spacing w:after="0" w:line="250" w:lineRule="auto"/>
        <w:rPr>
          <w:sz w:val="20"/>
          <w:szCs w:val="20"/>
          <w:color w:val="auto"/>
        </w:rPr>
      </w:pPr>
      <w:r>
        <w:rPr>
          <w:rFonts w:ascii="Arial" w:cs="Arial" w:eastAsia="Arial" w:hAnsi="Arial"/>
          <w:sz w:val="18"/>
          <w:szCs w:val="18"/>
          <w:color w:val="auto"/>
        </w:rPr>
        <w:t>We will adopt ASU 2014-09 on January 1, 2017 as required, and we are currently evaluating the effect of adopting it on our financial condition, results of operations and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459740</wp:posOffset>
            </wp:positionV>
            <wp:extent cx="72656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5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NOTE 3. ACQUISITION AND DIVESTITURE ACTIVITY</w:t>
      </w:r>
    </w:p>
    <w:p>
      <w:pPr>
        <w:spacing w:after="0" w:line="198" w:lineRule="exact"/>
        <w:rPr>
          <w:sz w:val="20"/>
          <w:szCs w:val="20"/>
          <w:color w:val="auto"/>
        </w:rPr>
      </w:pPr>
    </w:p>
    <w:p>
      <w:pPr>
        <w:ind w:right="120"/>
        <w:spacing w:after="0" w:line="295" w:lineRule="auto"/>
        <w:rPr>
          <w:sz w:val="20"/>
          <w:szCs w:val="20"/>
          <w:color w:val="auto"/>
        </w:rPr>
      </w:pPr>
      <w:r>
        <w:rPr>
          <w:rFonts w:ascii="Arial" w:cs="Arial" w:eastAsia="Arial" w:hAnsi="Arial"/>
          <w:sz w:val="17"/>
          <w:szCs w:val="17"/>
          <w:color w:val="auto"/>
        </w:rPr>
        <w:t>During the nine months ended September 30, 2014 and 2013, Sempra Energy completed the sale of equity interests in various subsidiaries that were previously wholly owned. The following table summarizes the deconsolidation of those subsidiaries, and we discuss each transaction below:</w:t>
      </w:r>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DECONSOLIDATION OF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-104775</wp:posOffset>
            </wp:positionV>
            <wp:extent cx="7248525" cy="2533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8525" cy="25336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8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1460" w:type="dxa"/>
            <w:vAlign w:val="bottom"/>
            <w:vMerge w:val="restart"/>
          </w:tcPr>
          <w:p>
            <w:pPr>
              <w:jc w:val="center"/>
              <w:ind w:left="286"/>
              <w:spacing w:after="0"/>
              <w:rPr>
                <w:sz w:val="20"/>
                <w:szCs w:val="20"/>
                <w:color w:val="auto"/>
              </w:rPr>
            </w:pPr>
            <w:r>
              <w:rPr>
                <w:rFonts w:ascii="Arial" w:cs="Arial" w:eastAsia="Arial" w:hAnsi="Arial"/>
                <w:sz w:val="14"/>
                <w:szCs w:val="14"/>
                <w:color w:val="auto"/>
              </w:rPr>
              <w:t>Energía</w:t>
            </w: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gridSpan w:val="2"/>
            <w:vMerge w:val="restart"/>
          </w:tcPr>
          <w:p>
            <w:pPr>
              <w:jc w:val="center"/>
              <w:ind w:right="500"/>
              <w:spacing w:after="0"/>
              <w:rPr>
                <w:sz w:val="20"/>
                <w:szCs w:val="20"/>
                <w:color w:val="auto"/>
              </w:rPr>
            </w:pPr>
            <w:r>
              <w:rPr>
                <w:rFonts w:ascii="Arial" w:cs="Arial" w:eastAsia="Arial" w:hAnsi="Arial"/>
                <w:sz w:val="14"/>
                <w:szCs w:val="14"/>
                <w:color w:val="auto"/>
              </w:rPr>
              <w:t>Copper Mountain</w:t>
            </w:r>
          </w:p>
        </w:tc>
        <w:tc>
          <w:tcPr>
            <w:tcW w:w="300" w:type="dxa"/>
            <w:vAlign w:val="bottom"/>
          </w:tcPr>
          <w:p>
            <w:pPr>
              <w:spacing w:after="0"/>
              <w:rPr>
                <w:sz w:val="16"/>
                <w:szCs w:val="16"/>
                <w:color w:val="auto"/>
              </w:rPr>
            </w:pPr>
          </w:p>
        </w:tc>
        <w:tc>
          <w:tcPr>
            <w:tcW w:w="1520" w:type="dxa"/>
            <w:vAlign w:val="bottom"/>
            <w:vMerge w:val="restart"/>
          </w:tcPr>
          <w:p>
            <w:pPr>
              <w:jc w:val="center"/>
              <w:ind w:right="382"/>
              <w:spacing w:after="0"/>
              <w:rPr>
                <w:sz w:val="20"/>
                <w:szCs w:val="20"/>
                <w:color w:val="auto"/>
              </w:rPr>
            </w:pPr>
            <w:r>
              <w:rPr>
                <w:rFonts w:ascii="Arial" w:cs="Arial" w:eastAsia="Arial" w:hAnsi="Arial"/>
                <w:sz w:val="14"/>
                <w:szCs w:val="14"/>
                <w:color w:val="auto"/>
              </w:rPr>
              <w:t>Sempra Energy</w:t>
            </w: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780" w:type="dxa"/>
            <w:vAlign w:val="bottom"/>
          </w:tcPr>
          <w:p>
            <w:pPr>
              <w:spacing w:after="0"/>
              <w:rPr>
                <w:sz w:val="13"/>
                <w:szCs w:val="13"/>
                <w:color w:val="auto"/>
              </w:rPr>
            </w:pPr>
          </w:p>
        </w:tc>
        <w:tc>
          <w:tcPr>
            <w:tcW w:w="1460" w:type="dxa"/>
            <w:vAlign w:val="bottom"/>
            <w:tcBorders>
              <w:bottom w:val="single" w:sz="8" w:color="auto"/>
            </w:tcBorders>
          </w:tcPr>
          <w:p>
            <w:pPr>
              <w:jc w:val="center"/>
              <w:ind w:left="306"/>
              <w:spacing w:after="0" w:line="155" w:lineRule="exact"/>
              <w:rPr>
                <w:sz w:val="20"/>
                <w:szCs w:val="20"/>
                <w:color w:val="auto"/>
              </w:rPr>
            </w:pPr>
            <w:r>
              <w:rPr>
                <w:rFonts w:ascii="Arial" w:cs="Arial" w:eastAsia="Arial" w:hAnsi="Arial"/>
                <w:sz w:val="14"/>
                <w:szCs w:val="14"/>
                <w:color w:val="auto"/>
              </w:rPr>
              <w:t>Sierra Juárez</w:t>
            </w:r>
          </w:p>
        </w:tc>
        <w:tc>
          <w:tcPr>
            <w:tcW w:w="4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2"/>
          </w:tcPr>
          <w:p>
            <w:pPr>
              <w:jc w:val="center"/>
              <w:ind w:right="500"/>
              <w:spacing w:after="0" w:line="155" w:lineRule="exact"/>
              <w:rPr>
                <w:sz w:val="20"/>
                <w:szCs w:val="20"/>
                <w:color w:val="auto"/>
              </w:rPr>
            </w:pPr>
            <w:r>
              <w:rPr>
                <w:rFonts w:ascii="Arial" w:cs="Arial" w:eastAsia="Arial" w:hAnsi="Arial"/>
                <w:sz w:val="14"/>
                <w:szCs w:val="14"/>
                <w:color w:val="auto"/>
                <w:w w:val="99"/>
              </w:rPr>
              <w:t>Solar 3</w:t>
            </w:r>
          </w:p>
        </w:tc>
        <w:tc>
          <w:tcPr>
            <w:tcW w:w="3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center"/>
              <w:ind w:right="382"/>
              <w:spacing w:after="0" w:line="155" w:lineRule="exact"/>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206"/>
        </w:trPr>
        <w:tc>
          <w:tcPr>
            <w:tcW w:w="5780" w:type="dxa"/>
            <w:vAlign w:val="bottom"/>
          </w:tcPr>
          <w:p>
            <w:pPr>
              <w:spacing w:after="0"/>
              <w:rPr>
                <w:sz w:val="17"/>
                <w:szCs w:val="17"/>
                <w:color w:val="auto"/>
              </w:rPr>
            </w:pPr>
          </w:p>
        </w:tc>
        <w:tc>
          <w:tcPr>
            <w:tcW w:w="1460" w:type="dxa"/>
            <w:vAlign w:val="bottom"/>
          </w:tcPr>
          <w:p>
            <w:pPr>
              <w:jc w:val="center"/>
              <w:ind w:left="286"/>
              <w:spacing w:after="0"/>
              <w:rPr>
                <w:sz w:val="20"/>
                <w:szCs w:val="20"/>
                <w:color w:val="auto"/>
              </w:rPr>
            </w:pPr>
            <w:r>
              <w:rPr>
                <w:rFonts w:ascii="Arial" w:cs="Arial" w:eastAsia="Arial" w:hAnsi="Arial"/>
                <w:sz w:val="14"/>
                <w:szCs w:val="14"/>
                <w:color w:val="auto"/>
              </w:rPr>
              <w:t>At July 16</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jc w:val="center"/>
              <w:ind w:right="500"/>
              <w:spacing w:after="0"/>
              <w:rPr>
                <w:sz w:val="20"/>
                <w:szCs w:val="20"/>
                <w:color w:val="auto"/>
              </w:rPr>
            </w:pPr>
            <w:r>
              <w:rPr>
                <w:rFonts w:ascii="Arial" w:cs="Arial" w:eastAsia="Arial" w:hAnsi="Arial"/>
                <w:sz w:val="14"/>
                <w:szCs w:val="14"/>
                <w:color w:val="auto"/>
              </w:rPr>
              <w:t>At March 13</w:t>
            </w: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78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2014:</w:t>
            </w:r>
          </w:p>
        </w:tc>
        <w:tc>
          <w:tcPr>
            <w:tcW w:w="146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780" w:type="dxa"/>
            <w:vAlign w:val="bottom"/>
          </w:tcPr>
          <w:p>
            <w:pPr>
              <w:spacing w:after="0"/>
              <w:rPr>
                <w:sz w:val="20"/>
                <w:szCs w:val="20"/>
                <w:color w:val="auto"/>
              </w:rPr>
            </w:pPr>
            <w:r>
              <w:rPr>
                <w:rFonts w:ascii="Arial" w:cs="Arial" w:eastAsia="Arial" w:hAnsi="Arial"/>
                <w:sz w:val="16"/>
                <w:szCs w:val="16"/>
                <w:color w:val="auto"/>
              </w:rPr>
              <w:t>Proceeds from sale, net of negligible transaction costs</w:t>
            </w:r>
          </w:p>
        </w:tc>
        <w:tc>
          <w:tcPr>
            <w:tcW w:w="1460" w:type="dxa"/>
            <w:vAlign w:val="bottom"/>
          </w:tcPr>
          <w:p>
            <w:pPr>
              <w:jc w:val="right"/>
              <w:ind w:right="1106"/>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20"/>
              <w:spacing w:after="0"/>
              <w:rPr>
                <w:sz w:val="20"/>
                <w:szCs w:val="20"/>
                <w:color w:val="auto"/>
              </w:rPr>
            </w:pPr>
            <w:r>
              <w:rPr>
                <w:rFonts w:ascii="Arial" w:cs="Arial" w:eastAsia="Arial" w:hAnsi="Arial"/>
                <w:sz w:val="16"/>
                <w:szCs w:val="16"/>
                <w:color w:val="auto"/>
              </w:rPr>
              <w:t>26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660" w:type="dxa"/>
            <w:vAlign w:val="bottom"/>
            <w:gridSpan w:val="2"/>
          </w:tcPr>
          <w:p>
            <w:pPr>
              <w:jc w:val="right"/>
              <w:ind w:right="160"/>
              <w:spacing w:after="0"/>
              <w:rPr>
                <w:sz w:val="20"/>
                <w:szCs w:val="20"/>
                <w:color w:val="auto"/>
              </w:rPr>
            </w:pPr>
            <w:r>
              <w:rPr>
                <w:rFonts w:ascii="Arial" w:cs="Arial" w:eastAsia="Arial" w:hAnsi="Arial"/>
                <w:sz w:val="16"/>
                <w:szCs w:val="16"/>
                <w:color w:val="auto"/>
              </w:rPr>
              <w:t>68</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13"/>
        </w:trPr>
        <w:tc>
          <w:tcPr>
            <w:tcW w:w="5780" w:type="dxa"/>
            <w:vAlign w:val="bottom"/>
          </w:tcPr>
          <w:p>
            <w:pPr>
              <w:spacing w:after="0"/>
              <w:rPr>
                <w:sz w:val="20"/>
                <w:szCs w:val="20"/>
                <w:color w:val="auto"/>
              </w:rPr>
            </w:pPr>
            <w:r>
              <w:rPr>
                <w:rFonts w:ascii="Arial" w:cs="Arial" w:eastAsia="Arial" w:hAnsi="Arial"/>
                <w:sz w:val="16"/>
                <w:szCs w:val="16"/>
                <w:color w:val="auto"/>
              </w:rPr>
              <w:t>Cash</w:t>
            </w:r>
          </w:p>
        </w:tc>
        <w:tc>
          <w:tcPr>
            <w:tcW w:w="1460" w:type="dxa"/>
            <w:vAlign w:val="bottom"/>
          </w:tcPr>
          <w:p>
            <w:pPr>
              <w:spacing w:after="0"/>
              <w:rPr>
                <w:sz w:val="18"/>
                <w:szCs w:val="18"/>
                <w:color w:val="auto"/>
              </w:rPr>
            </w:pPr>
          </w:p>
        </w:tc>
        <w:tc>
          <w:tcPr>
            <w:tcW w:w="46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3"/>
        </w:trPr>
        <w:tc>
          <w:tcPr>
            <w:tcW w:w="5780" w:type="dxa"/>
            <w:vAlign w:val="bottom"/>
          </w:tcPr>
          <w:p>
            <w:pPr>
              <w:spacing w:after="0"/>
              <w:rPr>
                <w:sz w:val="20"/>
                <w:szCs w:val="20"/>
                <w:color w:val="auto"/>
              </w:rPr>
            </w:pPr>
            <w:r>
              <w:rPr>
                <w:rFonts w:ascii="Arial" w:cs="Arial" w:eastAsia="Arial" w:hAnsi="Arial"/>
                <w:sz w:val="16"/>
                <w:szCs w:val="16"/>
                <w:color w:val="auto"/>
              </w:rPr>
              <w:t>Other current assets</w:t>
            </w:r>
          </w:p>
        </w:tc>
        <w:tc>
          <w:tcPr>
            <w:tcW w:w="1460" w:type="dxa"/>
            <w:vAlign w:val="bottom"/>
          </w:tcPr>
          <w:p>
            <w:pPr>
              <w:spacing w:after="0"/>
              <w:rPr>
                <w:sz w:val="18"/>
                <w:szCs w:val="18"/>
                <w:color w:val="auto"/>
              </w:rPr>
            </w:pPr>
          </w:p>
        </w:tc>
        <w:tc>
          <w:tcPr>
            <w:tcW w:w="460" w:type="dxa"/>
            <w:vAlign w:val="bottom"/>
          </w:tcPr>
          <w:p>
            <w:pPr>
              <w:jc w:val="right"/>
              <w:ind w:right="20"/>
              <w:spacing w:after="0"/>
              <w:rPr>
                <w:sz w:val="20"/>
                <w:szCs w:val="20"/>
                <w:color w:val="auto"/>
              </w:rPr>
            </w:pPr>
            <w:r>
              <w:rPr>
                <w:rFonts w:ascii="Arial" w:cs="Arial" w:eastAsia="Arial" w:hAnsi="Arial"/>
                <w:sz w:val="16"/>
                <w:szCs w:val="16"/>
                <w:color w:val="auto"/>
              </w:rPr>
              <w:t>(11)</w:t>
            </w:r>
          </w:p>
        </w:tc>
        <w:tc>
          <w:tcPr>
            <w:tcW w:w="24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3"/>
        </w:trPr>
        <w:tc>
          <w:tcPr>
            <w:tcW w:w="578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1460" w:type="dxa"/>
            <w:vAlign w:val="bottom"/>
          </w:tcPr>
          <w:p>
            <w:pPr>
              <w:spacing w:after="0"/>
              <w:rPr>
                <w:sz w:val="18"/>
                <w:szCs w:val="18"/>
                <w:color w:val="auto"/>
              </w:rPr>
            </w:pPr>
          </w:p>
        </w:tc>
        <w:tc>
          <w:tcPr>
            <w:tcW w:w="460" w:type="dxa"/>
            <w:vAlign w:val="bottom"/>
          </w:tcPr>
          <w:p>
            <w:pPr>
              <w:jc w:val="right"/>
              <w:ind w:right="20"/>
              <w:spacing w:after="0"/>
              <w:rPr>
                <w:sz w:val="20"/>
                <w:szCs w:val="20"/>
                <w:color w:val="auto"/>
              </w:rPr>
            </w:pPr>
            <w:r>
              <w:rPr>
                <w:rFonts w:ascii="Arial" w:cs="Arial" w:eastAsia="Arial" w:hAnsi="Arial"/>
                <w:sz w:val="16"/>
                <w:szCs w:val="16"/>
                <w:color w:val="auto"/>
                <w:w w:val="90"/>
              </w:rPr>
              <w:t>(137)</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(247)</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213"/>
        </w:trPr>
        <w:tc>
          <w:tcPr>
            <w:tcW w:w="5780" w:type="dxa"/>
            <w:vAlign w:val="bottom"/>
          </w:tcPr>
          <w:p>
            <w:pPr>
              <w:spacing w:after="0"/>
              <w:rPr>
                <w:sz w:val="20"/>
                <w:szCs w:val="20"/>
                <w:color w:val="auto"/>
              </w:rPr>
            </w:pPr>
            <w:r>
              <w:rPr>
                <w:rFonts w:ascii="Arial" w:cs="Arial" w:eastAsia="Arial" w:hAnsi="Arial"/>
                <w:sz w:val="16"/>
                <w:szCs w:val="16"/>
                <w:color w:val="auto"/>
              </w:rPr>
              <w:t>Other assets</w:t>
            </w:r>
          </w:p>
        </w:tc>
        <w:tc>
          <w:tcPr>
            <w:tcW w:w="1460" w:type="dxa"/>
            <w:vAlign w:val="bottom"/>
          </w:tcPr>
          <w:p>
            <w:pPr>
              <w:spacing w:after="0"/>
              <w:rPr>
                <w:sz w:val="18"/>
                <w:szCs w:val="18"/>
                <w:color w:val="auto"/>
              </w:rPr>
            </w:pPr>
          </w:p>
        </w:tc>
        <w:tc>
          <w:tcPr>
            <w:tcW w:w="460" w:type="dxa"/>
            <w:vAlign w:val="bottom"/>
          </w:tcPr>
          <w:p>
            <w:pPr>
              <w:jc w:val="right"/>
              <w:ind w:right="20"/>
              <w:spacing w:after="0"/>
              <w:rPr>
                <w:sz w:val="20"/>
                <w:szCs w:val="20"/>
                <w:color w:val="auto"/>
              </w:rPr>
            </w:pPr>
            <w:r>
              <w:rPr>
                <w:rFonts w:ascii="Arial" w:cs="Arial" w:eastAsia="Arial" w:hAnsi="Arial"/>
                <w:sz w:val="16"/>
                <w:szCs w:val="16"/>
                <w:color w:val="auto"/>
              </w:rPr>
              <w:t>(16)</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(11)</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3"/>
        </w:trPr>
        <w:tc>
          <w:tcPr>
            <w:tcW w:w="5780" w:type="dxa"/>
            <w:vAlign w:val="bottom"/>
          </w:tcPr>
          <w:p>
            <w:pPr>
              <w:spacing w:after="0"/>
              <w:rPr>
                <w:sz w:val="20"/>
                <w:szCs w:val="20"/>
                <w:color w:val="auto"/>
              </w:rPr>
            </w:pPr>
            <w:r>
              <w:rPr>
                <w:rFonts w:ascii="Arial" w:cs="Arial" w:eastAsia="Arial" w:hAnsi="Arial"/>
                <w:sz w:val="16"/>
                <w:szCs w:val="16"/>
                <w:color w:val="auto"/>
              </w:rPr>
              <w:t>Accounts payable and accrued expenses</w:t>
            </w:r>
          </w:p>
        </w:tc>
        <w:tc>
          <w:tcPr>
            <w:tcW w:w="1460" w:type="dxa"/>
            <w:vAlign w:val="bottom"/>
          </w:tcPr>
          <w:p>
            <w:pPr>
              <w:spacing w:after="0"/>
              <w:rPr>
                <w:sz w:val="18"/>
                <w:szCs w:val="18"/>
                <w:color w:val="auto"/>
              </w:rPr>
            </w:pPr>
          </w:p>
        </w:tc>
        <w:tc>
          <w:tcPr>
            <w:tcW w:w="46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24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6"/>
                <w:szCs w:val="16"/>
                <w:color w:val="auto"/>
              </w:rPr>
              <w:t>82</w:t>
            </w: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13"/>
        </w:trPr>
        <w:tc>
          <w:tcPr>
            <w:tcW w:w="5780" w:type="dxa"/>
            <w:vAlign w:val="bottom"/>
          </w:tcPr>
          <w:p>
            <w:pPr>
              <w:spacing w:after="0"/>
              <w:rPr>
                <w:sz w:val="20"/>
                <w:szCs w:val="20"/>
                <w:color w:val="auto"/>
              </w:rPr>
            </w:pPr>
            <w:r>
              <w:rPr>
                <w:rFonts w:ascii="Arial" w:cs="Arial" w:eastAsia="Arial" w:hAnsi="Arial"/>
                <w:sz w:val="16"/>
                <w:szCs w:val="16"/>
                <w:color w:val="auto"/>
              </w:rPr>
              <w:t>Due to affiliate</w:t>
            </w:r>
          </w:p>
        </w:tc>
        <w:tc>
          <w:tcPr>
            <w:tcW w:w="1460" w:type="dxa"/>
            <w:vAlign w:val="bottom"/>
          </w:tcPr>
          <w:p>
            <w:pPr>
              <w:spacing w:after="0"/>
              <w:rPr>
                <w:sz w:val="18"/>
                <w:szCs w:val="18"/>
                <w:color w:val="auto"/>
              </w:rPr>
            </w:pPr>
          </w:p>
        </w:tc>
        <w:tc>
          <w:tcPr>
            <w:tcW w:w="460" w:type="dxa"/>
            <w:vAlign w:val="bottom"/>
          </w:tcPr>
          <w:p>
            <w:pPr>
              <w:jc w:val="right"/>
              <w:ind w:right="20"/>
              <w:spacing w:after="0"/>
              <w:rPr>
                <w:sz w:val="20"/>
                <w:szCs w:val="20"/>
                <w:color w:val="auto"/>
              </w:rPr>
            </w:pPr>
            <w:r>
              <w:rPr>
                <w:rFonts w:ascii="Arial" w:cs="Arial" w:eastAsia="Arial" w:hAnsi="Arial"/>
                <w:sz w:val="16"/>
                <w:szCs w:val="16"/>
                <w:color w:val="auto"/>
              </w:rPr>
              <w:t>39</w:t>
            </w:r>
          </w:p>
        </w:tc>
        <w:tc>
          <w:tcPr>
            <w:tcW w:w="24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3"/>
        </w:trPr>
        <w:tc>
          <w:tcPr>
            <w:tcW w:w="5780" w:type="dxa"/>
            <w:vAlign w:val="bottom"/>
          </w:tcPr>
          <w:p>
            <w:pPr>
              <w:spacing w:after="0"/>
              <w:rPr>
                <w:sz w:val="20"/>
                <w:szCs w:val="20"/>
                <w:color w:val="auto"/>
              </w:rPr>
            </w:pPr>
            <w:r>
              <w:rPr>
                <w:rFonts w:ascii="Arial" w:cs="Arial" w:eastAsia="Arial" w:hAnsi="Arial"/>
                <w:sz w:val="16"/>
                <w:szCs w:val="16"/>
                <w:color w:val="auto"/>
              </w:rPr>
              <w:t>Long-term debt, including current portion</w:t>
            </w:r>
          </w:p>
        </w:tc>
        <w:tc>
          <w:tcPr>
            <w:tcW w:w="1460" w:type="dxa"/>
            <w:vAlign w:val="bottom"/>
          </w:tcPr>
          <w:p>
            <w:pPr>
              <w:spacing w:after="0"/>
              <w:rPr>
                <w:sz w:val="18"/>
                <w:szCs w:val="18"/>
                <w:color w:val="auto"/>
              </w:rPr>
            </w:pPr>
          </w:p>
        </w:tc>
        <w:tc>
          <w:tcPr>
            <w:tcW w:w="460" w:type="dxa"/>
            <w:vAlign w:val="bottom"/>
          </w:tcPr>
          <w:p>
            <w:pPr>
              <w:jc w:val="right"/>
              <w:ind w:right="20"/>
              <w:spacing w:after="0"/>
              <w:rPr>
                <w:sz w:val="20"/>
                <w:szCs w:val="20"/>
                <w:color w:val="auto"/>
              </w:rPr>
            </w:pPr>
            <w:r>
              <w:rPr>
                <w:rFonts w:ascii="Arial" w:cs="Arial" w:eastAsia="Arial" w:hAnsi="Arial"/>
                <w:sz w:val="16"/>
                <w:szCs w:val="16"/>
                <w:color w:val="auto"/>
              </w:rPr>
              <w:t>82</w:t>
            </w:r>
          </w:p>
        </w:tc>
        <w:tc>
          <w:tcPr>
            <w:tcW w:w="24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6"/>
                <w:szCs w:val="16"/>
                <w:color w:val="auto"/>
              </w:rPr>
              <w:t>97</w:t>
            </w: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13"/>
        </w:trPr>
        <w:tc>
          <w:tcPr>
            <w:tcW w:w="5780" w:type="dxa"/>
            <w:vAlign w:val="bottom"/>
          </w:tcPr>
          <w:p>
            <w:pPr>
              <w:spacing w:after="0"/>
              <w:rPr>
                <w:sz w:val="20"/>
                <w:szCs w:val="20"/>
                <w:color w:val="auto"/>
              </w:rPr>
            </w:pPr>
            <w:r>
              <w:rPr>
                <w:rFonts w:ascii="Arial" w:cs="Arial" w:eastAsia="Arial" w:hAnsi="Arial"/>
                <w:sz w:val="16"/>
                <w:szCs w:val="16"/>
                <w:color w:val="auto"/>
              </w:rPr>
              <w:t>Other liabilities</w:t>
            </w:r>
          </w:p>
        </w:tc>
        <w:tc>
          <w:tcPr>
            <w:tcW w:w="1460" w:type="dxa"/>
            <w:vAlign w:val="bottom"/>
          </w:tcPr>
          <w:p>
            <w:pPr>
              <w:spacing w:after="0"/>
              <w:rPr>
                <w:sz w:val="18"/>
                <w:szCs w:val="18"/>
                <w:color w:val="auto"/>
              </w:rPr>
            </w:pPr>
          </w:p>
        </w:tc>
        <w:tc>
          <w:tcPr>
            <w:tcW w:w="460" w:type="dxa"/>
            <w:vAlign w:val="bottom"/>
          </w:tcPr>
          <w:p>
            <w:pPr>
              <w:jc w:val="right"/>
              <w:ind w:right="20"/>
              <w:spacing w:after="0"/>
              <w:rPr>
                <w:sz w:val="20"/>
                <w:szCs w:val="20"/>
                <w:color w:val="auto"/>
              </w:rPr>
            </w:pPr>
            <w:r>
              <w:rPr>
                <w:rFonts w:ascii="Arial" w:cs="Arial" w:eastAsia="Arial" w:hAnsi="Arial"/>
                <w:sz w:val="16"/>
                <w:szCs w:val="16"/>
                <w:color w:val="auto"/>
              </w:rPr>
              <w:t>7</w:t>
            </w:r>
          </w:p>
        </w:tc>
        <w:tc>
          <w:tcPr>
            <w:tcW w:w="24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6"/>
                <w:szCs w:val="16"/>
                <w:color w:val="auto"/>
              </w:rPr>
              <w:t>3</w:t>
            </w: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3"/>
        </w:trPr>
        <w:tc>
          <w:tcPr>
            <w:tcW w:w="5780" w:type="dxa"/>
            <w:vAlign w:val="bottom"/>
          </w:tcPr>
          <w:p>
            <w:pPr>
              <w:spacing w:after="0"/>
              <w:rPr>
                <w:sz w:val="20"/>
                <w:szCs w:val="20"/>
                <w:color w:val="auto"/>
              </w:rPr>
            </w:pPr>
            <w:r>
              <w:rPr>
                <w:rFonts w:ascii="Arial" w:cs="Arial" w:eastAsia="Arial" w:hAnsi="Arial"/>
                <w:sz w:val="16"/>
                <w:szCs w:val="16"/>
                <w:color w:val="auto"/>
              </w:rPr>
              <w:t>Accumulated other comprehensive income</w:t>
            </w:r>
          </w:p>
        </w:tc>
        <w:tc>
          <w:tcPr>
            <w:tcW w:w="1460" w:type="dxa"/>
            <w:vAlign w:val="bottom"/>
          </w:tcPr>
          <w:p>
            <w:pPr>
              <w:spacing w:after="0"/>
              <w:rPr>
                <w:sz w:val="18"/>
                <w:szCs w:val="18"/>
                <w:color w:val="auto"/>
              </w:rPr>
            </w:pPr>
          </w:p>
        </w:tc>
        <w:tc>
          <w:tcPr>
            <w:tcW w:w="46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4"/>
        </w:trPr>
        <w:tc>
          <w:tcPr>
            <w:tcW w:w="5780" w:type="dxa"/>
            <w:vAlign w:val="bottom"/>
          </w:tcPr>
          <w:p>
            <w:pPr>
              <w:spacing w:after="0"/>
              <w:rPr>
                <w:sz w:val="20"/>
                <w:szCs w:val="20"/>
                <w:color w:val="auto"/>
              </w:rPr>
            </w:pPr>
            <w:r>
              <w:rPr>
                <w:rFonts w:ascii="Arial" w:cs="Arial" w:eastAsia="Arial" w:hAnsi="Arial"/>
                <w:sz w:val="16"/>
                <w:szCs w:val="16"/>
                <w:color w:val="auto"/>
              </w:rPr>
              <w:t>Gain on sale of equity interests</w:t>
            </w:r>
          </w:p>
        </w:tc>
        <w:tc>
          <w:tcPr>
            <w:tcW w:w="14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(19)</w:t>
            </w: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173"/>
        </w:trPr>
        <w:tc>
          <w:tcPr>
            <w:tcW w:w="5780" w:type="dxa"/>
            <w:vAlign w:val="bottom"/>
            <w:tcBorders>
              <w:bottom w:val="single" w:sz="8" w:color="auto"/>
            </w:tcBorders>
          </w:tcPr>
          <w:p>
            <w:pPr>
              <w:spacing w:after="0" w:line="166" w:lineRule="exact"/>
              <w:rPr>
                <w:sz w:val="20"/>
                <w:szCs w:val="20"/>
                <w:color w:val="auto"/>
              </w:rPr>
            </w:pPr>
            <w:r>
              <w:rPr>
                <w:rFonts w:ascii="Arial" w:cs="Arial" w:eastAsia="Arial" w:hAnsi="Arial"/>
                <w:sz w:val="16"/>
                <w:szCs w:val="16"/>
                <w:color w:val="auto"/>
              </w:rPr>
              <w:t>Equity method investments upon deconsolidation</w:t>
            </w:r>
          </w:p>
        </w:tc>
        <w:tc>
          <w:tcPr>
            <w:tcW w:w="1460" w:type="dxa"/>
            <w:vAlign w:val="bottom"/>
            <w:tcBorders>
              <w:bottom w:val="single" w:sz="8" w:color="auto"/>
            </w:tcBorders>
          </w:tcPr>
          <w:p>
            <w:pPr>
              <w:jc w:val="right"/>
              <w:ind w:right="1106"/>
              <w:spacing w:after="0" w:line="166" w:lineRule="exact"/>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jc w:val="right"/>
              <w:ind w:right="20"/>
              <w:spacing w:after="0" w:line="166" w:lineRule="exact"/>
              <w:rPr>
                <w:sz w:val="20"/>
                <w:szCs w:val="20"/>
                <w:color w:val="auto"/>
              </w:rPr>
            </w:pPr>
            <w:r>
              <w:rPr>
                <w:rFonts w:ascii="Arial" w:cs="Arial" w:eastAsia="Arial" w:hAnsi="Arial"/>
                <w:sz w:val="16"/>
                <w:szCs w:val="16"/>
                <w:color w:val="auto"/>
              </w:rPr>
              <w:t>(26)</w:t>
            </w:r>
          </w:p>
        </w:tc>
        <w:tc>
          <w:tcPr>
            <w:tcW w:w="24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(39)</w:t>
            </w:r>
          </w:p>
        </w:tc>
        <w:tc>
          <w:tcPr>
            <w:tcW w:w="1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377"/>
        </w:trPr>
        <w:tc>
          <w:tcPr>
            <w:tcW w:w="5780" w:type="dxa"/>
            <w:vAlign w:val="bottom"/>
          </w:tcPr>
          <w:p>
            <w:pPr>
              <w:spacing w:after="0"/>
              <w:rPr>
                <w:sz w:val="24"/>
                <w:szCs w:val="24"/>
                <w:color w:val="auto"/>
              </w:rPr>
            </w:pPr>
          </w:p>
        </w:tc>
        <w:tc>
          <w:tcPr>
            <w:tcW w:w="1460" w:type="dxa"/>
            <w:vAlign w:val="bottom"/>
          </w:tcPr>
          <w:p>
            <w:pPr>
              <w:jc w:val="center"/>
              <w:ind w:left="306"/>
              <w:spacing w:after="0"/>
              <w:rPr>
                <w:sz w:val="20"/>
                <w:szCs w:val="20"/>
                <w:color w:val="auto"/>
              </w:rPr>
            </w:pPr>
            <w:r>
              <w:rPr>
                <w:rFonts w:ascii="Arial" w:cs="Arial" w:eastAsia="Arial" w:hAnsi="Arial"/>
                <w:sz w:val="14"/>
                <w:szCs w:val="14"/>
                <w:color w:val="auto"/>
                <w:w w:val="98"/>
              </w:rPr>
              <w:t>Mesquite</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gridSpan w:val="2"/>
          </w:tcPr>
          <w:p>
            <w:pPr>
              <w:jc w:val="center"/>
              <w:ind w:right="500"/>
              <w:spacing w:after="0"/>
              <w:rPr>
                <w:sz w:val="20"/>
                <w:szCs w:val="20"/>
                <w:color w:val="auto"/>
              </w:rPr>
            </w:pPr>
            <w:r>
              <w:rPr>
                <w:rFonts w:ascii="Arial" w:cs="Arial" w:eastAsia="Arial" w:hAnsi="Arial"/>
                <w:sz w:val="14"/>
                <w:szCs w:val="14"/>
                <w:color w:val="auto"/>
              </w:rPr>
              <w:t>Copper Mountain</w:t>
            </w:r>
          </w:p>
        </w:tc>
        <w:tc>
          <w:tcPr>
            <w:tcW w:w="300" w:type="dxa"/>
            <w:vAlign w:val="bottom"/>
          </w:tcPr>
          <w:p>
            <w:pPr>
              <w:spacing w:after="0"/>
              <w:rPr>
                <w:sz w:val="24"/>
                <w:szCs w:val="24"/>
                <w:color w:val="auto"/>
              </w:rPr>
            </w:pPr>
          </w:p>
        </w:tc>
        <w:tc>
          <w:tcPr>
            <w:tcW w:w="1520" w:type="dxa"/>
            <w:vAlign w:val="bottom"/>
          </w:tcPr>
          <w:p>
            <w:pPr>
              <w:jc w:val="center"/>
              <w:ind w:right="382"/>
              <w:spacing w:after="0"/>
              <w:rPr>
                <w:sz w:val="20"/>
                <w:szCs w:val="20"/>
                <w:color w:val="auto"/>
              </w:rPr>
            </w:pPr>
            <w:r>
              <w:rPr>
                <w:rFonts w:ascii="Arial" w:cs="Arial" w:eastAsia="Arial" w:hAnsi="Arial"/>
                <w:sz w:val="14"/>
                <w:szCs w:val="14"/>
                <w:color w:val="auto"/>
              </w:rPr>
              <w:t>Sempra Energy</w:t>
            </w:r>
          </w:p>
        </w:tc>
        <w:tc>
          <w:tcPr>
            <w:tcW w:w="0" w:type="dxa"/>
            <w:vAlign w:val="bottom"/>
          </w:tcPr>
          <w:p>
            <w:pPr>
              <w:spacing w:after="0"/>
              <w:rPr>
                <w:sz w:val="1"/>
                <w:szCs w:val="1"/>
                <w:color w:val="auto"/>
              </w:rPr>
            </w:pPr>
          </w:p>
        </w:tc>
      </w:tr>
      <w:tr>
        <w:trPr>
          <w:trHeight w:val="155"/>
        </w:trPr>
        <w:tc>
          <w:tcPr>
            <w:tcW w:w="5780" w:type="dxa"/>
            <w:vAlign w:val="bottom"/>
          </w:tcPr>
          <w:p>
            <w:pPr>
              <w:spacing w:after="0"/>
              <w:rPr>
                <w:sz w:val="13"/>
                <w:szCs w:val="13"/>
                <w:color w:val="auto"/>
              </w:rPr>
            </w:pPr>
          </w:p>
        </w:tc>
        <w:tc>
          <w:tcPr>
            <w:tcW w:w="1460" w:type="dxa"/>
            <w:vAlign w:val="bottom"/>
            <w:tcBorders>
              <w:bottom w:val="single" w:sz="8" w:color="auto"/>
            </w:tcBorders>
          </w:tcPr>
          <w:p>
            <w:pPr>
              <w:jc w:val="center"/>
              <w:ind w:left="306"/>
              <w:spacing w:after="0" w:line="155" w:lineRule="exact"/>
              <w:rPr>
                <w:sz w:val="20"/>
                <w:szCs w:val="20"/>
                <w:color w:val="auto"/>
              </w:rPr>
            </w:pPr>
            <w:r>
              <w:rPr>
                <w:rFonts w:ascii="Arial" w:cs="Arial" w:eastAsia="Arial" w:hAnsi="Arial"/>
                <w:sz w:val="14"/>
                <w:szCs w:val="14"/>
                <w:color w:val="auto"/>
                <w:w w:val="99"/>
              </w:rPr>
              <w:t>Solar 1</w:t>
            </w:r>
          </w:p>
        </w:tc>
        <w:tc>
          <w:tcPr>
            <w:tcW w:w="4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2"/>
          </w:tcPr>
          <w:p>
            <w:pPr>
              <w:jc w:val="center"/>
              <w:ind w:right="500"/>
              <w:spacing w:after="0" w:line="155" w:lineRule="exact"/>
              <w:rPr>
                <w:sz w:val="20"/>
                <w:szCs w:val="20"/>
                <w:color w:val="auto"/>
              </w:rPr>
            </w:pPr>
            <w:r>
              <w:rPr>
                <w:rFonts w:ascii="Arial" w:cs="Arial" w:eastAsia="Arial" w:hAnsi="Arial"/>
                <w:sz w:val="14"/>
                <w:szCs w:val="14"/>
                <w:color w:val="auto"/>
                <w:w w:val="99"/>
              </w:rPr>
              <w:t>Solar 2</w:t>
            </w:r>
          </w:p>
        </w:tc>
        <w:tc>
          <w:tcPr>
            <w:tcW w:w="3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center"/>
              <w:ind w:right="382"/>
              <w:spacing w:after="0" w:line="155" w:lineRule="exact"/>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206"/>
        </w:trPr>
        <w:tc>
          <w:tcPr>
            <w:tcW w:w="5780" w:type="dxa"/>
            <w:vAlign w:val="bottom"/>
          </w:tcPr>
          <w:p>
            <w:pPr>
              <w:spacing w:after="0"/>
              <w:rPr>
                <w:sz w:val="17"/>
                <w:szCs w:val="17"/>
                <w:color w:val="auto"/>
              </w:rPr>
            </w:pPr>
          </w:p>
        </w:tc>
        <w:tc>
          <w:tcPr>
            <w:tcW w:w="1460" w:type="dxa"/>
            <w:vAlign w:val="bottom"/>
          </w:tcPr>
          <w:p>
            <w:pPr>
              <w:jc w:val="center"/>
              <w:ind w:left="286"/>
              <w:spacing w:after="0"/>
              <w:rPr>
                <w:sz w:val="20"/>
                <w:szCs w:val="20"/>
                <w:color w:val="auto"/>
              </w:rPr>
            </w:pPr>
            <w:r>
              <w:rPr>
                <w:rFonts w:ascii="Arial" w:cs="Arial" w:eastAsia="Arial" w:hAnsi="Arial"/>
                <w:sz w:val="14"/>
                <w:szCs w:val="14"/>
                <w:color w:val="auto"/>
              </w:rPr>
              <w:t>At September 19</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jc w:val="center"/>
              <w:ind w:right="480"/>
              <w:spacing w:after="0"/>
              <w:rPr>
                <w:sz w:val="20"/>
                <w:szCs w:val="20"/>
                <w:color w:val="auto"/>
              </w:rPr>
            </w:pPr>
            <w:r>
              <w:rPr>
                <w:rFonts w:ascii="Arial" w:cs="Arial" w:eastAsia="Arial" w:hAnsi="Arial"/>
                <w:sz w:val="14"/>
                <w:szCs w:val="14"/>
                <w:color w:val="auto"/>
              </w:rPr>
              <w:t>At July 11</w:t>
            </w: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78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2013:</w:t>
            </w:r>
          </w:p>
        </w:tc>
        <w:tc>
          <w:tcPr>
            <w:tcW w:w="146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780" w:type="dxa"/>
            <w:vAlign w:val="bottom"/>
          </w:tcPr>
          <w:p>
            <w:pPr>
              <w:spacing w:after="0"/>
              <w:rPr>
                <w:sz w:val="20"/>
                <w:szCs w:val="20"/>
                <w:color w:val="auto"/>
              </w:rPr>
            </w:pPr>
            <w:r>
              <w:rPr>
                <w:rFonts w:ascii="Arial" w:cs="Arial" w:eastAsia="Arial" w:hAnsi="Arial"/>
                <w:sz w:val="16"/>
                <w:szCs w:val="16"/>
                <w:color w:val="auto"/>
              </w:rPr>
              <w:t>Proceeds from sale, net of transaction costs(1)</w:t>
            </w:r>
          </w:p>
        </w:tc>
        <w:tc>
          <w:tcPr>
            <w:tcW w:w="1460" w:type="dxa"/>
            <w:vAlign w:val="bottom"/>
          </w:tcPr>
          <w:p>
            <w:pPr>
              <w:jc w:val="right"/>
              <w:ind w:right="1106"/>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20"/>
              <w:spacing w:after="0"/>
              <w:rPr>
                <w:sz w:val="20"/>
                <w:szCs w:val="20"/>
                <w:color w:val="auto"/>
              </w:rPr>
            </w:pPr>
            <w:r>
              <w:rPr>
                <w:rFonts w:ascii="Arial" w:cs="Arial" w:eastAsia="Arial" w:hAnsi="Arial"/>
                <w:sz w:val="16"/>
                <w:szCs w:val="16"/>
                <w:color w:val="auto"/>
              </w:rPr>
              <w:t>100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660" w:type="dxa"/>
            <w:vAlign w:val="bottom"/>
            <w:gridSpan w:val="2"/>
          </w:tcPr>
          <w:p>
            <w:pPr>
              <w:jc w:val="right"/>
              <w:ind w:right="160"/>
              <w:spacing w:after="0"/>
              <w:rPr>
                <w:sz w:val="20"/>
                <w:szCs w:val="20"/>
                <w:color w:val="auto"/>
              </w:rPr>
            </w:pPr>
            <w:r>
              <w:rPr>
                <w:rFonts w:ascii="Arial" w:cs="Arial" w:eastAsia="Arial" w:hAnsi="Arial"/>
                <w:sz w:val="16"/>
                <w:szCs w:val="16"/>
                <w:color w:val="auto"/>
              </w:rPr>
              <w:t>68</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213"/>
        </w:trPr>
        <w:tc>
          <w:tcPr>
            <w:tcW w:w="578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1460" w:type="dxa"/>
            <w:vAlign w:val="bottom"/>
          </w:tcPr>
          <w:p>
            <w:pPr>
              <w:spacing w:after="0"/>
              <w:rPr>
                <w:sz w:val="18"/>
                <w:szCs w:val="18"/>
                <w:color w:val="auto"/>
              </w:rPr>
            </w:pPr>
          </w:p>
        </w:tc>
        <w:tc>
          <w:tcPr>
            <w:tcW w:w="460" w:type="dxa"/>
            <w:vAlign w:val="bottom"/>
          </w:tcPr>
          <w:p>
            <w:pPr>
              <w:jc w:val="right"/>
              <w:ind w:right="20"/>
              <w:spacing w:after="0"/>
              <w:rPr>
                <w:sz w:val="20"/>
                <w:szCs w:val="20"/>
                <w:color w:val="auto"/>
              </w:rPr>
            </w:pPr>
            <w:r>
              <w:rPr>
                <w:rFonts w:ascii="Arial" w:cs="Arial" w:eastAsia="Arial" w:hAnsi="Arial"/>
                <w:sz w:val="16"/>
                <w:szCs w:val="16"/>
                <w:color w:val="auto"/>
                <w:w w:val="90"/>
              </w:rPr>
              <w:t>(461)</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(266)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(727)</w:t>
            </w:r>
          </w:p>
        </w:tc>
        <w:tc>
          <w:tcPr>
            <w:tcW w:w="0" w:type="dxa"/>
            <w:vAlign w:val="bottom"/>
          </w:tcPr>
          <w:p>
            <w:pPr>
              <w:spacing w:after="0"/>
              <w:rPr>
                <w:sz w:val="1"/>
                <w:szCs w:val="1"/>
                <w:color w:val="auto"/>
              </w:rPr>
            </w:pPr>
          </w:p>
        </w:tc>
      </w:tr>
      <w:tr>
        <w:trPr>
          <w:trHeight w:val="213"/>
        </w:trPr>
        <w:tc>
          <w:tcPr>
            <w:tcW w:w="5780" w:type="dxa"/>
            <w:vAlign w:val="bottom"/>
          </w:tcPr>
          <w:p>
            <w:pPr>
              <w:spacing w:after="0"/>
              <w:rPr>
                <w:sz w:val="20"/>
                <w:szCs w:val="20"/>
                <w:color w:val="auto"/>
              </w:rPr>
            </w:pPr>
            <w:r>
              <w:rPr>
                <w:rFonts w:ascii="Arial" w:cs="Arial" w:eastAsia="Arial" w:hAnsi="Arial"/>
                <w:sz w:val="16"/>
                <w:szCs w:val="16"/>
                <w:color w:val="auto"/>
              </w:rPr>
              <w:t>Other assets</w:t>
            </w:r>
          </w:p>
        </w:tc>
        <w:tc>
          <w:tcPr>
            <w:tcW w:w="1460" w:type="dxa"/>
            <w:vAlign w:val="bottom"/>
          </w:tcPr>
          <w:p>
            <w:pPr>
              <w:spacing w:after="0"/>
              <w:rPr>
                <w:sz w:val="18"/>
                <w:szCs w:val="18"/>
                <w:color w:val="auto"/>
              </w:rPr>
            </w:pPr>
          </w:p>
        </w:tc>
        <w:tc>
          <w:tcPr>
            <w:tcW w:w="460" w:type="dxa"/>
            <w:vAlign w:val="bottom"/>
          </w:tcPr>
          <w:p>
            <w:pPr>
              <w:jc w:val="right"/>
              <w:ind w:right="20"/>
              <w:spacing w:after="0"/>
              <w:rPr>
                <w:sz w:val="20"/>
                <w:szCs w:val="20"/>
                <w:color w:val="auto"/>
              </w:rPr>
            </w:pPr>
            <w:r>
              <w:rPr>
                <w:rFonts w:ascii="Arial" w:cs="Arial" w:eastAsia="Arial" w:hAnsi="Arial"/>
                <w:sz w:val="16"/>
                <w:szCs w:val="16"/>
                <w:color w:val="auto"/>
              </w:rPr>
              <w:t>(72)</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13"/>
        </w:trPr>
        <w:tc>
          <w:tcPr>
            <w:tcW w:w="5780" w:type="dxa"/>
            <w:vAlign w:val="bottom"/>
          </w:tcPr>
          <w:p>
            <w:pPr>
              <w:spacing w:after="0"/>
              <w:rPr>
                <w:sz w:val="20"/>
                <w:szCs w:val="20"/>
                <w:color w:val="auto"/>
              </w:rPr>
            </w:pPr>
            <w:r>
              <w:rPr>
                <w:rFonts w:ascii="Arial" w:cs="Arial" w:eastAsia="Arial" w:hAnsi="Arial"/>
                <w:sz w:val="16"/>
                <w:szCs w:val="16"/>
                <w:color w:val="auto"/>
              </w:rPr>
              <w:t>Long-term debt, including current portion</w:t>
            </w:r>
          </w:p>
        </w:tc>
        <w:tc>
          <w:tcPr>
            <w:tcW w:w="1460" w:type="dxa"/>
            <w:vAlign w:val="bottom"/>
          </w:tcPr>
          <w:p>
            <w:pPr>
              <w:spacing w:after="0"/>
              <w:rPr>
                <w:sz w:val="18"/>
                <w:szCs w:val="18"/>
                <w:color w:val="auto"/>
              </w:rPr>
            </w:pPr>
          </w:p>
        </w:tc>
        <w:tc>
          <w:tcPr>
            <w:tcW w:w="460" w:type="dxa"/>
            <w:vAlign w:val="bottom"/>
          </w:tcPr>
          <w:p>
            <w:pPr>
              <w:jc w:val="right"/>
              <w:ind w:right="20"/>
              <w:spacing w:after="0"/>
              <w:rPr>
                <w:sz w:val="20"/>
                <w:szCs w:val="20"/>
                <w:color w:val="auto"/>
              </w:rPr>
            </w:pPr>
            <w:r>
              <w:rPr>
                <w:rFonts w:ascii="Arial" w:cs="Arial" w:eastAsia="Arial" w:hAnsi="Arial"/>
                <w:sz w:val="16"/>
                <w:szCs w:val="16"/>
                <w:color w:val="auto"/>
              </w:rPr>
              <w:t>297</w:t>
            </w:r>
          </w:p>
        </w:tc>
        <w:tc>
          <w:tcPr>
            <w:tcW w:w="24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6"/>
                <w:szCs w:val="16"/>
                <w:color w:val="auto"/>
              </w:rPr>
              <w:t>146</w:t>
            </w: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443</w:t>
            </w:r>
          </w:p>
        </w:tc>
        <w:tc>
          <w:tcPr>
            <w:tcW w:w="0" w:type="dxa"/>
            <w:vAlign w:val="bottom"/>
          </w:tcPr>
          <w:p>
            <w:pPr>
              <w:spacing w:after="0"/>
              <w:rPr>
                <w:sz w:val="1"/>
                <w:szCs w:val="1"/>
                <w:color w:val="auto"/>
              </w:rPr>
            </w:pPr>
          </w:p>
        </w:tc>
      </w:tr>
      <w:tr>
        <w:trPr>
          <w:trHeight w:val="213"/>
        </w:trPr>
        <w:tc>
          <w:tcPr>
            <w:tcW w:w="5780" w:type="dxa"/>
            <w:vAlign w:val="bottom"/>
          </w:tcPr>
          <w:p>
            <w:pPr>
              <w:spacing w:after="0"/>
              <w:rPr>
                <w:sz w:val="20"/>
                <w:szCs w:val="20"/>
                <w:color w:val="auto"/>
              </w:rPr>
            </w:pPr>
            <w:r>
              <w:rPr>
                <w:rFonts w:ascii="Arial" w:cs="Arial" w:eastAsia="Arial" w:hAnsi="Arial"/>
                <w:sz w:val="16"/>
                <w:szCs w:val="16"/>
                <w:color w:val="auto"/>
              </w:rPr>
              <w:t>Other liabilities</w:t>
            </w:r>
          </w:p>
        </w:tc>
        <w:tc>
          <w:tcPr>
            <w:tcW w:w="1460" w:type="dxa"/>
            <w:vAlign w:val="bottom"/>
          </w:tcPr>
          <w:p>
            <w:pPr>
              <w:spacing w:after="0"/>
              <w:rPr>
                <w:sz w:val="18"/>
                <w:szCs w:val="18"/>
                <w:color w:val="auto"/>
              </w:rPr>
            </w:pPr>
          </w:p>
        </w:tc>
        <w:tc>
          <w:tcPr>
            <w:tcW w:w="460" w:type="dxa"/>
            <w:vAlign w:val="bottom"/>
          </w:tcPr>
          <w:p>
            <w:pPr>
              <w:jc w:val="right"/>
              <w:ind w:right="20"/>
              <w:spacing w:after="0"/>
              <w:rPr>
                <w:sz w:val="20"/>
                <w:szCs w:val="20"/>
                <w:color w:val="auto"/>
              </w:rPr>
            </w:pPr>
            <w:r>
              <w:rPr>
                <w:rFonts w:ascii="Arial" w:cs="Arial" w:eastAsia="Arial" w:hAnsi="Arial"/>
                <w:sz w:val="16"/>
                <w:szCs w:val="16"/>
                <w:color w:val="auto"/>
              </w:rPr>
              <w:t>31</w:t>
            </w:r>
          </w:p>
        </w:tc>
        <w:tc>
          <w:tcPr>
            <w:tcW w:w="24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6"/>
                <w:szCs w:val="16"/>
                <w:color w:val="auto"/>
              </w:rPr>
              <w:t>19</w:t>
            </w: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04"/>
        </w:trPr>
        <w:tc>
          <w:tcPr>
            <w:tcW w:w="5780" w:type="dxa"/>
            <w:vAlign w:val="bottom"/>
          </w:tcPr>
          <w:p>
            <w:pPr>
              <w:spacing w:after="0"/>
              <w:rPr>
                <w:sz w:val="20"/>
                <w:szCs w:val="20"/>
                <w:color w:val="auto"/>
              </w:rPr>
            </w:pPr>
            <w:r>
              <w:rPr>
                <w:rFonts w:ascii="Arial" w:cs="Arial" w:eastAsia="Arial" w:hAnsi="Arial"/>
                <w:sz w:val="16"/>
                <w:szCs w:val="16"/>
                <w:color w:val="auto"/>
              </w:rPr>
              <w:t>Gain on sale of equity interests</w:t>
            </w:r>
          </w:p>
        </w:tc>
        <w:tc>
          <w:tcPr>
            <w:tcW w:w="14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(36)</w:t>
            </w: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86"/>
        </w:trPr>
        <w:tc>
          <w:tcPr>
            <w:tcW w:w="5780" w:type="dxa"/>
            <w:vAlign w:val="bottom"/>
          </w:tcPr>
          <w:p>
            <w:pPr>
              <w:spacing w:after="0" w:line="175" w:lineRule="exact"/>
              <w:rPr>
                <w:sz w:val="20"/>
                <w:szCs w:val="20"/>
                <w:color w:val="auto"/>
              </w:rPr>
            </w:pPr>
            <w:r>
              <w:rPr>
                <w:rFonts w:ascii="Arial" w:cs="Arial" w:eastAsia="Arial" w:hAnsi="Arial"/>
                <w:sz w:val="16"/>
                <w:szCs w:val="16"/>
                <w:color w:val="auto"/>
              </w:rPr>
              <w:t>Equity method investments upon deconsolidation</w:t>
            </w:r>
          </w:p>
        </w:tc>
        <w:tc>
          <w:tcPr>
            <w:tcW w:w="1460" w:type="dxa"/>
            <w:vAlign w:val="bottom"/>
          </w:tcPr>
          <w:p>
            <w:pPr>
              <w:jc w:val="right"/>
              <w:ind w:right="1106"/>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20"/>
              <w:spacing w:after="0"/>
              <w:rPr>
                <w:sz w:val="20"/>
                <w:szCs w:val="20"/>
                <w:color w:val="auto"/>
              </w:rPr>
            </w:pPr>
            <w:r>
              <w:rPr>
                <w:rFonts w:ascii="Arial" w:cs="Arial" w:eastAsia="Arial" w:hAnsi="Arial"/>
                <w:sz w:val="16"/>
                <w:szCs w:val="16"/>
                <w:color w:val="auto"/>
                <w:w w:val="90"/>
              </w:rPr>
              <w:t>(141)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(67)</w:t>
            </w:r>
          </w:p>
        </w:tc>
        <w:tc>
          <w:tcPr>
            <w:tcW w:w="16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24852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8525" cy="17145"/>
                    </a:xfrm>
                    <a:prstGeom prst="rect">
                      <a:avLst/>
                    </a:prstGeom>
                    <a:noFill/>
                  </pic:spPr>
                </pic:pic>
              </a:graphicData>
            </a:graphic>
          </wp:anchor>
        </w:drawing>
      </w:r>
    </w:p>
    <w:p>
      <w:pPr>
        <w:ind w:left="420" w:hanging="414"/>
        <w:spacing w:after="0"/>
        <w:tabs>
          <w:tab w:leader="none" w:pos="420"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Transaction costs were $3 million at both Mesquite Solar 1 and Copper Mountain Solar 2.</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MEXICO</w:t>
      </w:r>
    </w:p>
    <w:p>
      <w:pPr>
        <w:spacing w:after="0" w:line="22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 July 2014, Sempra Mexico completed the sale of a 50-percent interest in the 155-megawatt (MW) first phase of its Energía Sierra Juárez wind project to a wholly owned subsidiary of InterGen N.V. for cash proceeds of $24 million, net of $2 million cash sold. Sempra Mexico recognized a pretax gain on the sale of $19 million ($14 million after-tax) included in Gain on Sale of Equity Interests and Assets on our Condensed Consolidated Statements of Operations for the three months and nine months ended September 30, 2014. The gain on sale included a $7 million after-tax gain attributable to the remeasurement of the retained investment to fair value. Our remaining 50-percent interest in Energía Sierra Juárez is accounted for under the equity method.</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RENEWABLES</w:t>
      </w:r>
    </w:p>
    <w:p>
      <w:pPr>
        <w:spacing w:after="0" w:line="229" w:lineRule="exact"/>
        <w:rPr>
          <w:sz w:val="20"/>
          <w:szCs w:val="20"/>
          <w:color w:val="auto"/>
        </w:rPr>
      </w:pPr>
    </w:p>
    <w:p>
      <w:pPr>
        <w:spacing w:after="0" w:line="329" w:lineRule="auto"/>
        <w:rPr>
          <w:sz w:val="20"/>
          <w:szCs w:val="20"/>
          <w:color w:val="auto"/>
        </w:rPr>
      </w:pPr>
      <w:r>
        <w:rPr>
          <w:rFonts w:ascii="Arial" w:cs="Arial" w:eastAsia="Arial" w:hAnsi="Arial"/>
          <w:sz w:val="16"/>
          <w:szCs w:val="16"/>
          <w:color w:val="auto"/>
        </w:rPr>
        <w:t>In July 2013, Sempra Renewables formed a joint venture with Consolidated Edison Development (ConEdison Development), a nonrelated party, by selling a 50-percent interest in its 150-MW Copper Mountain Solar 2 solar power facility for $71 million in cash. Sempra Renewables recognized a pretax gain on the sale of</w:t>
      </w:r>
    </w:p>
    <w:p>
      <w:pPr>
        <w:sectPr>
          <w:pgSz w:w="11900" w:h="16838" w:orient="portrait"/>
          <w:cols w:equalWidth="0" w:num="1">
            <w:col w:w="11420"/>
          </w:cols>
          <w:pgMar w:left="240" w:top="127" w:right="239" w:bottom="0" w:gutter="0" w:footer="0" w:header="0"/>
        </w:sectPr>
      </w:pPr>
    </w:p>
    <w:bookmarkStart w:id="14" w:name="page15"/>
    <w:bookmarkEnd w:id="14"/>
    <w:p>
      <w:pPr>
        <w:ind w:right="80"/>
        <w:spacing w:after="0" w:line="266" w:lineRule="auto"/>
        <w:rPr>
          <w:sz w:val="20"/>
          <w:szCs w:val="20"/>
          <w:color w:val="auto"/>
        </w:rPr>
      </w:pPr>
      <w:r>
        <w:rPr>
          <w:rFonts w:ascii="Arial" w:cs="Arial" w:eastAsia="Arial" w:hAnsi="Arial"/>
          <w:sz w:val="18"/>
          <w:szCs w:val="18"/>
          <w:color w:val="auto"/>
        </w:rPr>
        <w:t>$4 million ($2 million after-tax), included in Gain on Sale of Equity Interests and Assets on our Condensed Consolidated Statements of Operations for the three months and nine months ended September 30, 2013.</w:t>
      </w:r>
    </w:p>
    <w:p>
      <w:pPr>
        <w:spacing w:after="0" w:line="179" w:lineRule="exact"/>
        <w:rPr>
          <w:sz w:val="20"/>
          <w:szCs w:val="20"/>
          <w:color w:val="auto"/>
        </w:rPr>
      </w:pPr>
    </w:p>
    <w:p>
      <w:pPr>
        <w:ind w:right="580"/>
        <w:spacing w:after="0" w:line="329" w:lineRule="auto"/>
        <w:rPr>
          <w:sz w:val="20"/>
          <w:szCs w:val="20"/>
          <w:color w:val="auto"/>
        </w:rPr>
      </w:pPr>
      <w:r>
        <w:rPr>
          <w:rFonts w:ascii="Arial" w:cs="Arial" w:eastAsia="Arial" w:hAnsi="Arial"/>
          <w:sz w:val="16"/>
          <w:szCs w:val="16"/>
          <w:color w:val="auto"/>
        </w:rPr>
        <w:t>In September 2013, Sempra Renewables acquired the rights to develop the 75-MW Broken Bow 2 Wind project in Custer County, Nebraska. The project achieved commercial operation in October 2014. Sempra Renewables does not have an ownership interest in the Broken Bow 1 Wind Farm.</w:t>
      </w:r>
    </w:p>
    <w:p>
      <w:pPr>
        <w:spacing w:after="0" w:line="133" w:lineRule="exact"/>
        <w:rPr>
          <w:sz w:val="20"/>
          <w:szCs w:val="20"/>
          <w:color w:val="auto"/>
        </w:rPr>
      </w:pPr>
    </w:p>
    <w:p>
      <w:pPr>
        <w:spacing w:after="0" w:line="303" w:lineRule="auto"/>
        <w:rPr>
          <w:sz w:val="20"/>
          <w:szCs w:val="20"/>
          <w:color w:val="auto"/>
        </w:rPr>
      </w:pPr>
      <w:r>
        <w:rPr>
          <w:rFonts w:ascii="Arial" w:cs="Arial" w:eastAsia="Arial" w:hAnsi="Arial"/>
          <w:sz w:val="16"/>
          <w:szCs w:val="16"/>
          <w:color w:val="auto"/>
        </w:rPr>
        <w:t>In September 2013, Sempra Renewables formed a joint venture with ConEdison Development by selling a 50-percent interest in its 150-MW Mesquite Solar 1 solar power facility for $103 million in cash. Sempra Renewables recognized a pretax gain on the sale of $36 million ($22 million after-tax), included in Gain on Sale of Equity Interests and Assets on our Condensed Consolidated Statements of Operations for the three months and nine months ended September 30, 2013.</w:t>
      </w:r>
    </w:p>
    <w:p>
      <w:pPr>
        <w:spacing w:after="0" w:line="154" w:lineRule="exact"/>
        <w:rPr>
          <w:sz w:val="20"/>
          <w:szCs w:val="20"/>
          <w:color w:val="auto"/>
        </w:rPr>
      </w:pPr>
    </w:p>
    <w:p>
      <w:pPr>
        <w:jc w:val="both"/>
        <w:ind w:right="240"/>
        <w:spacing w:after="0" w:line="253" w:lineRule="auto"/>
        <w:rPr>
          <w:sz w:val="20"/>
          <w:szCs w:val="20"/>
          <w:color w:val="auto"/>
        </w:rPr>
      </w:pPr>
      <w:r>
        <w:rPr>
          <w:rFonts w:ascii="Arial" w:cs="Arial" w:eastAsia="Arial" w:hAnsi="Arial"/>
          <w:sz w:val="18"/>
          <w:szCs w:val="18"/>
          <w:color w:val="auto"/>
        </w:rPr>
        <w:t>In March 2014, Sempra Renewables formed a joint venture with ConEdison Development by selling a 50-percent interest in its 250-MW Copper Mountain Solar 3 solar power facility for $66 million in cash, net of $2 million cash sold. Sempra Renewables recognized a pretax gain on the sale of $27 million ($16 million after-tax), included in Gain on Sale of Equity Interests and Assets on our Condensed Consolidated Statement of Operations for the nine months ended September 30, 2014.</w:t>
      </w:r>
    </w:p>
    <w:p>
      <w:pPr>
        <w:spacing w:after="0" w:line="190"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In May 2014, Sempra Renewables invested $109 million, subject to a commitment for a purchase price adjustment to be based on financial position at closing, to become a 50-percent partner with ConEdison Development in four solar projects in California. We discuss our investment in the California solar partnership further in Note 4.</w:t>
      </w:r>
    </w:p>
    <w:p>
      <w:pPr>
        <w:spacing w:after="0" w:line="188" w:lineRule="exact"/>
        <w:rPr>
          <w:sz w:val="20"/>
          <w:szCs w:val="20"/>
          <w:color w:val="auto"/>
        </w:rPr>
      </w:pPr>
    </w:p>
    <w:p>
      <w:pPr>
        <w:jc w:val="both"/>
        <w:ind w:right="380"/>
        <w:spacing w:after="0" w:line="253" w:lineRule="auto"/>
        <w:rPr>
          <w:sz w:val="20"/>
          <w:szCs w:val="20"/>
          <w:color w:val="auto"/>
        </w:rPr>
      </w:pPr>
      <w:r>
        <w:rPr>
          <w:rFonts w:ascii="Arial" w:cs="Arial" w:eastAsia="Arial" w:hAnsi="Arial"/>
          <w:sz w:val="18"/>
          <w:szCs w:val="18"/>
          <w:color w:val="auto"/>
        </w:rPr>
        <w:t>Our remaining 50-percent interests in Copper Mountain Solar 2, Mesquite Solar 1 and Copper Mountain Solar 3 are accounted for under the equity method. Based on the nature of the underlying assets, these solar investments are considered in-substance real estate. Therefore, in accordance with applicable U.S. GAAP, for each of these solar investment transactions, the equity method investments were measured at their historical cost and no portion of the gains was attributable to a remeasurement of the retained investments to fair value.</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NATURAL GAS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Mesquite Power Sale</w:t>
      </w:r>
    </w:p>
    <w:p>
      <w:pPr>
        <w:spacing w:after="0" w:line="211" w:lineRule="exact"/>
        <w:rPr>
          <w:sz w:val="20"/>
          <w:szCs w:val="20"/>
          <w:color w:val="auto"/>
        </w:rPr>
      </w:pPr>
    </w:p>
    <w:p>
      <w:pPr>
        <w:jc w:val="both"/>
        <w:ind w:right="60"/>
        <w:spacing w:after="0" w:line="253" w:lineRule="auto"/>
        <w:rPr>
          <w:sz w:val="20"/>
          <w:szCs w:val="20"/>
          <w:color w:val="auto"/>
        </w:rPr>
      </w:pPr>
      <w:r>
        <w:rPr>
          <w:rFonts w:ascii="Arial" w:cs="Arial" w:eastAsia="Arial" w:hAnsi="Arial"/>
          <w:sz w:val="18"/>
          <w:szCs w:val="18"/>
          <w:color w:val="auto"/>
        </w:rPr>
        <w:t>In February 2013, Sempra Natural Gas sold one 625-MW block of its 1,250-MW Mesquite Power natural gas-fired power plant in Arizona, including a portion related to common plant, for approximately $371 million in cash to the Salt River Project Agricultural Improvement and Power District (SRP). We recognized a pretax gain on the sale of $74 million ($44 million after-tax), included in Gain on Sale of Equity Interests and Assets on our Condensed Consolidated Statement of Operations for the nine months ended September 30, 2013.</w:t>
      </w:r>
    </w:p>
    <w:p>
      <w:pPr>
        <w:spacing w:after="0" w:line="39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Cameron LNG</w:t>
      </w:r>
    </w:p>
    <w:p>
      <w:pPr>
        <w:spacing w:after="0" w:line="211"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October 1, 2014 was the effective date of the formation of a joint venture partnership among Sempra Energy and three project partners involving Sempra Natural Gas’ Cameron LNG facility in Louisiana, as we discuss in Note 13. As of October 1, 2014, Sempra Natural Gas will account for its investment in the Cameron LNG joint venture under the equity method.</w:t>
      </w:r>
    </w:p>
    <w:p>
      <w:pPr>
        <w:spacing w:after="0" w:line="39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Asset Held for Sale, Power Plant</w:t>
      </w:r>
    </w:p>
    <w:p>
      <w:pPr>
        <w:spacing w:after="0" w:line="211"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In January 2014, management approved a formal plan to market and sell the remaining 625-MW block of the Mesquite Power plant. In October 2014, Sempra Natural Gas entered into a definitive agreement to sell the remaining 625-MW block of the Mesquite Power plant to ArcLight Capital Partners, LLC. We anticipate the sale will close late in 2014 or early in 2015, subject to customary regulatory approvals and assignment to the buyer of a 25-year power sales contract associated with the plant.</w:t>
      </w:r>
    </w:p>
    <w:p>
      <w:pPr>
        <w:spacing w:after="0" w:line="19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classify assets as held for sale when management approves and commits to a formal plan to actively market an asset for sale and we expect the sale to close within the next twelve months. Upon classifying an asset as held for sale, we record the asset at the lower of its carrying value or its estimated fair value reduced for selling costs, and we stop recording depreciation expense on the asset.</w:t>
      </w: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color w:val="auto"/>
        </w:rPr>
        <w:t>At September 30, 2014, the carrying amount of the major classes of assets and related liability held for sale associated with the plant includes the following:</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938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millions)</w:t>
            </w:r>
          </w:p>
        </w:tc>
        <w:tc>
          <w:tcPr>
            <w:tcW w:w="1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86"/>
        </w:trPr>
        <w:tc>
          <w:tcPr>
            <w:tcW w:w="938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122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290</w:t>
            </w:r>
          </w:p>
        </w:tc>
        <w:tc>
          <w:tcPr>
            <w:tcW w:w="20" w:type="dxa"/>
            <w:vAlign w:val="bottom"/>
          </w:tcPr>
          <w:p>
            <w:pPr>
              <w:spacing w:after="0"/>
              <w:rPr>
                <w:sz w:val="16"/>
                <w:szCs w:val="16"/>
                <w:color w:val="auto"/>
              </w:rPr>
            </w:pPr>
          </w:p>
        </w:tc>
      </w:tr>
      <w:tr>
        <w:trPr>
          <w:trHeight w:val="193"/>
        </w:trPr>
        <w:tc>
          <w:tcPr>
            <w:tcW w:w="9380" w:type="dxa"/>
            <w:vAlign w:val="bottom"/>
          </w:tcPr>
          <w:p>
            <w:pPr>
              <w:spacing w:after="0"/>
              <w:rPr>
                <w:sz w:val="20"/>
                <w:szCs w:val="20"/>
                <w:color w:val="auto"/>
              </w:rPr>
            </w:pPr>
            <w:r>
              <w:rPr>
                <w:rFonts w:ascii="Arial" w:cs="Arial" w:eastAsia="Arial" w:hAnsi="Arial"/>
                <w:sz w:val="16"/>
                <w:szCs w:val="16"/>
                <w:color w:val="auto"/>
              </w:rPr>
              <w:t>Inventories</w:t>
            </w:r>
          </w:p>
        </w:tc>
        <w:tc>
          <w:tcPr>
            <w:tcW w:w="1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3</w:t>
            </w:r>
          </w:p>
        </w:tc>
      </w:tr>
      <w:tr>
        <w:trPr>
          <w:trHeight w:val="214"/>
        </w:trPr>
        <w:tc>
          <w:tcPr>
            <w:tcW w:w="9380" w:type="dxa"/>
            <w:vAlign w:val="bottom"/>
          </w:tcPr>
          <w:p>
            <w:pPr>
              <w:ind w:left="140"/>
              <w:spacing w:after="0"/>
              <w:rPr>
                <w:sz w:val="20"/>
                <w:szCs w:val="20"/>
                <w:color w:val="auto"/>
              </w:rPr>
            </w:pPr>
            <w:r>
              <w:rPr>
                <w:rFonts w:ascii="Arial" w:cs="Arial" w:eastAsia="Arial" w:hAnsi="Arial"/>
                <w:sz w:val="16"/>
                <w:szCs w:val="16"/>
                <w:color w:val="auto"/>
              </w:rPr>
              <w:t>Total assets held for sale</w:t>
            </w:r>
          </w:p>
        </w:tc>
        <w:tc>
          <w:tcPr>
            <w:tcW w:w="12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293</w:t>
            </w:r>
          </w:p>
        </w:tc>
      </w:tr>
      <w:tr>
        <w:trPr>
          <w:trHeight w:val="204"/>
        </w:trPr>
        <w:tc>
          <w:tcPr>
            <w:tcW w:w="9380" w:type="dxa"/>
            <w:vAlign w:val="bottom"/>
          </w:tcPr>
          <w:p>
            <w:pPr>
              <w:spacing w:after="0"/>
              <w:rPr>
                <w:sz w:val="20"/>
                <w:szCs w:val="20"/>
                <w:color w:val="auto"/>
              </w:rPr>
            </w:pPr>
            <w:r>
              <w:rPr>
                <w:rFonts w:ascii="Arial" w:cs="Arial" w:eastAsia="Arial" w:hAnsi="Arial"/>
                <w:sz w:val="16"/>
                <w:szCs w:val="16"/>
                <w:color w:val="auto"/>
              </w:rPr>
              <w:t>Liability held for sale - asset retirement obligation(1)</w:t>
            </w:r>
          </w:p>
        </w:tc>
        <w:tc>
          <w:tcPr>
            <w:tcW w:w="1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20" w:type="dxa"/>
            <w:vAlign w:val="bottom"/>
          </w:tcPr>
          <w:p>
            <w:pPr>
              <w:spacing w:after="0"/>
              <w:rPr>
                <w:sz w:val="17"/>
                <w:szCs w:val="17"/>
                <w:color w:val="auto"/>
              </w:rPr>
            </w:pPr>
          </w:p>
        </w:tc>
      </w:tr>
      <w:tr>
        <w:trPr>
          <w:trHeight w:val="214"/>
        </w:trPr>
        <w:tc>
          <w:tcPr>
            <w:tcW w:w="9380" w:type="dxa"/>
            <w:vAlign w:val="bottom"/>
          </w:tcPr>
          <w:p>
            <w:pPr>
              <w:spacing w:after="0"/>
              <w:rPr>
                <w:sz w:val="18"/>
                <w:szCs w:val="18"/>
                <w:color w:val="auto"/>
              </w:rPr>
            </w:pPr>
          </w:p>
        </w:tc>
        <w:tc>
          <w:tcPr>
            <w:tcW w:w="122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287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724852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8525" cy="17145"/>
                    </a:xfrm>
                    <a:prstGeom prst="rect">
                      <a:avLst/>
                    </a:prstGeom>
                    <a:noFill/>
                  </pic:spPr>
                </pic:pic>
              </a:graphicData>
            </a:graphic>
          </wp:anchor>
        </w:drawing>
      </w:r>
    </w:p>
    <w:p>
      <w:pPr>
        <w:ind w:left="920" w:hanging="914"/>
        <w:spacing w:after="0"/>
        <w:tabs>
          <w:tab w:leader="none" w:pos="920"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Other Current Liabilities on the Condensed Consolidated Balance Sheets.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 including estimated costs to sell, exceeds the carrying amount at September 30,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340360</wp:posOffset>
            </wp:positionV>
            <wp:extent cx="72656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5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color w:val="auto"/>
        </w:rPr>
        <w:t>NOTE 4. INVESTMENTS IN UNCONSOLIDATED ENTITIES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We provide additional information concerning our equity method investments in Note 4 of the Notes to Consolidated Financial Statements in the Annual Report.</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SOUTH AMERICAN UTILITIES</w:t>
      </w:r>
    </w:p>
    <w:p>
      <w:pPr>
        <w:sectPr>
          <w:pgSz w:w="11900" w:h="16838" w:orient="portrait"/>
          <w:cols w:equalWidth="0" w:num="1">
            <w:col w:w="11420"/>
          </w:cols>
          <w:pgMar w:left="240" w:top="127" w:right="239" w:bottom="83" w:gutter="0" w:footer="0" w:header="0"/>
        </w:sectPr>
      </w:pPr>
    </w:p>
    <w:bookmarkStart w:id="15" w:name="page16"/>
    <w:bookmarkEnd w:id="15"/>
    <w:p>
      <w:pPr>
        <w:ind w:right="140"/>
        <w:spacing w:after="0" w:line="250" w:lineRule="auto"/>
        <w:rPr>
          <w:sz w:val="20"/>
          <w:szCs w:val="20"/>
          <w:color w:val="auto"/>
        </w:rPr>
      </w:pPr>
      <w:r>
        <w:rPr>
          <w:rFonts w:ascii="Arial" w:cs="Arial" w:eastAsia="Arial" w:hAnsi="Arial"/>
          <w:sz w:val="18"/>
          <w:szCs w:val="18"/>
          <w:color w:val="auto"/>
        </w:rPr>
        <w:t>Sempra South American Utilities previously owned 43 percent of two Argentine natural gas utility holding companies, Sodigas Pampeana and Sodigas Sur. In the first quarter of 2013, we recorded a noncash impairment charge of $10 million ($7 million after-tax) to reduce the carrying value of our investments to estimated fair value at that time. The net charge is reported in Equity Earnings, Net of Income Tax on the Condensed Consolidated Statement of Operations for the nine months ended September 30, 2013. In June 2013, we completed the sale of our Argentine investments for $13 million in cash. Our results for the nine months ended September 30, 2013 include an additional $7 million loss ($4 million after-tax) on the sale, which is also included in Equity Earnings, Net of Income Tax.</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RENEWABLES</w:t>
      </w:r>
    </w:p>
    <w:p>
      <w:pPr>
        <w:spacing w:after="0" w:line="229"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In May 2014, Sempra Renewables invested $109 million, subject to a purchase price adjustment, to become a 50-percent partner with ConEdison Development in four solar projects in California. The joint venture includes ConEdison Development’s CED California Holdings, LLC portfolio, which consists of the 50-MW Alpaugh 50, the 20-MW Alpaugh North and the 20-MW White River 1 facilities in Tulare County, and the 20-MW Corcoran 1 facility in Kings County (collectively, the California solar partnership). The renewable power from all of the projects has been sold under long-term contracts. Sempra Renewables and ConEdison Development each own a 50-percent interest in the four fully operating solar facilities.</w:t>
      </w:r>
    </w:p>
    <w:p>
      <w:pPr>
        <w:spacing w:after="0" w:line="180"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Additionally, Sempra Renewables invested cash of $76 million and $5 million in its joint ventures during the nine months ended September 30, 2014 and 2013, respectively.</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RBS SEMPRA COMMODITIES</w:t>
      </w:r>
    </w:p>
    <w:p>
      <w:pPr>
        <w:spacing w:after="0" w:line="229"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RBS Sempra Commodities LLP (RBS Sempra Commodities) is a United Kingdom limited liability partnership that owned and operated commodities-marketing businesses previously owned by us. We and our partner in the joint venture, The Royal Bank of Scotland plc (RBS), sold substantially all of the partnership’s businesses and assets in four separate transactions completed in 2010 and early 2011. We account for our investment in RBS Sempra Commodities under the equity method, and report our share of partnership earnings and other associated costs, if any, in Equity Earnings, Before Income Tax on our Condensed Consolidated Statements of Operations.</w:t>
      </w:r>
    </w:p>
    <w:p>
      <w:pPr>
        <w:spacing w:after="0" w:line="19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received a distribution from the partnership of $50 million in May 2013. The investment balance of $73 million at September 30, 2014 reflects remaining distributions expected to be received from the partnership in accordance with provisions of a 2011 agreement between us and RBS that addresses the wind-down of the partnership and the distribution of the partnership’s remaining assets. The amount of distributions may be impacted by the matters we discuss related to RBS Sempra Commodities in Note 11 under “Other Litigation.” In addition, amounts may be retained by the partnership for an extended period of time to help offset unanticipated future general and administrative costs necessary to complete the dissolution of the partnership.</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We recorded no equity earnings or losses related to the partnership for any of the three-month or nine-month periods ended September 30, 2014 and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498475</wp:posOffset>
            </wp:positionV>
            <wp:extent cx="72656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5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9"/>
          <w:szCs w:val="19"/>
          <w:color w:val="auto"/>
        </w:rPr>
        <w:t>NOTE 5. OTHER FINANCIAL DATA</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TREASURY GRANTS</w:t>
      </w:r>
    </w:p>
    <w:p>
      <w:pPr>
        <w:spacing w:after="0" w:line="229"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At December 31, 2012, we had receivables for U.S. Treasury grants based on eligible costs at certain of our renewable generating facilities. During the first quarter of 2013, the federal government imposed automatic federal budget cuts, known as “sequestration,” as required by The Budget Control Act of 2011. As a result, we recorded a reduction to our grants receivable of $23 million and a reversal of income tax benefit of $5 million during the first quarter of 2013. In June 2013, we received $74 million in cash related to the Copper Mountain Solar 2 grant. We received $164 million in cash for the remaining grant receivable for Mesquite Solar 1 in August 2013.</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inventories by segment are as follows: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INVENTORY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-104775</wp:posOffset>
            </wp:positionV>
            <wp:extent cx="7248525" cy="2197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8525" cy="21971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i w:val="1"/>
          <w:iCs w:val="1"/>
          <w:color w:val="auto"/>
        </w:rPr>
        <w:t>(Dollars in millions)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40" w:type="dxa"/>
            <w:vAlign w:val="bottom"/>
            <w:tcBorders>
              <w:bottom w:val="single" w:sz="8" w:color="auto"/>
              <w:right w:val="single" w:sz="8" w:color="auto"/>
            </w:tcBorders>
            <w:gridSpan w:val="3"/>
          </w:tcPr>
          <w:p>
            <w:pPr>
              <w:jc w:val="right"/>
              <w:ind w:right="722"/>
              <w:spacing w:after="0"/>
              <w:rPr>
                <w:sz w:val="20"/>
                <w:szCs w:val="20"/>
                <w:color w:val="auto"/>
              </w:rPr>
            </w:pPr>
            <w:r>
              <w:rPr>
                <w:rFonts w:ascii="Arial" w:cs="Arial" w:eastAsia="Arial" w:hAnsi="Arial"/>
                <w:sz w:val="14"/>
                <w:szCs w:val="14"/>
                <w:color w:val="auto"/>
              </w:rPr>
              <w:t>Natural Gas</w:t>
            </w:r>
          </w:p>
        </w:tc>
        <w:tc>
          <w:tcPr>
            <w:tcW w:w="240" w:type="dxa"/>
            <w:vAlign w:val="bottom"/>
            <w:tcBorders>
              <w:bottom w:val="single" w:sz="8" w:color="auto"/>
            </w:tcBorders>
          </w:tcPr>
          <w:p>
            <w:pPr>
              <w:spacing w:after="0"/>
              <w:rPr>
                <w:sz w:val="15"/>
                <w:szCs w:val="15"/>
                <w:color w:val="auto"/>
              </w:rPr>
            </w:pPr>
          </w:p>
        </w:tc>
        <w:tc>
          <w:tcPr>
            <w:tcW w:w="2060" w:type="dxa"/>
            <w:vAlign w:val="bottom"/>
            <w:tcBorders>
              <w:bottom w:val="single" w:sz="8" w:color="auto"/>
              <w:right w:val="single" w:sz="8" w:color="auto"/>
            </w:tcBorders>
            <w:gridSpan w:val="3"/>
          </w:tcPr>
          <w:p>
            <w:pPr>
              <w:jc w:val="right"/>
              <w:ind w:right="402"/>
              <w:spacing w:after="0"/>
              <w:rPr>
                <w:sz w:val="20"/>
                <w:szCs w:val="20"/>
                <w:color w:val="auto"/>
              </w:rPr>
            </w:pPr>
            <w:r>
              <w:rPr>
                <w:rFonts w:ascii="Arial" w:cs="Arial" w:eastAsia="Arial" w:hAnsi="Arial"/>
                <w:sz w:val="14"/>
                <w:szCs w:val="14"/>
                <w:color w:val="auto"/>
              </w:rPr>
              <w:t>Liquefied Natural Gas</w:t>
            </w:r>
          </w:p>
        </w:tc>
        <w:tc>
          <w:tcPr>
            <w:tcW w:w="80" w:type="dxa"/>
            <w:vAlign w:val="bottom"/>
            <w:tcBorders>
              <w:bottom w:val="single" w:sz="8" w:color="auto"/>
            </w:tcBorders>
          </w:tcPr>
          <w:p>
            <w:pPr>
              <w:spacing w:after="0"/>
              <w:rPr>
                <w:sz w:val="15"/>
                <w:szCs w:val="15"/>
                <w:color w:val="auto"/>
              </w:rPr>
            </w:pPr>
          </w:p>
        </w:tc>
        <w:tc>
          <w:tcPr>
            <w:tcW w:w="2220" w:type="dxa"/>
            <w:vAlign w:val="bottom"/>
            <w:tcBorders>
              <w:bottom w:val="single" w:sz="8" w:color="auto"/>
              <w:right w:val="single" w:sz="8" w:color="auto"/>
            </w:tcBorders>
            <w:gridSpan w:val="3"/>
          </w:tcPr>
          <w:p>
            <w:pPr>
              <w:jc w:val="right"/>
              <w:ind w:right="382"/>
              <w:spacing w:after="0"/>
              <w:rPr>
                <w:sz w:val="20"/>
                <w:szCs w:val="20"/>
                <w:color w:val="auto"/>
              </w:rPr>
            </w:pPr>
            <w:r>
              <w:rPr>
                <w:rFonts w:ascii="Arial" w:cs="Arial" w:eastAsia="Arial" w:hAnsi="Arial"/>
                <w:sz w:val="14"/>
                <w:szCs w:val="14"/>
                <w:color w:val="auto"/>
              </w:rPr>
              <w:t>Materials and Supplies</w:t>
            </w:r>
          </w:p>
        </w:tc>
        <w:tc>
          <w:tcPr>
            <w:tcW w:w="10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3"/>
          </w:tcPr>
          <w:p>
            <w:pPr>
              <w:jc w:val="right"/>
              <w:ind w:right="942"/>
              <w:spacing w:after="0"/>
              <w:rPr>
                <w:sz w:val="20"/>
                <w:szCs w:val="20"/>
                <w:color w:val="auto"/>
              </w:rPr>
            </w:pPr>
            <w:r>
              <w:rPr>
                <w:rFonts w:ascii="Arial" w:cs="Arial" w:eastAsia="Arial" w:hAnsi="Arial"/>
                <w:sz w:val="14"/>
                <w:szCs w:val="14"/>
                <w:color w:val="auto"/>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180" w:type="dxa"/>
            <w:vAlign w:val="bottom"/>
          </w:tcPr>
          <w:p>
            <w:pPr>
              <w:spacing w:after="0"/>
              <w:rPr>
                <w:sz w:val="13"/>
                <w:szCs w:val="13"/>
                <w:color w:val="auto"/>
              </w:rPr>
            </w:pPr>
          </w:p>
        </w:tc>
        <w:tc>
          <w:tcPr>
            <w:tcW w:w="1160" w:type="dxa"/>
            <w:vAlign w:val="bottom"/>
            <w:gridSpan w:val="2"/>
          </w:tcPr>
          <w:p>
            <w:pPr>
              <w:jc w:val="right"/>
              <w:ind w:right="42"/>
              <w:spacing w:after="0" w:line="157" w:lineRule="exact"/>
              <w:rPr>
                <w:sz w:val="20"/>
                <w:szCs w:val="20"/>
                <w:color w:val="auto"/>
              </w:rPr>
            </w:pPr>
            <w:r>
              <w:rPr>
                <w:rFonts w:ascii="Arial" w:cs="Arial" w:eastAsia="Arial" w:hAnsi="Arial"/>
                <w:sz w:val="14"/>
                <w:szCs w:val="14"/>
                <w:color w:val="auto"/>
              </w:rPr>
              <w:t>September 30,</w:t>
            </w:r>
          </w:p>
        </w:tc>
        <w:tc>
          <w:tcPr>
            <w:tcW w:w="120" w:type="dxa"/>
            <w:vAlign w:val="bottom"/>
          </w:tcPr>
          <w:p>
            <w:pPr>
              <w:spacing w:after="0"/>
              <w:rPr>
                <w:sz w:val="13"/>
                <w:szCs w:val="13"/>
                <w:color w:val="auto"/>
              </w:rPr>
            </w:pPr>
          </w:p>
        </w:tc>
        <w:tc>
          <w:tcPr>
            <w:tcW w:w="1040" w:type="dxa"/>
            <w:vAlign w:val="bottom"/>
            <w:tcBorders>
              <w:right w:val="single" w:sz="8" w:color="auto"/>
            </w:tcBorders>
          </w:tcPr>
          <w:p>
            <w:pPr>
              <w:jc w:val="right"/>
              <w:ind w:right="82"/>
              <w:spacing w:after="0" w:line="157" w:lineRule="exact"/>
              <w:rPr>
                <w:sz w:val="20"/>
                <w:szCs w:val="20"/>
                <w:color w:val="auto"/>
              </w:rPr>
            </w:pPr>
            <w:r>
              <w:rPr>
                <w:rFonts w:ascii="Arial" w:cs="Arial" w:eastAsia="Arial" w:hAnsi="Arial"/>
                <w:sz w:val="14"/>
                <w:szCs w:val="14"/>
                <w:color w:val="auto"/>
                <w:w w:val="97"/>
              </w:rPr>
              <w:t>December 31,</w:t>
            </w:r>
          </w:p>
        </w:tc>
        <w:tc>
          <w:tcPr>
            <w:tcW w:w="1120" w:type="dxa"/>
            <w:vAlign w:val="bottom"/>
            <w:gridSpan w:val="2"/>
          </w:tcPr>
          <w:p>
            <w:pPr>
              <w:jc w:val="right"/>
              <w:ind w:right="22"/>
              <w:spacing w:after="0" w:line="157" w:lineRule="exact"/>
              <w:rPr>
                <w:sz w:val="20"/>
                <w:szCs w:val="20"/>
                <w:color w:val="auto"/>
              </w:rPr>
            </w:pPr>
            <w:r>
              <w:rPr>
                <w:rFonts w:ascii="Arial" w:cs="Arial" w:eastAsia="Arial" w:hAnsi="Arial"/>
                <w:sz w:val="14"/>
                <w:szCs w:val="14"/>
                <w:color w:val="auto"/>
              </w:rPr>
              <w:t>September 30,</w:t>
            </w:r>
          </w:p>
        </w:tc>
        <w:tc>
          <w:tcPr>
            <w:tcW w:w="120" w:type="dxa"/>
            <w:vAlign w:val="bottom"/>
          </w:tcPr>
          <w:p>
            <w:pPr>
              <w:spacing w:after="0"/>
              <w:rPr>
                <w:sz w:val="13"/>
                <w:szCs w:val="13"/>
                <w:color w:val="auto"/>
              </w:rPr>
            </w:pPr>
          </w:p>
        </w:tc>
        <w:tc>
          <w:tcPr>
            <w:tcW w:w="1060" w:type="dxa"/>
            <w:vAlign w:val="bottom"/>
            <w:tcBorders>
              <w:right w:val="single" w:sz="8" w:color="auto"/>
            </w:tcBorders>
          </w:tcPr>
          <w:p>
            <w:pPr>
              <w:jc w:val="right"/>
              <w:ind w:right="82"/>
              <w:spacing w:after="0" w:line="157" w:lineRule="exact"/>
              <w:rPr>
                <w:sz w:val="20"/>
                <w:szCs w:val="20"/>
                <w:color w:val="auto"/>
              </w:rPr>
            </w:pPr>
            <w:r>
              <w:rPr>
                <w:rFonts w:ascii="Arial" w:cs="Arial" w:eastAsia="Arial" w:hAnsi="Arial"/>
                <w:sz w:val="14"/>
                <w:szCs w:val="14"/>
                <w:color w:val="auto"/>
              </w:rPr>
              <w:t>December 31,</w:t>
            </w:r>
          </w:p>
        </w:tc>
        <w:tc>
          <w:tcPr>
            <w:tcW w:w="80" w:type="dxa"/>
            <w:vAlign w:val="bottom"/>
          </w:tcPr>
          <w:p>
            <w:pPr>
              <w:spacing w:after="0"/>
              <w:rPr>
                <w:sz w:val="13"/>
                <w:szCs w:val="13"/>
                <w:color w:val="auto"/>
              </w:rPr>
            </w:pPr>
          </w:p>
        </w:tc>
        <w:tc>
          <w:tcPr>
            <w:tcW w:w="1060" w:type="dxa"/>
            <w:vAlign w:val="bottom"/>
          </w:tcPr>
          <w:p>
            <w:pPr>
              <w:jc w:val="right"/>
              <w:ind w:right="43"/>
              <w:spacing w:after="0" w:line="157" w:lineRule="exact"/>
              <w:rPr>
                <w:sz w:val="20"/>
                <w:szCs w:val="20"/>
                <w:color w:val="auto"/>
              </w:rPr>
            </w:pPr>
            <w:r>
              <w:rPr>
                <w:rFonts w:ascii="Arial" w:cs="Arial" w:eastAsia="Arial" w:hAnsi="Arial"/>
                <w:sz w:val="14"/>
                <w:szCs w:val="14"/>
                <w:color w:val="auto"/>
              </w:rPr>
              <w:t>September 30,</w:t>
            </w:r>
          </w:p>
        </w:tc>
        <w:tc>
          <w:tcPr>
            <w:tcW w:w="120" w:type="dxa"/>
            <w:vAlign w:val="bottom"/>
          </w:tcPr>
          <w:p>
            <w:pPr>
              <w:spacing w:after="0"/>
              <w:rPr>
                <w:sz w:val="13"/>
                <w:szCs w:val="13"/>
                <w:color w:val="auto"/>
              </w:rPr>
            </w:pPr>
          </w:p>
        </w:tc>
        <w:tc>
          <w:tcPr>
            <w:tcW w:w="1040" w:type="dxa"/>
            <w:vAlign w:val="bottom"/>
            <w:tcBorders>
              <w:right w:val="single" w:sz="8" w:color="auto"/>
            </w:tcBorders>
          </w:tcPr>
          <w:p>
            <w:pPr>
              <w:jc w:val="right"/>
              <w:ind w:right="82"/>
              <w:spacing w:after="0" w:line="157" w:lineRule="exact"/>
              <w:rPr>
                <w:sz w:val="20"/>
                <w:szCs w:val="20"/>
                <w:color w:val="auto"/>
              </w:rPr>
            </w:pPr>
            <w:r>
              <w:rPr>
                <w:rFonts w:ascii="Arial" w:cs="Arial" w:eastAsia="Arial" w:hAnsi="Arial"/>
                <w:sz w:val="14"/>
                <w:szCs w:val="14"/>
                <w:color w:val="auto"/>
                <w:w w:val="97"/>
              </w:rPr>
              <w:t>December 31,</w:t>
            </w:r>
          </w:p>
        </w:tc>
        <w:tc>
          <w:tcPr>
            <w:tcW w:w="100" w:type="dxa"/>
            <w:vAlign w:val="bottom"/>
          </w:tcPr>
          <w:p>
            <w:pPr>
              <w:spacing w:after="0"/>
              <w:rPr>
                <w:sz w:val="13"/>
                <w:szCs w:val="13"/>
                <w:color w:val="auto"/>
              </w:rPr>
            </w:pPr>
          </w:p>
        </w:tc>
        <w:tc>
          <w:tcPr>
            <w:tcW w:w="1060" w:type="dxa"/>
            <w:vAlign w:val="bottom"/>
          </w:tcPr>
          <w:p>
            <w:pPr>
              <w:jc w:val="right"/>
              <w:ind w:right="63"/>
              <w:spacing w:after="0" w:line="157" w:lineRule="exact"/>
              <w:rPr>
                <w:sz w:val="20"/>
                <w:szCs w:val="20"/>
                <w:color w:val="auto"/>
              </w:rPr>
            </w:pPr>
            <w:r>
              <w:rPr>
                <w:rFonts w:ascii="Arial" w:cs="Arial" w:eastAsia="Arial" w:hAnsi="Arial"/>
                <w:sz w:val="14"/>
                <w:szCs w:val="14"/>
                <w:color w:val="auto"/>
                <w:w w:val="97"/>
              </w:rPr>
              <w:t>September 30,</w:t>
            </w:r>
          </w:p>
        </w:tc>
        <w:tc>
          <w:tcPr>
            <w:tcW w:w="120" w:type="dxa"/>
            <w:vAlign w:val="bottom"/>
          </w:tcPr>
          <w:p>
            <w:pPr>
              <w:spacing w:after="0"/>
              <w:rPr>
                <w:sz w:val="13"/>
                <w:szCs w:val="13"/>
                <w:color w:val="auto"/>
              </w:rPr>
            </w:pPr>
          </w:p>
        </w:tc>
        <w:tc>
          <w:tcPr>
            <w:tcW w:w="106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55"/>
        </w:trPr>
        <w:tc>
          <w:tcPr>
            <w:tcW w:w="21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42"/>
              <w:spacing w:after="0" w:line="155" w:lineRule="exact"/>
              <w:rPr>
                <w:sz w:val="20"/>
                <w:szCs w:val="20"/>
                <w:color w:val="auto"/>
              </w:rPr>
            </w:pPr>
            <w:r>
              <w:rPr>
                <w:rFonts w:ascii="Arial" w:cs="Arial" w:eastAsia="Arial" w:hAnsi="Arial"/>
                <w:sz w:val="14"/>
                <w:szCs w:val="14"/>
                <w:color w:val="auto"/>
              </w:rPr>
              <w:t>2014</w:t>
            </w: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right w:val="single" w:sz="8" w:color="auto"/>
            </w:tcBorders>
          </w:tcPr>
          <w:p>
            <w:pPr>
              <w:jc w:val="right"/>
              <w:ind w:right="362"/>
              <w:spacing w:after="0" w:line="155" w:lineRule="exact"/>
              <w:rPr>
                <w:sz w:val="20"/>
                <w:szCs w:val="20"/>
                <w:color w:val="auto"/>
              </w:rPr>
            </w:pPr>
            <w:r>
              <w:rPr>
                <w:rFonts w:ascii="Arial" w:cs="Arial" w:eastAsia="Arial" w:hAnsi="Arial"/>
                <w:sz w:val="14"/>
                <w:szCs w:val="14"/>
                <w:color w:val="auto"/>
              </w:rPr>
              <w:t>2013</w:t>
            </w: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42"/>
              <w:spacing w:after="0" w:line="155" w:lineRule="exact"/>
              <w:rPr>
                <w:sz w:val="20"/>
                <w:szCs w:val="20"/>
                <w:color w:val="auto"/>
              </w:rPr>
            </w:pPr>
            <w:r>
              <w:rPr>
                <w:rFonts w:ascii="Arial" w:cs="Arial" w:eastAsia="Arial" w:hAnsi="Arial"/>
                <w:sz w:val="14"/>
                <w:szCs w:val="14"/>
                <w:color w:val="auto"/>
              </w:rPr>
              <w:t>2014</w:t>
            </w: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right w:val="single" w:sz="8" w:color="auto"/>
            </w:tcBorders>
          </w:tcPr>
          <w:p>
            <w:pPr>
              <w:jc w:val="right"/>
              <w:ind w:right="382"/>
              <w:spacing w:after="0" w:line="155" w:lineRule="exact"/>
              <w:rPr>
                <w:sz w:val="20"/>
                <w:szCs w:val="20"/>
                <w:color w:val="auto"/>
              </w:rPr>
            </w:pPr>
            <w:r>
              <w:rPr>
                <w:rFonts w:ascii="Arial" w:cs="Arial" w:eastAsia="Arial" w:hAnsi="Arial"/>
                <w:sz w:val="14"/>
                <w:szCs w:val="14"/>
                <w:color w:val="auto"/>
              </w:rPr>
              <w:t>2013</w:t>
            </w:r>
          </w:p>
        </w:tc>
        <w:tc>
          <w:tcPr>
            <w:tcW w:w="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43"/>
              <w:spacing w:after="0" w:line="155" w:lineRule="exact"/>
              <w:rPr>
                <w:sz w:val="20"/>
                <w:szCs w:val="20"/>
                <w:color w:val="auto"/>
              </w:rPr>
            </w:pPr>
            <w:r>
              <w:rPr>
                <w:rFonts w:ascii="Arial" w:cs="Arial" w:eastAsia="Arial" w:hAnsi="Arial"/>
                <w:sz w:val="14"/>
                <w:szCs w:val="14"/>
                <w:color w:val="auto"/>
              </w:rPr>
              <w:t>2014</w:t>
            </w: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right w:val="single" w:sz="8" w:color="auto"/>
            </w:tcBorders>
          </w:tcPr>
          <w:p>
            <w:pPr>
              <w:jc w:val="right"/>
              <w:ind w:right="362"/>
              <w:spacing w:after="0" w:line="155" w:lineRule="exact"/>
              <w:rPr>
                <w:sz w:val="20"/>
                <w:szCs w:val="20"/>
                <w:color w:val="auto"/>
              </w:rPr>
            </w:pPr>
            <w:r>
              <w:rPr>
                <w:rFonts w:ascii="Arial" w:cs="Arial" w:eastAsia="Arial" w:hAnsi="Arial"/>
                <w:sz w:val="14"/>
                <w:szCs w:val="14"/>
                <w:color w:val="auto"/>
              </w:rPr>
              <w:t>2013</w:t>
            </w: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63"/>
              <w:spacing w:after="0" w:line="155" w:lineRule="exact"/>
              <w:rPr>
                <w:sz w:val="20"/>
                <w:szCs w:val="20"/>
                <w:color w:val="auto"/>
              </w:rPr>
            </w:pPr>
            <w:r>
              <w:rPr>
                <w:rFonts w:ascii="Arial" w:cs="Arial" w:eastAsia="Arial" w:hAnsi="Arial"/>
                <w:sz w:val="14"/>
                <w:szCs w:val="14"/>
                <w:color w:val="auto"/>
              </w:rPr>
              <w:t>2014</w:t>
            </w: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62"/>
              <w:spacing w:after="0" w:line="155" w:lineRule="exact"/>
              <w:rPr>
                <w:sz w:val="20"/>
                <w:szCs w:val="20"/>
                <w:color w:val="auto"/>
              </w:rPr>
            </w:pPr>
            <w:r>
              <w:rPr>
                <w:rFonts w:ascii="Arial" w:cs="Arial" w:eastAsia="Arial" w:hAnsi="Arial"/>
                <w:sz w:val="14"/>
                <w:szCs w:val="14"/>
                <w:color w:val="auto"/>
              </w:rPr>
              <w:t>2013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180" w:type="dxa"/>
            <w:vAlign w:val="bottom"/>
          </w:tcPr>
          <w:p>
            <w:pPr>
              <w:spacing w:after="0"/>
              <w:rPr>
                <w:sz w:val="20"/>
                <w:szCs w:val="20"/>
                <w:color w:val="auto"/>
              </w:rPr>
            </w:pPr>
            <w:r>
              <w:rPr>
                <w:rFonts w:ascii="Arial" w:cs="Arial" w:eastAsia="Arial" w:hAnsi="Arial"/>
                <w:sz w:val="16"/>
                <w:szCs w:val="16"/>
                <w:color w:val="auto"/>
              </w:rPr>
              <w:t>SDG&amp;E</w:t>
            </w:r>
          </w:p>
        </w:tc>
        <w:tc>
          <w:tcPr>
            <w:tcW w:w="28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40" w:type="dxa"/>
            <w:vAlign w:val="bottom"/>
          </w:tcPr>
          <w:p>
            <w:pPr>
              <w:jc w:val="right"/>
              <w:ind w:right="63"/>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auto"/>
            </w:tcBorders>
          </w:tcPr>
          <w:p>
            <w:pPr>
              <w:jc w:val="right"/>
              <w:ind w:right="82"/>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64</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70</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180" w:type="dxa"/>
            <w:vAlign w:val="bottom"/>
          </w:tcPr>
          <w:p>
            <w:pPr>
              <w:spacing w:after="0"/>
              <w:rPr>
                <w:sz w:val="20"/>
                <w:szCs w:val="20"/>
                <w:color w:val="auto"/>
              </w:rPr>
            </w:pPr>
            <w:r>
              <w:rPr>
                <w:rFonts w:ascii="Arial" w:cs="Arial" w:eastAsia="Arial" w:hAnsi="Arial"/>
                <w:sz w:val="16"/>
                <w:szCs w:val="16"/>
                <w:color w:val="auto"/>
              </w:rPr>
              <w:t>SoCalGas</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192</w:t>
            </w:r>
          </w:p>
        </w:tc>
        <w:tc>
          <w:tcPr>
            <w:tcW w:w="120" w:type="dxa"/>
            <w:vAlign w:val="bottom"/>
          </w:tcPr>
          <w:p>
            <w:pPr>
              <w:spacing w:after="0"/>
              <w:rPr>
                <w:sz w:val="18"/>
                <w:szCs w:val="18"/>
                <w:color w:val="auto"/>
              </w:rPr>
            </w:pP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240" w:type="dxa"/>
            <w:vAlign w:val="bottom"/>
          </w:tcPr>
          <w:p>
            <w:pPr>
              <w:spacing w:after="0"/>
              <w:rPr>
                <w:sz w:val="18"/>
                <w:szCs w:val="18"/>
                <w:color w:val="auto"/>
              </w:rPr>
            </w:pPr>
          </w:p>
        </w:tc>
        <w:tc>
          <w:tcPr>
            <w:tcW w:w="88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tcBorders>
              <w:right w:val="single" w:sz="8" w:color="auto"/>
            </w:tcBorders>
          </w:tcPr>
          <w:p>
            <w:pPr>
              <w:jc w:val="right"/>
              <w:ind w:right="82"/>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8"/>
                <w:szCs w:val="18"/>
                <w:color w:val="auto"/>
              </w:rPr>
            </w:pP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221</w:t>
            </w:r>
          </w:p>
        </w:tc>
        <w:tc>
          <w:tcPr>
            <w:tcW w:w="1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13"/>
        </w:trPr>
        <w:tc>
          <w:tcPr>
            <w:tcW w:w="2180" w:type="dxa"/>
            <w:vAlign w:val="bottom"/>
          </w:tcPr>
          <w:p>
            <w:pPr>
              <w:spacing w:after="0"/>
              <w:rPr>
                <w:sz w:val="20"/>
                <w:szCs w:val="20"/>
                <w:color w:val="auto"/>
              </w:rPr>
            </w:pPr>
            <w:r>
              <w:rPr>
                <w:rFonts w:ascii="Arial" w:cs="Arial" w:eastAsia="Arial" w:hAnsi="Arial"/>
                <w:sz w:val="16"/>
                <w:szCs w:val="16"/>
                <w:color w:val="auto"/>
              </w:rPr>
              <w:t>Sempra South American</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180" w:type="dxa"/>
            <w:vAlign w:val="bottom"/>
          </w:tcPr>
          <w:p>
            <w:pPr>
              <w:ind w:left="220"/>
              <w:spacing w:after="0"/>
              <w:rPr>
                <w:sz w:val="20"/>
                <w:szCs w:val="20"/>
                <w:color w:val="auto"/>
              </w:rPr>
            </w:pPr>
            <w:r>
              <w:rPr>
                <w:rFonts w:ascii="Arial" w:cs="Arial" w:eastAsia="Arial" w:hAnsi="Arial"/>
                <w:sz w:val="16"/>
                <w:szCs w:val="16"/>
                <w:color w:val="auto"/>
              </w:rPr>
              <w:t>Utilities</w:t>
            </w:r>
          </w:p>
        </w:tc>
        <w:tc>
          <w:tcPr>
            <w:tcW w:w="280" w:type="dxa"/>
            <w:vAlign w:val="bottom"/>
          </w:tcPr>
          <w:p>
            <w:pPr>
              <w:spacing w:after="0"/>
              <w:rPr>
                <w:sz w:val="18"/>
                <w:szCs w:val="18"/>
                <w:color w:val="auto"/>
              </w:rPr>
            </w:pPr>
          </w:p>
        </w:tc>
        <w:tc>
          <w:tcPr>
            <w:tcW w:w="88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tcBorders>
              <w:right w:val="single" w:sz="8" w:color="auto"/>
            </w:tcBorders>
          </w:tcPr>
          <w:p>
            <w:pPr>
              <w:jc w:val="right"/>
              <w:ind w:right="8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tcBorders>
              <w:right w:val="single" w:sz="8" w:color="auto"/>
            </w:tcBorders>
          </w:tcPr>
          <w:p>
            <w:pPr>
              <w:jc w:val="right"/>
              <w:ind w:right="82"/>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8"/>
                <w:szCs w:val="18"/>
                <w:color w:val="auto"/>
              </w:rPr>
            </w:pP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3"/>
        </w:trPr>
        <w:tc>
          <w:tcPr>
            <w:tcW w:w="2180" w:type="dxa"/>
            <w:vAlign w:val="bottom"/>
          </w:tcPr>
          <w:p>
            <w:pPr>
              <w:spacing w:after="0"/>
              <w:rPr>
                <w:sz w:val="20"/>
                <w:szCs w:val="20"/>
                <w:color w:val="auto"/>
              </w:rPr>
            </w:pPr>
            <w:r>
              <w:rPr>
                <w:rFonts w:ascii="Arial" w:cs="Arial" w:eastAsia="Arial" w:hAnsi="Arial"/>
                <w:sz w:val="16"/>
                <w:szCs w:val="16"/>
                <w:color w:val="auto"/>
              </w:rPr>
              <w:t>Sempra Mexico</w:t>
            </w:r>
          </w:p>
        </w:tc>
        <w:tc>
          <w:tcPr>
            <w:tcW w:w="280" w:type="dxa"/>
            <w:vAlign w:val="bottom"/>
          </w:tcPr>
          <w:p>
            <w:pPr>
              <w:spacing w:after="0"/>
              <w:rPr>
                <w:sz w:val="18"/>
                <w:szCs w:val="18"/>
                <w:color w:val="auto"/>
              </w:rPr>
            </w:pPr>
          </w:p>
        </w:tc>
        <w:tc>
          <w:tcPr>
            <w:tcW w:w="88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tcBorders>
              <w:right w:val="single" w:sz="8" w:color="auto"/>
            </w:tcBorders>
          </w:tcPr>
          <w:p>
            <w:pPr>
              <w:jc w:val="right"/>
              <w:ind w:right="8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3"/>
        </w:trPr>
        <w:tc>
          <w:tcPr>
            <w:tcW w:w="2180" w:type="dxa"/>
            <w:vAlign w:val="bottom"/>
          </w:tcPr>
          <w:p>
            <w:pPr>
              <w:spacing w:after="0"/>
              <w:rPr>
                <w:sz w:val="20"/>
                <w:szCs w:val="20"/>
                <w:color w:val="auto"/>
              </w:rPr>
            </w:pPr>
            <w:r>
              <w:rPr>
                <w:rFonts w:ascii="Arial" w:cs="Arial" w:eastAsia="Arial" w:hAnsi="Arial"/>
                <w:sz w:val="16"/>
                <w:szCs w:val="16"/>
                <w:color w:val="auto"/>
              </w:rPr>
              <w:t>Sempra Renewables</w:t>
            </w:r>
          </w:p>
        </w:tc>
        <w:tc>
          <w:tcPr>
            <w:tcW w:w="280" w:type="dxa"/>
            <w:vAlign w:val="bottom"/>
          </w:tcPr>
          <w:p>
            <w:pPr>
              <w:spacing w:after="0"/>
              <w:rPr>
                <w:sz w:val="18"/>
                <w:szCs w:val="18"/>
                <w:color w:val="auto"/>
              </w:rPr>
            </w:pPr>
          </w:p>
        </w:tc>
        <w:tc>
          <w:tcPr>
            <w:tcW w:w="88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tcBorders>
              <w:right w:val="single" w:sz="8" w:color="auto"/>
            </w:tcBorders>
          </w:tcPr>
          <w:p>
            <w:pPr>
              <w:jc w:val="right"/>
              <w:ind w:right="8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tcBorders>
              <w:right w:val="single" w:sz="8" w:color="auto"/>
            </w:tcBorders>
          </w:tcPr>
          <w:p>
            <w:pPr>
              <w:jc w:val="right"/>
              <w:ind w:right="82"/>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91"/>
        </w:trPr>
        <w:tc>
          <w:tcPr>
            <w:tcW w:w="2180" w:type="dxa"/>
            <w:vAlign w:val="bottom"/>
          </w:tcPr>
          <w:p>
            <w:pPr>
              <w:spacing w:after="0"/>
              <w:rPr>
                <w:sz w:val="20"/>
                <w:szCs w:val="20"/>
                <w:color w:val="auto"/>
              </w:rPr>
            </w:pPr>
            <w:r>
              <w:rPr>
                <w:rFonts w:ascii="Arial" w:cs="Arial" w:eastAsia="Arial" w:hAnsi="Arial"/>
                <w:sz w:val="16"/>
                <w:szCs w:val="16"/>
                <w:color w:val="auto"/>
              </w:rPr>
              <w:t>Sempra Natural Gas</w:t>
            </w: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w:t>
            </w: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w:t>
            </w: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180" w:type="dxa"/>
            <w:vAlign w:val="bottom"/>
          </w:tcPr>
          <w:p>
            <w:pPr>
              <w:spacing w:after="0"/>
              <w:rPr>
                <w:sz w:val="20"/>
                <w:szCs w:val="20"/>
                <w:color w:val="auto"/>
              </w:rPr>
            </w:pPr>
            <w:r>
              <w:rPr>
                <w:rFonts w:ascii="Arial" w:cs="Arial" w:eastAsia="Arial" w:hAnsi="Arial"/>
                <w:sz w:val="16"/>
                <w:szCs w:val="16"/>
                <w:color w:val="auto"/>
              </w:rPr>
              <w:t>Sempra Energy</w:t>
            </w:r>
          </w:p>
        </w:tc>
        <w:tc>
          <w:tcPr>
            <w:tcW w:w="280" w:type="dxa"/>
            <w:vAlign w:val="bottom"/>
            <w:vMerge w:val="restart"/>
          </w:tcPr>
          <w:p>
            <w:pPr>
              <w:jc w:val="right"/>
              <w:ind w:right="83"/>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319</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113</w:t>
            </w:r>
          </w:p>
        </w:tc>
        <w:tc>
          <w:tcPr>
            <w:tcW w:w="240" w:type="dxa"/>
            <w:vAlign w:val="bottom"/>
            <w:vMerge w:val="restart"/>
          </w:tcPr>
          <w:p>
            <w:pPr>
              <w:jc w:val="right"/>
              <w:ind w:right="63"/>
              <w:spacing w:after="0"/>
              <w:rPr>
                <w:sz w:val="20"/>
                <w:szCs w:val="20"/>
                <w:color w:val="auto"/>
              </w:rPr>
            </w:pPr>
            <w:r>
              <w:rPr>
                <w:rFonts w:ascii="Arial" w:cs="Arial" w:eastAsia="Arial" w:hAnsi="Arial"/>
                <w:sz w:val="16"/>
                <w:szCs w:val="16"/>
                <w:color w:val="auto"/>
                <w:w w:val="89"/>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11</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8</w:t>
            </w: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142</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166</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472</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r>
        <w:trPr>
          <w:trHeight w:val="177"/>
        </w:trPr>
        <w:tc>
          <w:tcPr>
            <w:tcW w:w="2180" w:type="dxa"/>
            <w:vAlign w:val="bottom"/>
            <w:tcBorders>
              <w:bottom w:val="single" w:sz="8" w:color="auto"/>
            </w:tcBorders>
          </w:tcPr>
          <w:p>
            <w:pPr>
              <w:ind w:left="220"/>
              <w:spacing w:after="0" w:line="171" w:lineRule="exact"/>
              <w:rPr>
                <w:sz w:val="20"/>
                <w:szCs w:val="20"/>
                <w:color w:val="auto"/>
              </w:rPr>
            </w:pPr>
            <w:r>
              <w:rPr>
                <w:rFonts w:ascii="Arial" w:cs="Arial" w:eastAsia="Arial" w:hAnsi="Arial"/>
                <w:sz w:val="16"/>
                <w:szCs w:val="16"/>
                <w:color w:val="auto"/>
              </w:rPr>
              <w:t>Consolidated</w:t>
            </w:r>
          </w:p>
        </w:tc>
        <w:tc>
          <w:tcPr>
            <w:tcW w:w="28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1040" w:type="dxa"/>
            <w:vAlign w:val="bottom"/>
            <w:tcBorders>
              <w:bottom w:val="single" w:sz="8" w:color="auto"/>
              <w:right w:val="single" w:sz="8" w:color="auto"/>
            </w:tcBorders>
            <w:vMerge w:val="continue"/>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1060" w:type="dxa"/>
            <w:vAlign w:val="bottom"/>
            <w:tcBorders>
              <w:bottom w:val="single" w:sz="8" w:color="auto"/>
              <w:right w:val="single" w:sz="8" w:color="auto"/>
            </w:tcBorders>
            <w:vMerge w:val="continue"/>
          </w:tcPr>
          <w:p>
            <w:pPr>
              <w:spacing w:after="0"/>
              <w:rPr>
                <w:sz w:val="15"/>
                <w:szCs w:val="15"/>
                <w:color w:val="auto"/>
              </w:rPr>
            </w:pPr>
          </w:p>
        </w:tc>
        <w:tc>
          <w:tcPr>
            <w:tcW w:w="80" w:type="dxa"/>
            <w:vAlign w:val="bottom"/>
            <w:tcBorders>
              <w:bottom w:val="single" w:sz="8" w:color="auto"/>
            </w:tcBorders>
            <w:vMerge w:val="continue"/>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1040" w:type="dxa"/>
            <w:vAlign w:val="bottom"/>
            <w:tcBorders>
              <w:bottom w:val="single" w:sz="8" w:color="auto"/>
              <w:right w:val="single" w:sz="8" w:color="auto"/>
            </w:tcBorders>
            <w:vMerge w:val="continue"/>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106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discuss goodwill in Notes 1 and 3 of the Notes to Consolidated Financial Statements in the Annual Report. The decrease in goodwill from $1.024 billion at December 31, 2013 to $951 million at September 30, 2014 is due to foreign currency translation at Sempra South American Utilities. We record the offset of this fluctuation in Other Comprehensive Income (Loss).</w:t>
      </w:r>
    </w:p>
    <w:p>
      <w:pPr>
        <w:sectPr>
          <w:pgSz w:w="11900" w:h="16838" w:orient="portrait"/>
          <w:cols w:equalWidth="0" w:num="1">
            <w:col w:w="11420"/>
          </w:cols>
          <w:pgMar w:left="240" w:top="127" w:right="239" w:bottom="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VARIABLE INTEREST ENTITIES (VIE)</w:t>
      </w:r>
    </w:p>
    <w:p>
      <w:pPr>
        <w:spacing w:after="0" w:line="229"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color w:val="auto"/>
        </w:rPr>
        <w:t>We consolidate a VIE if we are the primary beneficiary of the VIE. Our determination of whether we are the primary beneficiary is based upon qualitative and quantitative analyses, which assess</w:t>
      </w:r>
    </w:p>
    <w:p>
      <w:pPr>
        <w:spacing w:after="0" w:line="179" w:lineRule="exact"/>
        <w:rPr>
          <w:sz w:val="20"/>
          <w:szCs w:val="20"/>
          <w:color w:val="auto"/>
        </w:rPr>
      </w:pPr>
    </w:p>
    <w:p>
      <w:pPr>
        <w:ind w:left="320" w:hanging="17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purpose and design of the VIE;</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nature of the VIE’s risks and the risks we absorb;</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power to direct activities that most significantly impact the economic performance of the VIE; and</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obligation to absorb losses or right to receive benefits that could be significant to the VIE.</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SDG&amp;E</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Tolling Agreements</w:t>
      </w:r>
    </w:p>
    <w:p>
      <w:pPr>
        <w:spacing w:after="0" w:line="211"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SDG&amp;E has agreements under which it purchases power generated by facilities for which it supplies all of the natural gas to fuel the power plant (i.e., tolling agreements). SDG&amp;E’s obligation to absorb natural gas costs may be a significant variable interest. In addition, SDG&amp;E has the power to direct the dispatch of electricity generated by these facilities. Based upon our analysis, the ability to direct the dispatch of electricity may have the most significant impact on the economic performance of the entity owning the generating facility because of the associated exposure to the cost of natural gas, which fuels the plants, and the value of electricity produced. To the extent that SDG&amp;E (1) is obligated to purchase and provide fuel to operate the facility, (2) has the power to direct the dispatch, and (3) purchases all of the output from the facility for a substantial portion of the facility’s useful life, SDG&amp;E may be the primary beneficiary of the entity owning the generating facility. SDG&amp;E determines if it is the primary beneficiary in these cases based on a qualitative approach in which we consider the operational characteristics of the facility, including its expected power generation output relative to its capacity to generate and the financial structure of the entity, among other factors. If we determine that SDG&amp;E is the primary beneficiary, SDG&amp;E and Sempra Energy consolidate the entity that owns the facility as a VIE, as we discuss below.</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Otay Mesa VIE</w:t>
      </w:r>
    </w:p>
    <w:p>
      <w:pPr>
        <w:spacing w:after="0" w:line="211"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SDG&amp;E has an agreement to purchase power generated at the Otay Mesa Energy Center (OMEC), a 605-MW generating facility. In addition to tolling, the agreement provides SDG&amp;E with the option to purchase the power plant at the end of the contract term in 2019, or upon earlier termination of the purchased-power agreement, at a predetermined price subject to adjustments based on performance of the facility. If SDG&amp;E does not exercise its option, under certain circumstances, it may be required to purchase the power plant at a predetermined price, which we refer to as the put option.</w:t>
      </w:r>
    </w:p>
    <w:p>
      <w:pPr>
        <w:spacing w:after="0" w:line="162" w:lineRule="exact"/>
        <w:rPr>
          <w:sz w:val="20"/>
          <w:szCs w:val="20"/>
          <w:color w:val="auto"/>
        </w:rPr>
      </w:pPr>
    </w:p>
    <w:p>
      <w:pPr>
        <w:ind w:right="240"/>
        <w:spacing w:after="0" w:line="269" w:lineRule="auto"/>
        <w:rPr>
          <w:sz w:val="20"/>
          <w:szCs w:val="20"/>
          <w:color w:val="auto"/>
        </w:rPr>
      </w:pPr>
      <w:r>
        <w:rPr>
          <w:rFonts w:ascii="Arial" w:cs="Arial" w:eastAsia="Arial" w:hAnsi="Arial"/>
          <w:sz w:val="17"/>
          <w:szCs w:val="17"/>
          <w:color w:val="auto"/>
        </w:rPr>
        <w:t>The facility owner, Otay Mesa Energy Center LLC (OMEC LLC), is a VIE (Otay Mesa VIE), of which SDG&amp;E is the primary beneficiary. SDG&amp;E has no OMEC LLC voting rights and does not operate OMEC. In addition to the risks absorbed under the tolling agreement, SDG&amp;E absorbs separately through the put option a significant portion of the risk that the value of Otay Mesa VIE could decline. Accordingly, SDG&amp;E and Sempra Energy have consolidated Otay Mesa VIE. Otay Mesa VIE’s equity of $77 million at September 30, 2014 and $91 million at December 31, 2013 is included on the Condensed Consolidated Balance Sheets in Other Noncontrolling Interests for Sempra Energy and in Noncontrolling Interest for SDG&amp;E.</w:t>
      </w:r>
    </w:p>
    <w:p>
      <w:pPr>
        <w:spacing w:after="0" w:line="18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OMEC LLC has a loan outstanding of $327 million at September 30, 2014, the proceeds of which were used for the construction of OMEC. The loan is with third party lenders and is secured by OMEC’s property, plant and equipment. SDG&amp;E is not a party to the loan agreement and does not have any additional implicit or explicit financial responsibility to OMEC LLC. The loan fully matures in April 2019 and bears interest at rates varying with market rates. In addition, OMEC LLC has entered into interest rate swap agreements to moderate its exposure to interest rate changes. We provide additional information concerning the interest rate swaps in Note 7.</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Other Variable Interest Entities</w:t>
      </w:r>
    </w:p>
    <w:p>
      <w:pPr>
        <w:spacing w:after="0" w:line="211"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SDG&amp;E’s power procurement is subject to reliability requirements that may require SDG&amp;E to enter into various power purchase arrangements which include variable interests. SDG&amp;E evaluates the respective entities to determine if variable interests exist and, based on the qualitative and quantitative analyses described above, if SDG&amp;E, and thereby Sempra Energy, is the primary beneficiary. SDG&amp;E has determined that no contracts, other than the one relating to Otay Mesa VIE mentioned above, result in SDG&amp;E being the primary beneficiary at September 30, 2014. In addition to the tolling agreements described above, other variable interests involve various elements of fuel and power costs, including certain construction costs, tax credits, and other components of cash flow expected to be paid to or received by our counterparties. In most of these cases, the expectation of variability is not substantial, and SDG&amp;E generally does not have the power to direct activities that most significantly impact the economic performance of the other VIEs. If our ongoing evaluation of these VIEs were to conclude that SDG&amp;E becomes the primary beneficiary and consolidation by SDG&amp;E becomes necessary, the effects are not expected to significantly affect the financial position, results of operations, or liquidity of SDG&amp;E. In addition, SDG&amp;E is not exposed to losses or gains as a result of these other VIEs, because all such variability would be recovered in rates.</w:t>
      </w:r>
    </w:p>
    <w:p>
      <w:pPr>
        <w:spacing w:after="0" w:line="189"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Sempra Energy’s other operating units also enter into arrangements which could include variable interests. We evaluate these arrangements and applicable entities based upon the qualitative and quantitative analyses described above. Certain of these entities are service companies that are VIEs. As the primary beneficiary of these service companies, we consolidate them. In all other cases, we have determined that these contracts are not variable interests in a VIE and therefore are not subject to the U.S. GAAP requirements concerning the consolidation of VIEs.</w:t>
      </w:r>
    </w:p>
    <w:p>
      <w:pPr>
        <w:spacing w:after="0" w:line="177"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The Condensed Consolidated Statements of Operations of Sempra Energy and SDG&amp;E include the following amounts associated with Otay Mesa VIE. The amounts are net of eliminations of transactions between SDG&amp;E and Otay Mesa VIE. The financial statements of other consolidated VIEs are not material to the financial statements of Sempra Energy. The captions on the table below generally correspond to SDG&amp;E’s Condensed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271145</wp:posOffset>
            </wp:positionV>
            <wp:extent cx="7248525" cy="2787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8525" cy="27876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ASSOCIATED WITH OTAY MESA VIE</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52" w:lineRule="exact"/>
        <w:rPr>
          <w:sz w:val="20"/>
          <w:szCs w:val="20"/>
          <w:color w:val="auto"/>
        </w:rPr>
      </w:pPr>
    </w:p>
    <w:p>
      <w:pPr>
        <w:ind w:left="5580"/>
        <w:spacing w:after="0"/>
        <w:tabs>
          <w:tab w:leader="none" w:pos="8740" w:val="left"/>
        </w:tabs>
        <w:rPr>
          <w:sz w:val="20"/>
          <w:szCs w:val="20"/>
          <w:color w:val="auto"/>
        </w:rPr>
      </w:pPr>
      <w:r>
        <w:rPr>
          <w:rFonts w:ascii="Arial" w:cs="Arial" w:eastAsia="Arial" w:hAnsi="Arial"/>
          <w:sz w:val="14"/>
          <w:szCs w:val="14"/>
          <w:color w:val="auto"/>
        </w:rPr>
        <w:t>Three months ended September 30,</w:t>
      </w:r>
      <w:r>
        <w:rPr>
          <w:sz w:val="20"/>
          <w:szCs w:val="20"/>
          <w:color w:val="auto"/>
        </w:rPr>
        <w:tab/>
      </w:r>
      <w:r>
        <w:rPr>
          <w:rFonts w:ascii="Arial" w:cs="Arial" w:eastAsia="Arial" w:hAnsi="Arial"/>
          <w:sz w:val="14"/>
          <w:szCs w:val="14"/>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3269615</wp:posOffset>
            </wp:positionH>
            <wp:positionV relativeFrom="paragraph">
              <wp:posOffset>-3175</wp:posOffset>
            </wp:positionV>
            <wp:extent cx="39827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982720" cy="8255"/>
                    </a:xfrm>
                    <a:prstGeom prst="rect">
                      <a:avLst/>
                    </a:prstGeom>
                    <a:noFill/>
                  </pic:spPr>
                </pic:pic>
              </a:graphicData>
            </a:graphic>
          </wp:anchor>
        </w:drawing>
      </w:r>
    </w:p>
    <w:p>
      <w:pPr>
        <w:sectPr>
          <w:pgSz w:w="11900" w:h="16838" w:orient="portrait"/>
          <w:cols w:equalWidth="0" w:num="1">
            <w:col w:w="11400"/>
          </w:cols>
          <w:pgMar w:left="240" w:top="329" w:right="259" w:bottom="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70"/>
        </w:trPr>
        <w:tc>
          <w:tcPr>
            <w:tcW w:w="5140" w:type="dxa"/>
            <w:vAlign w:val="bottom"/>
          </w:tcPr>
          <w:p>
            <w:pPr>
              <w:spacing w:after="0"/>
              <w:rPr>
                <w:sz w:val="14"/>
                <w:szCs w:val="14"/>
                <w:color w:val="auto"/>
              </w:rPr>
            </w:pPr>
          </w:p>
        </w:tc>
        <w:tc>
          <w:tcPr>
            <w:tcW w:w="1120" w:type="dxa"/>
            <w:vAlign w:val="bottom"/>
          </w:tcPr>
          <w:p>
            <w:pPr>
              <w:jc w:val="right"/>
              <w:ind w:right="83"/>
              <w:spacing w:after="0"/>
              <w:rPr>
                <w:sz w:val="20"/>
                <w:szCs w:val="20"/>
                <w:color w:val="auto"/>
              </w:rPr>
            </w:pPr>
            <w:r>
              <w:rPr>
                <w:rFonts w:ascii="Arial" w:cs="Arial" w:eastAsia="Arial" w:hAnsi="Arial"/>
                <w:sz w:val="14"/>
                <w:szCs w:val="14"/>
                <w:color w:val="auto"/>
              </w:rPr>
              <w:t>2014</w:t>
            </w:r>
          </w:p>
        </w:tc>
        <w:tc>
          <w:tcPr>
            <w:tcW w:w="600" w:type="dxa"/>
            <w:vAlign w:val="bottom"/>
          </w:tcPr>
          <w:p>
            <w:pPr>
              <w:spacing w:after="0"/>
              <w:rPr>
                <w:sz w:val="14"/>
                <w:szCs w:val="14"/>
                <w:color w:val="auto"/>
              </w:rPr>
            </w:pPr>
          </w:p>
        </w:tc>
        <w:tc>
          <w:tcPr>
            <w:tcW w:w="960" w:type="dxa"/>
            <w:vAlign w:val="bottom"/>
          </w:tcPr>
          <w:p>
            <w:pPr>
              <w:jc w:val="right"/>
              <w:ind w:right="83"/>
              <w:spacing w:after="0"/>
              <w:rPr>
                <w:sz w:val="20"/>
                <w:szCs w:val="20"/>
                <w:color w:val="auto"/>
              </w:rPr>
            </w:pPr>
            <w:r>
              <w:rPr>
                <w:rFonts w:ascii="Arial" w:cs="Arial" w:eastAsia="Arial" w:hAnsi="Arial"/>
                <w:sz w:val="14"/>
                <w:szCs w:val="14"/>
                <w:color w:val="auto"/>
              </w:rPr>
              <w:t>2013</w:t>
            </w: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701"/>
              <w:spacing w:after="0"/>
              <w:rPr>
                <w:sz w:val="20"/>
                <w:szCs w:val="20"/>
                <w:color w:val="auto"/>
              </w:rPr>
            </w:pPr>
            <w:r>
              <w:rPr>
                <w:rFonts w:ascii="Arial" w:cs="Arial" w:eastAsia="Arial" w:hAnsi="Arial"/>
                <w:sz w:val="14"/>
                <w:szCs w:val="14"/>
                <w:color w:val="auto"/>
              </w:rPr>
              <w:t>2014</w:t>
            </w:r>
          </w:p>
        </w:tc>
        <w:tc>
          <w:tcPr>
            <w:tcW w:w="360" w:type="dxa"/>
            <w:vAlign w:val="bottom"/>
          </w:tcPr>
          <w:p>
            <w:pPr>
              <w:spacing w:after="0"/>
              <w:rPr>
                <w:sz w:val="14"/>
                <w:szCs w:val="14"/>
                <w:color w:val="auto"/>
              </w:rPr>
            </w:pPr>
          </w:p>
        </w:tc>
        <w:tc>
          <w:tcPr>
            <w:tcW w:w="1060" w:type="dxa"/>
            <w:vAlign w:val="bottom"/>
          </w:tcPr>
          <w:p>
            <w:pPr>
              <w:jc w:val="right"/>
              <w:ind w:right="541"/>
              <w:spacing w:after="0"/>
              <w:rPr>
                <w:sz w:val="20"/>
                <w:szCs w:val="20"/>
                <w:color w:val="auto"/>
              </w:rPr>
            </w:pPr>
            <w:r>
              <w:rPr>
                <w:rFonts w:ascii="Arial" w:cs="Arial" w:eastAsia="Arial" w:hAnsi="Arial"/>
                <w:sz w:val="14"/>
                <w:szCs w:val="14"/>
                <w:color w:val="auto"/>
              </w:rPr>
              <w:t>2013</w:t>
            </w:r>
          </w:p>
        </w:tc>
        <w:tc>
          <w:tcPr>
            <w:tcW w:w="20" w:type="dxa"/>
            <w:vAlign w:val="bottom"/>
          </w:tcPr>
          <w:p>
            <w:pPr>
              <w:spacing w:after="0"/>
              <w:rPr>
                <w:sz w:val="14"/>
                <w:szCs w:val="14"/>
                <w:color w:val="auto"/>
              </w:rPr>
            </w:pPr>
          </w:p>
        </w:tc>
      </w:tr>
      <w:tr>
        <w:trPr>
          <w:trHeight w:val="38"/>
        </w:trPr>
        <w:tc>
          <w:tcPr>
            <w:tcW w:w="51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194"/>
        </w:trPr>
        <w:tc>
          <w:tcPr>
            <w:tcW w:w="5140" w:type="dxa"/>
            <w:vAlign w:val="bottom"/>
          </w:tcPr>
          <w:p>
            <w:pPr>
              <w:spacing w:after="0"/>
              <w:rPr>
                <w:sz w:val="20"/>
                <w:szCs w:val="20"/>
                <w:color w:val="auto"/>
              </w:rPr>
            </w:pPr>
            <w:r>
              <w:rPr>
                <w:rFonts w:ascii="Arial" w:cs="Arial" w:eastAsia="Arial" w:hAnsi="Arial"/>
                <w:sz w:val="16"/>
                <w:szCs w:val="16"/>
                <w:color w:val="auto"/>
              </w:rPr>
              <w:t>Operating revenues</w:t>
            </w:r>
          </w:p>
        </w:tc>
        <w:tc>
          <w:tcPr>
            <w:tcW w:w="1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2"/>
        </w:trPr>
        <w:tc>
          <w:tcPr>
            <w:tcW w:w="5140" w:type="dxa"/>
            <w:vAlign w:val="bottom"/>
          </w:tcPr>
          <w:p>
            <w:pPr>
              <w:ind w:left="180"/>
              <w:spacing w:after="0"/>
              <w:rPr>
                <w:sz w:val="20"/>
                <w:szCs w:val="20"/>
                <w:color w:val="auto"/>
              </w:rPr>
            </w:pPr>
            <w:r>
              <w:rPr>
                <w:rFonts w:ascii="Arial" w:cs="Arial" w:eastAsia="Arial" w:hAnsi="Arial"/>
                <w:sz w:val="16"/>
                <w:szCs w:val="16"/>
                <w:color w:val="auto"/>
              </w:rPr>
              <w:t>Electric</w:t>
            </w:r>
          </w:p>
        </w:tc>
        <w:tc>
          <w:tcPr>
            <w:tcW w:w="1120" w:type="dxa"/>
            <w:vAlign w:val="bottom"/>
          </w:tcPr>
          <w:p>
            <w:pPr>
              <w:jc w:val="right"/>
              <w:ind w:right="643"/>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43"/>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80"/>
              <w:spacing w:after="0"/>
              <w:rPr>
                <w:sz w:val="20"/>
                <w:szCs w:val="20"/>
                <w:color w:val="auto"/>
              </w:rPr>
            </w:pPr>
            <w:r>
              <w:rPr>
                <w:rFonts w:ascii="Arial" w:cs="Arial" w:eastAsia="Arial" w:hAnsi="Arial"/>
                <w:sz w:val="16"/>
                <w:szCs w:val="16"/>
                <w:color w:val="auto"/>
              </w:rPr>
              <w:t>(4)</w:t>
            </w:r>
          </w:p>
        </w:tc>
        <w:tc>
          <w:tcPr>
            <w:tcW w:w="3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04"/>
        </w:trPr>
        <w:tc>
          <w:tcPr>
            <w:tcW w:w="5140" w:type="dxa"/>
            <w:vAlign w:val="bottom"/>
          </w:tcPr>
          <w:p>
            <w:pPr>
              <w:ind w:left="180"/>
              <w:spacing w:after="0"/>
              <w:rPr>
                <w:sz w:val="20"/>
                <w:szCs w:val="20"/>
                <w:color w:val="auto"/>
              </w:rPr>
            </w:pPr>
            <w:r>
              <w:rPr>
                <w:rFonts w:ascii="Arial" w:cs="Arial" w:eastAsia="Arial" w:hAnsi="Arial"/>
                <w:sz w:val="16"/>
                <w:szCs w:val="16"/>
                <w:color w:val="auto"/>
              </w:rPr>
              <w:t>Natural gas</w:t>
            </w:r>
          </w:p>
        </w:tc>
        <w:tc>
          <w:tcPr>
            <w:tcW w:w="1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206"/>
        </w:trPr>
        <w:tc>
          <w:tcPr>
            <w:tcW w:w="5140" w:type="dxa"/>
            <w:vAlign w:val="bottom"/>
          </w:tcPr>
          <w:p>
            <w:pPr>
              <w:ind w:left="360"/>
              <w:spacing w:after="0"/>
              <w:rPr>
                <w:sz w:val="20"/>
                <w:szCs w:val="20"/>
                <w:color w:val="auto"/>
              </w:rPr>
            </w:pPr>
            <w:r>
              <w:rPr>
                <w:rFonts w:ascii="Arial" w:cs="Arial" w:eastAsia="Arial" w:hAnsi="Arial"/>
                <w:sz w:val="16"/>
                <w:szCs w:val="16"/>
                <w:color w:val="auto"/>
              </w:rPr>
              <w:t>Total operating revenues</w:t>
            </w:r>
          </w:p>
        </w:tc>
        <w:tc>
          <w:tcPr>
            <w:tcW w:w="1120" w:type="dxa"/>
            <w:vAlign w:val="bottom"/>
          </w:tcPr>
          <w:p>
            <w:pPr>
              <w:spacing w:after="0"/>
              <w:rPr>
                <w:sz w:val="17"/>
                <w:szCs w:val="17"/>
                <w:color w:val="auto"/>
              </w:rPr>
            </w:pPr>
          </w:p>
        </w:tc>
        <w:tc>
          <w:tcPr>
            <w:tcW w:w="60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7"/>
                <w:szCs w:val="17"/>
                <w:color w:val="auto"/>
              </w:rPr>
            </w:pPr>
          </w:p>
        </w:tc>
        <w:tc>
          <w:tcPr>
            <w:tcW w:w="620" w:type="dxa"/>
            <w:vAlign w:val="bottom"/>
          </w:tcPr>
          <w:p>
            <w:pPr>
              <w:jc w:val="right"/>
              <w:ind w:right="80"/>
              <w:spacing w:after="0"/>
              <w:rPr>
                <w:sz w:val="20"/>
                <w:szCs w:val="20"/>
                <w:color w:val="auto"/>
              </w:rPr>
            </w:pPr>
            <w:r>
              <w:rPr>
                <w:rFonts w:ascii="Arial" w:cs="Arial" w:eastAsia="Arial" w:hAnsi="Arial"/>
                <w:sz w:val="16"/>
                <w:szCs w:val="16"/>
                <w:color w:val="auto"/>
              </w:rPr>
              <w:t>(4)</w:t>
            </w:r>
          </w:p>
        </w:tc>
        <w:tc>
          <w:tcPr>
            <w:tcW w:w="360" w:type="dxa"/>
            <w:vAlign w:val="bottom"/>
          </w:tcPr>
          <w:p>
            <w:pPr>
              <w:spacing w:after="0"/>
              <w:rPr>
                <w:sz w:val="17"/>
                <w:szCs w:val="17"/>
                <w:color w:val="auto"/>
              </w:rPr>
            </w:pPr>
          </w:p>
        </w:tc>
        <w:tc>
          <w:tcPr>
            <w:tcW w:w="120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14"/>
        </w:trPr>
        <w:tc>
          <w:tcPr>
            <w:tcW w:w="5140" w:type="dxa"/>
            <w:vAlign w:val="bottom"/>
          </w:tcPr>
          <w:p>
            <w:pPr>
              <w:spacing w:after="0"/>
              <w:rPr>
                <w:sz w:val="20"/>
                <w:szCs w:val="20"/>
                <w:color w:val="auto"/>
              </w:rPr>
            </w:pPr>
            <w:r>
              <w:rPr>
                <w:rFonts w:ascii="Arial" w:cs="Arial" w:eastAsia="Arial" w:hAnsi="Arial"/>
                <w:sz w:val="16"/>
                <w:szCs w:val="16"/>
                <w:color w:val="auto"/>
              </w:rPr>
              <w:t>Operating expenses</w:t>
            </w:r>
          </w:p>
        </w:tc>
        <w:tc>
          <w:tcPr>
            <w:tcW w:w="1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5140" w:type="dxa"/>
            <w:vAlign w:val="bottom"/>
          </w:tcPr>
          <w:p>
            <w:pPr>
              <w:ind w:left="180"/>
              <w:spacing w:after="0"/>
              <w:rPr>
                <w:sz w:val="20"/>
                <w:szCs w:val="20"/>
                <w:color w:val="auto"/>
              </w:rPr>
            </w:pPr>
            <w:r>
              <w:rPr>
                <w:rFonts w:ascii="Arial" w:cs="Arial" w:eastAsia="Arial" w:hAnsi="Arial"/>
                <w:sz w:val="16"/>
                <w:szCs w:val="16"/>
                <w:color w:val="auto"/>
              </w:rPr>
              <w:t>Cost of electric fuel and purchased power</w:t>
            </w:r>
          </w:p>
        </w:tc>
        <w:tc>
          <w:tcPr>
            <w:tcW w:w="1120" w:type="dxa"/>
            <w:vAlign w:val="bottom"/>
          </w:tcPr>
          <w:p>
            <w:pPr>
              <w:spacing w:after="0"/>
              <w:rPr>
                <w:sz w:val="18"/>
                <w:szCs w:val="18"/>
                <w:color w:val="auto"/>
              </w:rPr>
            </w:pPr>
          </w:p>
        </w:tc>
        <w:tc>
          <w:tcPr>
            <w:tcW w:w="600" w:type="dxa"/>
            <w:vAlign w:val="bottom"/>
          </w:tcPr>
          <w:p>
            <w:pPr>
              <w:jc w:val="right"/>
              <w:ind w:right="60"/>
              <w:spacing w:after="0"/>
              <w:rPr>
                <w:sz w:val="20"/>
                <w:szCs w:val="20"/>
                <w:color w:val="auto"/>
              </w:rPr>
            </w:pPr>
            <w:r>
              <w:rPr>
                <w:rFonts w:ascii="Arial" w:cs="Arial" w:eastAsia="Arial" w:hAnsi="Arial"/>
                <w:sz w:val="16"/>
                <w:szCs w:val="16"/>
                <w:color w:val="auto"/>
              </w:rPr>
              <w:t>(27)</w:t>
            </w:r>
          </w:p>
        </w:tc>
        <w:tc>
          <w:tcPr>
            <w:tcW w:w="960" w:type="dxa"/>
            <w:vAlign w:val="bottom"/>
          </w:tcPr>
          <w:p>
            <w:pPr>
              <w:spacing w:after="0"/>
              <w:rPr>
                <w:sz w:val="18"/>
                <w:szCs w:val="18"/>
                <w:color w:val="auto"/>
              </w:rPr>
            </w:pPr>
          </w:p>
        </w:tc>
        <w:tc>
          <w:tcPr>
            <w:tcW w:w="620" w:type="dxa"/>
            <w:vAlign w:val="bottom"/>
          </w:tcPr>
          <w:p>
            <w:pPr>
              <w:jc w:val="right"/>
              <w:ind w:right="80"/>
              <w:spacing w:after="0"/>
              <w:rPr>
                <w:sz w:val="20"/>
                <w:szCs w:val="20"/>
                <w:color w:val="auto"/>
              </w:rPr>
            </w:pPr>
            <w:r>
              <w:rPr>
                <w:rFonts w:ascii="Arial" w:cs="Arial" w:eastAsia="Arial" w:hAnsi="Arial"/>
                <w:sz w:val="16"/>
                <w:szCs w:val="16"/>
                <w:color w:val="auto"/>
              </w:rPr>
              <w:t>(27)</w:t>
            </w:r>
          </w:p>
        </w:tc>
        <w:tc>
          <w:tcPr>
            <w:tcW w:w="360" w:type="dxa"/>
            <w:vAlign w:val="bottom"/>
          </w:tcPr>
          <w:p>
            <w:pPr>
              <w:spacing w:after="0"/>
              <w:rPr>
                <w:sz w:val="18"/>
                <w:szCs w:val="18"/>
                <w:color w:val="auto"/>
              </w:rPr>
            </w:pPr>
          </w:p>
        </w:tc>
        <w:tc>
          <w:tcPr>
            <w:tcW w:w="1200" w:type="dxa"/>
            <w:vAlign w:val="bottom"/>
          </w:tcPr>
          <w:p>
            <w:pPr>
              <w:jc w:val="right"/>
              <w:ind w:right="61"/>
              <w:spacing w:after="0"/>
              <w:rPr>
                <w:sz w:val="20"/>
                <w:szCs w:val="20"/>
                <w:color w:val="auto"/>
              </w:rPr>
            </w:pPr>
            <w:r>
              <w:rPr>
                <w:rFonts w:ascii="Arial" w:cs="Arial" w:eastAsia="Arial" w:hAnsi="Arial"/>
                <w:sz w:val="16"/>
                <w:szCs w:val="16"/>
                <w:color w:val="auto"/>
              </w:rPr>
              <w:t>(67)</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(65)</w:t>
            </w:r>
          </w:p>
        </w:tc>
        <w:tc>
          <w:tcPr>
            <w:tcW w:w="20" w:type="dxa"/>
            <w:vAlign w:val="bottom"/>
          </w:tcPr>
          <w:p>
            <w:pPr>
              <w:spacing w:after="0"/>
              <w:rPr>
                <w:sz w:val="18"/>
                <w:szCs w:val="18"/>
                <w:color w:val="auto"/>
              </w:rPr>
            </w:pPr>
          </w:p>
        </w:tc>
      </w:tr>
      <w:tr>
        <w:trPr>
          <w:trHeight w:val="213"/>
        </w:trPr>
        <w:tc>
          <w:tcPr>
            <w:tcW w:w="5140" w:type="dxa"/>
            <w:vAlign w:val="bottom"/>
          </w:tcPr>
          <w:p>
            <w:pPr>
              <w:ind w:left="180"/>
              <w:spacing w:after="0"/>
              <w:rPr>
                <w:sz w:val="20"/>
                <w:szCs w:val="20"/>
                <w:color w:val="auto"/>
              </w:rPr>
            </w:pPr>
            <w:r>
              <w:rPr>
                <w:rFonts w:ascii="Arial" w:cs="Arial" w:eastAsia="Arial" w:hAnsi="Arial"/>
                <w:sz w:val="16"/>
                <w:szCs w:val="16"/>
                <w:color w:val="auto"/>
              </w:rPr>
              <w:t>Operation and maintenance</w:t>
            </w:r>
          </w:p>
        </w:tc>
        <w:tc>
          <w:tcPr>
            <w:tcW w:w="1120" w:type="dxa"/>
            <w:vAlign w:val="bottom"/>
          </w:tcPr>
          <w:p>
            <w:pPr>
              <w:spacing w:after="0"/>
              <w:rPr>
                <w:sz w:val="18"/>
                <w:szCs w:val="18"/>
                <w:color w:val="auto"/>
              </w:rPr>
            </w:pPr>
          </w:p>
        </w:tc>
        <w:tc>
          <w:tcPr>
            <w:tcW w:w="600" w:type="dxa"/>
            <w:vAlign w:val="bottom"/>
          </w:tcPr>
          <w:p>
            <w:pPr>
              <w:jc w:val="right"/>
              <w:ind w:right="60"/>
              <w:spacing w:after="0"/>
              <w:rPr>
                <w:sz w:val="20"/>
                <w:szCs w:val="20"/>
                <w:color w:val="auto"/>
              </w:rPr>
            </w:pPr>
            <w:r>
              <w:rPr>
                <w:rFonts w:ascii="Arial" w:cs="Arial" w:eastAsia="Arial" w:hAnsi="Arial"/>
                <w:sz w:val="16"/>
                <w:szCs w:val="16"/>
                <w:color w:val="auto"/>
              </w:rPr>
              <w:t>3</w:t>
            </w:r>
          </w:p>
        </w:tc>
        <w:tc>
          <w:tcPr>
            <w:tcW w:w="960" w:type="dxa"/>
            <w:vAlign w:val="bottom"/>
          </w:tcPr>
          <w:p>
            <w:pPr>
              <w:spacing w:after="0"/>
              <w:rPr>
                <w:sz w:val="18"/>
                <w:szCs w:val="18"/>
                <w:color w:val="auto"/>
              </w:rPr>
            </w:pPr>
          </w:p>
        </w:tc>
        <w:tc>
          <w:tcPr>
            <w:tcW w:w="620" w:type="dxa"/>
            <w:vAlign w:val="bottom"/>
          </w:tcPr>
          <w:p>
            <w:pPr>
              <w:jc w:val="right"/>
              <w:ind w:right="80"/>
              <w:spacing w:after="0"/>
              <w:rPr>
                <w:sz w:val="20"/>
                <w:szCs w:val="20"/>
                <w:color w:val="auto"/>
              </w:rPr>
            </w:pPr>
            <w:r>
              <w:rPr>
                <w:rFonts w:ascii="Arial" w:cs="Arial" w:eastAsia="Arial" w:hAnsi="Arial"/>
                <w:sz w:val="16"/>
                <w:szCs w:val="16"/>
                <w:color w:val="auto"/>
              </w:rPr>
              <w:t>7</w:t>
            </w:r>
          </w:p>
        </w:tc>
        <w:tc>
          <w:tcPr>
            <w:tcW w:w="360" w:type="dxa"/>
            <w:vAlign w:val="bottom"/>
          </w:tcPr>
          <w:p>
            <w:pPr>
              <w:spacing w:after="0"/>
              <w:rPr>
                <w:sz w:val="18"/>
                <w:szCs w:val="18"/>
                <w:color w:val="auto"/>
              </w:rPr>
            </w:pPr>
          </w:p>
        </w:tc>
        <w:tc>
          <w:tcPr>
            <w:tcW w:w="1200" w:type="dxa"/>
            <w:vAlign w:val="bottom"/>
          </w:tcPr>
          <w:p>
            <w:pPr>
              <w:jc w:val="right"/>
              <w:ind w:right="61"/>
              <w:spacing w:after="0"/>
              <w:rPr>
                <w:sz w:val="20"/>
                <w:szCs w:val="20"/>
                <w:color w:val="auto"/>
              </w:rPr>
            </w:pPr>
            <w:r>
              <w:rPr>
                <w:rFonts w:ascii="Arial" w:cs="Arial" w:eastAsia="Arial" w:hAnsi="Arial"/>
                <w:sz w:val="16"/>
                <w:szCs w:val="16"/>
                <w:color w:val="auto"/>
              </w:rPr>
              <w:t>13</w:t>
            </w:r>
          </w:p>
        </w:tc>
        <w:tc>
          <w:tcPr>
            <w:tcW w:w="3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33</w:t>
            </w:r>
          </w:p>
        </w:tc>
      </w:tr>
      <w:tr>
        <w:trPr>
          <w:trHeight w:val="204"/>
        </w:trPr>
        <w:tc>
          <w:tcPr>
            <w:tcW w:w="514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1120" w:type="dxa"/>
            <w:vAlign w:val="bottom"/>
          </w:tcPr>
          <w:p>
            <w:pPr>
              <w:spacing w:after="0"/>
              <w:rPr>
                <w:sz w:val="17"/>
                <w:szCs w:val="17"/>
                <w:color w:val="auto"/>
              </w:rPr>
            </w:pPr>
          </w:p>
        </w:tc>
        <w:tc>
          <w:tcPr>
            <w:tcW w:w="600" w:type="dxa"/>
            <w:vAlign w:val="bottom"/>
          </w:tcPr>
          <w:p>
            <w:pPr>
              <w:jc w:val="right"/>
              <w:ind w:right="60"/>
              <w:spacing w:after="0"/>
              <w:rPr>
                <w:sz w:val="20"/>
                <w:szCs w:val="20"/>
                <w:color w:val="auto"/>
              </w:rPr>
            </w:pPr>
            <w:r>
              <w:rPr>
                <w:rFonts w:ascii="Arial" w:cs="Arial" w:eastAsia="Arial" w:hAnsi="Arial"/>
                <w:sz w:val="16"/>
                <w:szCs w:val="16"/>
                <w:color w:val="auto"/>
              </w:rPr>
              <w:t>7</w:t>
            </w:r>
          </w:p>
        </w:tc>
        <w:tc>
          <w:tcPr>
            <w:tcW w:w="960" w:type="dxa"/>
            <w:vAlign w:val="bottom"/>
          </w:tcPr>
          <w:p>
            <w:pPr>
              <w:spacing w:after="0"/>
              <w:rPr>
                <w:sz w:val="17"/>
                <w:szCs w:val="17"/>
                <w:color w:val="auto"/>
              </w:rPr>
            </w:pPr>
          </w:p>
        </w:tc>
        <w:tc>
          <w:tcPr>
            <w:tcW w:w="620" w:type="dxa"/>
            <w:vAlign w:val="bottom"/>
          </w:tcPr>
          <w:p>
            <w:pPr>
              <w:jc w:val="right"/>
              <w:ind w:right="80"/>
              <w:spacing w:after="0"/>
              <w:rPr>
                <w:sz w:val="20"/>
                <w:szCs w:val="20"/>
                <w:color w:val="auto"/>
              </w:rPr>
            </w:pPr>
            <w:r>
              <w:rPr>
                <w:rFonts w:ascii="Arial" w:cs="Arial" w:eastAsia="Arial" w:hAnsi="Arial"/>
                <w:sz w:val="16"/>
                <w:szCs w:val="16"/>
                <w:color w:val="auto"/>
              </w:rPr>
              <w:t>7</w:t>
            </w:r>
          </w:p>
        </w:tc>
        <w:tc>
          <w:tcPr>
            <w:tcW w:w="360" w:type="dxa"/>
            <w:vAlign w:val="bottom"/>
          </w:tcPr>
          <w:p>
            <w:pPr>
              <w:spacing w:after="0"/>
              <w:rPr>
                <w:sz w:val="17"/>
                <w:szCs w:val="17"/>
                <w:color w:val="auto"/>
              </w:rPr>
            </w:pPr>
          </w:p>
        </w:tc>
        <w:tc>
          <w:tcPr>
            <w:tcW w:w="1200" w:type="dxa"/>
            <w:vAlign w:val="bottom"/>
          </w:tcPr>
          <w:p>
            <w:pPr>
              <w:jc w:val="right"/>
              <w:ind w:right="61"/>
              <w:spacing w:after="0"/>
              <w:rPr>
                <w:sz w:val="20"/>
                <w:szCs w:val="20"/>
                <w:color w:val="auto"/>
              </w:rPr>
            </w:pPr>
            <w:r>
              <w:rPr>
                <w:rFonts w:ascii="Arial" w:cs="Arial" w:eastAsia="Arial" w:hAnsi="Arial"/>
                <w:sz w:val="16"/>
                <w:szCs w:val="16"/>
                <w:color w:val="auto"/>
              </w:rPr>
              <w:t>21</w:t>
            </w:r>
          </w:p>
        </w:tc>
        <w:tc>
          <w:tcPr>
            <w:tcW w:w="360" w:type="dxa"/>
            <w:vAlign w:val="bottom"/>
          </w:tcPr>
          <w:p>
            <w:pPr>
              <w:spacing w:after="0"/>
              <w:rPr>
                <w:sz w:val="17"/>
                <w:szCs w:val="17"/>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20</w:t>
            </w:r>
          </w:p>
        </w:tc>
      </w:tr>
      <w:tr>
        <w:trPr>
          <w:trHeight w:val="206"/>
        </w:trPr>
        <w:tc>
          <w:tcPr>
            <w:tcW w:w="5140" w:type="dxa"/>
            <w:vAlign w:val="bottom"/>
          </w:tcPr>
          <w:p>
            <w:pPr>
              <w:ind w:left="360"/>
              <w:spacing w:after="0"/>
              <w:rPr>
                <w:sz w:val="20"/>
                <w:szCs w:val="20"/>
                <w:color w:val="auto"/>
              </w:rPr>
            </w:pPr>
            <w:r>
              <w:rPr>
                <w:rFonts w:ascii="Arial" w:cs="Arial" w:eastAsia="Arial" w:hAnsi="Arial"/>
                <w:sz w:val="16"/>
                <w:szCs w:val="16"/>
                <w:color w:val="auto"/>
              </w:rPr>
              <w:t>Total operating expenses</w:t>
            </w:r>
          </w:p>
        </w:tc>
        <w:tc>
          <w:tcPr>
            <w:tcW w:w="112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(17)</w:t>
            </w:r>
          </w:p>
        </w:tc>
        <w:tc>
          <w:tcPr>
            <w:tcW w:w="96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color w:val="auto"/>
              </w:rPr>
              <w:t>(13)</w:t>
            </w: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(33)</w:t>
            </w:r>
          </w:p>
        </w:tc>
        <w:tc>
          <w:tcPr>
            <w:tcW w:w="36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17"/>
                <w:szCs w:val="17"/>
                <w:color w:val="auto"/>
              </w:rPr>
            </w:pPr>
          </w:p>
        </w:tc>
      </w:tr>
      <w:tr>
        <w:trPr>
          <w:trHeight w:val="214"/>
        </w:trPr>
        <w:tc>
          <w:tcPr>
            <w:tcW w:w="5140" w:type="dxa"/>
            <w:vAlign w:val="bottom"/>
          </w:tcPr>
          <w:p>
            <w:pPr>
              <w:spacing w:after="0"/>
              <w:rPr>
                <w:sz w:val="20"/>
                <w:szCs w:val="20"/>
                <w:color w:val="auto"/>
              </w:rPr>
            </w:pPr>
            <w:r>
              <w:rPr>
                <w:rFonts w:ascii="Arial" w:cs="Arial" w:eastAsia="Arial" w:hAnsi="Arial"/>
                <w:sz w:val="16"/>
                <w:szCs w:val="16"/>
                <w:color w:val="auto"/>
              </w:rPr>
              <w:t>Operating income</w:t>
            </w:r>
          </w:p>
        </w:tc>
        <w:tc>
          <w:tcPr>
            <w:tcW w:w="1120" w:type="dxa"/>
            <w:vAlign w:val="bottom"/>
          </w:tcPr>
          <w:p>
            <w:pPr>
              <w:spacing w:after="0"/>
              <w:rPr>
                <w:sz w:val="18"/>
                <w:szCs w:val="18"/>
                <w:color w:val="auto"/>
              </w:rPr>
            </w:pPr>
          </w:p>
        </w:tc>
        <w:tc>
          <w:tcPr>
            <w:tcW w:w="600" w:type="dxa"/>
            <w:vAlign w:val="bottom"/>
          </w:tcPr>
          <w:p>
            <w:pPr>
              <w:jc w:val="right"/>
              <w:ind w:right="60"/>
              <w:spacing w:after="0"/>
              <w:rPr>
                <w:sz w:val="20"/>
                <w:szCs w:val="20"/>
                <w:color w:val="auto"/>
              </w:rPr>
            </w:pPr>
            <w:r>
              <w:rPr>
                <w:rFonts w:ascii="Arial" w:cs="Arial" w:eastAsia="Arial" w:hAnsi="Arial"/>
                <w:sz w:val="16"/>
                <w:szCs w:val="16"/>
                <w:color w:val="auto"/>
              </w:rPr>
              <w:t>17</w:t>
            </w:r>
          </w:p>
        </w:tc>
        <w:tc>
          <w:tcPr>
            <w:tcW w:w="960" w:type="dxa"/>
            <w:vAlign w:val="bottom"/>
          </w:tcPr>
          <w:p>
            <w:pPr>
              <w:spacing w:after="0"/>
              <w:rPr>
                <w:sz w:val="18"/>
                <w:szCs w:val="18"/>
                <w:color w:val="auto"/>
              </w:rPr>
            </w:pPr>
          </w:p>
        </w:tc>
        <w:tc>
          <w:tcPr>
            <w:tcW w:w="620" w:type="dxa"/>
            <w:vAlign w:val="bottom"/>
          </w:tcPr>
          <w:p>
            <w:pPr>
              <w:jc w:val="right"/>
              <w:ind w:right="80"/>
              <w:spacing w:after="0"/>
              <w:rPr>
                <w:sz w:val="20"/>
                <w:szCs w:val="20"/>
                <w:color w:val="auto"/>
              </w:rPr>
            </w:pPr>
            <w:r>
              <w:rPr>
                <w:rFonts w:ascii="Arial" w:cs="Arial" w:eastAsia="Arial" w:hAnsi="Arial"/>
                <w:sz w:val="16"/>
                <w:szCs w:val="16"/>
                <w:color w:val="auto"/>
              </w:rPr>
              <w:t>9</w:t>
            </w:r>
          </w:p>
        </w:tc>
        <w:tc>
          <w:tcPr>
            <w:tcW w:w="360" w:type="dxa"/>
            <w:vAlign w:val="bottom"/>
          </w:tcPr>
          <w:p>
            <w:pPr>
              <w:spacing w:after="0"/>
              <w:rPr>
                <w:sz w:val="18"/>
                <w:szCs w:val="18"/>
                <w:color w:val="auto"/>
              </w:rPr>
            </w:pPr>
          </w:p>
        </w:tc>
        <w:tc>
          <w:tcPr>
            <w:tcW w:w="1200" w:type="dxa"/>
            <w:vAlign w:val="bottom"/>
          </w:tcPr>
          <w:p>
            <w:pPr>
              <w:jc w:val="right"/>
              <w:ind w:right="61"/>
              <w:spacing w:after="0"/>
              <w:rPr>
                <w:sz w:val="20"/>
                <w:szCs w:val="20"/>
                <w:color w:val="auto"/>
              </w:rPr>
            </w:pPr>
            <w:r>
              <w:rPr>
                <w:rFonts w:ascii="Arial" w:cs="Arial" w:eastAsia="Arial" w:hAnsi="Arial"/>
                <w:sz w:val="16"/>
                <w:szCs w:val="16"/>
                <w:color w:val="auto"/>
              </w:rPr>
              <w:t>33</w:t>
            </w:r>
          </w:p>
        </w:tc>
        <w:tc>
          <w:tcPr>
            <w:tcW w:w="3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12</w:t>
            </w:r>
          </w:p>
        </w:tc>
      </w:tr>
      <w:tr>
        <w:trPr>
          <w:trHeight w:val="204"/>
        </w:trPr>
        <w:tc>
          <w:tcPr>
            <w:tcW w:w="5140" w:type="dxa"/>
            <w:vAlign w:val="bottom"/>
          </w:tcPr>
          <w:p>
            <w:pPr>
              <w:spacing w:after="0"/>
              <w:rPr>
                <w:sz w:val="20"/>
                <w:szCs w:val="20"/>
                <w:color w:val="auto"/>
              </w:rPr>
            </w:pPr>
            <w:r>
              <w:rPr>
                <w:rFonts w:ascii="Arial" w:cs="Arial" w:eastAsia="Arial" w:hAnsi="Arial"/>
                <w:sz w:val="16"/>
                <w:szCs w:val="16"/>
                <w:color w:val="auto"/>
              </w:rPr>
              <w:t>Interest expense</w:t>
            </w:r>
          </w:p>
        </w:tc>
        <w:tc>
          <w:tcPr>
            <w:tcW w:w="1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(5)</w:t>
            </w:r>
          </w:p>
        </w:tc>
        <w:tc>
          <w:tcPr>
            <w:tcW w:w="9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(13)</w:t>
            </w: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20" w:type="dxa"/>
            <w:vAlign w:val="bottom"/>
          </w:tcPr>
          <w:p>
            <w:pPr>
              <w:spacing w:after="0"/>
              <w:rPr>
                <w:sz w:val="17"/>
                <w:szCs w:val="17"/>
                <w:color w:val="auto"/>
              </w:rPr>
            </w:pPr>
          </w:p>
        </w:tc>
      </w:tr>
      <w:tr>
        <w:trPr>
          <w:trHeight w:val="214"/>
        </w:trPr>
        <w:tc>
          <w:tcPr>
            <w:tcW w:w="5140" w:type="dxa"/>
            <w:vAlign w:val="bottom"/>
          </w:tcPr>
          <w:p>
            <w:pPr>
              <w:spacing w:after="0"/>
              <w:rPr>
                <w:sz w:val="20"/>
                <w:szCs w:val="20"/>
                <w:color w:val="auto"/>
              </w:rPr>
            </w:pPr>
            <w:r>
              <w:rPr>
                <w:rFonts w:ascii="Arial" w:cs="Arial" w:eastAsia="Arial" w:hAnsi="Arial"/>
                <w:sz w:val="16"/>
                <w:szCs w:val="16"/>
                <w:color w:val="auto"/>
              </w:rPr>
              <w:t>Income before income taxes/Net income</w:t>
            </w:r>
          </w:p>
        </w:tc>
        <w:tc>
          <w:tcPr>
            <w:tcW w:w="1120" w:type="dxa"/>
            <w:vAlign w:val="bottom"/>
          </w:tcPr>
          <w:p>
            <w:pPr>
              <w:spacing w:after="0"/>
              <w:rPr>
                <w:sz w:val="18"/>
                <w:szCs w:val="18"/>
                <w:color w:val="auto"/>
              </w:rPr>
            </w:pPr>
          </w:p>
        </w:tc>
        <w:tc>
          <w:tcPr>
            <w:tcW w:w="600" w:type="dxa"/>
            <w:vAlign w:val="bottom"/>
          </w:tcPr>
          <w:p>
            <w:pPr>
              <w:jc w:val="right"/>
              <w:ind w:right="60"/>
              <w:spacing w:after="0"/>
              <w:rPr>
                <w:sz w:val="20"/>
                <w:szCs w:val="20"/>
                <w:color w:val="auto"/>
              </w:rPr>
            </w:pPr>
            <w:r>
              <w:rPr>
                <w:rFonts w:ascii="Arial" w:cs="Arial" w:eastAsia="Arial" w:hAnsi="Arial"/>
                <w:sz w:val="16"/>
                <w:szCs w:val="16"/>
                <w:color w:val="auto"/>
              </w:rPr>
              <w:t>12</w:t>
            </w:r>
          </w:p>
        </w:tc>
        <w:tc>
          <w:tcPr>
            <w:tcW w:w="960" w:type="dxa"/>
            <w:vAlign w:val="bottom"/>
          </w:tcPr>
          <w:p>
            <w:pPr>
              <w:spacing w:after="0"/>
              <w:rPr>
                <w:sz w:val="18"/>
                <w:szCs w:val="18"/>
                <w:color w:val="auto"/>
              </w:rPr>
            </w:pPr>
          </w:p>
        </w:tc>
        <w:tc>
          <w:tcPr>
            <w:tcW w:w="620" w:type="dxa"/>
            <w:vAlign w:val="bottom"/>
          </w:tcPr>
          <w:p>
            <w:pPr>
              <w:jc w:val="right"/>
              <w:ind w:right="80"/>
              <w:spacing w:after="0"/>
              <w:rPr>
                <w:sz w:val="20"/>
                <w:szCs w:val="20"/>
                <w:color w:val="auto"/>
              </w:rPr>
            </w:pPr>
            <w:r>
              <w:rPr>
                <w:rFonts w:ascii="Arial" w:cs="Arial" w:eastAsia="Arial" w:hAnsi="Arial"/>
                <w:sz w:val="16"/>
                <w:szCs w:val="16"/>
                <w:color w:val="auto"/>
              </w:rPr>
              <w:t>5</w:t>
            </w:r>
          </w:p>
        </w:tc>
        <w:tc>
          <w:tcPr>
            <w:tcW w:w="360" w:type="dxa"/>
            <w:vAlign w:val="bottom"/>
          </w:tcPr>
          <w:p>
            <w:pPr>
              <w:spacing w:after="0"/>
              <w:rPr>
                <w:sz w:val="18"/>
                <w:szCs w:val="18"/>
                <w:color w:val="auto"/>
              </w:rPr>
            </w:pPr>
          </w:p>
        </w:tc>
        <w:tc>
          <w:tcPr>
            <w:tcW w:w="1200" w:type="dxa"/>
            <w:vAlign w:val="bottom"/>
          </w:tcPr>
          <w:p>
            <w:pPr>
              <w:jc w:val="right"/>
              <w:ind w:right="61"/>
              <w:spacing w:after="0"/>
              <w:rPr>
                <w:sz w:val="20"/>
                <w:szCs w:val="20"/>
                <w:color w:val="auto"/>
              </w:rPr>
            </w:pPr>
            <w:r>
              <w:rPr>
                <w:rFonts w:ascii="Arial" w:cs="Arial" w:eastAsia="Arial" w:hAnsi="Arial"/>
                <w:sz w:val="16"/>
                <w:szCs w:val="16"/>
                <w:color w:val="auto"/>
              </w:rPr>
              <w:t>20</w:t>
            </w:r>
          </w:p>
        </w:tc>
        <w:tc>
          <w:tcPr>
            <w:tcW w:w="3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1</w:t>
            </w:r>
          </w:p>
        </w:tc>
      </w:tr>
      <w:tr>
        <w:trPr>
          <w:trHeight w:val="204"/>
        </w:trPr>
        <w:tc>
          <w:tcPr>
            <w:tcW w:w="5140" w:type="dxa"/>
            <w:vAlign w:val="bottom"/>
          </w:tcPr>
          <w:p>
            <w:pPr>
              <w:spacing w:after="0"/>
              <w:rPr>
                <w:sz w:val="20"/>
                <w:szCs w:val="20"/>
                <w:color w:val="auto"/>
              </w:rPr>
            </w:pPr>
            <w:r>
              <w:rPr>
                <w:rFonts w:ascii="Arial" w:cs="Arial" w:eastAsia="Arial" w:hAnsi="Arial"/>
                <w:sz w:val="16"/>
                <w:szCs w:val="16"/>
                <w:color w:val="auto"/>
              </w:rPr>
              <w:t>Earnings attributable to noncontrolling interest</w:t>
            </w:r>
          </w:p>
        </w:tc>
        <w:tc>
          <w:tcPr>
            <w:tcW w:w="1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(12)</w:t>
            </w:r>
          </w:p>
        </w:tc>
        <w:tc>
          <w:tcPr>
            <w:tcW w:w="9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(5)</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(20)</w:t>
            </w: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7"/>
                <w:szCs w:val="17"/>
                <w:color w:val="auto"/>
              </w:rPr>
            </w:pPr>
          </w:p>
        </w:tc>
      </w:tr>
      <w:tr>
        <w:trPr>
          <w:trHeight w:val="173"/>
        </w:trPr>
        <w:tc>
          <w:tcPr>
            <w:tcW w:w="5140" w:type="dxa"/>
            <w:vAlign w:val="bottom"/>
            <w:tcBorders>
              <w:bottom w:val="single" w:sz="8" w:color="auto"/>
            </w:tcBorders>
          </w:tcPr>
          <w:p>
            <w:pPr>
              <w:ind w:left="140"/>
              <w:spacing w:after="0" w:line="166" w:lineRule="exact"/>
              <w:rPr>
                <w:sz w:val="20"/>
                <w:szCs w:val="20"/>
                <w:color w:val="auto"/>
              </w:rPr>
            </w:pPr>
            <w:r>
              <w:rPr>
                <w:rFonts w:ascii="Arial" w:cs="Arial" w:eastAsia="Arial" w:hAnsi="Arial"/>
                <w:sz w:val="16"/>
                <w:szCs w:val="16"/>
                <w:color w:val="auto"/>
              </w:rPr>
              <w:t>Earnings</w:t>
            </w:r>
          </w:p>
        </w:tc>
        <w:tc>
          <w:tcPr>
            <w:tcW w:w="1120" w:type="dxa"/>
            <w:vAlign w:val="bottom"/>
            <w:tcBorders>
              <w:bottom w:val="single" w:sz="8" w:color="auto"/>
            </w:tcBorders>
          </w:tcPr>
          <w:p>
            <w:pPr>
              <w:jc w:val="right"/>
              <w:ind w:right="643"/>
              <w:spacing w:after="0" w:line="166" w:lineRule="exact"/>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ind w:right="200"/>
              <w:spacing w:after="0" w:line="166"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643"/>
              <w:spacing w:after="0" w:line="166" w:lineRule="exact"/>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200"/>
              <w:spacing w:after="0" w:line="166" w:lineRule="exact"/>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jc w:val="right"/>
              <w:ind w:right="40"/>
              <w:spacing w:after="0" w:line="166"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01"/>
              <w:spacing w:after="0" w:line="166" w:lineRule="exact"/>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jc w:val="right"/>
              <w:ind w:right="40"/>
              <w:spacing w:after="0" w:line="166"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61"/>
              <w:spacing w:after="0" w:line="166"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We provide additional information regarding Otay Mesa VIE in Note 1 of the Notes to Consolidated Financial Statements in the Annual Report.</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RETIREMENT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discuss asset retirement obligations in Note 1 of the Notes to Consolidated Financial Statements in the Annual Report.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asset retirement obligations are as follows: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ASSET RETIREMENT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-104775</wp:posOffset>
            </wp:positionV>
            <wp:extent cx="7248525" cy="2197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8525" cy="21971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Sempra Energy</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4"/>
        </w:trPr>
        <w:tc>
          <w:tcPr>
            <w:tcW w:w="290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Consolidated</w:t>
            </w: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SDG&amp;E</w:t>
            </w: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SoCalGas</w:t>
            </w: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206"/>
        </w:trPr>
        <w:tc>
          <w:tcPr>
            <w:tcW w:w="29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2014</w:t>
            </w:r>
          </w:p>
        </w:tc>
        <w:tc>
          <w:tcPr>
            <w:tcW w:w="6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color w:val="auto"/>
              </w:rPr>
              <w:t>2013</w:t>
            </w: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722"/>
              <w:spacing w:after="0"/>
              <w:rPr>
                <w:sz w:val="20"/>
                <w:szCs w:val="20"/>
                <w:color w:val="auto"/>
              </w:rPr>
            </w:pPr>
            <w:r>
              <w:rPr>
                <w:rFonts w:ascii="Arial" w:cs="Arial" w:eastAsia="Arial" w:hAnsi="Arial"/>
                <w:sz w:val="14"/>
                <w:szCs w:val="14"/>
                <w:color w:val="auto"/>
              </w:rPr>
              <w:t>2014</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color w:val="auto"/>
              </w:rPr>
              <w:t>2013</w:t>
            </w:r>
          </w:p>
        </w:tc>
        <w:tc>
          <w:tcPr>
            <w:tcW w:w="1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782"/>
              <w:spacing w:after="0"/>
              <w:rPr>
                <w:sz w:val="20"/>
                <w:szCs w:val="20"/>
                <w:color w:val="auto"/>
              </w:rPr>
            </w:pPr>
            <w:r>
              <w:rPr>
                <w:rFonts w:ascii="Arial" w:cs="Arial" w:eastAsia="Arial" w:hAnsi="Arial"/>
                <w:sz w:val="14"/>
                <w:szCs w:val="14"/>
                <w:color w:val="auto"/>
              </w:rPr>
              <w:t>2014</w:t>
            </w: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color w:val="auto"/>
              </w:rPr>
              <w:t>2013</w:t>
            </w:r>
          </w:p>
        </w:tc>
      </w:tr>
      <w:tr>
        <w:trPr>
          <w:trHeight w:val="214"/>
        </w:trPr>
        <w:tc>
          <w:tcPr>
            <w:tcW w:w="2900" w:type="dxa"/>
            <w:vAlign w:val="bottom"/>
          </w:tcPr>
          <w:p>
            <w:pPr>
              <w:spacing w:after="0"/>
              <w:rPr>
                <w:sz w:val="20"/>
                <w:szCs w:val="20"/>
                <w:color w:val="auto"/>
              </w:rPr>
            </w:pPr>
            <w:r>
              <w:rPr>
                <w:rFonts w:ascii="Arial" w:cs="Arial" w:eastAsia="Arial" w:hAnsi="Arial"/>
                <w:sz w:val="16"/>
                <w:szCs w:val="16"/>
                <w:color w:val="auto"/>
              </w:rPr>
              <w:t>Balance at January 1(1)</w:t>
            </w:r>
          </w:p>
        </w:tc>
        <w:tc>
          <w:tcPr>
            <w:tcW w:w="860" w:type="dxa"/>
            <w:vAlign w:val="bottom"/>
          </w:tcPr>
          <w:p>
            <w:pPr>
              <w:jc w:val="right"/>
              <w:ind w:right="383"/>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62"/>
              <w:spacing w:after="0"/>
              <w:rPr>
                <w:sz w:val="20"/>
                <w:szCs w:val="20"/>
                <w:color w:val="auto"/>
              </w:rPr>
            </w:pPr>
            <w:r>
              <w:rPr>
                <w:rFonts w:ascii="Arial" w:cs="Arial" w:eastAsia="Arial" w:hAnsi="Arial"/>
                <w:sz w:val="16"/>
                <w:szCs w:val="16"/>
                <w:color w:val="auto"/>
              </w:rPr>
              <w:t>2,152</w:t>
            </w:r>
          </w:p>
        </w:tc>
        <w:tc>
          <w:tcPr>
            <w:tcW w:w="3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2,056</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02"/>
              <w:spacing w:after="0"/>
              <w:rPr>
                <w:sz w:val="20"/>
                <w:szCs w:val="20"/>
                <w:color w:val="auto"/>
              </w:rPr>
            </w:pPr>
            <w:r>
              <w:rPr>
                <w:rFonts w:ascii="Arial" w:cs="Arial" w:eastAsia="Arial" w:hAnsi="Arial"/>
                <w:sz w:val="16"/>
                <w:szCs w:val="16"/>
                <w:color w:val="auto"/>
              </w:rPr>
              <w:t>913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741</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42"/>
              <w:spacing w:after="0"/>
              <w:rPr>
                <w:sz w:val="20"/>
                <w:szCs w:val="20"/>
                <w:color w:val="auto"/>
              </w:rPr>
            </w:pPr>
            <w:r>
              <w:rPr>
                <w:rFonts w:ascii="Arial" w:cs="Arial" w:eastAsia="Arial" w:hAnsi="Arial"/>
                <w:sz w:val="16"/>
                <w:szCs w:val="16"/>
                <w:color w:val="auto"/>
              </w:rPr>
              <w:t>1,199</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1,253</w:t>
            </w:r>
          </w:p>
        </w:tc>
      </w:tr>
      <w:tr>
        <w:trPr>
          <w:trHeight w:val="213"/>
        </w:trPr>
        <w:tc>
          <w:tcPr>
            <w:tcW w:w="2900" w:type="dxa"/>
            <w:vAlign w:val="bottom"/>
          </w:tcPr>
          <w:p>
            <w:pPr>
              <w:spacing w:after="0"/>
              <w:rPr>
                <w:sz w:val="20"/>
                <w:szCs w:val="20"/>
                <w:color w:val="auto"/>
              </w:rPr>
            </w:pPr>
            <w:r>
              <w:rPr>
                <w:rFonts w:ascii="Arial" w:cs="Arial" w:eastAsia="Arial" w:hAnsi="Arial"/>
                <w:sz w:val="16"/>
                <w:szCs w:val="16"/>
                <w:color w:val="auto"/>
              </w:rPr>
              <w:t>Accretion expense</w:t>
            </w:r>
          </w:p>
        </w:tc>
        <w:tc>
          <w:tcPr>
            <w:tcW w:w="860" w:type="dxa"/>
            <w:vAlign w:val="bottom"/>
          </w:tcPr>
          <w:p>
            <w:pPr>
              <w:spacing w:after="0"/>
              <w:rPr>
                <w:sz w:val="18"/>
                <w:szCs w:val="18"/>
                <w:color w:val="auto"/>
              </w:rPr>
            </w:pPr>
          </w:p>
        </w:tc>
        <w:tc>
          <w:tcPr>
            <w:tcW w:w="660" w:type="dxa"/>
            <w:vAlign w:val="bottom"/>
          </w:tcPr>
          <w:p>
            <w:pPr>
              <w:jc w:val="right"/>
              <w:ind w:right="62"/>
              <w:spacing w:after="0"/>
              <w:rPr>
                <w:sz w:val="20"/>
                <w:szCs w:val="20"/>
                <w:color w:val="auto"/>
              </w:rPr>
            </w:pPr>
            <w:r>
              <w:rPr>
                <w:rFonts w:ascii="Arial" w:cs="Arial" w:eastAsia="Arial" w:hAnsi="Arial"/>
                <w:sz w:val="16"/>
                <w:szCs w:val="16"/>
                <w:color w:val="auto"/>
              </w:rPr>
              <w:t>73</w:t>
            </w:r>
          </w:p>
        </w:tc>
        <w:tc>
          <w:tcPr>
            <w:tcW w:w="3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74</w:t>
            </w:r>
          </w:p>
        </w:tc>
        <w:tc>
          <w:tcPr>
            <w:tcW w:w="460" w:type="dxa"/>
            <w:vAlign w:val="bottom"/>
          </w:tcPr>
          <w:p>
            <w:pPr>
              <w:spacing w:after="0"/>
              <w:rPr>
                <w:sz w:val="18"/>
                <w:szCs w:val="18"/>
                <w:color w:val="auto"/>
              </w:rPr>
            </w:pPr>
          </w:p>
        </w:tc>
        <w:tc>
          <w:tcPr>
            <w:tcW w:w="1180" w:type="dxa"/>
            <w:vAlign w:val="bottom"/>
          </w:tcPr>
          <w:p>
            <w:pPr>
              <w:jc w:val="right"/>
              <w:ind w:right="202"/>
              <w:spacing w:after="0"/>
              <w:rPr>
                <w:sz w:val="20"/>
                <w:szCs w:val="20"/>
                <w:color w:val="auto"/>
              </w:rPr>
            </w:pPr>
            <w:r>
              <w:rPr>
                <w:rFonts w:ascii="Arial" w:cs="Arial" w:eastAsia="Arial" w:hAnsi="Arial"/>
                <w:sz w:val="16"/>
                <w:szCs w:val="16"/>
                <w:color w:val="auto"/>
              </w:rPr>
              <w:t>33</w:t>
            </w:r>
          </w:p>
        </w:tc>
        <w:tc>
          <w:tcPr>
            <w:tcW w:w="2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35</w:t>
            </w:r>
          </w:p>
        </w:tc>
        <w:tc>
          <w:tcPr>
            <w:tcW w:w="460" w:type="dxa"/>
            <w:vAlign w:val="bottom"/>
          </w:tcPr>
          <w:p>
            <w:pPr>
              <w:spacing w:after="0"/>
              <w:rPr>
                <w:sz w:val="18"/>
                <w:szCs w:val="18"/>
                <w:color w:val="auto"/>
              </w:rPr>
            </w:pPr>
          </w:p>
        </w:tc>
        <w:tc>
          <w:tcPr>
            <w:tcW w:w="1240" w:type="dxa"/>
            <w:vAlign w:val="bottom"/>
          </w:tcPr>
          <w:p>
            <w:pPr>
              <w:jc w:val="right"/>
              <w:ind w:right="242"/>
              <w:spacing w:after="0"/>
              <w:rPr>
                <w:sz w:val="20"/>
                <w:szCs w:val="20"/>
                <w:color w:val="auto"/>
              </w:rPr>
            </w:pPr>
            <w:r>
              <w:rPr>
                <w:rFonts w:ascii="Arial" w:cs="Arial" w:eastAsia="Arial" w:hAnsi="Arial"/>
                <w:sz w:val="16"/>
                <w:szCs w:val="16"/>
                <w:color w:val="auto"/>
              </w:rPr>
              <w:t>38</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13"/>
        </w:trPr>
        <w:tc>
          <w:tcPr>
            <w:tcW w:w="2900" w:type="dxa"/>
            <w:vAlign w:val="bottom"/>
          </w:tcPr>
          <w:p>
            <w:pPr>
              <w:spacing w:after="0"/>
              <w:rPr>
                <w:sz w:val="20"/>
                <w:szCs w:val="20"/>
                <w:color w:val="auto"/>
              </w:rPr>
            </w:pPr>
            <w:r>
              <w:rPr>
                <w:rFonts w:ascii="Arial" w:cs="Arial" w:eastAsia="Arial" w:hAnsi="Arial"/>
                <w:sz w:val="16"/>
                <w:szCs w:val="16"/>
                <w:color w:val="auto"/>
              </w:rPr>
              <w:t>Liabilities incurred</w:t>
            </w:r>
          </w:p>
        </w:tc>
        <w:tc>
          <w:tcPr>
            <w:tcW w:w="860" w:type="dxa"/>
            <w:vAlign w:val="bottom"/>
          </w:tcPr>
          <w:p>
            <w:pPr>
              <w:spacing w:after="0"/>
              <w:rPr>
                <w:sz w:val="18"/>
                <w:szCs w:val="18"/>
                <w:color w:val="auto"/>
              </w:rPr>
            </w:pPr>
          </w:p>
        </w:tc>
        <w:tc>
          <w:tcPr>
            <w:tcW w:w="660" w:type="dxa"/>
            <w:vAlign w:val="bottom"/>
          </w:tcPr>
          <w:p>
            <w:pPr>
              <w:jc w:val="right"/>
              <w:ind w:right="62"/>
              <w:spacing w:after="0"/>
              <w:rPr>
                <w:sz w:val="20"/>
                <w:szCs w:val="20"/>
                <w:color w:val="auto"/>
              </w:rPr>
            </w:pPr>
            <w:r>
              <w:rPr>
                <w:rFonts w:ascii="Arial" w:cs="Arial" w:eastAsia="Arial" w:hAnsi="Arial"/>
                <w:sz w:val="16"/>
                <w:szCs w:val="16"/>
                <w:color w:val="auto"/>
              </w:rPr>
              <w:t>3</w:t>
            </w:r>
          </w:p>
        </w:tc>
        <w:tc>
          <w:tcPr>
            <w:tcW w:w="3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4</w:t>
            </w:r>
          </w:p>
        </w:tc>
        <w:tc>
          <w:tcPr>
            <w:tcW w:w="460" w:type="dxa"/>
            <w:vAlign w:val="bottom"/>
          </w:tcPr>
          <w:p>
            <w:pPr>
              <w:spacing w:after="0"/>
              <w:rPr>
                <w:sz w:val="18"/>
                <w:szCs w:val="18"/>
                <w:color w:val="auto"/>
              </w:rPr>
            </w:pPr>
          </w:p>
        </w:tc>
        <w:tc>
          <w:tcPr>
            <w:tcW w:w="1180" w:type="dxa"/>
            <w:vAlign w:val="bottom"/>
          </w:tcPr>
          <w:p>
            <w:pPr>
              <w:jc w:val="right"/>
              <w:ind w:right="322"/>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4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240" w:type="dxa"/>
            <w:vAlign w:val="bottom"/>
          </w:tcPr>
          <w:p>
            <w:pPr>
              <w:jc w:val="right"/>
              <w:ind w:right="362"/>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tcPr>
          <w:p>
            <w:pPr>
              <w:jc w:val="right"/>
              <w:ind w:right="61"/>
              <w:spacing w:after="0"/>
              <w:rPr>
                <w:sz w:val="20"/>
                <w:szCs w:val="20"/>
                <w:color w:val="auto"/>
              </w:rPr>
            </w:pPr>
            <w:r>
              <w:rPr>
                <w:rFonts w:ascii="Arial" w:cs="Arial" w:eastAsia="Arial" w:hAnsi="Arial"/>
                <w:sz w:val="16"/>
                <w:szCs w:val="16"/>
                <w:color w:val="auto"/>
              </w:rPr>
              <w:t>―</w:t>
            </w:r>
          </w:p>
        </w:tc>
      </w:tr>
      <w:tr>
        <w:trPr>
          <w:trHeight w:val="213"/>
        </w:trPr>
        <w:tc>
          <w:tcPr>
            <w:tcW w:w="2900" w:type="dxa"/>
            <w:vAlign w:val="bottom"/>
          </w:tcPr>
          <w:p>
            <w:pPr>
              <w:spacing w:after="0"/>
              <w:rPr>
                <w:sz w:val="20"/>
                <w:szCs w:val="20"/>
                <w:color w:val="auto"/>
              </w:rPr>
            </w:pPr>
            <w:r>
              <w:rPr>
                <w:rFonts w:ascii="Arial" w:cs="Arial" w:eastAsia="Arial" w:hAnsi="Arial"/>
                <w:sz w:val="16"/>
                <w:szCs w:val="16"/>
                <w:color w:val="auto"/>
              </w:rPr>
              <w:t>Reclassification(2)</w:t>
            </w:r>
          </w:p>
        </w:tc>
        <w:tc>
          <w:tcPr>
            <w:tcW w:w="860" w:type="dxa"/>
            <w:vAlign w:val="bottom"/>
          </w:tcPr>
          <w:p>
            <w:pPr>
              <w:spacing w:after="0"/>
              <w:rPr>
                <w:sz w:val="18"/>
                <w:szCs w:val="18"/>
                <w:color w:val="auto"/>
              </w:rPr>
            </w:pPr>
          </w:p>
        </w:tc>
        <w:tc>
          <w:tcPr>
            <w:tcW w:w="660" w:type="dxa"/>
            <w:vAlign w:val="bottom"/>
          </w:tcPr>
          <w:p>
            <w:pPr>
              <w:jc w:val="right"/>
              <w:ind w:right="62"/>
              <w:spacing w:after="0"/>
              <w:rPr>
                <w:sz w:val="20"/>
                <w:szCs w:val="20"/>
                <w:color w:val="auto"/>
              </w:rPr>
            </w:pPr>
            <w:r>
              <w:rPr>
                <w:rFonts w:ascii="Arial" w:cs="Arial" w:eastAsia="Arial" w:hAnsi="Arial"/>
                <w:sz w:val="16"/>
                <w:szCs w:val="16"/>
                <w:color w:val="auto"/>
              </w:rPr>
              <w:t>(6)</w:t>
            </w:r>
          </w:p>
        </w:tc>
        <w:tc>
          <w:tcPr>
            <w:tcW w:w="3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180" w:type="dxa"/>
            <w:vAlign w:val="bottom"/>
          </w:tcPr>
          <w:p>
            <w:pPr>
              <w:jc w:val="right"/>
              <w:ind w:right="322"/>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4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240" w:type="dxa"/>
            <w:vAlign w:val="bottom"/>
          </w:tcPr>
          <w:p>
            <w:pPr>
              <w:jc w:val="right"/>
              <w:ind w:right="362"/>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tcPr>
          <w:p>
            <w:pPr>
              <w:jc w:val="right"/>
              <w:ind w:right="61"/>
              <w:spacing w:after="0"/>
              <w:rPr>
                <w:sz w:val="20"/>
                <w:szCs w:val="20"/>
                <w:color w:val="auto"/>
              </w:rPr>
            </w:pPr>
            <w:r>
              <w:rPr>
                <w:rFonts w:ascii="Arial" w:cs="Arial" w:eastAsia="Arial" w:hAnsi="Arial"/>
                <w:sz w:val="16"/>
                <w:szCs w:val="16"/>
                <w:color w:val="auto"/>
              </w:rPr>
              <w:t>―</w:t>
            </w:r>
          </w:p>
        </w:tc>
      </w:tr>
      <w:tr>
        <w:trPr>
          <w:trHeight w:val="213"/>
        </w:trPr>
        <w:tc>
          <w:tcPr>
            <w:tcW w:w="2900" w:type="dxa"/>
            <w:vAlign w:val="bottom"/>
          </w:tcPr>
          <w:p>
            <w:pPr>
              <w:spacing w:after="0"/>
              <w:rPr>
                <w:sz w:val="20"/>
                <w:szCs w:val="20"/>
                <w:color w:val="auto"/>
              </w:rPr>
            </w:pPr>
            <w:r>
              <w:rPr>
                <w:rFonts w:ascii="Arial" w:cs="Arial" w:eastAsia="Arial" w:hAnsi="Arial"/>
                <w:sz w:val="16"/>
                <w:szCs w:val="16"/>
                <w:color w:val="auto"/>
              </w:rPr>
              <w:t>Payments</w:t>
            </w:r>
          </w:p>
        </w:tc>
        <w:tc>
          <w:tcPr>
            <w:tcW w:w="860" w:type="dxa"/>
            <w:vAlign w:val="bottom"/>
          </w:tcPr>
          <w:p>
            <w:pPr>
              <w:spacing w:after="0"/>
              <w:rPr>
                <w:sz w:val="18"/>
                <w:szCs w:val="18"/>
                <w:color w:val="auto"/>
              </w:rPr>
            </w:pPr>
          </w:p>
        </w:tc>
        <w:tc>
          <w:tcPr>
            <w:tcW w:w="660" w:type="dxa"/>
            <w:vAlign w:val="bottom"/>
          </w:tcPr>
          <w:p>
            <w:pPr>
              <w:jc w:val="right"/>
              <w:ind w:right="62"/>
              <w:spacing w:after="0"/>
              <w:rPr>
                <w:sz w:val="20"/>
                <w:szCs w:val="20"/>
                <w:color w:val="auto"/>
              </w:rPr>
            </w:pPr>
            <w:r>
              <w:rPr>
                <w:rFonts w:ascii="Arial" w:cs="Arial" w:eastAsia="Arial" w:hAnsi="Arial"/>
                <w:sz w:val="16"/>
                <w:szCs w:val="16"/>
                <w:color w:val="auto"/>
              </w:rPr>
              <w:t>(15)</w:t>
            </w:r>
          </w:p>
        </w:tc>
        <w:tc>
          <w:tcPr>
            <w:tcW w:w="3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(1)</w:t>
            </w:r>
          </w:p>
        </w:tc>
        <w:tc>
          <w:tcPr>
            <w:tcW w:w="460" w:type="dxa"/>
            <w:vAlign w:val="bottom"/>
          </w:tcPr>
          <w:p>
            <w:pPr>
              <w:spacing w:after="0"/>
              <w:rPr>
                <w:sz w:val="18"/>
                <w:szCs w:val="18"/>
                <w:color w:val="auto"/>
              </w:rPr>
            </w:pPr>
          </w:p>
        </w:tc>
        <w:tc>
          <w:tcPr>
            <w:tcW w:w="1180" w:type="dxa"/>
            <w:vAlign w:val="bottom"/>
          </w:tcPr>
          <w:p>
            <w:pPr>
              <w:jc w:val="right"/>
              <w:ind w:right="202"/>
              <w:spacing w:after="0"/>
              <w:rPr>
                <w:sz w:val="20"/>
                <w:szCs w:val="20"/>
                <w:color w:val="auto"/>
              </w:rPr>
            </w:pPr>
            <w:r>
              <w:rPr>
                <w:rFonts w:ascii="Arial" w:cs="Arial" w:eastAsia="Arial" w:hAnsi="Arial"/>
                <w:sz w:val="16"/>
                <w:szCs w:val="16"/>
                <w:color w:val="auto"/>
              </w:rPr>
              <w:t>(15)</w:t>
            </w:r>
          </w:p>
        </w:tc>
        <w:tc>
          <w:tcPr>
            <w:tcW w:w="200" w:type="dxa"/>
            <w:vAlign w:val="bottom"/>
          </w:tcPr>
          <w:p>
            <w:pPr>
              <w:spacing w:after="0"/>
              <w:rPr>
                <w:sz w:val="18"/>
                <w:szCs w:val="18"/>
                <w:color w:val="auto"/>
              </w:rPr>
            </w:pPr>
          </w:p>
        </w:tc>
        <w:tc>
          <w:tcPr>
            <w:tcW w:w="104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240" w:type="dxa"/>
            <w:vAlign w:val="bottom"/>
          </w:tcPr>
          <w:p>
            <w:pPr>
              <w:jc w:val="right"/>
              <w:ind w:right="362"/>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tcPr>
          <w:p>
            <w:pPr>
              <w:jc w:val="right"/>
              <w:ind w:right="61"/>
              <w:spacing w:after="0"/>
              <w:rPr>
                <w:sz w:val="20"/>
                <w:szCs w:val="20"/>
                <w:color w:val="auto"/>
              </w:rPr>
            </w:pPr>
            <w:r>
              <w:rPr>
                <w:rFonts w:ascii="Arial" w:cs="Arial" w:eastAsia="Arial" w:hAnsi="Arial"/>
                <w:sz w:val="16"/>
                <w:szCs w:val="16"/>
                <w:color w:val="auto"/>
              </w:rPr>
              <w:t>―</w:t>
            </w:r>
          </w:p>
        </w:tc>
      </w:tr>
      <w:tr>
        <w:trPr>
          <w:trHeight w:val="213"/>
        </w:trPr>
        <w:tc>
          <w:tcPr>
            <w:tcW w:w="2900" w:type="dxa"/>
            <w:vAlign w:val="bottom"/>
          </w:tcPr>
          <w:p>
            <w:pPr>
              <w:spacing w:after="0"/>
              <w:rPr>
                <w:sz w:val="20"/>
                <w:szCs w:val="20"/>
                <w:color w:val="auto"/>
              </w:rPr>
            </w:pPr>
            <w:r>
              <w:rPr>
                <w:rFonts w:ascii="Arial" w:cs="Arial" w:eastAsia="Arial" w:hAnsi="Arial"/>
                <w:sz w:val="16"/>
                <w:szCs w:val="16"/>
                <w:color w:val="auto"/>
              </w:rPr>
              <w:t>Revisions, GRC-related(3)</w:t>
            </w:r>
          </w:p>
        </w:tc>
        <w:tc>
          <w:tcPr>
            <w:tcW w:w="860" w:type="dxa"/>
            <w:vAlign w:val="bottom"/>
          </w:tcPr>
          <w:p>
            <w:pPr>
              <w:spacing w:after="0"/>
              <w:rPr>
                <w:sz w:val="18"/>
                <w:szCs w:val="18"/>
                <w:color w:val="auto"/>
              </w:rPr>
            </w:pPr>
          </w:p>
        </w:tc>
        <w:tc>
          <w:tcPr>
            <w:tcW w:w="66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(135)</w:t>
            </w:r>
          </w:p>
        </w:tc>
        <w:tc>
          <w:tcPr>
            <w:tcW w:w="460" w:type="dxa"/>
            <w:vAlign w:val="bottom"/>
          </w:tcPr>
          <w:p>
            <w:pPr>
              <w:spacing w:after="0"/>
              <w:rPr>
                <w:sz w:val="18"/>
                <w:szCs w:val="18"/>
                <w:color w:val="auto"/>
              </w:rPr>
            </w:pPr>
          </w:p>
        </w:tc>
        <w:tc>
          <w:tcPr>
            <w:tcW w:w="1180" w:type="dxa"/>
            <w:vAlign w:val="bottom"/>
          </w:tcPr>
          <w:p>
            <w:pPr>
              <w:jc w:val="right"/>
              <w:ind w:right="322"/>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jc w:val="right"/>
              <w:ind w:right="362"/>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(105)</w:t>
            </w:r>
          </w:p>
        </w:tc>
      </w:tr>
      <w:tr>
        <w:trPr>
          <w:trHeight w:val="204"/>
        </w:trPr>
        <w:tc>
          <w:tcPr>
            <w:tcW w:w="2900" w:type="dxa"/>
            <w:vAlign w:val="bottom"/>
          </w:tcPr>
          <w:p>
            <w:pPr>
              <w:spacing w:after="0"/>
              <w:rPr>
                <w:sz w:val="20"/>
                <w:szCs w:val="20"/>
                <w:color w:val="auto"/>
              </w:rPr>
            </w:pPr>
            <w:r>
              <w:rPr>
                <w:rFonts w:ascii="Arial" w:cs="Arial" w:eastAsia="Arial" w:hAnsi="Arial"/>
                <w:sz w:val="16"/>
                <w:szCs w:val="16"/>
                <w:color w:val="auto"/>
              </w:rPr>
              <w:t>Revisions, other(4)(5)</w:t>
            </w:r>
          </w:p>
        </w:tc>
        <w:tc>
          <w:tcPr>
            <w:tcW w:w="8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(34)</w:t>
            </w: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181</w:t>
            </w:r>
          </w:p>
        </w:tc>
        <w:tc>
          <w:tcPr>
            <w:tcW w:w="4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(59)</w:t>
            </w: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207</w:t>
            </w:r>
          </w:p>
        </w:tc>
        <w:tc>
          <w:tcPr>
            <w:tcW w:w="4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color w:val="auto"/>
              </w:rPr>
              <w:t>25</w:t>
            </w: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r>
      <w:tr>
        <w:trPr>
          <w:trHeight w:val="214"/>
        </w:trPr>
        <w:tc>
          <w:tcPr>
            <w:tcW w:w="2900" w:type="dxa"/>
            <w:vAlign w:val="bottom"/>
          </w:tcPr>
          <w:p>
            <w:pPr>
              <w:spacing w:after="0"/>
              <w:rPr>
                <w:sz w:val="20"/>
                <w:szCs w:val="20"/>
                <w:color w:val="auto"/>
              </w:rPr>
            </w:pPr>
            <w:r>
              <w:rPr>
                <w:rFonts w:ascii="Arial" w:cs="Arial" w:eastAsia="Arial" w:hAnsi="Arial"/>
                <w:sz w:val="16"/>
                <w:szCs w:val="16"/>
                <w:color w:val="auto"/>
              </w:rPr>
              <w:t>Balance at September 30(1)</w:t>
            </w:r>
          </w:p>
        </w:tc>
        <w:tc>
          <w:tcPr>
            <w:tcW w:w="860" w:type="dxa"/>
            <w:vAlign w:val="bottom"/>
          </w:tcPr>
          <w:p>
            <w:pPr>
              <w:jc w:val="right"/>
              <w:ind w:right="383"/>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62"/>
              <w:spacing w:after="0"/>
              <w:rPr>
                <w:sz w:val="20"/>
                <w:szCs w:val="20"/>
                <w:color w:val="auto"/>
              </w:rPr>
            </w:pPr>
            <w:r>
              <w:rPr>
                <w:rFonts w:ascii="Arial" w:cs="Arial" w:eastAsia="Arial" w:hAnsi="Arial"/>
                <w:sz w:val="16"/>
                <w:szCs w:val="16"/>
                <w:color w:val="auto"/>
              </w:rPr>
              <w:t>2,173</w:t>
            </w:r>
          </w:p>
        </w:tc>
        <w:tc>
          <w:tcPr>
            <w:tcW w:w="3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2,179</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02"/>
              <w:spacing w:after="0"/>
              <w:rPr>
                <w:sz w:val="20"/>
                <w:szCs w:val="20"/>
                <w:color w:val="auto"/>
              </w:rPr>
            </w:pPr>
            <w:r>
              <w:rPr>
                <w:rFonts w:ascii="Arial" w:cs="Arial" w:eastAsia="Arial" w:hAnsi="Arial"/>
                <w:sz w:val="16"/>
                <w:szCs w:val="16"/>
                <w:color w:val="auto"/>
              </w:rPr>
              <w:t>872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953</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42"/>
              <w:spacing w:after="0"/>
              <w:rPr>
                <w:sz w:val="20"/>
                <w:szCs w:val="20"/>
                <w:color w:val="auto"/>
              </w:rPr>
            </w:pPr>
            <w:r>
              <w:rPr>
                <w:rFonts w:ascii="Arial" w:cs="Arial" w:eastAsia="Arial" w:hAnsi="Arial"/>
                <w:sz w:val="16"/>
                <w:szCs w:val="16"/>
                <w:color w:val="auto"/>
              </w:rPr>
              <w:t>1,262</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1,185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724852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8525" cy="17145"/>
                    </a:xfrm>
                    <a:prstGeom prst="rect">
                      <a:avLst/>
                    </a:prstGeom>
                    <a:noFill/>
                  </pic:spPr>
                </pic:pic>
              </a:graphicData>
            </a:graphic>
          </wp:anchor>
        </w:drawing>
      </w:r>
    </w:p>
    <w:p>
      <w:pPr>
        <w:ind w:left="560" w:hanging="554"/>
        <w:spacing w:after="0"/>
        <w:tabs>
          <w:tab w:leader="none" w:pos="560" w:val="left"/>
        </w:tabs>
        <w:numPr>
          <w:ilvl w:val="0"/>
          <w:numId w:val="13"/>
        </w:numPr>
        <w:rPr>
          <w:rFonts w:ascii="Arial" w:cs="Arial" w:eastAsia="Arial" w:hAnsi="Arial"/>
          <w:sz w:val="14"/>
          <w:szCs w:val="14"/>
          <w:i w:val="1"/>
          <w:iCs w:val="1"/>
          <w:color w:val="auto"/>
        </w:rPr>
      </w:pPr>
      <w:r>
        <w:rPr>
          <w:rFonts w:ascii="Arial" w:cs="Arial" w:eastAsia="Arial" w:hAnsi="Arial"/>
          <w:sz w:val="14"/>
          <w:szCs w:val="14"/>
          <w:i w:val="1"/>
          <w:iCs w:val="1"/>
          <w:color w:val="auto"/>
        </w:rPr>
        <w:t>The current portions of the obligations are included in Other Current Liabilities on the Condensed Consolidated Balance Sheets.</w:t>
      </w:r>
    </w:p>
    <w:p>
      <w:pPr>
        <w:spacing w:after="0" w:line="12" w:lineRule="exact"/>
        <w:rPr>
          <w:rFonts w:ascii="Arial" w:cs="Arial" w:eastAsia="Arial" w:hAnsi="Arial"/>
          <w:sz w:val="14"/>
          <w:szCs w:val="14"/>
          <w:i w:val="1"/>
          <w:iCs w:val="1"/>
          <w:color w:val="auto"/>
        </w:rPr>
      </w:pPr>
    </w:p>
    <w:p>
      <w:pPr>
        <w:ind w:left="560" w:right="340" w:hanging="554"/>
        <w:spacing w:after="0" w:line="237" w:lineRule="auto"/>
        <w:tabs>
          <w:tab w:leader="none" w:pos="560" w:val="left"/>
        </w:tabs>
        <w:numPr>
          <w:ilvl w:val="0"/>
          <w:numId w:val="13"/>
        </w:numPr>
        <w:rPr>
          <w:rFonts w:ascii="Arial" w:cs="Arial" w:eastAsia="Arial" w:hAnsi="Arial"/>
          <w:sz w:val="14"/>
          <w:szCs w:val="14"/>
          <w:i w:val="1"/>
          <w:iCs w:val="1"/>
          <w:color w:val="auto"/>
        </w:rPr>
      </w:pPr>
      <w:r>
        <w:rPr>
          <w:rFonts w:ascii="Arial" w:cs="Arial" w:eastAsia="Arial" w:hAnsi="Arial"/>
          <w:sz w:val="14"/>
          <w:szCs w:val="14"/>
          <w:i w:val="1"/>
          <w:iCs w:val="1"/>
          <w:color w:val="auto"/>
        </w:rPr>
        <w:t>Reclassification to liability held for sale - asset retirement obligation which is included in Other Current Liabilities on the Condensed Consolidated Balance Sheets, as we discuss in "Sempra Natural Gas – Asset Held for Sale, Power Plant" in Note 3 above.</w:t>
      </w:r>
    </w:p>
    <w:p>
      <w:pPr>
        <w:ind w:left="560" w:right="80" w:hanging="554"/>
        <w:spacing w:after="0" w:line="237" w:lineRule="auto"/>
        <w:tabs>
          <w:tab w:leader="none" w:pos="560" w:val="left"/>
        </w:tabs>
        <w:numPr>
          <w:ilvl w:val="0"/>
          <w:numId w:val="13"/>
        </w:numPr>
        <w:rPr>
          <w:rFonts w:ascii="Arial" w:cs="Arial" w:eastAsia="Arial" w:hAnsi="Arial"/>
          <w:sz w:val="14"/>
          <w:szCs w:val="14"/>
          <w:i w:val="1"/>
          <w:iCs w:val="1"/>
          <w:color w:val="auto"/>
        </w:rPr>
      </w:pPr>
      <w:r>
        <w:rPr>
          <w:rFonts w:ascii="Arial" w:cs="Arial" w:eastAsia="Arial" w:hAnsi="Arial"/>
          <w:sz w:val="14"/>
          <w:szCs w:val="14"/>
          <w:i w:val="1"/>
          <w:iCs w:val="1"/>
          <w:color w:val="auto"/>
        </w:rPr>
        <w:t>The decreases in asset retirement obligations in 2013 at SDG&amp;E and SoCalGas were due to revised estimates related to the 2012 General Rate Case (GRC) that received final approval in May 2013. At SDG&amp;E, these revisions included increases in asset service lives ranging from 2 percent to 7 percent, and lower estimated cost of removal. At SoCalGas, the decrease included increases in asset service lives ranging from 4 percent to 6 percent, partially offset by a higher estimated cost of removal.</w:t>
      </w:r>
    </w:p>
    <w:p>
      <w:pPr>
        <w:spacing w:after="0" w:line="1" w:lineRule="exact"/>
        <w:rPr>
          <w:rFonts w:ascii="Arial" w:cs="Arial" w:eastAsia="Arial" w:hAnsi="Arial"/>
          <w:sz w:val="14"/>
          <w:szCs w:val="14"/>
          <w:i w:val="1"/>
          <w:iCs w:val="1"/>
          <w:color w:val="auto"/>
        </w:rPr>
      </w:pPr>
    </w:p>
    <w:p>
      <w:pPr>
        <w:ind w:left="560" w:right="740" w:hanging="554"/>
        <w:spacing w:after="0" w:line="237" w:lineRule="auto"/>
        <w:tabs>
          <w:tab w:leader="none" w:pos="560" w:val="left"/>
        </w:tabs>
        <w:numPr>
          <w:ilvl w:val="0"/>
          <w:numId w:val="13"/>
        </w:numPr>
        <w:rPr>
          <w:rFonts w:ascii="Arial" w:cs="Arial" w:eastAsia="Arial" w:hAnsi="Arial"/>
          <w:sz w:val="14"/>
          <w:szCs w:val="14"/>
          <w:i w:val="1"/>
          <w:iCs w:val="1"/>
          <w:color w:val="auto"/>
        </w:rPr>
      </w:pPr>
      <w:r>
        <w:rPr>
          <w:rFonts w:ascii="Arial" w:cs="Arial" w:eastAsia="Arial" w:hAnsi="Arial"/>
          <w:sz w:val="14"/>
          <w:szCs w:val="14"/>
          <w:i w:val="1"/>
          <w:iCs w:val="1"/>
          <w:color w:val="auto"/>
        </w:rPr>
        <w:t>The decrease in asset retirement obligations in 2014 at SDG&amp;E is due to revised estimates in an updated decommissioning cost study for the San Onofre Nuclear Generating Station, which we discuss in Note 9. The increase in asset retirement obligations in 2014 at SoCalGas is related to a change in estimates.</w:t>
      </w:r>
    </w:p>
    <w:p>
      <w:pPr>
        <w:ind w:left="560" w:right="420" w:hanging="554"/>
        <w:spacing w:after="0" w:line="251" w:lineRule="auto"/>
        <w:tabs>
          <w:tab w:leader="none" w:pos="560" w:val="left"/>
        </w:tabs>
        <w:numPr>
          <w:ilvl w:val="0"/>
          <w:numId w:val="13"/>
        </w:numPr>
        <w:rPr>
          <w:rFonts w:ascii="Arial" w:cs="Arial" w:eastAsia="Arial" w:hAnsi="Arial"/>
          <w:sz w:val="14"/>
          <w:szCs w:val="14"/>
          <w:i w:val="1"/>
          <w:iCs w:val="1"/>
          <w:color w:val="auto"/>
        </w:rPr>
      </w:pPr>
      <w:r>
        <w:rPr>
          <w:rFonts w:ascii="Arial" w:cs="Arial" w:eastAsia="Arial" w:hAnsi="Arial"/>
          <w:sz w:val="14"/>
          <w:szCs w:val="14"/>
          <w:i w:val="1"/>
          <w:iCs w:val="1"/>
          <w:color w:val="auto"/>
        </w:rPr>
        <w:t>The increase in asset retirement obligations in 2013 at SDG&amp;E is due to revised estimates recorded in the third quarter of 2013 related to the early decommissioning of SONGS Units 2 and 3 (see Note 9).</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AND OTHER POSTRETIREMENT BENEFITS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Net Periodic Benefit Cost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three tables provide the components of net periodic benefit cost:</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PERIODIC BENEFIT COST – SEMPRA ENERGY CONSOLIDATED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-104775</wp:posOffset>
            </wp:positionV>
            <wp:extent cx="7248525" cy="2197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8525" cy="21971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40" w:type="dxa"/>
            <w:vAlign w:val="bottom"/>
            <w:gridSpan w:val="2"/>
          </w:tcPr>
          <w:p>
            <w:pPr>
              <w:jc w:val="right"/>
              <w:spacing w:after="0"/>
              <w:rPr>
                <w:sz w:val="20"/>
                <w:szCs w:val="20"/>
                <w:color w:val="auto"/>
              </w:rPr>
            </w:pPr>
            <w:r>
              <w:rPr>
                <w:rFonts w:ascii="Arial" w:cs="Arial" w:eastAsia="Arial" w:hAnsi="Arial"/>
                <w:sz w:val="14"/>
                <w:szCs w:val="14"/>
                <w:color w:val="auto"/>
              </w:rPr>
              <w:t>Pension Benefits</w:t>
            </w:r>
          </w:p>
        </w:tc>
        <w:tc>
          <w:tcPr>
            <w:tcW w:w="1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0" w:type="dxa"/>
            <w:vAlign w:val="bottom"/>
            <w:gridSpan w:val="4"/>
          </w:tcPr>
          <w:p>
            <w:pPr>
              <w:jc w:val="right"/>
              <w:ind w:right="760"/>
              <w:spacing w:after="0"/>
              <w:rPr>
                <w:sz w:val="20"/>
                <w:szCs w:val="20"/>
                <w:color w:val="auto"/>
              </w:rPr>
            </w:pPr>
            <w:r>
              <w:rPr>
                <w:rFonts w:ascii="Arial" w:cs="Arial" w:eastAsia="Arial" w:hAnsi="Arial"/>
                <w:sz w:val="14"/>
                <w:szCs w:val="14"/>
                <w:color w:val="auto"/>
              </w:rPr>
              <w:t>Other Postretirement Benefits</w:t>
            </w:r>
          </w:p>
        </w:tc>
      </w:tr>
      <w:tr>
        <w:trPr>
          <w:trHeight w:val="193"/>
        </w:trPr>
        <w:tc>
          <w:tcPr>
            <w:tcW w:w="4760" w:type="dxa"/>
            <w:vAlign w:val="bottom"/>
          </w:tcPr>
          <w:p>
            <w:pPr>
              <w:spacing w:after="0"/>
              <w:rPr>
                <w:sz w:val="16"/>
                <w:szCs w:val="16"/>
                <w:color w:val="auto"/>
              </w:rPr>
            </w:pPr>
          </w:p>
        </w:tc>
        <w:tc>
          <w:tcPr>
            <w:tcW w:w="54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2980" w:type="dxa"/>
            <w:vAlign w:val="bottom"/>
            <w:tcBorders>
              <w:top w:val="single" w:sz="8" w:color="auto"/>
              <w:bottom w:val="single" w:sz="8" w:color="auto"/>
            </w:tcBorders>
            <w:gridSpan w:val="3"/>
          </w:tcPr>
          <w:p>
            <w:pPr>
              <w:jc w:val="right"/>
              <w:ind w:right="622"/>
              <w:spacing w:after="0"/>
              <w:rPr>
                <w:sz w:val="20"/>
                <w:szCs w:val="20"/>
                <w:color w:val="auto"/>
              </w:rPr>
            </w:pPr>
            <w:r>
              <w:rPr>
                <w:rFonts w:ascii="Arial" w:cs="Arial" w:eastAsia="Arial" w:hAnsi="Arial"/>
                <w:sz w:val="14"/>
                <w:szCs w:val="14"/>
                <w:color w:val="auto"/>
              </w:rPr>
              <w:t>Three months ended September 30,</w:t>
            </w:r>
          </w:p>
        </w:tc>
        <w:tc>
          <w:tcPr>
            <w:tcW w:w="40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06"/>
        </w:trPr>
        <w:tc>
          <w:tcPr>
            <w:tcW w:w="47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762"/>
              <w:spacing w:after="0"/>
              <w:rPr>
                <w:sz w:val="20"/>
                <w:szCs w:val="20"/>
                <w:color w:val="auto"/>
              </w:rPr>
            </w:pPr>
            <w:r>
              <w:rPr>
                <w:rFonts w:ascii="Arial" w:cs="Arial" w:eastAsia="Arial" w:hAnsi="Arial"/>
                <w:sz w:val="14"/>
                <w:szCs w:val="14"/>
                <w:color w:val="auto"/>
              </w:rPr>
              <w:t>2014</w:t>
            </w: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782"/>
              <w:spacing w:after="0"/>
              <w:rPr>
                <w:sz w:val="20"/>
                <w:szCs w:val="20"/>
                <w:color w:val="auto"/>
              </w:rPr>
            </w:pPr>
            <w:r>
              <w:rPr>
                <w:rFonts w:ascii="Arial" w:cs="Arial" w:eastAsia="Arial" w:hAnsi="Arial"/>
                <w:sz w:val="14"/>
                <w:szCs w:val="14"/>
                <w:color w:val="auto"/>
              </w:rPr>
              <w:t>2013</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782"/>
              <w:spacing w:after="0"/>
              <w:rPr>
                <w:sz w:val="20"/>
                <w:szCs w:val="20"/>
                <w:color w:val="auto"/>
              </w:rPr>
            </w:pPr>
            <w:r>
              <w:rPr>
                <w:rFonts w:ascii="Arial" w:cs="Arial" w:eastAsia="Arial" w:hAnsi="Arial"/>
                <w:sz w:val="14"/>
                <w:szCs w:val="14"/>
                <w:color w:val="auto"/>
              </w:rPr>
              <w:t>2014</w:t>
            </w:r>
          </w:p>
        </w:tc>
        <w:tc>
          <w:tcPr>
            <w:tcW w:w="4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color w:val="auto"/>
              </w:rPr>
              <w:t>2013</w:t>
            </w:r>
          </w:p>
        </w:tc>
        <w:tc>
          <w:tcPr>
            <w:tcW w:w="20" w:type="dxa"/>
            <w:vAlign w:val="bottom"/>
          </w:tcPr>
          <w:p>
            <w:pPr>
              <w:spacing w:after="0"/>
              <w:rPr>
                <w:sz w:val="17"/>
                <w:szCs w:val="17"/>
                <w:color w:val="auto"/>
              </w:rPr>
            </w:pPr>
          </w:p>
        </w:tc>
      </w:tr>
      <w:tr>
        <w:trPr>
          <w:trHeight w:val="186"/>
        </w:trPr>
        <w:tc>
          <w:tcPr>
            <w:tcW w:w="4760" w:type="dxa"/>
            <w:vAlign w:val="bottom"/>
          </w:tcPr>
          <w:p>
            <w:pPr>
              <w:spacing w:after="0"/>
              <w:rPr>
                <w:sz w:val="20"/>
                <w:szCs w:val="20"/>
                <w:color w:val="auto"/>
              </w:rPr>
            </w:pPr>
            <w:r>
              <w:rPr>
                <w:rFonts w:ascii="Arial" w:cs="Arial" w:eastAsia="Arial" w:hAnsi="Arial"/>
                <w:sz w:val="16"/>
                <w:szCs w:val="16"/>
                <w:color w:val="auto"/>
              </w:rPr>
              <w:t>Service cost</w:t>
            </w: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02"/>
              <w:spacing w:after="0"/>
              <w:rPr>
                <w:sz w:val="20"/>
                <w:szCs w:val="20"/>
                <w:color w:val="auto"/>
              </w:rPr>
            </w:pPr>
            <w:r>
              <w:rPr>
                <w:rFonts w:ascii="Arial" w:cs="Arial" w:eastAsia="Arial" w:hAnsi="Arial"/>
                <w:sz w:val="16"/>
                <w:szCs w:val="16"/>
                <w:color w:val="auto"/>
              </w:rPr>
              <w:t>23</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02"/>
              <w:spacing w:after="0"/>
              <w:rPr>
                <w:sz w:val="20"/>
                <w:szCs w:val="20"/>
                <w:color w:val="auto"/>
              </w:rPr>
            </w:pPr>
            <w:r>
              <w:rPr>
                <w:rFonts w:ascii="Arial" w:cs="Arial" w:eastAsia="Arial" w:hAnsi="Arial"/>
                <w:sz w:val="16"/>
                <w:szCs w:val="16"/>
                <w:color w:val="auto"/>
              </w:rPr>
              <w:t>28</w:t>
            </w:r>
          </w:p>
        </w:tc>
        <w:tc>
          <w:tcPr>
            <w:tcW w:w="3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02"/>
              <w:spacing w:after="0"/>
              <w:rPr>
                <w:sz w:val="20"/>
                <w:szCs w:val="20"/>
                <w:color w:val="auto"/>
              </w:rPr>
            </w:pPr>
            <w:r>
              <w:rPr>
                <w:rFonts w:ascii="Arial" w:cs="Arial" w:eastAsia="Arial" w:hAnsi="Arial"/>
                <w:sz w:val="16"/>
                <w:szCs w:val="16"/>
                <w:color w:val="auto"/>
              </w:rPr>
              <w:t>6</w:t>
            </w:r>
          </w:p>
        </w:tc>
        <w:tc>
          <w:tcPr>
            <w:tcW w:w="4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w:t>
            </w:r>
          </w:p>
        </w:tc>
        <w:tc>
          <w:tcPr>
            <w:tcW w:w="20" w:type="dxa"/>
            <w:vAlign w:val="bottom"/>
          </w:tcPr>
          <w:p>
            <w:pPr>
              <w:spacing w:after="0"/>
              <w:rPr>
                <w:sz w:val="16"/>
                <w:szCs w:val="16"/>
                <w:color w:val="auto"/>
              </w:rPr>
            </w:pPr>
          </w:p>
        </w:tc>
      </w:tr>
      <w:tr>
        <w:trPr>
          <w:trHeight w:val="201"/>
        </w:trPr>
        <w:tc>
          <w:tcPr>
            <w:tcW w:w="4760" w:type="dxa"/>
            <w:vAlign w:val="bottom"/>
          </w:tcPr>
          <w:p>
            <w:pPr>
              <w:spacing w:after="0"/>
              <w:rPr>
                <w:sz w:val="20"/>
                <w:szCs w:val="20"/>
                <w:color w:val="auto"/>
              </w:rPr>
            </w:pPr>
            <w:r>
              <w:rPr>
                <w:rFonts w:ascii="Arial" w:cs="Arial" w:eastAsia="Arial" w:hAnsi="Arial"/>
                <w:sz w:val="16"/>
                <w:szCs w:val="16"/>
                <w:color w:val="auto"/>
              </w:rPr>
              <w:t>Interest cost</w:t>
            </w:r>
          </w:p>
        </w:tc>
        <w:tc>
          <w:tcPr>
            <w:tcW w:w="540" w:type="dxa"/>
            <w:vAlign w:val="bottom"/>
          </w:tcPr>
          <w:p>
            <w:pPr>
              <w:spacing w:after="0"/>
              <w:rPr>
                <w:sz w:val="17"/>
                <w:szCs w:val="17"/>
                <w:color w:val="auto"/>
              </w:rPr>
            </w:pPr>
          </w:p>
        </w:tc>
        <w:tc>
          <w:tcPr>
            <w:tcW w:w="1280" w:type="dxa"/>
            <w:vAlign w:val="bottom"/>
          </w:tcPr>
          <w:p>
            <w:pPr>
              <w:jc w:val="right"/>
              <w:ind w:right="102"/>
              <w:spacing w:after="0"/>
              <w:rPr>
                <w:sz w:val="20"/>
                <w:szCs w:val="20"/>
                <w:color w:val="auto"/>
              </w:rPr>
            </w:pPr>
            <w:r>
              <w:rPr>
                <w:rFonts w:ascii="Arial" w:cs="Arial" w:eastAsia="Arial" w:hAnsi="Arial"/>
                <w:sz w:val="16"/>
                <w:szCs w:val="16"/>
                <w:color w:val="auto"/>
              </w:rPr>
              <w:t>39</w:t>
            </w:r>
          </w:p>
        </w:tc>
        <w:tc>
          <w:tcPr>
            <w:tcW w:w="360" w:type="dxa"/>
            <w:vAlign w:val="bottom"/>
          </w:tcPr>
          <w:p>
            <w:pPr>
              <w:spacing w:after="0"/>
              <w:rPr>
                <w:sz w:val="17"/>
                <w:szCs w:val="17"/>
                <w:color w:val="auto"/>
              </w:rPr>
            </w:pPr>
          </w:p>
        </w:tc>
        <w:tc>
          <w:tcPr>
            <w:tcW w:w="1320" w:type="dxa"/>
            <w:vAlign w:val="bottom"/>
          </w:tcPr>
          <w:p>
            <w:pPr>
              <w:jc w:val="right"/>
              <w:ind w:right="102"/>
              <w:spacing w:after="0"/>
              <w:rPr>
                <w:sz w:val="20"/>
                <w:szCs w:val="20"/>
                <w:color w:val="auto"/>
              </w:rPr>
            </w:pPr>
            <w:r>
              <w:rPr>
                <w:rFonts w:ascii="Arial" w:cs="Arial" w:eastAsia="Arial" w:hAnsi="Arial"/>
                <w:sz w:val="16"/>
                <w:szCs w:val="16"/>
                <w:color w:val="auto"/>
              </w:rPr>
              <w:t>35</w:t>
            </w:r>
          </w:p>
        </w:tc>
        <w:tc>
          <w:tcPr>
            <w:tcW w:w="380" w:type="dxa"/>
            <w:vAlign w:val="bottom"/>
          </w:tcPr>
          <w:p>
            <w:pPr>
              <w:spacing w:after="0"/>
              <w:rPr>
                <w:sz w:val="17"/>
                <w:szCs w:val="17"/>
                <w:color w:val="auto"/>
              </w:rPr>
            </w:pPr>
          </w:p>
        </w:tc>
        <w:tc>
          <w:tcPr>
            <w:tcW w:w="1280" w:type="dxa"/>
            <w:vAlign w:val="bottom"/>
          </w:tcPr>
          <w:p>
            <w:pPr>
              <w:jc w:val="right"/>
              <w:ind w:right="102"/>
              <w:spacing w:after="0"/>
              <w:rPr>
                <w:sz w:val="20"/>
                <w:szCs w:val="20"/>
                <w:color w:val="auto"/>
              </w:rPr>
            </w:pPr>
            <w:r>
              <w:rPr>
                <w:rFonts w:ascii="Arial" w:cs="Arial" w:eastAsia="Arial" w:hAnsi="Arial"/>
                <w:sz w:val="16"/>
                <w:szCs w:val="16"/>
                <w:color w:val="auto"/>
              </w:rPr>
              <w:t>13</w:t>
            </w:r>
          </w:p>
        </w:tc>
        <w:tc>
          <w:tcPr>
            <w:tcW w:w="400" w:type="dxa"/>
            <w:vAlign w:val="bottom"/>
          </w:tcPr>
          <w:p>
            <w:pPr>
              <w:spacing w:after="0"/>
              <w:rPr>
                <w:sz w:val="17"/>
                <w:szCs w:val="17"/>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10</w:t>
            </w:r>
          </w:p>
        </w:tc>
      </w:tr>
      <w:tr>
        <w:trPr>
          <w:trHeight w:val="213"/>
        </w:trPr>
        <w:tc>
          <w:tcPr>
            <w:tcW w:w="4760" w:type="dxa"/>
            <w:vAlign w:val="bottom"/>
          </w:tcPr>
          <w:p>
            <w:pPr>
              <w:spacing w:after="0"/>
              <w:rPr>
                <w:sz w:val="20"/>
                <w:szCs w:val="20"/>
                <w:color w:val="auto"/>
              </w:rPr>
            </w:pPr>
            <w:r>
              <w:rPr>
                <w:rFonts w:ascii="Arial" w:cs="Arial" w:eastAsia="Arial" w:hAnsi="Arial"/>
                <w:sz w:val="16"/>
                <w:szCs w:val="16"/>
                <w:color w:val="auto"/>
              </w:rPr>
              <w:t>Expected return on assets</w:t>
            </w:r>
          </w:p>
        </w:tc>
        <w:tc>
          <w:tcPr>
            <w:tcW w:w="540" w:type="dxa"/>
            <w:vAlign w:val="bottom"/>
          </w:tcPr>
          <w:p>
            <w:pPr>
              <w:spacing w:after="0"/>
              <w:rPr>
                <w:sz w:val="18"/>
                <w:szCs w:val="18"/>
                <w:color w:val="auto"/>
              </w:rPr>
            </w:pPr>
          </w:p>
        </w:tc>
        <w:tc>
          <w:tcPr>
            <w:tcW w:w="1280" w:type="dxa"/>
            <w:vAlign w:val="bottom"/>
          </w:tcPr>
          <w:p>
            <w:pPr>
              <w:jc w:val="right"/>
              <w:ind w:right="102"/>
              <w:spacing w:after="0"/>
              <w:rPr>
                <w:sz w:val="20"/>
                <w:szCs w:val="20"/>
                <w:color w:val="auto"/>
              </w:rPr>
            </w:pPr>
            <w:r>
              <w:rPr>
                <w:rFonts w:ascii="Arial" w:cs="Arial" w:eastAsia="Arial" w:hAnsi="Arial"/>
                <w:sz w:val="16"/>
                <w:szCs w:val="16"/>
                <w:color w:val="auto"/>
              </w:rPr>
              <w:t>(42)</w:t>
            </w:r>
          </w:p>
        </w:tc>
        <w:tc>
          <w:tcPr>
            <w:tcW w:w="360" w:type="dxa"/>
            <w:vAlign w:val="bottom"/>
          </w:tcPr>
          <w:p>
            <w:pPr>
              <w:spacing w:after="0"/>
              <w:rPr>
                <w:sz w:val="18"/>
                <w:szCs w:val="18"/>
                <w:color w:val="auto"/>
              </w:rPr>
            </w:pPr>
          </w:p>
        </w:tc>
        <w:tc>
          <w:tcPr>
            <w:tcW w:w="1320" w:type="dxa"/>
            <w:vAlign w:val="bottom"/>
          </w:tcPr>
          <w:p>
            <w:pPr>
              <w:jc w:val="right"/>
              <w:ind w:right="102"/>
              <w:spacing w:after="0"/>
              <w:rPr>
                <w:sz w:val="20"/>
                <w:szCs w:val="20"/>
                <w:color w:val="auto"/>
              </w:rPr>
            </w:pPr>
            <w:r>
              <w:rPr>
                <w:rFonts w:ascii="Arial" w:cs="Arial" w:eastAsia="Arial" w:hAnsi="Arial"/>
                <w:sz w:val="16"/>
                <w:szCs w:val="16"/>
                <w:color w:val="auto"/>
              </w:rPr>
              <w:t>(39)</w:t>
            </w:r>
          </w:p>
        </w:tc>
        <w:tc>
          <w:tcPr>
            <w:tcW w:w="380" w:type="dxa"/>
            <w:vAlign w:val="bottom"/>
          </w:tcPr>
          <w:p>
            <w:pPr>
              <w:spacing w:after="0"/>
              <w:rPr>
                <w:sz w:val="18"/>
                <w:szCs w:val="18"/>
                <w:color w:val="auto"/>
              </w:rPr>
            </w:pPr>
          </w:p>
        </w:tc>
        <w:tc>
          <w:tcPr>
            <w:tcW w:w="1280" w:type="dxa"/>
            <w:vAlign w:val="bottom"/>
          </w:tcPr>
          <w:p>
            <w:pPr>
              <w:jc w:val="right"/>
              <w:ind w:right="102"/>
              <w:spacing w:after="0"/>
              <w:rPr>
                <w:sz w:val="20"/>
                <w:szCs w:val="20"/>
                <w:color w:val="auto"/>
              </w:rPr>
            </w:pPr>
            <w:r>
              <w:rPr>
                <w:rFonts w:ascii="Arial" w:cs="Arial" w:eastAsia="Arial" w:hAnsi="Arial"/>
                <w:sz w:val="16"/>
                <w:szCs w:val="16"/>
                <w:color w:val="auto"/>
              </w:rPr>
              <w:t>(15)</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w:t>
            </w:r>
          </w:p>
        </w:tc>
        <w:tc>
          <w:tcPr>
            <w:tcW w:w="20" w:type="dxa"/>
            <w:vAlign w:val="bottom"/>
          </w:tcPr>
          <w:p>
            <w:pPr>
              <w:spacing w:after="0"/>
              <w:rPr>
                <w:sz w:val="18"/>
                <w:szCs w:val="18"/>
                <w:color w:val="auto"/>
              </w:rPr>
            </w:pPr>
          </w:p>
        </w:tc>
      </w:tr>
      <w:tr>
        <w:trPr>
          <w:trHeight w:val="213"/>
        </w:trPr>
        <w:tc>
          <w:tcPr>
            <w:tcW w:w="4760" w:type="dxa"/>
            <w:vAlign w:val="bottom"/>
          </w:tcPr>
          <w:p>
            <w:pPr>
              <w:spacing w:after="0"/>
              <w:rPr>
                <w:sz w:val="20"/>
                <w:szCs w:val="20"/>
                <w:color w:val="auto"/>
              </w:rPr>
            </w:pPr>
            <w:r>
              <w:rPr>
                <w:rFonts w:ascii="Arial" w:cs="Arial" w:eastAsia="Arial" w:hAnsi="Arial"/>
                <w:sz w:val="16"/>
                <w:szCs w:val="16"/>
                <w:color w:val="auto"/>
              </w:rPr>
              <w:t>Amortization of:</w:t>
            </w:r>
          </w:p>
        </w:tc>
        <w:tc>
          <w:tcPr>
            <w:tcW w:w="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4760" w:type="dxa"/>
            <w:vAlign w:val="bottom"/>
          </w:tcPr>
          <w:p>
            <w:pPr>
              <w:ind w:left="180"/>
              <w:spacing w:after="0"/>
              <w:rPr>
                <w:sz w:val="20"/>
                <w:szCs w:val="20"/>
                <w:color w:val="auto"/>
              </w:rPr>
            </w:pPr>
            <w:r>
              <w:rPr>
                <w:rFonts w:ascii="Arial" w:cs="Arial" w:eastAsia="Arial" w:hAnsi="Arial"/>
                <w:sz w:val="16"/>
                <w:szCs w:val="16"/>
                <w:color w:val="auto"/>
              </w:rPr>
              <w:t>Prior service cost (credit)</w:t>
            </w:r>
          </w:p>
        </w:tc>
        <w:tc>
          <w:tcPr>
            <w:tcW w:w="540" w:type="dxa"/>
            <w:vAlign w:val="bottom"/>
          </w:tcPr>
          <w:p>
            <w:pPr>
              <w:spacing w:after="0"/>
              <w:rPr>
                <w:sz w:val="18"/>
                <w:szCs w:val="18"/>
                <w:color w:val="auto"/>
              </w:rPr>
            </w:pPr>
          </w:p>
        </w:tc>
        <w:tc>
          <w:tcPr>
            <w:tcW w:w="1280" w:type="dxa"/>
            <w:vAlign w:val="bottom"/>
          </w:tcPr>
          <w:p>
            <w:pPr>
              <w:jc w:val="right"/>
              <w:ind w:right="102"/>
              <w:spacing w:after="0"/>
              <w:rPr>
                <w:sz w:val="20"/>
                <w:szCs w:val="20"/>
                <w:color w:val="auto"/>
              </w:rPr>
            </w:pPr>
            <w:r>
              <w:rPr>
                <w:rFonts w:ascii="Arial" w:cs="Arial" w:eastAsia="Arial" w:hAnsi="Arial"/>
                <w:sz w:val="16"/>
                <w:szCs w:val="16"/>
                <w:color w:val="auto"/>
              </w:rPr>
              <w:t>3</w:t>
            </w:r>
          </w:p>
        </w:tc>
        <w:tc>
          <w:tcPr>
            <w:tcW w:w="360" w:type="dxa"/>
            <w:vAlign w:val="bottom"/>
          </w:tcPr>
          <w:p>
            <w:pPr>
              <w:spacing w:after="0"/>
              <w:rPr>
                <w:sz w:val="18"/>
                <w:szCs w:val="18"/>
                <w:color w:val="auto"/>
              </w:rPr>
            </w:pPr>
          </w:p>
        </w:tc>
        <w:tc>
          <w:tcPr>
            <w:tcW w:w="1320" w:type="dxa"/>
            <w:vAlign w:val="bottom"/>
          </w:tcPr>
          <w:p>
            <w:pPr>
              <w:jc w:val="right"/>
              <w:ind w:right="102"/>
              <w:spacing w:after="0"/>
              <w:rPr>
                <w:sz w:val="20"/>
                <w:szCs w:val="20"/>
                <w:color w:val="auto"/>
              </w:rPr>
            </w:pPr>
            <w:r>
              <w:rPr>
                <w:rFonts w:ascii="Arial" w:cs="Arial" w:eastAsia="Arial" w:hAnsi="Arial"/>
                <w:sz w:val="16"/>
                <w:szCs w:val="16"/>
                <w:color w:val="auto"/>
              </w:rPr>
              <w:t>1</w:t>
            </w:r>
          </w:p>
        </w:tc>
        <w:tc>
          <w:tcPr>
            <w:tcW w:w="380" w:type="dxa"/>
            <w:vAlign w:val="bottom"/>
          </w:tcPr>
          <w:p>
            <w:pPr>
              <w:spacing w:after="0"/>
              <w:rPr>
                <w:sz w:val="18"/>
                <w:szCs w:val="18"/>
                <w:color w:val="auto"/>
              </w:rPr>
            </w:pPr>
          </w:p>
        </w:tc>
        <w:tc>
          <w:tcPr>
            <w:tcW w:w="1280" w:type="dxa"/>
            <w:vAlign w:val="bottom"/>
          </w:tcPr>
          <w:p>
            <w:pPr>
              <w:jc w:val="right"/>
              <w:ind w:right="102"/>
              <w:spacing w:after="0"/>
              <w:rPr>
                <w:sz w:val="20"/>
                <w:szCs w:val="20"/>
                <w:color w:val="auto"/>
              </w:rPr>
            </w:pPr>
            <w:r>
              <w:rPr>
                <w:rFonts w:ascii="Arial" w:cs="Arial" w:eastAsia="Arial" w:hAnsi="Arial"/>
                <w:sz w:val="16"/>
                <w:szCs w:val="16"/>
                <w:color w:val="auto"/>
              </w:rPr>
              <w:t>(2)</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8"/>
                <w:szCs w:val="18"/>
                <w:color w:val="auto"/>
              </w:rPr>
            </w:pPr>
          </w:p>
        </w:tc>
      </w:tr>
      <w:tr>
        <w:trPr>
          <w:trHeight w:val="213"/>
        </w:trPr>
        <w:tc>
          <w:tcPr>
            <w:tcW w:w="4760" w:type="dxa"/>
            <w:vAlign w:val="bottom"/>
          </w:tcPr>
          <w:p>
            <w:pPr>
              <w:ind w:left="180"/>
              <w:spacing w:after="0"/>
              <w:rPr>
                <w:sz w:val="20"/>
                <w:szCs w:val="20"/>
                <w:color w:val="auto"/>
              </w:rPr>
            </w:pPr>
            <w:r>
              <w:rPr>
                <w:rFonts w:ascii="Arial" w:cs="Arial" w:eastAsia="Arial" w:hAnsi="Arial"/>
                <w:sz w:val="16"/>
                <w:szCs w:val="16"/>
                <w:color w:val="auto"/>
              </w:rPr>
              <w:t>Actuarial loss</w:t>
            </w:r>
          </w:p>
        </w:tc>
        <w:tc>
          <w:tcPr>
            <w:tcW w:w="540" w:type="dxa"/>
            <w:vAlign w:val="bottom"/>
          </w:tcPr>
          <w:p>
            <w:pPr>
              <w:spacing w:after="0"/>
              <w:rPr>
                <w:sz w:val="18"/>
                <w:szCs w:val="18"/>
                <w:color w:val="auto"/>
              </w:rPr>
            </w:pPr>
          </w:p>
        </w:tc>
        <w:tc>
          <w:tcPr>
            <w:tcW w:w="1280" w:type="dxa"/>
            <w:vAlign w:val="bottom"/>
          </w:tcPr>
          <w:p>
            <w:pPr>
              <w:jc w:val="right"/>
              <w:ind w:right="102"/>
              <w:spacing w:after="0"/>
              <w:rPr>
                <w:sz w:val="20"/>
                <w:szCs w:val="20"/>
                <w:color w:val="auto"/>
              </w:rPr>
            </w:pPr>
            <w:r>
              <w:rPr>
                <w:rFonts w:ascii="Arial" w:cs="Arial" w:eastAsia="Arial" w:hAnsi="Arial"/>
                <w:sz w:val="16"/>
                <w:szCs w:val="16"/>
                <w:color w:val="auto"/>
              </w:rPr>
              <w:t>3</w:t>
            </w:r>
          </w:p>
        </w:tc>
        <w:tc>
          <w:tcPr>
            <w:tcW w:w="360" w:type="dxa"/>
            <w:vAlign w:val="bottom"/>
          </w:tcPr>
          <w:p>
            <w:pPr>
              <w:spacing w:after="0"/>
              <w:rPr>
                <w:sz w:val="18"/>
                <w:szCs w:val="18"/>
                <w:color w:val="auto"/>
              </w:rPr>
            </w:pPr>
          </w:p>
        </w:tc>
        <w:tc>
          <w:tcPr>
            <w:tcW w:w="1320" w:type="dxa"/>
            <w:vAlign w:val="bottom"/>
          </w:tcPr>
          <w:p>
            <w:pPr>
              <w:jc w:val="right"/>
              <w:ind w:right="102"/>
              <w:spacing w:after="0"/>
              <w:rPr>
                <w:sz w:val="20"/>
                <w:szCs w:val="20"/>
                <w:color w:val="auto"/>
              </w:rPr>
            </w:pPr>
            <w:r>
              <w:rPr>
                <w:rFonts w:ascii="Arial" w:cs="Arial" w:eastAsia="Arial" w:hAnsi="Arial"/>
                <w:sz w:val="16"/>
                <w:szCs w:val="16"/>
                <w:color w:val="auto"/>
              </w:rPr>
              <w:t>11</w:t>
            </w:r>
          </w:p>
        </w:tc>
        <w:tc>
          <w:tcPr>
            <w:tcW w:w="380" w:type="dxa"/>
            <w:vAlign w:val="bottom"/>
          </w:tcPr>
          <w:p>
            <w:pPr>
              <w:spacing w:after="0"/>
              <w:rPr>
                <w:sz w:val="18"/>
                <w:szCs w:val="18"/>
                <w:color w:val="auto"/>
              </w:rPr>
            </w:pPr>
          </w:p>
        </w:tc>
        <w:tc>
          <w:tcPr>
            <w:tcW w:w="1280" w:type="dxa"/>
            <w:vAlign w:val="bottom"/>
          </w:tcPr>
          <w:p>
            <w:pPr>
              <w:jc w:val="right"/>
              <w:ind w:right="222"/>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13"/>
        </w:trPr>
        <w:tc>
          <w:tcPr>
            <w:tcW w:w="4760" w:type="dxa"/>
            <w:vAlign w:val="bottom"/>
          </w:tcPr>
          <w:p>
            <w:pPr>
              <w:spacing w:after="0"/>
              <w:rPr>
                <w:sz w:val="20"/>
                <w:szCs w:val="20"/>
                <w:color w:val="auto"/>
              </w:rPr>
            </w:pPr>
            <w:r>
              <w:rPr>
                <w:rFonts w:ascii="Arial" w:cs="Arial" w:eastAsia="Arial" w:hAnsi="Arial"/>
                <w:sz w:val="16"/>
                <w:szCs w:val="16"/>
                <w:color w:val="auto"/>
              </w:rPr>
              <w:t>Settlements and special termination benefits</w:t>
            </w:r>
          </w:p>
        </w:tc>
        <w:tc>
          <w:tcPr>
            <w:tcW w:w="540" w:type="dxa"/>
            <w:vAlign w:val="bottom"/>
          </w:tcPr>
          <w:p>
            <w:pPr>
              <w:spacing w:after="0"/>
              <w:rPr>
                <w:sz w:val="18"/>
                <w:szCs w:val="18"/>
                <w:color w:val="auto"/>
              </w:rPr>
            </w:pPr>
          </w:p>
        </w:tc>
        <w:tc>
          <w:tcPr>
            <w:tcW w:w="1280" w:type="dxa"/>
            <w:vAlign w:val="bottom"/>
          </w:tcPr>
          <w:p>
            <w:pPr>
              <w:jc w:val="right"/>
              <w:ind w:right="102"/>
              <w:spacing w:after="0"/>
              <w:rPr>
                <w:sz w:val="20"/>
                <w:szCs w:val="20"/>
                <w:color w:val="auto"/>
              </w:rPr>
            </w:pPr>
            <w:r>
              <w:rPr>
                <w:rFonts w:ascii="Arial" w:cs="Arial" w:eastAsia="Arial" w:hAnsi="Arial"/>
                <w:sz w:val="16"/>
                <w:szCs w:val="16"/>
                <w:color w:val="auto"/>
              </w:rPr>
              <w:t>5</w:t>
            </w:r>
          </w:p>
        </w:tc>
        <w:tc>
          <w:tcPr>
            <w:tcW w:w="360" w:type="dxa"/>
            <w:vAlign w:val="bottom"/>
          </w:tcPr>
          <w:p>
            <w:pPr>
              <w:spacing w:after="0"/>
              <w:rPr>
                <w:sz w:val="18"/>
                <w:szCs w:val="18"/>
                <w:color w:val="auto"/>
              </w:rPr>
            </w:pPr>
          </w:p>
        </w:tc>
        <w:tc>
          <w:tcPr>
            <w:tcW w:w="1320" w:type="dxa"/>
            <w:vAlign w:val="bottom"/>
          </w:tcPr>
          <w:p>
            <w:pPr>
              <w:jc w:val="right"/>
              <w:ind w:right="102"/>
              <w:spacing w:after="0"/>
              <w:rPr>
                <w:sz w:val="20"/>
                <w:szCs w:val="20"/>
                <w:color w:val="auto"/>
              </w:rPr>
            </w:pPr>
            <w:r>
              <w:rPr>
                <w:rFonts w:ascii="Arial" w:cs="Arial" w:eastAsia="Arial" w:hAnsi="Arial"/>
                <w:sz w:val="16"/>
                <w:szCs w:val="16"/>
                <w:color w:val="auto"/>
              </w:rPr>
              <w:t>1</w:t>
            </w:r>
          </w:p>
        </w:tc>
        <w:tc>
          <w:tcPr>
            <w:tcW w:w="380" w:type="dxa"/>
            <w:vAlign w:val="bottom"/>
          </w:tcPr>
          <w:p>
            <w:pPr>
              <w:spacing w:after="0"/>
              <w:rPr>
                <w:sz w:val="18"/>
                <w:szCs w:val="18"/>
                <w:color w:val="auto"/>
              </w:rPr>
            </w:pPr>
          </w:p>
        </w:tc>
        <w:tc>
          <w:tcPr>
            <w:tcW w:w="1280" w:type="dxa"/>
            <w:vAlign w:val="bottom"/>
          </w:tcPr>
          <w:p>
            <w:pPr>
              <w:jc w:val="right"/>
              <w:ind w:right="102"/>
              <w:spacing w:after="0"/>
              <w:rPr>
                <w:sz w:val="20"/>
                <w:szCs w:val="20"/>
                <w:color w:val="auto"/>
              </w:rPr>
            </w:pPr>
            <w:r>
              <w:rPr>
                <w:rFonts w:ascii="Arial" w:cs="Arial" w:eastAsia="Arial" w:hAnsi="Arial"/>
                <w:sz w:val="16"/>
                <w:szCs w:val="16"/>
                <w:color w:val="auto"/>
              </w:rPr>
              <w:t>5</w:t>
            </w:r>
          </w:p>
        </w:tc>
        <w:tc>
          <w:tcPr>
            <w:tcW w:w="4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04"/>
        </w:trPr>
        <w:tc>
          <w:tcPr>
            <w:tcW w:w="4760" w:type="dxa"/>
            <w:vAlign w:val="bottom"/>
          </w:tcPr>
          <w:p>
            <w:pPr>
              <w:spacing w:after="0"/>
              <w:rPr>
                <w:sz w:val="20"/>
                <w:szCs w:val="20"/>
                <w:color w:val="auto"/>
              </w:rPr>
            </w:pPr>
            <w:r>
              <w:rPr>
                <w:rFonts w:ascii="Arial" w:cs="Arial" w:eastAsia="Arial" w:hAnsi="Arial"/>
                <w:sz w:val="16"/>
                <w:szCs w:val="16"/>
                <w:color w:val="auto"/>
              </w:rPr>
              <w:t>Regulatory adjustment</w:t>
            </w:r>
          </w:p>
        </w:tc>
        <w:tc>
          <w:tcPr>
            <w:tcW w:w="5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6</w:t>
            </w: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(14)</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5</w:t>
            </w:r>
          </w:p>
        </w:tc>
        <w:tc>
          <w:tcPr>
            <w:tcW w:w="4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3</w:t>
            </w:r>
          </w:p>
        </w:tc>
      </w:tr>
      <w:tr>
        <w:trPr>
          <w:trHeight w:val="173"/>
        </w:trPr>
        <w:tc>
          <w:tcPr>
            <w:tcW w:w="4760" w:type="dxa"/>
            <w:vAlign w:val="bottom"/>
          </w:tcPr>
          <w:p>
            <w:pPr>
              <w:spacing w:after="0" w:line="166" w:lineRule="exact"/>
              <w:rPr>
                <w:sz w:val="20"/>
                <w:szCs w:val="20"/>
                <w:color w:val="auto"/>
              </w:rPr>
            </w:pPr>
            <w:r>
              <w:rPr>
                <w:rFonts w:ascii="Arial" w:cs="Arial" w:eastAsia="Arial" w:hAnsi="Arial"/>
                <w:sz w:val="16"/>
                <w:szCs w:val="16"/>
                <w:color w:val="auto"/>
              </w:rPr>
              <w:t>Total net periodic benefit cost</w:t>
            </w:r>
          </w:p>
        </w:tc>
        <w:tc>
          <w:tcPr>
            <w:tcW w:w="540" w:type="dxa"/>
            <w:vAlign w:val="bottom"/>
          </w:tcPr>
          <w:p>
            <w:pPr>
              <w:jc w:val="right"/>
              <w:ind w:right="40"/>
              <w:spacing w:after="0" w:line="166" w:lineRule="exact"/>
              <w:rPr>
                <w:sz w:val="20"/>
                <w:szCs w:val="20"/>
                <w:color w:val="auto"/>
              </w:rPr>
            </w:pPr>
            <w:r>
              <w:rPr>
                <w:rFonts w:ascii="Arial" w:cs="Arial" w:eastAsia="Arial" w:hAnsi="Arial"/>
                <w:sz w:val="16"/>
                <w:szCs w:val="16"/>
                <w:color w:val="auto"/>
              </w:rPr>
              <w:t>$</w:t>
            </w:r>
          </w:p>
        </w:tc>
        <w:tc>
          <w:tcPr>
            <w:tcW w:w="1280" w:type="dxa"/>
            <w:vAlign w:val="bottom"/>
          </w:tcPr>
          <w:p>
            <w:pPr>
              <w:jc w:val="right"/>
              <w:ind w:right="102"/>
              <w:spacing w:after="0" w:line="166" w:lineRule="exact"/>
              <w:rPr>
                <w:sz w:val="20"/>
                <w:szCs w:val="20"/>
                <w:color w:val="auto"/>
              </w:rPr>
            </w:pPr>
            <w:r>
              <w:rPr>
                <w:rFonts w:ascii="Arial" w:cs="Arial" w:eastAsia="Arial" w:hAnsi="Arial"/>
                <w:sz w:val="16"/>
                <w:szCs w:val="16"/>
                <w:color w:val="auto"/>
              </w:rPr>
              <w:t>37</w:t>
            </w:r>
          </w:p>
        </w:tc>
        <w:tc>
          <w:tcPr>
            <w:tcW w:w="360" w:type="dxa"/>
            <w:vAlign w:val="bottom"/>
          </w:tcPr>
          <w:p>
            <w:pPr>
              <w:jc w:val="right"/>
              <w:spacing w:after="0" w:line="166" w:lineRule="exact"/>
              <w:rPr>
                <w:sz w:val="20"/>
                <w:szCs w:val="20"/>
                <w:color w:val="auto"/>
              </w:rPr>
            </w:pPr>
            <w:r>
              <w:rPr>
                <w:rFonts w:ascii="Arial" w:cs="Arial" w:eastAsia="Arial" w:hAnsi="Arial"/>
                <w:sz w:val="16"/>
                <w:szCs w:val="16"/>
                <w:color w:val="auto"/>
              </w:rPr>
              <w:t>$</w:t>
            </w:r>
          </w:p>
        </w:tc>
        <w:tc>
          <w:tcPr>
            <w:tcW w:w="1320" w:type="dxa"/>
            <w:vAlign w:val="bottom"/>
          </w:tcPr>
          <w:p>
            <w:pPr>
              <w:jc w:val="right"/>
              <w:ind w:right="102"/>
              <w:spacing w:after="0" w:line="166" w:lineRule="exact"/>
              <w:rPr>
                <w:sz w:val="20"/>
                <w:szCs w:val="20"/>
                <w:color w:val="auto"/>
              </w:rPr>
            </w:pPr>
            <w:r>
              <w:rPr>
                <w:rFonts w:ascii="Arial" w:cs="Arial" w:eastAsia="Arial" w:hAnsi="Arial"/>
                <w:sz w:val="16"/>
                <w:szCs w:val="16"/>
                <w:color w:val="auto"/>
              </w:rPr>
              <w:t>23</w:t>
            </w:r>
          </w:p>
        </w:tc>
        <w:tc>
          <w:tcPr>
            <w:tcW w:w="380" w:type="dxa"/>
            <w:vAlign w:val="bottom"/>
          </w:tcPr>
          <w:p>
            <w:pPr>
              <w:jc w:val="right"/>
              <w:ind w:right="40"/>
              <w:spacing w:after="0" w:line="166" w:lineRule="exact"/>
              <w:rPr>
                <w:sz w:val="20"/>
                <w:szCs w:val="20"/>
                <w:color w:val="auto"/>
              </w:rPr>
            </w:pPr>
            <w:r>
              <w:rPr>
                <w:rFonts w:ascii="Arial" w:cs="Arial" w:eastAsia="Arial" w:hAnsi="Arial"/>
                <w:sz w:val="16"/>
                <w:szCs w:val="16"/>
                <w:color w:val="auto"/>
              </w:rPr>
              <w:t>$</w:t>
            </w:r>
          </w:p>
        </w:tc>
        <w:tc>
          <w:tcPr>
            <w:tcW w:w="1280" w:type="dxa"/>
            <w:vAlign w:val="bottom"/>
          </w:tcPr>
          <w:p>
            <w:pPr>
              <w:jc w:val="right"/>
              <w:ind w:right="102"/>
              <w:spacing w:after="0" w:line="166" w:lineRule="exact"/>
              <w:rPr>
                <w:sz w:val="20"/>
                <w:szCs w:val="20"/>
                <w:color w:val="auto"/>
              </w:rPr>
            </w:pPr>
            <w:r>
              <w:rPr>
                <w:rFonts w:ascii="Arial" w:cs="Arial" w:eastAsia="Arial" w:hAnsi="Arial"/>
                <w:sz w:val="16"/>
                <w:szCs w:val="16"/>
                <w:color w:val="auto"/>
              </w:rPr>
              <w:t>12</w:t>
            </w:r>
          </w:p>
        </w:tc>
        <w:tc>
          <w:tcPr>
            <w:tcW w:w="400" w:type="dxa"/>
            <w:vAlign w:val="bottom"/>
          </w:tcPr>
          <w:p>
            <w:pPr>
              <w:jc w:val="right"/>
              <w:ind w:right="40"/>
              <w:spacing w:after="0" w:line="166" w:lineRule="exact"/>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0"/>
              <w:spacing w:after="0" w:line="166" w:lineRule="exact"/>
              <w:rPr>
                <w:sz w:val="20"/>
                <w:szCs w:val="20"/>
                <w:color w:val="auto"/>
              </w:rPr>
            </w:pPr>
            <w:r>
              <w:rPr>
                <w:rFonts w:ascii="Arial" w:cs="Arial" w:eastAsia="Arial" w:hAnsi="Arial"/>
                <w:sz w:val="16"/>
                <w:szCs w:val="16"/>
                <w:color w:val="auto"/>
              </w:rPr>
              <w:t>5</w:t>
            </w:r>
          </w:p>
        </w:tc>
      </w:tr>
      <w:tr>
        <w:trPr>
          <w:trHeight w:val="199"/>
        </w:trPr>
        <w:tc>
          <w:tcPr>
            <w:tcW w:w="4760" w:type="dxa"/>
            <w:vAlign w:val="bottom"/>
            <w:tcBorders>
              <w:top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2980" w:type="dxa"/>
            <w:vAlign w:val="bottom"/>
            <w:tcBorders>
              <w:top w:val="single" w:sz="8" w:color="auto"/>
              <w:bottom w:val="single" w:sz="8" w:color="auto"/>
            </w:tcBorders>
            <w:gridSpan w:val="3"/>
          </w:tcPr>
          <w:p>
            <w:pPr>
              <w:jc w:val="right"/>
              <w:ind w:right="662"/>
              <w:spacing w:after="0"/>
              <w:rPr>
                <w:sz w:val="20"/>
                <w:szCs w:val="20"/>
                <w:color w:val="auto"/>
              </w:rPr>
            </w:pPr>
            <w:r>
              <w:rPr>
                <w:rFonts w:ascii="Arial" w:cs="Arial" w:eastAsia="Arial" w:hAnsi="Arial"/>
                <w:sz w:val="14"/>
                <w:szCs w:val="14"/>
                <w:color w:val="auto"/>
              </w:rPr>
              <w:t>Nine months ended September 30,</w:t>
            </w:r>
          </w:p>
        </w:tc>
        <w:tc>
          <w:tcPr>
            <w:tcW w:w="4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06"/>
        </w:trPr>
        <w:tc>
          <w:tcPr>
            <w:tcW w:w="47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762"/>
              <w:spacing w:after="0"/>
              <w:rPr>
                <w:sz w:val="20"/>
                <w:szCs w:val="20"/>
                <w:color w:val="auto"/>
              </w:rPr>
            </w:pPr>
            <w:r>
              <w:rPr>
                <w:rFonts w:ascii="Arial" w:cs="Arial" w:eastAsia="Arial" w:hAnsi="Arial"/>
                <w:sz w:val="14"/>
                <w:szCs w:val="14"/>
                <w:color w:val="auto"/>
              </w:rPr>
              <w:t>2014</w:t>
            </w: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782"/>
              <w:spacing w:after="0"/>
              <w:rPr>
                <w:sz w:val="20"/>
                <w:szCs w:val="20"/>
                <w:color w:val="auto"/>
              </w:rPr>
            </w:pPr>
            <w:r>
              <w:rPr>
                <w:rFonts w:ascii="Arial" w:cs="Arial" w:eastAsia="Arial" w:hAnsi="Arial"/>
                <w:sz w:val="14"/>
                <w:szCs w:val="14"/>
                <w:color w:val="auto"/>
              </w:rPr>
              <w:t>2013</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782"/>
              <w:spacing w:after="0"/>
              <w:rPr>
                <w:sz w:val="20"/>
                <w:szCs w:val="20"/>
                <w:color w:val="auto"/>
              </w:rPr>
            </w:pPr>
            <w:r>
              <w:rPr>
                <w:rFonts w:ascii="Arial" w:cs="Arial" w:eastAsia="Arial" w:hAnsi="Arial"/>
                <w:sz w:val="14"/>
                <w:szCs w:val="14"/>
                <w:color w:val="auto"/>
              </w:rPr>
              <w:t>2014</w:t>
            </w:r>
          </w:p>
        </w:tc>
        <w:tc>
          <w:tcPr>
            <w:tcW w:w="4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color w:val="auto"/>
              </w:rPr>
              <w:t>2013</w:t>
            </w:r>
          </w:p>
        </w:tc>
        <w:tc>
          <w:tcPr>
            <w:tcW w:w="20" w:type="dxa"/>
            <w:vAlign w:val="bottom"/>
          </w:tcPr>
          <w:p>
            <w:pPr>
              <w:spacing w:after="0"/>
              <w:rPr>
                <w:sz w:val="17"/>
                <w:szCs w:val="17"/>
                <w:color w:val="auto"/>
              </w:rPr>
            </w:pPr>
          </w:p>
        </w:tc>
      </w:tr>
      <w:tr>
        <w:trPr>
          <w:trHeight w:val="186"/>
        </w:trPr>
        <w:tc>
          <w:tcPr>
            <w:tcW w:w="4760" w:type="dxa"/>
            <w:vAlign w:val="bottom"/>
          </w:tcPr>
          <w:p>
            <w:pPr>
              <w:spacing w:after="0"/>
              <w:rPr>
                <w:sz w:val="20"/>
                <w:szCs w:val="20"/>
                <w:color w:val="auto"/>
              </w:rPr>
            </w:pPr>
            <w:r>
              <w:rPr>
                <w:rFonts w:ascii="Arial" w:cs="Arial" w:eastAsia="Arial" w:hAnsi="Arial"/>
                <w:sz w:val="16"/>
                <w:szCs w:val="16"/>
                <w:color w:val="auto"/>
              </w:rPr>
              <w:t>Service cost</w:t>
            </w: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02"/>
              <w:spacing w:after="0"/>
              <w:rPr>
                <w:sz w:val="20"/>
                <w:szCs w:val="20"/>
                <w:color w:val="auto"/>
              </w:rPr>
            </w:pPr>
            <w:r>
              <w:rPr>
                <w:rFonts w:ascii="Arial" w:cs="Arial" w:eastAsia="Arial" w:hAnsi="Arial"/>
                <w:sz w:val="16"/>
                <w:szCs w:val="16"/>
                <w:color w:val="auto"/>
              </w:rPr>
              <w:t>75</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02"/>
              <w:spacing w:after="0"/>
              <w:rPr>
                <w:sz w:val="20"/>
                <w:szCs w:val="20"/>
                <w:color w:val="auto"/>
              </w:rPr>
            </w:pPr>
            <w:r>
              <w:rPr>
                <w:rFonts w:ascii="Arial" w:cs="Arial" w:eastAsia="Arial" w:hAnsi="Arial"/>
                <w:sz w:val="16"/>
                <w:szCs w:val="16"/>
                <w:color w:val="auto"/>
              </w:rPr>
              <w:t>82</w:t>
            </w:r>
          </w:p>
        </w:tc>
        <w:tc>
          <w:tcPr>
            <w:tcW w:w="3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02"/>
              <w:spacing w:after="0"/>
              <w:rPr>
                <w:sz w:val="20"/>
                <w:szCs w:val="20"/>
                <w:color w:val="auto"/>
              </w:rPr>
            </w:pPr>
            <w:r>
              <w:rPr>
                <w:rFonts w:ascii="Arial" w:cs="Arial" w:eastAsia="Arial" w:hAnsi="Arial"/>
                <w:sz w:val="16"/>
                <w:szCs w:val="16"/>
                <w:color w:val="auto"/>
              </w:rPr>
              <w:t>18</w:t>
            </w:r>
          </w:p>
        </w:tc>
        <w:tc>
          <w:tcPr>
            <w:tcW w:w="4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21</w:t>
            </w:r>
          </w:p>
        </w:tc>
        <w:tc>
          <w:tcPr>
            <w:tcW w:w="20" w:type="dxa"/>
            <w:vAlign w:val="bottom"/>
          </w:tcPr>
          <w:p>
            <w:pPr>
              <w:spacing w:after="0"/>
              <w:rPr>
                <w:sz w:val="16"/>
                <w:szCs w:val="16"/>
                <w:color w:val="auto"/>
              </w:rPr>
            </w:pPr>
          </w:p>
        </w:tc>
      </w:tr>
      <w:tr>
        <w:trPr>
          <w:trHeight w:val="201"/>
        </w:trPr>
        <w:tc>
          <w:tcPr>
            <w:tcW w:w="4760" w:type="dxa"/>
            <w:vAlign w:val="bottom"/>
          </w:tcPr>
          <w:p>
            <w:pPr>
              <w:spacing w:after="0"/>
              <w:rPr>
                <w:sz w:val="20"/>
                <w:szCs w:val="20"/>
                <w:color w:val="auto"/>
              </w:rPr>
            </w:pPr>
            <w:r>
              <w:rPr>
                <w:rFonts w:ascii="Arial" w:cs="Arial" w:eastAsia="Arial" w:hAnsi="Arial"/>
                <w:sz w:val="16"/>
                <w:szCs w:val="16"/>
                <w:color w:val="auto"/>
              </w:rPr>
              <w:t>Interest cost</w:t>
            </w:r>
          </w:p>
        </w:tc>
        <w:tc>
          <w:tcPr>
            <w:tcW w:w="540" w:type="dxa"/>
            <w:vAlign w:val="bottom"/>
          </w:tcPr>
          <w:p>
            <w:pPr>
              <w:spacing w:after="0"/>
              <w:rPr>
                <w:sz w:val="17"/>
                <w:szCs w:val="17"/>
                <w:color w:val="auto"/>
              </w:rPr>
            </w:pPr>
          </w:p>
        </w:tc>
        <w:tc>
          <w:tcPr>
            <w:tcW w:w="1280" w:type="dxa"/>
            <w:vAlign w:val="bottom"/>
          </w:tcPr>
          <w:p>
            <w:pPr>
              <w:jc w:val="right"/>
              <w:ind w:right="102"/>
              <w:spacing w:after="0"/>
              <w:rPr>
                <w:sz w:val="20"/>
                <w:szCs w:val="20"/>
                <w:color w:val="auto"/>
              </w:rPr>
            </w:pPr>
            <w:r>
              <w:rPr>
                <w:rFonts w:ascii="Arial" w:cs="Arial" w:eastAsia="Arial" w:hAnsi="Arial"/>
                <w:sz w:val="16"/>
                <w:szCs w:val="16"/>
                <w:color w:val="auto"/>
              </w:rPr>
              <w:t>121</w:t>
            </w:r>
          </w:p>
        </w:tc>
        <w:tc>
          <w:tcPr>
            <w:tcW w:w="360" w:type="dxa"/>
            <w:vAlign w:val="bottom"/>
          </w:tcPr>
          <w:p>
            <w:pPr>
              <w:spacing w:after="0"/>
              <w:rPr>
                <w:sz w:val="17"/>
                <w:szCs w:val="17"/>
                <w:color w:val="auto"/>
              </w:rPr>
            </w:pPr>
          </w:p>
        </w:tc>
        <w:tc>
          <w:tcPr>
            <w:tcW w:w="1320" w:type="dxa"/>
            <w:vAlign w:val="bottom"/>
          </w:tcPr>
          <w:p>
            <w:pPr>
              <w:jc w:val="right"/>
              <w:ind w:right="102"/>
              <w:spacing w:after="0"/>
              <w:rPr>
                <w:sz w:val="20"/>
                <w:szCs w:val="20"/>
                <w:color w:val="auto"/>
              </w:rPr>
            </w:pPr>
            <w:r>
              <w:rPr>
                <w:rFonts w:ascii="Arial" w:cs="Arial" w:eastAsia="Arial" w:hAnsi="Arial"/>
                <w:sz w:val="16"/>
                <w:szCs w:val="16"/>
                <w:color w:val="auto"/>
              </w:rPr>
              <w:t>111</w:t>
            </w:r>
          </w:p>
        </w:tc>
        <w:tc>
          <w:tcPr>
            <w:tcW w:w="380" w:type="dxa"/>
            <w:vAlign w:val="bottom"/>
          </w:tcPr>
          <w:p>
            <w:pPr>
              <w:spacing w:after="0"/>
              <w:rPr>
                <w:sz w:val="17"/>
                <w:szCs w:val="17"/>
                <w:color w:val="auto"/>
              </w:rPr>
            </w:pPr>
          </w:p>
        </w:tc>
        <w:tc>
          <w:tcPr>
            <w:tcW w:w="1280" w:type="dxa"/>
            <w:vAlign w:val="bottom"/>
          </w:tcPr>
          <w:p>
            <w:pPr>
              <w:jc w:val="right"/>
              <w:ind w:right="102"/>
              <w:spacing w:after="0"/>
              <w:rPr>
                <w:sz w:val="20"/>
                <w:szCs w:val="20"/>
                <w:color w:val="auto"/>
              </w:rPr>
            </w:pPr>
            <w:r>
              <w:rPr>
                <w:rFonts w:ascii="Arial" w:cs="Arial" w:eastAsia="Arial" w:hAnsi="Arial"/>
                <w:sz w:val="16"/>
                <w:szCs w:val="16"/>
                <w:color w:val="auto"/>
              </w:rPr>
              <w:t>37</w:t>
            </w:r>
          </w:p>
        </w:tc>
        <w:tc>
          <w:tcPr>
            <w:tcW w:w="400" w:type="dxa"/>
            <w:vAlign w:val="bottom"/>
          </w:tcPr>
          <w:p>
            <w:pPr>
              <w:spacing w:after="0"/>
              <w:rPr>
                <w:sz w:val="17"/>
                <w:szCs w:val="17"/>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33</w:t>
            </w:r>
          </w:p>
        </w:tc>
      </w:tr>
      <w:tr>
        <w:trPr>
          <w:trHeight w:val="213"/>
        </w:trPr>
        <w:tc>
          <w:tcPr>
            <w:tcW w:w="4760" w:type="dxa"/>
            <w:vAlign w:val="bottom"/>
          </w:tcPr>
          <w:p>
            <w:pPr>
              <w:spacing w:after="0"/>
              <w:rPr>
                <w:sz w:val="20"/>
                <w:szCs w:val="20"/>
                <w:color w:val="auto"/>
              </w:rPr>
            </w:pPr>
            <w:r>
              <w:rPr>
                <w:rFonts w:ascii="Arial" w:cs="Arial" w:eastAsia="Arial" w:hAnsi="Arial"/>
                <w:sz w:val="16"/>
                <w:szCs w:val="16"/>
                <w:color w:val="auto"/>
              </w:rPr>
              <w:t>Expected return on assets</w:t>
            </w:r>
          </w:p>
        </w:tc>
        <w:tc>
          <w:tcPr>
            <w:tcW w:w="540" w:type="dxa"/>
            <w:vAlign w:val="bottom"/>
          </w:tcPr>
          <w:p>
            <w:pPr>
              <w:spacing w:after="0"/>
              <w:rPr>
                <w:sz w:val="18"/>
                <w:szCs w:val="18"/>
                <w:color w:val="auto"/>
              </w:rPr>
            </w:pPr>
          </w:p>
        </w:tc>
        <w:tc>
          <w:tcPr>
            <w:tcW w:w="1280" w:type="dxa"/>
            <w:vAlign w:val="bottom"/>
          </w:tcPr>
          <w:p>
            <w:pPr>
              <w:jc w:val="right"/>
              <w:ind w:right="102"/>
              <w:spacing w:after="0"/>
              <w:rPr>
                <w:sz w:val="20"/>
                <w:szCs w:val="20"/>
                <w:color w:val="auto"/>
              </w:rPr>
            </w:pPr>
            <w:r>
              <w:rPr>
                <w:rFonts w:ascii="Arial" w:cs="Arial" w:eastAsia="Arial" w:hAnsi="Arial"/>
                <w:sz w:val="16"/>
                <w:szCs w:val="16"/>
                <w:color w:val="auto"/>
              </w:rPr>
              <w:t>(128)</w:t>
            </w:r>
          </w:p>
        </w:tc>
        <w:tc>
          <w:tcPr>
            <w:tcW w:w="360" w:type="dxa"/>
            <w:vAlign w:val="bottom"/>
          </w:tcPr>
          <w:p>
            <w:pPr>
              <w:spacing w:after="0"/>
              <w:rPr>
                <w:sz w:val="18"/>
                <w:szCs w:val="18"/>
                <w:color w:val="auto"/>
              </w:rPr>
            </w:pPr>
          </w:p>
        </w:tc>
        <w:tc>
          <w:tcPr>
            <w:tcW w:w="1320" w:type="dxa"/>
            <w:vAlign w:val="bottom"/>
          </w:tcPr>
          <w:p>
            <w:pPr>
              <w:jc w:val="right"/>
              <w:ind w:right="102"/>
              <w:spacing w:after="0"/>
              <w:rPr>
                <w:sz w:val="20"/>
                <w:szCs w:val="20"/>
                <w:color w:val="auto"/>
              </w:rPr>
            </w:pPr>
            <w:r>
              <w:rPr>
                <w:rFonts w:ascii="Arial" w:cs="Arial" w:eastAsia="Arial" w:hAnsi="Arial"/>
                <w:sz w:val="16"/>
                <w:szCs w:val="16"/>
                <w:color w:val="auto"/>
              </w:rPr>
              <w:t>(121)</w:t>
            </w:r>
          </w:p>
        </w:tc>
        <w:tc>
          <w:tcPr>
            <w:tcW w:w="380" w:type="dxa"/>
            <w:vAlign w:val="bottom"/>
          </w:tcPr>
          <w:p>
            <w:pPr>
              <w:spacing w:after="0"/>
              <w:rPr>
                <w:sz w:val="18"/>
                <w:szCs w:val="18"/>
                <w:color w:val="auto"/>
              </w:rPr>
            </w:pPr>
          </w:p>
        </w:tc>
        <w:tc>
          <w:tcPr>
            <w:tcW w:w="1280" w:type="dxa"/>
            <w:vAlign w:val="bottom"/>
          </w:tcPr>
          <w:p>
            <w:pPr>
              <w:jc w:val="right"/>
              <w:ind w:right="102"/>
              <w:spacing w:after="0"/>
              <w:rPr>
                <w:sz w:val="20"/>
                <w:szCs w:val="20"/>
                <w:color w:val="auto"/>
              </w:rPr>
            </w:pPr>
            <w:r>
              <w:rPr>
                <w:rFonts w:ascii="Arial" w:cs="Arial" w:eastAsia="Arial" w:hAnsi="Arial"/>
                <w:sz w:val="16"/>
                <w:szCs w:val="16"/>
                <w:color w:val="auto"/>
              </w:rPr>
              <w:t>(47)</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w:t>
            </w:r>
          </w:p>
        </w:tc>
        <w:tc>
          <w:tcPr>
            <w:tcW w:w="20" w:type="dxa"/>
            <w:vAlign w:val="bottom"/>
          </w:tcPr>
          <w:p>
            <w:pPr>
              <w:spacing w:after="0"/>
              <w:rPr>
                <w:sz w:val="18"/>
                <w:szCs w:val="18"/>
                <w:color w:val="auto"/>
              </w:rPr>
            </w:pPr>
          </w:p>
        </w:tc>
      </w:tr>
      <w:tr>
        <w:trPr>
          <w:trHeight w:val="213"/>
        </w:trPr>
        <w:tc>
          <w:tcPr>
            <w:tcW w:w="4760" w:type="dxa"/>
            <w:vAlign w:val="bottom"/>
          </w:tcPr>
          <w:p>
            <w:pPr>
              <w:spacing w:after="0"/>
              <w:rPr>
                <w:sz w:val="20"/>
                <w:szCs w:val="20"/>
                <w:color w:val="auto"/>
              </w:rPr>
            </w:pPr>
            <w:r>
              <w:rPr>
                <w:rFonts w:ascii="Arial" w:cs="Arial" w:eastAsia="Arial" w:hAnsi="Arial"/>
                <w:sz w:val="16"/>
                <w:szCs w:val="16"/>
                <w:color w:val="auto"/>
              </w:rPr>
              <w:t>Amortization of:</w:t>
            </w:r>
          </w:p>
        </w:tc>
        <w:tc>
          <w:tcPr>
            <w:tcW w:w="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4760" w:type="dxa"/>
            <w:vAlign w:val="bottom"/>
          </w:tcPr>
          <w:p>
            <w:pPr>
              <w:ind w:left="180"/>
              <w:spacing w:after="0"/>
              <w:rPr>
                <w:sz w:val="20"/>
                <w:szCs w:val="20"/>
                <w:color w:val="auto"/>
              </w:rPr>
            </w:pPr>
            <w:r>
              <w:rPr>
                <w:rFonts w:ascii="Arial" w:cs="Arial" w:eastAsia="Arial" w:hAnsi="Arial"/>
                <w:sz w:val="16"/>
                <w:szCs w:val="16"/>
                <w:color w:val="auto"/>
              </w:rPr>
              <w:t>Prior service cost (credit)</w:t>
            </w:r>
          </w:p>
        </w:tc>
        <w:tc>
          <w:tcPr>
            <w:tcW w:w="540" w:type="dxa"/>
            <w:vAlign w:val="bottom"/>
          </w:tcPr>
          <w:p>
            <w:pPr>
              <w:spacing w:after="0"/>
              <w:rPr>
                <w:sz w:val="18"/>
                <w:szCs w:val="18"/>
                <w:color w:val="auto"/>
              </w:rPr>
            </w:pPr>
          </w:p>
        </w:tc>
        <w:tc>
          <w:tcPr>
            <w:tcW w:w="1280" w:type="dxa"/>
            <w:vAlign w:val="bottom"/>
          </w:tcPr>
          <w:p>
            <w:pPr>
              <w:jc w:val="right"/>
              <w:ind w:right="102"/>
              <w:spacing w:after="0"/>
              <w:rPr>
                <w:sz w:val="20"/>
                <w:szCs w:val="20"/>
                <w:color w:val="auto"/>
              </w:rPr>
            </w:pPr>
            <w:r>
              <w:rPr>
                <w:rFonts w:ascii="Arial" w:cs="Arial" w:eastAsia="Arial" w:hAnsi="Arial"/>
                <w:sz w:val="16"/>
                <w:szCs w:val="16"/>
                <w:color w:val="auto"/>
              </w:rPr>
              <w:t>8</w:t>
            </w:r>
          </w:p>
        </w:tc>
        <w:tc>
          <w:tcPr>
            <w:tcW w:w="360" w:type="dxa"/>
            <w:vAlign w:val="bottom"/>
          </w:tcPr>
          <w:p>
            <w:pPr>
              <w:spacing w:after="0"/>
              <w:rPr>
                <w:sz w:val="18"/>
                <w:szCs w:val="18"/>
                <w:color w:val="auto"/>
              </w:rPr>
            </w:pPr>
          </w:p>
        </w:tc>
        <w:tc>
          <w:tcPr>
            <w:tcW w:w="1320" w:type="dxa"/>
            <w:vAlign w:val="bottom"/>
          </w:tcPr>
          <w:p>
            <w:pPr>
              <w:jc w:val="right"/>
              <w:ind w:right="102"/>
              <w:spacing w:after="0"/>
              <w:rPr>
                <w:sz w:val="20"/>
                <w:szCs w:val="20"/>
                <w:color w:val="auto"/>
              </w:rPr>
            </w:pPr>
            <w:r>
              <w:rPr>
                <w:rFonts w:ascii="Arial" w:cs="Arial" w:eastAsia="Arial" w:hAnsi="Arial"/>
                <w:sz w:val="16"/>
                <w:szCs w:val="16"/>
                <w:color w:val="auto"/>
              </w:rPr>
              <w:t>3</w:t>
            </w:r>
          </w:p>
        </w:tc>
        <w:tc>
          <w:tcPr>
            <w:tcW w:w="380" w:type="dxa"/>
            <w:vAlign w:val="bottom"/>
          </w:tcPr>
          <w:p>
            <w:pPr>
              <w:spacing w:after="0"/>
              <w:rPr>
                <w:sz w:val="18"/>
                <w:szCs w:val="18"/>
                <w:color w:val="auto"/>
              </w:rPr>
            </w:pPr>
          </w:p>
        </w:tc>
        <w:tc>
          <w:tcPr>
            <w:tcW w:w="1280" w:type="dxa"/>
            <w:vAlign w:val="bottom"/>
          </w:tcPr>
          <w:p>
            <w:pPr>
              <w:jc w:val="right"/>
              <w:ind w:right="102"/>
              <w:spacing w:after="0"/>
              <w:rPr>
                <w:sz w:val="20"/>
                <w:szCs w:val="20"/>
                <w:color w:val="auto"/>
              </w:rPr>
            </w:pPr>
            <w:r>
              <w:rPr>
                <w:rFonts w:ascii="Arial" w:cs="Arial" w:eastAsia="Arial" w:hAnsi="Arial"/>
                <w:sz w:val="16"/>
                <w:szCs w:val="16"/>
                <w:color w:val="auto"/>
              </w:rPr>
              <w:t>(4)</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8"/>
                <w:szCs w:val="18"/>
                <w:color w:val="auto"/>
              </w:rPr>
            </w:pPr>
          </w:p>
        </w:tc>
      </w:tr>
      <w:tr>
        <w:trPr>
          <w:trHeight w:val="213"/>
        </w:trPr>
        <w:tc>
          <w:tcPr>
            <w:tcW w:w="4760" w:type="dxa"/>
            <w:vAlign w:val="bottom"/>
          </w:tcPr>
          <w:p>
            <w:pPr>
              <w:ind w:left="180"/>
              <w:spacing w:after="0"/>
              <w:rPr>
                <w:sz w:val="20"/>
                <w:szCs w:val="20"/>
                <w:color w:val="auto"/>
              </w:rPr>
            </w:pPr>
            <w:r>
              <w:rPr>
                <w:rFonts w:ascii="Arial" w:cs="Arial" w:eastAsia="Arial" w:hAnsi="Arial"/>
                <w:sz w:val="16"/>
                <w:szCs w:val="16"/>
                <w:color w:val="auto"/>
              </w:rPr>
              <w:t>Actuarial loss</w:t>
            </w:r>
          </w:p>
        </w:tc>
        <w:tc>
          <w:tcPr>
            <w:tcW w:w="540" w:type="dxa"/>
            <w:vAlign w:val="bottom"/>
          </w:tcPr>
          <w:p>
            <w:pPr>
              <w:spacing w:after="0"/>
              <w:rPr>
                <w:sz w:val="18"/>
                <w:szCs w:val="18"/>
                <w:color w:val="auto"/>
              </w:rPr>
            </w:pPr>
          </w:p>
        </w:tc>
        <w:tc>
          <w:tcPr>
            <w:tcW w:w="1280" w:type="dxa"/>
            <w:vAlign w:val="bottom"/>
          </w:tcPr>
          <w:p>
            <w:pPr>
              <w:jc w:val="right"/>
              <w:ind w:right="102"/>
              <w:spacing w:after="0"/>
              <w:rPr>
                <w:sz w:val="20"/>
                <w:szCs w:val="20"/>
                <w:color w:val="auto"/>
              </w:rPr>
            </w:pPr>
            <w:r>
              <w:rPr>
                <w:rFonts w:ascii="Arial" w:cs="Arial" w:eastAsia="Arial" w:hAnsi="Arial"/>
                <w:sz w:val="16"/>
                <w:szCs w:val="16"/>
                <w:color w:val="auto"/>
              </w:rPr>
              <w:t>13</w:t>
            </w:r>
          </w:p>
        </w:tc>
        <w:tc>
          <w:tcPr>
            <w:tcW w:w="360" w:type="dxa"/>
            <w:vAlign w:val="bottom"/>
          </w:tcPr>
          <w:p>
            <w:pPr>
              <w:spacing w:after="0"/>
              <w:rPr>
                <w:sz w:val="18"/>
                <w:szCs w:val="18"/>
                <w:color w:val="auto"/>
              </w:rPr>
            </w:pPr>
          </w:p>
        </w:tc>
        <w:tc>
          <w:tcPr>
            <w:tcW w:w="1320" w:type="dxa"/>
            <w:vAlign w:val="bottom"/>
          </w:tcPr>
          <w:p>
            <w:pPr>
              <w:jc w:val="right"/>
              <w:ind w:right="102"/>
              <w:spacing w:after="0"/>
              <w:rPr>
                <w:sz w:val="20"/>
                <w:szCs w:val="20"/>
                <w:color w:val="auto"/>
              </w:rPr>
            </w:pPr>
            <w:r>
              <w:rPr>
                <w:rFonts w:ascii="Arial" w:cs="Arial" w:eastAsia="Arial" w:hAnsi="Arial"/>
                <w:sz w:val="16"/>
                <w:szCs w:val="16"/>
                <w:color w:val="auto"/>
              </w:rPr>
              <w:t>41</w:t>
            </w:r>
          </w:p>
        </w:tc>
        <w:tc>
          <w:tcPr>
            <w:tcW w:w="380" w:type="dxa"/>
            <w:vAlign w:val="bottom"/>
          </w:tcPr>
          <w:p>
            <w:pPr>
              <w:spacing w:after="0"/>
              <w:rPr>
                <w:sz w:val="18"/>
                <w:szCs w:val="18"/>
                <w:color w:val="auto"/>
              </w:rPr>
            </w:pPr>
          </w:p>
        </w:tc>
        <w:tc>
          <w:tcPr>
            <w:tcW w:w="1280" w:type="dxa"/>
            <w:vAlign w:val="bottom"/>
          </w:tcPr>
          <w:p>
            <w:pPr>
              <w:jc w:val="right"/>
              <w:ind w:right="222"/>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5</w:t>
            </w:r>
          </w:p>
        </w:tc>
      </w:tr>
    </w:tbl>
    <w:p>
      <w:pPr>
        <w:sectPr>
          <w:pgSz w:w="11900" w:h="16838" w:orient="portrait"/>
          <w:cols w:equalWidth="0" w:num="1">
            <w:col w:w="11420"/>
          </w:cols>
          <w:pgMar w:left="240" w:top="144" w:right="239" w:bottom="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760" w:type="dxa"/>
            <w:vAlign w:val="bottom"/>
            <w:gridSpan w:val="2"/>
          </w:tcPr>
          <w:p>
            <w:pPr>
              <w:spacing w:after="0"/>
              <w:rPr>
                <w:sz w:val="20"/>
                <w:szCs w:val="20"/>
                <w:color w:val="auto"/>
              </w:rPr>
            </w:pPr>
            <w:r>
              <w:rPr>
                <w:rFonts w:ascii="Arial" w:cs="Arial" w:eastAsia="Arial" w:hAnsi="Arial"/>
                <w:sz w:val="16"/>
                <w:szCs w:val="16"/>
                <w:color w:val="auto"/>
              </w:rPr>
              <w:t>Settlements and special termination benefits</w:t>
            </w:r>
          </w:p>
        </w:tc>
        <w:tc>
          <w:tcPr>
            <w:tcW w:w="1040" w:type="dxa"/>
            <w:vAlign w:val="bottom"/>
          </w:tcPr>
          <w:p>
            <w:pPr>
              <w:spacing w:after="0"/>
              <w:rPr>
                <w:sz w:val="16"/>
                <w:szCs w:val="16"/>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14</w:t>
            </w:r>
          </w:p>
        </w:tc>
        <w:tc>
          <w:tcPr>
            <w:tcW w:w="1040" w:type="dxa"/>
            <w:vAlign w:val="bottom"/>
          </w:tcPr>
          <w:p>
            <w:pPr>
              <w:spacing w:after="0"/>
              <w:rPr>
                <w:sz w:val="16"/>
                <w:szCs w:val="16"/>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1120" w:type="dxa"/>
            <w:vAlign w:val="bottom"/>
          </w:tcPr>
          <w:p>
            <w:pPr>
              <w:spacing w:after="0"/>
              <w:rPr>
                <w:sz w:val="16"/>
                <w:szCs w:val="16"/>
                <w:color w:val="auto"/>
              </w:rPr>
            </w:pPr>
          </w:p>
        </w:tc>
        <w:tc>
          <w:tcPr>
            <w:tcW w:w="580" w:type="dxa"/>
            <w:vAlign w:val="bottom"/>
          </w:tcPr>
          <w:p>
            <w:pPr>
              <w:jc w:val="right"/>
              <w:ind w:right="60"/>
              <w:spacing w:after="0"/>
              <w:rPr>
                <w:sz w:val="20"/>
                <w:szCs w:val="20"/>
                <w:color w:val="auto"/>
              </w:rPr>
            </w:pPr>
            <w:r>
              <w:rPr>
                <w:rFonts w:ascii="Arial" w:cs="Arial" w:eastAsia="Arial" w:hAnsi="Arial"/>
                <w:sz w:val="16"/>
                <w:szCs w:val="16"/>
                <w:color w:val="auto"/>
              </w:rPr>
              <w:t>5</w:t>
            </w:r>
          </w:p>
        </w:tc>
        <w:tc>
          <w:tcPr>
            <w:tcW w:w="4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44"/>
        </w:trPr>
        <w:tc>
          <w:tcPr>
            <w:tcW w:w="4760" w:type="dxa"/>
            <w:vAlign w:val="bottom"/>
            <w:gridSpan w:val="2"/>
          </w:tcPr>
          <w:p>
            <w:pPr>
              <w:spacing w:after="0"/>
              <w:rPr>
                <w:sz w:val="20"/>
                <w:szCs w:val="20"/>
                <w:color w:val="auto"/>
              </w:rPr>
            </w:pPr>
            <w:r>
              <w:rPr>
                <w:rFonts w:ascii="Arial" w:cs="Arial" w:eastAsia="Arial" w:hAnsi="Arial"/>
                <w:sz w:val="16"/>
                <w:szCs w:val="16"/>
                <w:color w:val="auto"/>
              </w:rPr>
              <w:t>Regulatory adjustment</w:t>
            </w:r>
          </w:p>
        </w:tc>
        <w:tc>
          <w:tcPr>
            <w:tcW w:w="10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(18)</w:t>
            </w:r>
          </w:p>
        </w:tc>
        <w:tc>
          <w:tcPr>
            <w:tcW w:w="10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(65)</w:t>
            </w:r>
          </w:p>
        </w:tc>
        <w:tc>
          <w:tcPr>
            <w:tcW w:w="1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5</w:t>
            </w:r>
          </w:p>
        </w:tc>
        <w:tc>
          <w:tcPr>
            <w:tcW w:w="4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7</w:t>
            </w:r>
          </w:p>
        </w:tc>
      </w:tr>
      <w:tr>
        <w:trPr>
          <w:trHeight w:val="173"/>
        </w:trPr>
        <w:tc>
          <w:tcPr>
            <w:tcW w:w="4760" w:type="dxa"/>
            <w:vAlign w:val="bottom"/>
            <w:gridSpan w:val="2"/>
          </w:tcPr>
          <w:p>
            <w:pPr>
              <w:spacing w:after="0" w:line="166" w:lineRule="exact"/>
              <w:rPr>
                <w:sz w:val="20"/>
                <w:szCs w:val="20"/>
                <w:color w:val="auto"/>
              </w:rPr>
            </w:pPr>
            <w:r>
              <w:rPr>
                <w:rFonts w:ascii="Arial" w:cs="Arial" w:eastAsia="Arial" w:hAnsi="Arial"/>
                <w:sz w:val="16"/>
                <w:szCs w:val="16"/>
                <w:color w:val="auto"/>
              </w:rPr>
              <w:t>Total net periodic benefit cost</w:t>
            </w:r>
          </w:p>
        </w:tc>
        <w:tc>
          <w:tcPr>
            <w:tcW w:w="1040" w:type="dxa"/>
            <w:vAlign w:val="bottom"/>
          </w:tcPr>
          <w:p>
            <w:pPr>
              <w:jc w:val="right"/>
              <w:ind w:right="543"/>
              <w:spacing w:after="0" w:line="166" w:lineRule="exact"/>
              <w:rPr>
                <w:sz w:val="20"/>
                <w:szCs w:val="20"/>
                <w:color w:val="auto"/>
              </w:rPr>
            </w:pPr>
            <w:r>
              <w:rPr>
                <w:rFonts w:ascii="Arial" w:cs="Arial" w:eastAsia="Arial" w:hAnsi="Arial"/>
                <w:sz w:val="16"/>
                <w:szCs w:val="16"/>
                <w:color w:val="auto"/>
              </w:rPr>
              <w:t>$</w:t>
            </w:r>
          </w:p>
        </w:tc>
        <w:tc>
          <w:tcPr>
            <w:tcW w:w="680" w:type="dxa"/>
            <w:vAlign w:val="bottom"/>
          </w:tcPr>
          <w:p>
            <w:pPr>
              <w:jc w:val="right"/>
              <w:ind w:right="1"/>
              <w:spacing w:after="0" w:line="166" w:lineRule="exact"/>
              <w:rPr>
                <w:sz w:val="20"/>
                <w:szCs w:val="20"/>
                <w:color w:val="auto"/>
              </w:rPr>
            </w:pPr>
            <w:r>
              <w:rPr>
                <w:rFonts w:ascii="Arial" w:cs="Arial" w:eastAsia="Arial" w:hAnsi="Arial"/>
                <w:sz w:val="16"/>
                <w:szCs w:val="16"/>
                <w:color w:val="auto"/>
              </w:rPr>
              <w:t>85</w:t>
            </w:r>
          </w:p>
        </w:tc>
        <w:tc>
          <w:tcPr>
            <w:tcW w:w="1040" w:type="dxa"/>
            <w:vAlign w:val="bottom"/>
          </w:tcPr>
          <w:p>
            <w:pPr>
              <w:jc w:val="right"/>
              <w:ind w:right="584"/>
              <w:spacing w:after="0" w:line="166" w:lineRule="exact"/>
              <w:rPr>
                <w:sz w:val="20"/>
                <w:szCs w:val="20"/>
                <w:color w:val="auto"/>
              </w:rPr>
            </w:pPr>
            <w:r>
              <w:rPr>
                <w:rFonts w:ascii="Arial" w:cs="Arial" w:eastAsia="Arial" w:hAnsi="Arial"/>
                <w:sz w:val="16"/>
                <w:szCs w:val="16"/>
                <w:color w:val="auto"/>
              </w:rPr>
              <w:t>$</w:t>
            </w:r>
          </w:p>
        </w:tc>
        <w:tc>
          <w:tcPr>
            <w:tcW w:w="660" w:type="dxa"/>
            <w:vAlign w:val="bottom"/>
          </w:tcPr>
          <w:p>
            <w:pPr>
              <w:jc w:val="right"/>
              <w:ind w:right="20"/>
              <w:spacing w:after="0" w:line="166" w:lineRule="exact"/>
              <w:rPr>
                <w:sz w:val="20"/>
                <w:szCs w:val="20"/>
                <w:color w:val="auto"/>
              </w:rPr>
            </w:pPr>
            <w:r>
              <w:rPr>
                <w:rFonts w:ascii="Arial" w:cs="Arial" w:eastAsia="Arial" w:hAnsi="Arial"/>
                <w:sz w:val="16"/>
                <w:szCs w:val="16"/>
                <w:color w:val="auto"/>
              </w:rPr>
              <w:t>52</w:t>
            </w:r>
          </w:p>
        </w:tc>
        <w:tc>
          <w:tcPr>
            <w:tcW w:w="1120" w:type="dxa"/>
            <w:vAlign w:val="bottom"/>
          </w:tcPr>
          <w:p>
            <w:pPr>
              <w:jc w:val="right"/>
              <w:ind w:right="704"/>
              <w:spacing w:after="0" w:line="166" w:lineRule="exact"/>
              <w:rPr>
                <w:sz w:val="20"/>
                <w:szCs w:val="20"/>
                <w:color w:val="auto"/>
              </w:rPr>
            </w:pPr>
            <w:r>
              <w:rPr>
                <w:rFonts w:ascii="Arial" w:cs="Arial" w:eastAsia="Arial" w:hAnsi="Arial"/>
                <w:sz w:val="16"/>
                <w:szCs w:val="16"/>
                <w:color w:val="auto"/>
              </w:rPr>
              <w:t>$</w:t>
            </w:r>
          </w:p>
        </w:tc>
        <w:tc>
          <w:tcPr>
            <w:tcW w:w="580" w:type="dxa"/>
            <w:vAlign w:val="bottom"/>
          </w:tcPr>
          <w:p>
            <w:pPr>
              <w:jc w:val="right"/>
              <w:ind w:right="60"/>
              <w:spacing w:after="0" w:line="166" w:lineRule="exact"/>
              <w:rPr>
                <w:sz w:val="20"/>
                <w:szCs w:val="20"/>
                <w:color w:val="auto"/>
              </w:rPr>
            </w:pPr>
            <w:r>
              <w:rPr>
                <w:rFonts w:ascii="Arial" w:cs="Arial" w:eastAsia="Arial" w:hAnsi="Arial"/>
                <w:sz w:val="16"/>
                <w:szCs w:val="16"/>
                <w:color w:val="auto"/>
              </w:rPr>
              <w:t>14</w:t>
            </w:r>
          </w:p>
        </w:tc>
        <w:tc>
          <w:tcPr>
            <w:tcW w:w="420" w:type="dxa"/>
            <w:vAlign w:val="bottom"/>
          </w:tcPr>
          <w:p>
            <w:pPr>
              <w:jc w:val="right"/>
              <w:ind w:right="20"/>
              <w:spacing w:after="0" w:line="166" w:lineRule="exact"/>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0"/>
              <w:spacing w:after="0" w:line="166" w:lineRule="exact"/>
              <w:rPr>
                <w:sz w:val="20"/>
                <w:szCs w:val="20"/>
                <w:color w:val="auto"/>
              </w:rPr>
            </w:pPr>
            <w:r>
              <w:rPr>
                <w:rFonts w:ascii="Arial" w:cs="Arial" w:eastAsia="Arial" w:hAnsi="Arial"/>
                <w:sz w:val="16"/>
                <w:szCs w:val="16"/>
                <w:color w:val="auto"/>
              </w:rPr>
              <w:t>19</w:t>
            </w:r>
          </w:p>
        </w:tc>
      </w:tr>
      <w:tr>
        <w:trPr>
          <w:trHeight w:val="478"/>
        </w:trPr>
        <w:tc>
          <w:tcPr>
            <w:tcW w:w="450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57"/>
        </w:trPr>
        <w:tc>
          <w:tcPr>
            <w:tcW w:w="4760" w:type="dxa"/>
            <w:vAlign w:val="bottom"/>
            <w:gridSpan w:val="2"/>
            <w:shd w:val="clear" w:color="auto" w:fill="C0C0C0"/>
          </w:tcPr>
          <w:p>
            <w:pPr>
              <w:spacing w:after="0" w:line="157" w:lineRule="exact"/>
              <w:rPr>
                <w:sz w:val="20"/>
                <w:szCs w:val="20"/>
                <w:color w:val="auto"/>
              </w:rPr>
            </w:pPr>
            <w:r>
              <w:rPr>
                <w:rFonts w:ascii="Arial" w:cs="Arial" w:eastAsia="Arial" w:hAnsi="Arial"/>
                <w:sz w:val="16"/>
                <w:szCs w:val="16"/>
                <w:b w:val="1"/>
                <w:bCs w:val="1"/>
                <w:color w:val="auto"/>
              </w:rPr>
              <w:t>NET PERIODIC BENEFIT COST – SDG&amp;E</w:t>
            </w:r>
          </w:p>
        </w:tc>
        <w:tc>
          <w:tcPr>
            <w:tcW w:w="1040" w:type="dxa"/>
            <w:vAlign w:val="bottom"/>
            <w:shd w:val="clear" w:color="auto" w:fill="C0C0C0"/>
          </w:tcPr>
          <w:p>
            <w:pPr>
              <w:spacing w:after="0"/>
              <w:rPr>
                <w:sz w:val="13"/>
                <w:szCs w:val="13"/>
                <w:color w:val="auto"/>
              </w:rPr>
            </w:pPr>
          </w:p>
        </w:tc>
        <w:tc>
          <w:tcPr>
            <w:tcW w:w="680" w:type="dxa"/>
            <w:vAlign w:val="bottom"/>
            <w:shd w:val="clear" w:color="auto" w:fill="C0C0C0"/>
          </w:tcPr>
          <w:p>
            <w:pPr>
              <w:spacing w:after="0"/>
              <w:rPr>
                <w:sz w:val="13"/>
                <w:szCs w:val="13"/>
                <w:color w:val="auto"/>
              </w:rPr>
            </w:pPr>
          </w:p>
        </w:tc>
        <w:tc>
          <w:tcPr>
            <w:tcW w:w="1040" w:type="dxa"/>
            <w:vAlign w:val="bottom"/>
            <w:shd w:val="clear" w:color="auto" w:fill="C0C0C0"/>
          </w:tcPr>
          <w:p>
            <w:pPr>
              <w:spacing w:after="0"/>
              <w:rPr>
                <w:sz w:val="13"/>
                <w:szCs w:val="13"/>
                <w:color w:val="auto"/>
              </w:rPr>
            </w:pPr>
          </w:p>
        </w:tc>
        <w:tc>
          <w:tcPr>
            <w:tcW w:w="660" w:type="dxa"/>
            <w:vAlign w:val="bottom"/>
            <w:shd w:val="clear" w:color="auto" w:fill="C0C0C0"/>
          </w:tcPr>
          <w:p>
            <w:pPr>
              <w:spacing w:after="0"/>
              <w:rPr>
                <w:sz w:val="13"/>
                <w:szCs w:val="13"/>
                <w:color w:val="auto"/>
              </w:rPr>
            </w:pPr>
          </w:p>
        </w:tc>
        <w:tc>
          <w:tcPr>
            <w:tcW w:w="1120" w:type="dxa"/>
            <w:vAlign w:val="bottom"/>
            <w:shd w:val="clear" w:color="auto" w:fill="C0C0C0"/>
          </w:tcPr>
          <w:p>
            <w:pPr>
              <w:spacing w:after="0"/>
              <w:rPr>
                <w:sz w:val="13"/>
                <w:szCs w:val="13"/>
                <w:color w:val="auto"/>
              </w:rPr>
            </w:pPr>
          </w:p>
        </w:tc>
        <w:tc>
          <w:tcPr>
            <w:tcW w:w="580" w:type="dxa"/>
            <w:vAlign w:val="bottom"/>
            <w:shd w:val="clear" w:color="auto" w:fill="C0C0C0"/>
          </w:tcPr>
          <w:p>
            <w:pPr>
              <w:spacing w:after="0"/>
              <w:rPr>
                <w:sz w:val="13"/>
                <w:szCs w:val="13"/>
                <w:color w:val="auto"/>
              </w:rPr>
            </w:pPr>
          </w:p>
        </w:tc>
        <w:tc>
          <w:tcPr>
            <w:tcW w:w="420" w:type="dxa"/>
            <w:vAlign w:val="bottom"/>
            <w:shd w:val="clear" w:color="auto" w:fill="C0C0C0"/>
          </w:tcPr>
          <w:p>
            <w:pPr>
              <w:spacing w:after="0"/>
              <w:rPr>
                <w:sz w:val="13"/>
                <w:szCs w:val="13"/>
                <w:color w:val="auto"/>
              </w:rPr>
            </w:pPr>
          </w:p>
        </w:tc>
        <w:tc>
          <w:tcPr>
            <w:tcW w:w="1120" w:type="dxa"/>
            <w:vAlign w:val="bottom"/>
            <w:shd w:val="clear" w:color="auto" w:fill="C0C0C0"/>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4760" w:type="dxa"/>
            <w:vAlign w:val="bottom"/>
            <w:gridSpan w:val="2"/>
            <w:shd w:val="clear" w:color="auto" w:fill="C0C0C0"/>
          </w:tcPr>
          <w:p>
            <w:pPr>
              <w:spacing w:after="0"/>
              <w:rPr>
                <w:sz w:val="20"/>
                <w:szCs w:val="20"/>
                <w:color w:val="auto"/>
              </w:rPr>
            </w:pPr>
            <w:r>
              <w:rPr>
                <w:rFonts w:ascii="Arial" w:cs="Arial" w:eastAsia="Arial" w:hAnsi="Arial"/>
                <w:sz w:val="14"/>
                <w:szCs w:val="14"/>
                <w:i w:val="1"/>
                <w:iCs w:val="1"/>
                <w:color w:val="auto"/>
              </w:rPr>
              <w:t>(Dollars in millions)</w:t>
            </w:r>
          </w:p>
        </w:tc>
        <w:tc>
          <w:tcPr>
            <w:tcW w:w="1040" w:type="dxa"/>
            <w:vAlign w:val="bottom"/>
            <w:shd w:val="clear" w:color="auto" w:fill="C0C0C0"/>
          </w:tcPr>
          <w:p>
            <w:pPr>
              <w:spacing w:after="0"/>
              <w:rPr>
                <w:sz w:val="14"/>
                <w:szCs w:val="14"/>
                <w:color w:val="auto"/>
              </w:rPr>
            </w:pPr>
          </w:p>
        </w:tc>
        <w:tc>
          <w:tcPr>
            <w:tcW w:w="680" w:type="dxa"/>
            <w:vAlign w:val="bottom"/>
            <w:shd w:val="clear" w:color="auto" w:fill="C0C0C0"/>
          </w:tcPr>
          <w:p>
            <w:pPr>
              <w:spacing w:after="0"/>
              <w:rPr>
                <w:sz w:val="14"/>
                <w:szCs w:val="14"/>
                <w:color w:val="auto"/>
              </w:rPr>
            </w:pPr>
          </w:p>
        </w:tc>
        <w:tc>
          <w:tcPr>
            <w:tcW w:w="1040" w:type="dxa"/>
            <w:vAlign w:val="bottom"/>
            <w:shd w:val="clear" w:color="auto" w:fill="C0C0C0"/>
          </w:tcPr>
          <w:p>
            <w:pPr>
              <w:spacing w:after="0"/>
              <w:rPr>
                <w:sz w:val="14"/>
                <w:szCs w:val="14"/>
                <w:color w:val="auto"/>
              </w:rPr>
            </w:pPr>
          </w:p>
        </w:tc>
        <w:tc>
          <w:tcPr>
            <w:tcW w:w="660" w:type="dxa"/>
            <w:vAlign w:val="bottom"/>
            <w:shd w:val="clear" w:color="auto" w:fill="C0C0C0"/>
          </w:tcPr>
          <w:p>
            <w:pPr>
              <w:spacing w:after="0"/>
              <w:rPr>
                <w:sz w:val="14"/>
                <w:szCs w:val="14"/>
                <w:color w:val="auto"/>
              </w:rPr>
            </w:pPr>
          </w:p>
        </w:tc>
        <w:tc>
          <w:tcPr>
            <w:tcW w:w="1120" w:type="dxa"/>
            <w:vAlign w:val="bottom"/>
            <w:shd w:val="clear" w:color="auto" w:fill="C0C0C0"/>
          </w:tcPr>
          <w:p>
            <w:pPr>
              <w:spacing w:after="0"/>
              <w:rPr>
                <w:sz w:val="14"/>
                <w:szCs w:val="14"/>
                <w:color w:val="auto"/>
              </w:rPr>
            </w:pPr>
          </w:p>
        </w:tc>
        <w:tc>
          <w:tcPr>
            <w:tcW w:w="580" w:type="dxa"/>
            <w:vAlign w:val="bottom"/>
            <w:shd w:val="clear" w:color="auto" w:fill="C0C0C0"/>
          </w:tcPr>
          <w:p>
            <w:pPr>
              <w:spacing w:after="0"/>
              <w:rPr>
                <w:sz w:val="14"/>
                <w:szCs w:val="14"/>
                <w:color w:val="auto"/>
              </w:rPr>
            </w:pPr>
          </w:p>
        </w:tc>
        <w:tc>
          <w:tcPr>
            <w:tcW w:w="420" w:type="dxa"/>
            <w:vAlign w:val="bottom"/>
            <w:shd w:val="clear" w:color="auto" w:fill="C0C0C0"/>
          </w:tcPr>
          <w:p>
            <w:pPr>
              <w:spacing w:after="0"/>
              <w:rPr>
                <w:sz w:val="14"/>
                <w:szCs w:val="14"/>
                <w:color w:val="auto"/>
              </w:rPr>
            </w:pPr>
          </w:p>
        </w:tc>
        <w:tc>
          <w:tcPr>
            <w:tcW w:w="1120" w:type="dxa"/>
            <w:vAlign w:val="bottom"/>
            <w:shd w:val="clear" w:color="auto" w:fill="C0C0C0"/>
          </w:tcPr>
          <w:p>
            <w:pPr>
              <w:spacing w:after="0"/>
              <w:rPr>
                <w:sz w:val="14"/>
                <w:szCs w:val="14"/>
                <w:color w:val="auto"/>
              </w:rPr>
            </w:pPr>
          </w:p>
        </w:tc>
        <w:tc>
          <w:tcPr>
            <w:tcW w:w="20" w:type="dxa"/>
            <w:vAlign w:val="bottom"/>
          </w:tcPr>
          <w:p>
            <w:pPr>
              <w:spacing w:after="0"/>
              <w:rPr>
                <w:sz w:val="14"/>
                <w:szCs w:val="14"/>
                <w:color w:val="auto"/>
              </w:rPr>
            </w:pPr>
          </w:p>
        </w:tc>
      </w:tr>
      <w:tr>
        <w:trPr>
          <w:trHeight w:val="199"/>
        </w:trPr>
        <w:tc>
          <w:tcPr>
            <w:tcW w:w="4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720" w:type="dxa"/>
            <w:vAlign w:val="bottom"/>
            <w:gridSpan w:val="2"/>
          </w:tcPr>
          <w:p>
            <w:pPr>
              <w:jc w:val="right"/>
              <w:ind w:right="504"/>
              <w:spacing w:after="0"/>
              <w:rPr>
                <w:sz w:val="20"/>
                <w:szCs w:val="20"/>
                <w:color w:val="auto"/>
              </w:rPr>
            </w:pPr>
            <w:r>
              <w:rPr>
                <w:rFonts w:ascii="Arial" w:cs="Arial" w:eastAsia="Arial" w:hAnsi="Arial"/>
                <w:sz w:val="14"/>
                <w:szCs w:val="14"/>
                <w:color w:val="auto"/>
              </w:rPr>
              <w:t>Pension Benefits</w:t>
            </w:r>
          </w:p>
        </w:tc>
        <w:tc>
          <w:tcPr>
            <w:tcW w:w="660" w:type="dxa"/>
            <w:vAlign w:val="bottom"/>
          </w:tcPr>
          <w:p>
            <w:pPr>
              <w:spacing w:after="0"/>
              <w:rPr>
                <w:sz w:val="17"/>
                <w:szCs w:val="17"/>
                <w:color w:val="auto"/>
              </w:rPr>
            </w:pPr>
          </w:p>
        </w:tc>
        <w:tc>
          <w:tcPr>
            <w:tcW w:w="3260" w:type="dxa"/>
            <w:vAlign w:val="bottom"/>
            <w:gridSpan w:val="5"/>
          </w:tcPr>
          <w:p>
            <w:pPr>
              <w:jc w:val="right"/>
              <w:ind w:right="760"/>
              <w:spacing w:after="0"/>
              <w:rPr>
                <w:sz w:val="20"/>
                <w:szCs w:val="20"/>
                <w:color w:val="auto"/>
              </w:rPr>
            </w:pPr>
            <w:r>
              <w:rPr>
                <w:rFonts w:ascii="Arial" w:cs="Arial" w:eastAsia="Arial" w:hAnsi="Arial"/>
                <w:sz w:val="14"/>
                <w:szCs w:val="14"/>
                <w:color w:val="auto"/>
              </w:rPr>
              <w:t>Other Postretirement Benefits</w:t>
            </w:r>
          </w:p>
        </w:tc>
      </w:tr>
      <w:tr>
        <w:trPr>
          <w:trHeight w:val="193"/>
        </w:trPr>
        <w:tc>
          <w:tcPr>
            <w:tcW w:w="4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spacing w:after="0"/>
              <w:rPr>
                <w:sz w:val="16"/>
                <w:szCs w:val="16"/>
                <w:color w:val="auto"/>
              </w:rPr>
            </w:pPr>
          </w:p>
        </w:tc>
        <w:tc>
          <w:tcPr>
            <w:tcW w:w="2820" w:type="dxa"/>
            <w:vAlign w:val="bottom"/>
            <w:tcBorders>
              <w:top w:val="single" w:sz="8" w:color="auto"/>
              <w:bottom w:val="single" w:sz="8" w:color="auto"/>
            </w:tcBorders>
            <w:gridSpan w:val="3"/>
          </w:tcPr>
          <w:p>
            <w:pPr>
              <w:jc w:val="right"/>
              <w:ind w:right="4"/>
              <w:spacing w:after="0"/>
              <w:rPr>
                <w:sz w:val="20"/>
                <w:szCs w:val="20"/>
                <w:color w:val="auto"/>
              </w:rPr>
            </w:pPr>
            <w:r>
              <w:rPr>
                <w:rFonts w:ascii="Arial" w:cs="Arial" w:eastAsia="Arial" w:hAnsi="Arial"/>
                <w:sz w:val="14"/>
                <w:szCs w:val="14"/>
                <w:color w:val="auto"/>
              </w:rPr>
              <w:t>Three months ended September 30,</w:t>
            </w:r>
          </w:p>
        </w:tc>
        <w:tc>
          <w:tcPr>
            <w:tcW w:w="580" w:type="dxa"/>
            <w:vAlign w:val="bottom"/>
            <w:tcBorders>
              <w:top w:val="single" w:sz="8" w:color="auto"/>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06"/>
        </w:trPr>
        <w:tc>
          <w:tcPr>
            <w:tcW w:w="45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2014</w:t>
            </w:r>
          </w:p>
        </w:tc>
        <w:tc>
          <w:tcPr>
            <w:tcW w:w="6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color w:val="auto"/>
              </w:rPr>
              <w:t>2013</w:t>
            </w:r>
          </w:p>
        </w:tc>
        <w:tc>
          <w:tcPr>
            <w:tcW w:w="6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2014</w:t>
            </w:r>
          </w:p>
        </w:tc>
        <w:tc>
          <w:tcPr>
            <w:tcW w:w="5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color w:val="auto"/>
              </w:rPr>
              <w:t>2013</w:t>
            </w:r>
          </w:p>
        </w:tc>
        <w:tc>
          <w:tcPr>
            <w:tcW w:w="20" w:type="dxa"/>
            <w:vAlign w:val="bottom"/>
          </w:tcPr>
          <w:p>
            <w:pPr>
              <w:spacing w:after="0"/>
              <w:rPr>
                <w:sz w:val="17"/>
                <w:szCs w:val="17"/>
                <w:color w:val="auto"/>
              </w:rPr>
            </w:pPr>
          </w:p>
        </w:tc>
      </w:tr>
      <w:tr>
        <w:trPr>
          <w:trHeight w:val="186"/>
        </w:trPr>
        <w:tc>
          <w:tcPr>
            <w:tcW w:w="4760" w:type="dxa"/>
            <w:vAlign w:val="bottom"/>
            <w:gridSpan w:val="2"/>
          </w:tcPr>
          <w:p>
            <w:pPr>
              <w:spacing w:after="0"/>
              <w:rPr>
                <w:sz w:val="20"/>
                <w:szCs w:val="20"/>
                <w:color w:val="auto"/>
              </w:rPr>
            </w:pPr>
            <w:r>
              <w:rPr>
                <w:rFonts w:ascii="Arial" w:cs="Arial" w:eastAsia="Arial" w:hAnsi="Arial"/>
                <w:sz w:val="16"/>
                <w:szCs w:val="16"/>
                <w:color w:val="auto"/>
              </w:rPr>
              <w:t>Service cost</w:t>
            </w:r>
          </w:p>
        </w:tc>
        <w:tc>
          <w:tcPr>
            <w:tcW w:w="1040" w:type="dxa"/>
            <w:vAlign w:val="bottom"/>
          </w:tcPr>
          <w:p>
            <w:pPr>
              <w:jc w:val="right"/>
              <w:ind w:right="543"/>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8</w:t>
            </w:r>
          </w:p>
        </w:tc>
        <w:tc>
          <w:tcPr>
            <w:tcW w:w="1040" w:type="dxa"/>
            <w:vAlign w:val="bottom"/>
          </w:tcPr>
          <w:p>
            <w:pPr>
              <w:jc w:val="right"/>
              <w:ind w:right="584"/>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8</w:t>
            </w:r>
          </w:p>
        </w:tc>
        <w:tc>
          <w:tcPr>
            <w:tcW w:w="1120" w:type="dxa"/>
            <w:vAlign w:val="bottom"/>
          </w:tcPr>
          <w:p>
            <w:pPr>
              <w:jc w:val="right"/>
              <w:ind w:right="704"/>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60"/>
              <w:spacing w:after="0"/>
              <w:rPr>
                <w:sz w:val="20"/>
                <w:szCs w:val="20"/>
                <w:color w:val="auto"/>
              </w:rPr>
            </w:pPr>
            <w:r>
              <w:rPr>
                <w:rFonts w:ascii="Arial" w:cs="Arial" w:eastAsia="Arial" w:hAnsi="Arial"/>
                <w:sz w:val="16"/>
                <w:szCs w:val="16"/>
                <w:color w:val="auto"/>
              </w:rPr>
              <w:t>2</w:t>
            </w:r>
          </w:p>
        </w:tc>
        <w:tc>
          <w:tcPr>
            <w:tcW w:w="4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6"/>
                <w:szCs w:val="16"/>
                <w:color w:val="auto"/>
              </w:rPr>
            </w:pPr>
          </w:p>
        </w:tc>
      </w:tr>
      <w:tr>
        <w:trPr>
          <w:trHeight w:val="201"/>
        </w:trPr>
        <w:tc>
          <w:tcPr>
            <w:tcW w:w="4760" w:type="dxa"/>
            <w:vAlign w:val="bottom"/>
            <w:gridSpan w:val="2"/>
          </w:tcPr>
          <w:p>
            <w:pPr>
              <w:spacing w:after="0"/>
              <w:rPr>
                <w:sz w:val="20"/>
                <w:szCs w:val="20"/>
                <w:color w:val="auto"/>
              </w:rPr>
            </w:pPr>
            <w:r>
              <w:rPr>
                <w:rFonts w:ascii="Arial" w:cs="Arial" w:eastAsia="Arial" w:hAnsi="Arial"/>
                <w:sz w:val="16"/>
                <w:szCs w:val="16"/>
                <w:color w:val="auto"/>
              </w:rPr>
              <w:t>Interest cost</w:t>
            </w:r>
          </w:p>
        </w:tc>
        <w:tc>
          <w:tcPr>
            <w:tcW w:w="1040" w:type="dxa"/>
            <w:vAlign w:val="bottom"/>
          </w:tcPr>
          <w:p>
            <w:pPr>
              <w:spacing w:after="0"/>
              <w:rPr>
                <w:sz w:val="17"/>
                <w:szCs w:val="17"/>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10</w:t>
            </w:r>
          </w:p>
        </w:tc>
        <w:tc>
          <w:tcPr>
            <w:tcW w:w="1040" w:type="dxa"/>
            <w:vAlign w:val="bottom"/>
          </w:tcPr>
          <w:p>
            <w:pPr>
              <w:spacing w:after="0"/>
              <w:rPr>
                <w:sz w:val="17"/>
                <w:szCs w:val="17"/>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9</w:t>
            </w:r>
          </w:p>
        </w:tc>
        <w:tc>
          <w:tcPr>
            <w:tcW w:w="1120" w:type="dxa"/>
            <w:vAlign w:val="bottom"/>
          </w:tcPr>
          <w:p>
            <w:pPr>
              <w:spacing w:after="0"/>
              <w:rPr>
                <w:sz w:val="17"/>
                <w:szCs w:val="17"/>
                <w:color w:val="auto"/>
              </w:rPr>
            </w:pPr>
          </w:p>
        </w:tc>
        <w:tc>
          <w:tcPr>
            <w:tcW w:w="580" w:type="dxa"/>
            <w:vAlign w:val="bottom"/>
          </w:tcPr>
          <w:p>
            <w:pPr>
              <w:jc w:val="right"/>
              <w:ind w:right="60"/>
              <w:spacing w:after="0"/>
              <w:rPr>
                <w:sz w:val="20"/>
                <w:szCs w:val="20"/>
                <w:color w:val="auto"/>
              </w:rPr>
            </w:pPr>
            <w:r>
              <w:rPr>
                <w:rFonts w:ascii="Arial" w:cs="Arial" w:eastAsia="Arial" w:hAnsi="Arial"/>
                <w:sz w:val="16"/>
                <w:szCs w:val="16"/>
                <w:color w:val="auto"/>
              </w:rPr>
              <w:t>3</w:t>
            </w:r>
          </w:p>
        </w:tc>
        <w:tc>
          <w:tcPr>
            <w:tcW w:w="420" w:type="dxa"/>
            <w:vAlign w:val="bottom"/>
          </w:tcPr>
          <w:p>
            <w:pPr>
              <w:spacing w:after="0"/>
              <w:rPr>
                <w:sz w:val="17"/>
                <w:szCs w:val="17"/>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2</w:t>
            </w:r>
          </w:p>
        </w:tc>
      </w:tr>
      <w:tr>
        <w:trPr>
          <w:trHeight w:val="213"/>
        </w:trPr>
        <w:tc>
          <w:tcPr>
            <w:tcW w:w="4760" w:type="dxa"/>
            <w:vAlign w:val="bottom"/>
            <w:gridSpan w:val="2"/>
          </w:tcPr>
          <w:p>
            <w:pPr>
              <w:spacing w:after="0"/>
              <w:rPr>
                <w:sz w:val="20"/>
                <w:szCs w:val="20"/>
                <w:color w:val="auto"/>
              </w:rPr>
            </w:pPr>
            <w:r>
              <w:rPr>
                <w:rFonts w:ascii="Arial" w:cs="Arial" w:eastAsia="Arial" w:hAnsi="Arial"/>
                <w:sz w:val="16"/>
                <w:szCs w:val="16"/>
                <w:color w:val="auto"/>
              </w:rPr>
              <w:t>Expected return on assets</w:t>
            </w:r>
          </w:p>
        </w:tc>
        <w:tc>
          <w:tcPr>
            <w:tcW w:w="104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(13)</w:t>
            </w:r>
          </w:p>
        </w:tc>
        <w:tc>
          <w:tcPr>
            <w:tcW w:w="1040" w:type="dxa"/>
            <w:vAlign w:val="bottom"/>
          </w:tcPr>
          <w:p>
            <w:pPr>
              <w:spacing w:after="0"/>
              <w:rPr>
                <w:sz w:val="18"/>
                <w:szCs w:val="18"/>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(13)</w:t>
            </w:r>
          </w:p>
        </w:tc>
        <w:tc>
          <w:tcPr>
            <w:tcW w:w="1120" w:type="dxa"/>
            <w:vAlign w:val="bottom"/>
          </w:tcPr>
          <w:p>
            <w:pPr>
              <w:spacing w:after="0"/>
              <w:rPr>
                <w:sz w:val="18"/>
                <w:szCs w:val="18"/>
                <w:color w:val="auto"/>
              </w:rPr>
            </w:pPr>
          </w:p>
        </w:tc>
        <w:tc>
          <w:tcPr>
            <w:tcW w:w="580" w:type="dxa"/>
            <w:vAlign w:val="bottom"/>
          </w:tcPr>
          <w:p>
            <w:pPr>
              <w:jc w:val="right"/>
              <w:ind w:right="60"/>
              <w:spacing w:after="0"/>
              <w:rPr>
                <w:sz w:val="20"/>
                <w:szCs w:val="20"/>
                <w:color w:val="auto"/>
              </w:rPr>
            </w:pPr>
            <w:r>
              <w:rPr>
                <w:rFonts w:ascii="Arial" w:cs="Arial" w:eastAsia="Arial" w:hAnsi="Arial"/>
                <w:sz w:val="16"/>
                <w:szCs w:val="16"/>
                <w:color w:val="auto"/>
              </w:rPr>
              <w:t>(2)</w:t>
            </w: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8"/>
                <w:szCs w:val="18"/>
                <w:color w:val="auto"/>
              </w:rPr>
            </w:pPr>
          </w:p>
        </w:tc>
      </w:tr>
      <w:tr>
        <w:trPr>
          <w:trHeight w:val="213"/>
        </w:trPr>
        <w:tc>
          <w:tcPr>
            <w:tcW w:w="4760" w:type="dxa"/>
            <w:vAlign w:val="bottom"/>
            <w:gridSpan w:val="2"/>
          </w:tcPr>
          <w:p>
            <w:pPr>
              <w:spacing w:after="0"/>
              <w:rPr>
                <w:sz w:val="20"/>
                <w:szCs w:val="20"/>
                <w:color w:val="auto"/>
              </w:rPr>
            </w:pPr>
            <w:r>
              <w:rPr>
                <w:rFonts w:ascii="Arial" w:cs="Arial" w:eastAsia="Arial" w:hAnsi="Arial"/>
                <w:sz w:val="16"/>
                <w:szCs w:val="16"/>
                <w:color w:val="auto"/>
              </w:rPr>
              <w:t>Amortization of:</w:t>
            </w: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4760" w:type="dxa"/>
            <w:vAlign w:val="bottom"/>
            <w:gridSpan w:val="2"/>
          </w:tcPr>
          <w:p>
            <w:pPr>
              <w:ind w:left="180"/>
              <w:spacing w:after="0"/>
              <w:rPr>
                <w:sz w:val="20"/>
                <w:szCs w:val="20"/>
                <w:color w:val="auto"/>
              </w:rPr>
            </w:pPr>
            <w:r>
              <w:rPr>
                <w:rFonts w:ascii="Arial" w:cs="Arial" w:eastAsia="Arial" w:hAnsi="Arial"/>
                <w:sz w:val="16"/>
                <w:szCs w:val="16"/>
                <w:color w:val="auto"/>
              </w:rPr>
              <w:t>Prior service cost</w:t>
            </w:r>
          </w:p>
        </w:tc>
        <w:tc>
          <w:tcPr>
            <w:tcW w:w="1040" w:type="dxa"/>
            <w:vAlign w:val="bottom"/>
          </w:tcPr>
          <w:p>
            <w:pPr>
              <w:spacing w:after="0"/>
              <w:rPr>
                <w:sz w:val="18"/>
                <w:szCs w:val="18"/>
                <w:color w:val="auto"/>
              </w:rPr>
            </w:pPr>
          </w:p>
        </w:tc>
        <w:tc>
          <w:tcPr>
            <w:tcW w:w="68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18"/>
                <w:szCs w:val="18"/>
                <w:color w:val="auto"/>
              </w:rPr>
            </w:pPr>
          </w:p>
        </w:tc>
        <w:tc>
          <w:tcPr>
            <w:tcW w:w="66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18"/>
                <w:szCs w:val="18"/>
                <w:color w:val="auto"/>
              </w:rPr>
            </w:pPr>
          </w:p>
        </w:tc>
        <w:tc>
          <w:tcPr>
            <w:tcW w:w="5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1</w:t>
            </w:r>
          </w:p>
        </w:tc>
      </w:tr>
      <w:tr>
        <w:trPr>
          <w:trHeight w:val="213"/>
        </w:trPr>
        <w:tc>
          <w:tcPr>
            <w:tcW w:w="4760" w:type="dxa"/>
            <w:vAlign w:val="bottom"/>
            <w:gridSpan w:val="2"/>
          </w:tcPr>
          <w:p>
            <w:pPr>
              <w:ind w:left="180"/>
              <w:spacing w:after="0"/>
              <w:rPr>
                <w:sz w:val="20"/>
                <w:szCs w:val="20"/>
                <w:color w:val="auto"/>
              </w:rPr>
            </w:pPr>
            <w:r>
              <w:rPr>
                <w:rFonts w:ascii="Arial" w:cs="Arial" w:eastAsia="Arial" w:hAnsi="Arial"/>
                <w:sz w:val="16"/>
                <w:szCs w:val="16"/>
                <w:color w:val="auto"/>
              </w:rPr>
              <w:t>Actuarial loss</w:t>
            </w:r>
          </w:p>
        </w:tc>
        <w:tc>
          <w:tcPr>
            <w:tcW w:w="104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1040" w:type="dxa"/>
            <w:vAlign w:val="bottom"/>
          </w:tcPr>
          <w:p>
            <w:pPr>
              <w:spacing w:after="0"/>
              <w:rPr>
                <w:sz w:val="18"/>
                <w:szCs w:val="18"/>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1120" w:type="dxa"/>
            <w:vAlign w:val="bottom"/>
          </w:tcPr>
          <w:p>
            <w:pPr>
              <w:spacing w:after="0"/>
              <w:rPr>
                <w:sz w:val="18"/>
                <w:szCs w:val="18"/>
                <w:color w:val="auto"/>
              </w:rPr>
            </w:pPr>
          </w:p>
        </w:tc>
        <w:tc>
          <w:tcPr>
            <w:tcW w:w="5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13"/>
        </w:trPr>
        <w:tc>
          <w:tcPr>
            <w:tcW w:w="4760" w:type="dxa"/>
            <w:vAlign w:val="bottom"/>
            <w:gridSpan w:val="2"/>
          </w:tcPr>
          <w:p>
            <w:pPr>
              <w:spacing w:after="0"/>
              <w:rPr>
                <w:sz w:val="20"/>
                <w:szCs w:val="20"/>
                <w:color w:val="auto"/>
              </w:rPr>
            </w:pPr>
            <w:r>
              <w:rPr>
                <w:rFonts w:ascii="Arial" w:cs="Arial" w:eastAsia="Arial" w:hAnsi="Arial"/>
                <w:sz w:val="16"/>
                <w:szCs w:val="16"/>
                <w:color w:val="auto"/>
              </w:rPr>
              <w:t>Settlements and special termination benefits</w:t>
            </w:r>
          </w:p>
        </w:tc>
        <w:tc>
          <w:tcPr>
            <w:tcW w:w="1040" w:type="dxa"/>
            <w:vAlign w:val="bottom"/>
          </w:tcPr>
          <w:p>
            <w:pPr>
              <w:spacing w:after="0"/>
              <w:rPr>
                <w:sz w:val="18"/>
                <w:szCs w:val="18"/>
                <w:color w:val="auto"/>
              </w:rPr>
            </w:pPr>
          </w:p>
        </w:tc>
        <w:tc>
          <w:tcPr>
            <w:tcW w:w="68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18"/>
                <w:szCs w:val="18"/>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1120" w:type="dxa"/>
            <w:vAlign w:val="bottom"/>
          </w:tcPr>
          <w:p>
            <w:pPr>
              <w:spacing w:after="0"/>
              <w:rPr>
                <w:sz w:val="18"/>
                <w:szCs w:val="18"/>
                <w:color w:val="auto"/>
              </w:rPr>
            </w:pPr>
          </w:p>
        </w:tc>
        <w:tc>
          <w:tcPr>
            <w:tcW w:w="580" w:type="dxa"/>
            <w:vAlign w:val="bottom"/>
          </w:tcPr>
          <w:p>
            <w:pPr>
              <w:jc w:val="right"/>
              <w:ind w:right="60"/>
              <w:spacing w:after="0"/>
              <w:rPr>
                <w:sz w:val="20"/>
                <w:szCs w:val="20"/>
                <w:color w:val="auto"/>
              </w:rPr>
            </w:pPr>
            <w:r>
              <w:rPr>
                <w:rFonts w:ascii="Arial" w:cs="Arial" w:eastAsia="Arial" w:hAnsi="Arial"/>
                <w:sz w:val="16"/>
                <w:szCs w:val="16"/>
                <w:color w:val="auto"/>
              </w:rPr>
              <w:t>5</w:t>
            </w:r>
          </w:p>
        </w:tc>
        <w:tc>
          <w:tcPr>
            <w:tcW w:w="4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04"/>
        </w:trPr>
        <w:tc>
          <w:tcPr>
            <w:tcW w:w="4760" w:type="dxa"/>
            <w:vAlign w:val="bottom"/>
            <w:gridSpan w:val="2"/>
          </w:tcPr>
          <w:p>
            <w:pPr>
              <w:spacing w:after="0"/>
              <w:rPr>
                <w:sz w:val="20"/>
                <w:szCs w:val="20"/>
                <w:color w:val="auto"/>
              </w:rPr>
            </w:pPr>
            <w:r>
              <w:rPr>
                <w:rFonts w:ascii="Arial" w:cs="Arial" w:eastAsia="Arial" w:hAnsi="Arial"/>
                <w:sz w:val="16"/>
                <w:szCs w:val="16"/>
                <w:color w:val="auto"/>
              </w:rPr>
              <w:t>Regulatory adjustment</w:t>
            </w:r>
          </w:p>
        </w:tc>
        <w:tc>
          <w:tcPr>
            <w:tcW w:w="10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w:t>
            </w:r>
          </w:p>
        </w:tc>
        <w:tc>
          <w:tcPr>
            <w:tcW w:w="10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w:t>
            </w:r>
          </w:p>
        </w:tc>
        <w:tc>
          <w:tcPr>
            <w:tcW w:w="1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w:t>
            </w:r>
          </w:p>
        </w:tc>
        <w:tc>
          <w:tcPr>
            <w:tcW w:w="4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w:t>
            </w:r>
          </w:p>
        </w:tc>
      </w:tr>
      <w:tr>
        <w:trPr>
          <w:trHeight w:val="173"/>
        </w:trPr>
        <w:tc>
          <w:tcPr>
            <w:tcW w:w="4760" w:type="dxa"/>
            <w:vAlign w:val="bottom"/>
            <w:gridSpan w:val="2"/>
          </w:tcPr>
          <w:p>
            <w:pPr>
              <w:spacing w:after="0" w:line="166" w:lineRule="exact"/>
              <w:rPr>
                <w:sz w:val="20"/>
                <w:szCs w:val="20"/>
                <w:color w:val="auto"/>
              </w:rPr>
            </w:pPr>
            <w:r>
              <w:rPr>
                <w:rFonts w:ascii="Arial" w:cs="Arial" w:eastAsia="Arial" w:hAnsi="Arial"/>
                <w:sz w:val="16"/>
                <w:szCs w:val="16"/>
                <w:color w:val="auto"/>
              </w:rPr>
              <w:t>Total net periodic benefit cost</w:t>
            </w:r>
          </w:p>
        </w:tc>
        <w:tc>
          <w:tcPr>
            <w:tcW w:w="1040" w:type="dxa"/>
            <w:vAlign w:val="bottom"/>
          </w:tcPr>
          <w:p>
            <w:pPr>
              <w:jc w:val="right"/>
              <w:ind w:right="543"/>
              <w:spacing w:after="0" w:line="166" w:lineRule="exact"/>
              <w:rPr>
                <w:sz w:val="20"/>
                <w:szCs w:val="20"/>
                <w:color w:val="auto"/>
              </w:rPr>
            </w:pPr>
            <w:r>
              <w:rPr>
                <w:rFonts w:ascii="Arial" w:cs="Arial" w:eastAsia="Arial" w:hAnsi="Arial"/>
                <w:sz w:val="16"/>
                <w:szCs w:val="16"/>
                <w:color w:val="auto"/>
              </w:rPr>
              <w:t>$</w:t>
            </w:r>
          </w:p>
        </w:tc>
        <w:tc>
          <w:tcPr>
            <w:tcW w:w="680" w:type="dxa"/>
            <w:vAlign w:val="bottom"/>
          </w:tcPr>
          <w:p>
            <w:pPr>
              <w:jc w:val="right"/>
              <w:ind w:right="1"/>
              <w:spacing w:after="0" w:line="166" w:lineRule="exact"/>
              <w:rPr>
                <w:sz w:val="20"/>
                <w:szCs w:val="20"/>
                <w:color w:val="auto"/>
              </w:rPr>
            </w:pPr>
            <w:r>
              <w:rPr>
                <w:rFonts w:ascii="Arial" w:cs="Arial" w:eastAsia="Arial" w:hAnsi="Arial"/>
                <w:sz w:val="16"/>
                <w:szCs w:val="16"/>
                <w:color w:val="auto"/>
              </w:rPr>
              <w:t>12</w:t>
            </w:r>
          </w:p>
        </w:tc>
        <w:tc>
          <w:tcPr>
            <w:tcW w:w="1040" w:type="dxa"/>
            <w:vAlign w:val="bottom"/>
          </w:tcPr>
          <w:p>
            <w:pPr>
              <w:jc w:val="right"/>
              <w:ind w:right="584"/>
              <w:spacing w:after="0" w:line="166" w:lineRule="exact"/>
              <w:rPr>
                <w:sz w:val="20"/>
                <w:szCs w:val="20"/>
                <w:color w:val="auto"/>
              </w:rPr>
            </w:pPr>
            <w:r>
              <w:rPr>
                <w:rFonts w:ascii="Arial" w:cs="Arial" w:eastAsia="Arial" w:hAnsi="Arial"/>
                <w:sz w:val="16"/>
                <w:szCs w:val="16"/>
                <w:color w:val="auto"/>
              </w:rPr>
              <w:t>$</w:t>
            </w:r>
          </w:p>
        </w:tc>
        <w:tc>
          <w:tcPr>
            <w:tcW w:w="660" w:type="dxa"/>
            <w:vAlign w:val="bottom"/>
          </w:tcPr>
          <w:p>
            <w:pPr>
              <w:jc w:val="right"/>
              <w:ind w:right="20"/>
              <w:spacing w:after="0" w:line="166" w:lineRule="exact"/>
              <w:rPr>
                <w:sz w:val="20"/>
                <w:szCs w:val="20"/>
                <w:color w:val="auto"/>
              </w:rPr>
            </w:pPr>
            <w:r>
              <w:rPr>
                <w:rFonts w:ascii="Arial" w:cs="Arial" w:eastAsia="Arial" w:hAnsi="Arial"/>
                <w:sz w:val="16"/>
                <w:szCs w:val="16"/>
                <w:color w:val="auto"/>
              </w:rPr>
              <w:t>11</w:t>
            </w:r>
          </w:p>
        </w:tc>
        <w:tc>
          <w:tcPr>
            <w:tcW w:w="1120" w:type="dxa"/>
            <w:vAlign w:val="bottom"/>
          </w:tcPr>
          <w:p>
            <w:pPr>
              <w:jc w:val="right"/>
              <w:ind w:right="704"/>
              <w:spacing w:after="0" w:line="166" w:lineRule="exact"/>
              <w:rPr>
                <w:sz w:val="20"/>
                <w:szCs w:val="20"/>
                <w:color w:val="auto"/>
              </w:rPr>
            </w:pPr>
            <w:r>
              <w:rPr>
                <w:rFonts w:ascii="Arial" w:cs="Arial" w:eastAsia="Arial" w:hAnsi="Arial"/>
                <w:sz w:val="16"/>
                <w:szCs w:val="16"/>
                <w:color w:val="auto"/>
              </w:rPr>
              <w:t>$</w:t>
            </w:r>
          </w:p>
        </w:tc>
        <w:tc>
          <w:tcPr>
            <w:tcW w:w="580" w:type="dxa"/>
            <w:vAlign w:val="bottom"/>
          </w:tcPr>
          <w:p>
            <w:pPr>
              <w:jc w:val="right"/>
              <w:ind w:right="60"/>
              <w:spacing w:after="0" w:line="166" w:lineRule="exact"/>
              <w:rPr>
                <w:sz w:val="20"/>
                <w:szCs w:val="20"/>
                <w:color w:val="auto"/>
              </w:rPr>
            </w:pPr>
            <w:r>
              <w:rPr>
                <w:rFonts w:ascii="Arial" w:cs="Arial" w:eastAsia="Arial" w:hAnsi="Arial"/>
                <w:sz w:val="16"/>
                <w:szCs w:val="16"/>
                <w:color w:val="auto"/>
              </w:rPr>
              <w:t>12</w:t>
            </w:r>
          </w:p>
        </w:tc>
        <w:tc>
          <w:tcPr>
            <w:tcW w:w="420" w:type="dxa"/>
            <w:vAlign w:val="bottom"/>
          </w:tcPr>
          <w:p>
            <w:pPr>
              <w:jc w:val="right"/>
              <w:ind w:right="20"/>
              <w:spacing w:after="0" w:line="166" w:lineRule="exact"/>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0"/>
              <w:spacing w:after="0" w:line="166" w:lineRule="exact"/>
              <w:rPr>
                <w:sz w:val="20"/>
                <w:szCs w:val="20"/>
                <w:color w:val="auto"/>
              </w:rPr>
            </w:pPr>
            <w:r>
              <w:rPr>
                <w:rFonts w:ascii="Arial" w:cs="Arial" w:eastAsia="Arial" w:hAnsi="Arial"/>
                <w:sz w:val="16"/>
                <w:szCs w:val="16"/>
                <w:color w:val="auto"/>
              </w:rPr>
              <w:t>3</w:t>
            </w:r>
          </w:p>
        </w:tc>
      </w:tr>
      <w:tr>
        <w:trPr>
          <w:trHeight w:val="199"/>
        </w:trPr>
        <w:tc>
          <w:tcPr>
            <w:tcW w:w="45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spacing w:after="0"/>
              <w:rPr>
                <w:sz w:val="17"/>
                <w:szCs w:val="17"/>
                <w:color w:val="auto"/>
              </w:rPr>
            </w:pPr>
          </w:p>
        </w:tc>
        <w:tc>
          <w:tcPr>
            <w:tcW w:w="2820" w:type="dxa"/>
            <w:vAlign w:val="bottom"/>
            <w:tcBorders>
              <w:top w:val="single" w:sz="8" w:color="auto"/>
              <w:bottom w:val="single" w:sz="8" w:color="auto"/>
            </w:tcBorders>
            <w:gridSpan w:val="3"/>
          </w:tcPr>
          <w:p>
            <w:pPr>
              <w:jc w:val="right"/>
              <w:ind w:right="44"/>
              <w:spacing w:after="0"/>
              <w:rPr>
                <w:sz w:val="20"/>
                <w:szCs w:val="20"/>
                <w:color w:val="auto"/>
              </w:rPr>
            </w:pPr>
            <w:r>
              <w:rPr>
                <w:rFonts w:ascii="Arial" w:cs="Arial" w:eastAsia="Arial" w:hAnsi="Arial"/>
                <w:sz w:val="14"/>
                <w:szCs w:val="14"/>
                <w:color w:val="auto"/>
              </w:rPr>
              <w:t>Nine months ended September 30,</w:t>
            </w:r>
          </w:p>
        </w:tc>
        <w:tc>
          <w:tcPr>
            <w:tcW w:w="58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06"/>
        </w:trPr>
        <w:tc>
          <w:tcPr>
            <w:tcW w:w="45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2014</w:t>
            </w:r>
          </w:p>
        </w:tc>
        <w:tc>
          <w:tcPr>
            <w:tcW w:w="6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color w:val="auto"/>
              </w:rPr>
              <w:t>2013</w:t>
            </w:r>
          </w:p>
        </w:tc>
        <w:tc>
          <w:tcPr>
            <w:tcW w:w="6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2014</w:t>
            </w:r>
          </w:p>
        </w:tc>
        <w:tc>
          <w:tcPr>
            <w:tcW w:w="5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color w:val="auto"/>
              </w:rPr>
              <w:t>2013</w:t>
            </w:r>
          </w:p>
        </w:tc>
        <w:tc>
          <w:tcPr>
            <w:tcW w:w="20" w:type="dxa"/>
            <w:vAlign w:val="bottom"/>
          </w:tcPr>
          <w:p>
            <w:pPr>
              <w:spacing w:after="0"/>
              <w:rPr>
                <w:sz w:val="17"/>
                <w:szCs w:val="17"/>
                <w:color w:val="auto"/>
              </w:rPr>
            </w:pPr>
          </w:p>
        </w:tc>
      </w:tr>
      <w:tr>
        <w:trPr>
          <w:trHeight w:val="186"/>
        </w:trPr>
        <w:tc>
          <w:tcPr>
            <w:tcW w:w="4760" w:type="dxa"/>
            <w:vAlign w:val="bottom"/>
            <w:gridSpan w:val="2"/>
          </w:tcPr>
          <w:p>
            <w:pPr>
              <w:spacing w:after="0"/>
              <w:rPr>
                <w:sz w:val="20"/>
                <w:szCs w:val="20"/>
                <w:color w:val="auto"/>
              </w:rPr>
            </w:pPr>
            <w:r>
              <w:rPr>
                <w:rFonts w:ascii="Arial" w:cs="Arial" w:eastAsia="Arial" w:hAnsi="Arial"/>
                <w:sz w:val="16"/>
                <w:szCs w:val="16"/>
                <w:color w:val="auto"/>
              </w:rPr>
              <w:t>Service cost</w:t>
            </w:r>
          </w:p>
        </w:tc>
        <w:tc>
          <w:tcPr>
            <w:tcW w:w="1040" w:type="dxa"/>
            <w:vAlign w:val="bottom"/>
          </w:tcPr>
          <w:p>
            <w:pPr>
              <w:jc w:val="right"/>
              <w:ind w:right="543"/>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23</w:t>
            </w:r>
          </w:p>
        </w:tc>
        <w:tc>
          <w:tcPr>
            <w:tcW w:w="1040" w:type="dxa"/>
            <w:vAlign w:val="bottom"/>
          </w:tcPr>
          <w:p>
            <w:pPr>
              <w:jc w:val="right"/>
              <w:ind w:right="584"/>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24</w:t>
            </w:r>
          </w:p>
        </w:tc>
        <w:tc>
          <w:tcPr>
            <w:tcW w:w="1120" w:type="dxa"/>
            <w:vAlign w:val="bottom"/>
          </w:tcPr>
          <w:p>
            <w:pPr>
              <w:jc w:val="right"/>
              <w:ind w:right="704"/>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60"/>
              <w:spacing w:after="0"/>
              <w:rPr>
                <w:sz w:val="20"/>
                <w:szCs w:val="20"/>
                <w:color w:val="auto"/>
              </w:rPr>
            </w:pPr>
            <w:r>
              <w:rPr>
                <w:rFonts w:ascii="Arial" w:cs="Arial" w:eastAsia="Arial" w:hAnsi="Arial"/>
                <w:sz w:val="16"/>
                <w:szCs w:val="16"/>
                <w:color w:val="auto"/>
              </w:rPr>
              <w:t>5</w:t>
            </w:r>
          </w:p>
        </w:tc>
        <w:tc>
          <w:tcPr>
            <w:tcW w:w="4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w:t>
            </w:r>
          </w:p>
        </w:tc>
        <w:tc>
          <w:tcPr>
            <w:tcW w:w="20" w:type="dxa"/>
            <w:vAlign w:val="bottom"/>
          </w:tcPr>
          <w:p>
            <w:pPr>
              <w:spacing w:after="0"/>
              <w:rPr>
                <w:sz w:val="16"/>
                <w:szCs w:val="16"/>
                <w:color w:val="auto"/>
              </w:rPr>
            </w:pPr>
          </w:p>
        </w:tc>
      </w:tr>
      <w:tr>
        <w:trPr>
          <w:trHeight w:val="201"/>
        </w:trPr>
        <w:tc>
          <w:tcPr>
            <w:tcW w:w="4760" w:type="dxa"/>
            <w:vAlign w:val="bottom"/>
            <w:gridSpan w:val="2"/>
          </w:tcPr>
          <w:p>
            <w:pPr>
              <w:spacing w:after="0"/>
              <w:rPr>
                <w:sz w:val="20"/>
                <w:szCs w:val="20"/>
                <w:color w:val="auto"/>
              </w:rPr>
            </w:pPr>
            <w:r>
              <w:rPr>
                <w:rFonts w:ascii="Arial" w:cs="Arial" w:eastAsia="Arial" w:hAnsi="Arial"/>
                <w:sz w:val="16"/>
                <w:szCs w:val="16"/>
                <w:color w:val="auto"/>
              </w:rPr>
              <w:t>Interest cost</w:t>
            </w:r>
          </w:p>
        </w:tc>
        <w:tc>
          <w:tcPr>
            <w:tcW w:w="1040" w:type="dxa"/>
            <w:vAlign w:val="bottom"/>
          </w:tcPr>
          <w:p>
            <w:pPr>
              <w:spacing w:after="0"/>
              <w:rPr>
                <w:sz w:val="17"/>
                <w:szCs w:val="17"/>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32</w:t>
            </w:r>
          </w:p>
        </w:tc>
        <w:tc>
          <w:tcPr>
            <w:tcW w:w="1040" w:type="dxa"/>
            <w:vAlign w:val="bottom"/>
          </w:tcPr>
          <w:p>
            <w:pPr>
              <w:spacing w:after="0"/>
              <w:rPr>
                <w:sz w:val="17"/>
                <w:szCs w:val="17"/>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30</w:t>
            </w:r>
          </w:p>
        </w:tc>
        <w:tc>
          <w:tcPr>
            <w:tcW w:w="1120" w:type="dxa"/>
            <w:vAlign w:val="bottom"/>
          </w:tcPr>
          <w:p>
            <w:pPr>
              <w:spacing w:after="0"/>
              <w:rPr>
                <w:sz w:val="17"/>
                <w:szCs w:val="17"/>
                <w:color w:val="auto"/>
              </w:rPr>
            </w:pPr>
          </w:p>
        </w:tc>
        <w:tc>
          <w:tcPr>
            <w:tcW w:w="580" w:type="dxa"/>
            <w:vAlign w:val="bottom"/>
          </w:tcPr>
          <w:p>
            <w:pPr>
              <w:jc w:val="right"/>
              <w:ind w:right="60"/>
              <w:spacing w:after="0"/>
              <w:rPr>
                <w:sz w:val="20"/>
                <w:szCs w:val="20"/>
                <w:color w:val="auto"/>
              </w:rPr>
            </w:pPr>
            <w:r>
              <w:rPr>
                <w:rFonts w:ascii="Arial" w:cs="Arial" w:eastAsia="Arial" w:hAnsi="Arial"/>
                <w:sz w:val="16"/>
                <w:szCs w:val="16"/>
                <w:color w:val="auto"/>
              </w:rPr>
              <w:t>7</w:t>
            </w:r>
          </w:p>
        </w:tc>
        <w:tc>
          <w:tcPr>
            <w:tcW w:w="420" w:type="dxa"/>
            <w:vAlign w:val="bottom"/>
          </w:tcPr>
          <w:p>
            <w:pPr>
              <w:spacing w:after="0"/>
              <w:rPr>
                <w:sz w:val="17"/>
                <w:szCs w:val="17"/>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6</w:t>
            </w:r>
          </w:p>
        </w:tc>
      </w:tr>
      <w:tr>
        <w:trPr>
          <w:trHeight w:val="213"/>
        </w:trPr>
        <w:tc>
          <w:tcPr>
            <w:tcW w:w="4760" w:type="dxa"/>
            <w:vAlign w:val="bottom"/>
            <w:gridSpan w:val="2"/>
          </w:tcPr>
          <w:p>
            <w:pPr>
              <w:spacing w:after="0"/>
              <w:rPr>
                <w:sz w:val="20"/>
                <w:szCs w:val="20"/>
                <w:color w:val="auto"/>
              </w:rPr>
            </w:pPr>
            <w:r>
              <w:rPr>
                <w:rFonts w:ascii="Arial" w:cs="Arial" w:eastAsia="Arial" w:hAnsi="Arial"/>
                <w:sz w:val="16"/>
                <w:szCs w:val="16"/>
                <w:color w:val="auto"/>
              </w:rPr>
              <w:t>Expected return on assets</w:t>
            </w:r>
          </w:p>
        </w:tc>
        <w:tc>
          <w:tcPr>
            <w:tcW w:w="104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(41)</w:t>
            </w:r>
          </w:p>
        </w:tc>
        <w:tc>
          <w:tcPr>
            <w:tcW w:w="1040" w:type="dxa"/>
            <w:vAlign w:val="bottom"/>
          </w:tcPr>
          <w:p>
            <w:pPr>
              <w:spacing w:after="0"/>
              <w:rPr>
                <w:sz w:val="18"/>
                <w:szCs w:val="18"/>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(39)</w:t>
            </w:r>
          </w:p>
        </w:tc>
        <w:tc>
          <w:tcPr>
            <w:tcW w:w="1120" w:type="dxa"/>
            <w:vAlign w:val="bottom"/>
          </w:tcPr>
          <w:p>
            <w:pPr>
              <w:spacing w:after="0"/>
              <w:rPr>
                <w:sz w:val="18"/>
                <w:szCs w:val="18"/>
                <w:color w:val="auto"/>
              </w:rPr>
            </w:pPr>
          </w:p>
        </w:tc>
        <w:tc>
          <w:tcPr>
            <w:tcW w:w="580" w:type="dxa"/>
            <w:vAlign w:val="bottom"/>
          </w:tcPr>
          <w:p>
            <w:pPr>
              <w:jc w:val="right"/>
              <w:ind w:right="60"/>
              <w:spacing w:after="0"/>
              <w:rPr>
                <w:sz w:val="20"/>
                <w:szCs w:val="20"/>
                <w:color w:val="auto"/>
              </w:rPr>
            </w:pPr>
            <w:r>
              <w:rPr>
                <w:rFonts w:ascii="Arial" w:cs="Arial" w:eastAsia="Arial" w:hAnsi="Arial"/>
                <w:sz w:val="16"/>
                <w:szCs w:val="16"/>
                <w:color w:val="auto"/>
              </w:rPr>
              <w:t>(8)</w:t>
            </w: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w:t>
            </w:r>
          </w:p>
        </w:tc>
        <w:tc>
          <w:tcPr>
            <w:tcW w:w="20" w:type="dxa"/>
            <w:vAlign w:val="bottom"/>
          </w:tcPr>
          <w:p>
            <w:pPr>
              <w:spacing w:after="0"/>
              <w:rPr>
                <w:sz w:val="18"/>
                <w:szCs w:val="18"/>
                <w:color w:val="auto"/>
              </w:rPr>
            </w:pPr>
          </w:p>
        </w:tc>
      </w:tr>
      <w:tr>
        <w:trPr>
          <w:trHeight w:val="213"/>
        </w:trPr>
        <w:tc>
          <w:tcPr>
            <w:tcW w:w="4760" w:type="dxa"/>
            <w:vAlign w:val="bottom"/>
            <w:gridSpan w:val="2"/>
          </w:tcPr>
          <w:p>
            <w:pPr>
              <w:spacing w:after="0"/>
              <w:rPr>
                <w:sz w:val="20"/>
                <w:szCs w:val="20"/>
                <w:color w:val="auto"/>
              </w:rPr>
            </w:pPr>
            <w:r>
              <w:rPr>
                <w:rFonts w:ascii="Arial" w:cs="Arial" w:eastAsia="Arial" w:hAnsi="Arial"/>
                <w:sz w:val="16"/>
                <w:szCs w:val="16"/>
                <w:color w:val="auto"/>
              </w:rPr>
              <w:t>Amortization of:</w:t>
            </w: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4760" w:type="dxa"/>
            <w:vAlign w:val="bottom"/>
            <w:gridSpan w:val="2"/>
          </w:tcPr>
          <w:p>
            <w:pPr>
              <w:ind w:left="180"/>
              <w:spacing w:after="0"/>
              <w:rPr>
                <w:sz w:val="20"/>
                <w:szCs w:val="20"/>
                <w:color w:val="auto"/>
              </w:rPr>
            </w:pPr>
            <w:r>
              <w:rPr>
                <w:rFonts w:ascii="Arial" w:cs="Arial" w:eastAsia="Arial" w:hAnsi="Arial"/>
                <w:sz w:val="16"/>
                <w:szCs w:val="16"/>
                <w:color w:val="auto"/>
              </w:rPr>
              <w:t>Prior service cost</w:t>
            </w:r>
          </w:p>
        </w:tc>
        <w:tc>
          <w:tcPr>
            <w:tcW w:w="104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1040" w:type="dxa"/>
            <w:vAlign w:val="bottom"/>
          </w:tcPr>
          <w:p>
            <w:pPr>
              <w:spacing w:after="0"/>
              <w:rPr>
                <w:sz w:val="18"/>
                <w:szCs w:val="18"/>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1120" w:type="dxa"/>
            <w:vAlign w:val="bottom"/>
          </w:tcPr>
          <w:p>
            <w:pPr>
              <w:spacing w:after="0"/>
              <w:rPr>
                <w:sz w:val="18"/>
                <w:szCs w:val="18"/>
                <w:color w:val="auto"/>
              </w:rPr>
            </w:pPr>
          </w:p>
        </w:tc>
        <w:tc>
          <w:tcPr>
            <w:tcW w:w="580" w:type="dxa"/>
            <w:vAlign w:val="bottom"/>
          </w:tcPr>
          <w:p>
            <w:pPr>
              <w:jc w:val="right"/>
              <w:ind w:right="60"/>
              <w:spacing w:after="0"/>
              <w:rPr>
                <w:sz w:val="20"/>
                <w:szCs w:val="20"/>
                <w:color w:val="auto"/>
              </w:rPr>
            </w:pPr>
            <w:r>
              <w:rPr>
                <w:rFonts w:ascii="Arial" w:cs="Arial" w:eastAsia="Arial" w:hAnsi="Arial"/>
                <w:sz w:val="16"/>
                <w:szCs w:val="16"/>
                <w:color w:val="auto"/>
              </w:rPr>
              <w:t>2</w:t>
            </w:r>
          </w:p>
        </w:tc>
        <w:tc>
          <w:tcPr>
            <w:tcW w:w="4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3</w:t>
            </w:r>
          </w:p>
        </w:tc>
      </w:tr>
      <w:tr>
        <w:trPr>
          <w:trHeight w:val="213"/>
        </w:trPr>
        <w:tc>
          <w:tcPr>
            <w:tcW w:w="4760" w:type="dxa"/>
            <w:vAlign w:val="bottom"/>
            <w:gridSpan w:val="2"/>
          </w:tcPr>
          <w:p>
            <w:pPr>
              <w:ind w:left="180"/>
              <w:spacing w:after="0"/>
              <w:rPr>
                <w:sz w:val="20"/>
                <w:szCs w:val="20"/>
                <w:color w:val="auto"/>
              </w:rPr>
            </w:pPr>
            <w:r>
              <w:rPr>
                <w:rFonts w:ascii="Arial" w:cs="Arial" w:eastAsia="Arial" w:hAnsi="Arial"/>
                <w:sz w:val="16"/>
                <w:szCs w:val="16"/>
                <w:color w:val="auto"/>
              </w:rPr>
              <w:t>Actuarial loss</w:t>
            </w:r>
          </w:p>
        </w:tc>
        <w:tc>
          <w:tcPr>
            <w:tcW w:w="104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3</w:t>
            </w:r>
          </w:p>
        </w:tc>
        <w:tc>
          <w:tcPr>
            <w:tcW w:w="1040" w:type="dxa"/>
            <w:vAlign w:val="bottom"/>
          </w:tcPr>
          <w:p>
            <w:pPr>
              <w:spacing w:after="0"/>
              <w:rPr>
                <w:sz w:val="18"/>
                <w:szCs w:val="18"/>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1120" w:type="dxa"/>
            <w:vAlign w:val="bottom"/>
          </w:tcPr>
          <w:p>
            <w:pPr>
              <w:spacing w:after="0"/>
              <w:rPr>
                <w:sz w:val="18"/>
                <w:szCs w:val="18"/>
                <w:color w:val="auto"/>
              </w:rPr>
            </w:pPr>
          </w:p>
        </w:tc>
        <w:tc>
          <w:tcPr>
            <w:tcW w:w="5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13"/>
        </w:trPr>
        <w:tc>
          <w:tcPr>
            <w:tcW w:w="4760" w:type="dxa"/>
            <w:vAlign w:val="bottom"/>
            <w:gridSpan w:val="2"/>
          </w:tcPr>
          <w:p>
            <w:pPr>
              <w:spacing w:after="0"/>
              <w:rPr>
                <w:sz w:val="20"/>
                <w:szCs w:val="20"/>
                <w:color w:val="auto"/>
              </w:rPr>
            </w:pPr>
            <w:r>
              <w:rPr>
                <w:rFonts w:ascii="Arial" w:cs="Arial" w:eastAsia="Arial" w:hAnsi="Arial"/>
                <w:sz w:val="16"/>
                <w:szCs w:val="16"/>
                <w:color w:val="auto"/>
              </w:rPr>
              <w:t>Settlements and special termination benefits</w:t>
            </w:r>
          </w:p>
        </w:tc>
        <w:tc>
          <w:tcPr>
            <w:tcW w:w="104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2</w:t>
            </w:r>
          </w:p>
        </w:tc>
        <w:tc>
          <w:tcPr>
            <w:tcW w:w="1040" w:type="dxa"/>
            <w:vAlign w:val="bottom"/>
          </w:tcPr>
          <w:p>
            <w:pPr>
              <w:spacing w:after="0"/>
              <w:rPr>
                <w:sz w:val="18"/>
                <w:szCs w:val="18"/>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1120" w:type="dxa"/>
            <w:vAlign w:val="bottom"/>
          </w:tcPr>
          <w:p>
            <w:pPr>
              <w:spacing w:after="0"/>
              <w:rPr>
                <w:sz w:val="18"/>
                <w:szCs w:val="18"/>
                <w:color w:val="auto"/>
              </w:rPr>
            </w:pPr>
          </w:p>
        </w:tc>
        <w:tc>
          <w:tcPr>
            <w:tcW w:w="580" w:type="dxa"/>
            <w:vAlign w:val="bottom"/>
          </w:tcPr>
          <w:p>
            <w:pPr>
              <w:jc w:val="right"/>
              <w:ind w:right="60"/>
              <w:spacing w:after="0"/>
              <w:rPr>
                <w:sz w:val="20"/>
                <w:szCs w:val="20"/>
                <w:color w:val="auto"/>
              </w:rPr>
            </w:pPr>
            <w:r>
              <w:rPr>
                <w:rFonts w:ascii="Arial" w:cs="Arial" w:eastAsia="Arial" w:hAnsi="Arial"/>
                <w:sz w:val="16"/>
                <w:szCs w:val="16"/>
                <w:color w:val="auto"/>
              </w:rPr>
              <w:t>5</w:t>
            </w:r>
          </w:p>
        </w:tc>
        <w:tc>
          <w:tcPr>
            <w:tcW w:w="4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04"/>
        </w:trPr>
        <w:tc>
          <w:tcPr>
            <w:tcW w:w="4760" w:type="dxa"/>
            <w:vAlign w:val="bottom"/>
            <w:gridSpan w:val="2"/>
          </w:tcPr>
          <w:p>
            <w:pPr>
              <w:spacing w:after="0"/>
              <w:rPr>
                <w:sz w:val="20"/>
                <w:szCs w:val="20"/>
                <w:color w:val="auto"/>
              </w:rPr>
            </w:pPr>
            <w:r>
              <w:rPr>
                <w:rFonts w:ascii="Arial" w:cs="Arial" w:eastAsia="Arial" w:hAnsi="Arial"/>
                <w:sz w:val="16"/>
                <w:szCs w:val="16"/>
                <w:color w:val="auto"/>
              </w:rPr>
              <w:t>Regulatory adjustment</w:t>
            </w:r>
          </w:p>
        </w:tc>
        <w:tc>
          <w:tcPr>
            <w:tcW w:w="10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w:t>
            </w:r>
          </w:p>
        </w:tc>
        <w:tc>
          <w:tcPr>
            <w:tcW w:w="10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w:t>
            </w:r>
          </w:p>
        </w:tc>
        <w:tc>
          <w:tcPr>
            <w:tcW w:w="1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w:t>
            </w:r>
          </w:p>
        </w:tc>
        <w:tc>
          <w:tcPr>
            <w:tcW w:w="4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w:t>
            </w:r>
          </w:p>
        </w:tc>
      </w:tr>
      <w:tr>
        <w:trPr>
          <w:trHeight w:val="173"/>
        </w:trPr>
        <w:tc>
          <w:tcPr>
            <w:tcW w:w="4760" w:type="dxa"/>
            <w:vAlign w:val="bottom"/>
            <w:gridSpan w:val="2"/>
          </w:tcPr>
          <w:p>
            <w:pPr>
              <w:spacing w:after="0" w:line="166" w:lineRule="exact"/>
              <w:rPr>
                <w:sz w:val="20"/>
                <w:szCs w:val="20"/>
                <w:color w:val="auto"/>
              </w:rPr>
            </w:pPr>
            <w:r>
              <w:rPr>
                <w:rFonts w:ascii="Arial" w:cs="Arial" w:eastAsia="Arial" w:hAnsi="Arial"/>
                <w:sz w:val="16"/>
                <w:szCs w:val="16"/>
                <w:color w:val="auto"/>
              </w:rPr>
              <w:t>Total net periodic benefit cost</w:t>
            </w:r>
          </w:p>
        </w:tc>
        <w:tc>
          <w:tcPr>
            <w:tcW w:w="1040" w:type="dxa"/>
            <w:vAlign w:val="bottom"/>
          </w:tcPr>
          <w:p>
            <w:pPr>
              <w:jc w:val="right"/>
              <w:ind w:right="543"/>
              <w:spacing w:after="0" w:line="166" w:lineRule="exact"/>
              <w:rPr>
                <w:sz w:val="20"/>
                <w:szCs w:val="20"/>
                <w:color w:val="auto"/>
              </w:rPr>
            </w:pPr>
            <w:r>
              <w:rPr>
                <w:rFonts w:ascii="Arial" w:cs="Arial" w:eastAsia="Arial" w:hAnsi="Arial"/>
                <w:sz w:val="16"/>
                <w:szCs w:val="16"/>
                <w:color w:val="auto"/>
              </w:rPr>
              <w:t>$</w:t>
            </w:r>
          </w:p>
        </w:tc>
        <w:tc>
          <w:tcPr>
            <w:tcW w:w="680" w:type="dxa"/>
            <w:vAlign w:val="bottom"/>
          </w:tcPr>
          <w:p>
            <w:pPr>
              <w:jc w:val="right"/>
              <w:ind w:right="1"/>
              <w:spacing w:after="0" w:line="166" w:lineRule="exact"/>
              <w:rPr>
                <w:sz w:val="20"/>
                <w:szCs w:val="20"/>
                <w:color w:val="auto"/>
              </w:rPr>
            </w:pPr>
            <w:r>
              <w:rPr>
                <w:rFonts w:ascii="Arial" w:cs="Arial" w:eastAsia="Arial" w:hAnsi="Arial"/>
                <w:sz w:val="16"/>
                <w:szCs w:val="16"/>
                <w:color w:val="auto"/>
              </w:rPr>
              <w:t>27</w:t>
            </w:r>
          </w:p>
        </w:tc>
        <w:tc>
          <w:tcPr>
            <w:tcW w:w="1040" w:type="dxa"/>
            <w:vAlign w:val="bottom"/>
          </w:tcPr>
          <w:p>
            <w:pPr>
              <w:jc w:val="right"/>
              <w:ind w:right="584"/>
              <w:spacing w:after="0" w:line="166" w:lineRule="exact"/>
              <w:rPr>
                <w:sz w:val="20"/>
                <w:szCs w:val="20"/>
                <w:color w:val="auto"/>
              </w:rPr>
            </w:pPr>
            <w:r>
              <w:rPr>
                <w:rFonts w:ascii="Arial" w:cs="Arial" w:eastAsia="Arial" w:hAnsi="Arial"/>
                <w:sz w:val="16"/>
                <w:szCs w:val="16"/>
                <w:color w:val="auto"/>
              </w:rPr>
              <w:t>$</w:t>
            </w:r>
          </w:p>
        </w:tc>
        <w:tc>
          <w:tcPr>
            <w:tcW w:w="660" w:type="dxa"/>
            <w:vAlign w:val="bottom"/>
          </w:tcPr>
          <w:p>
            <w:pPr>
              <w:jc w:val="right"/>
              <w:ind w:right="20"/>
              <w:spacing w:after="0" w:line="166" w:lineRule="exact"/>
              <w:rPr>
                <w:sz w:val="20"/>
                <w:szCs w:val="20"/>
                <w:color w:val="auto"/>
              </w:rPr>
            </w:pPr>
            <w:r>
              <w:rPr>
                <w:rFonts w:ascii="Arial" w:cs="Arial" w:eastAsia="Arial" w:hAnsi="Arial"/>
                <w:sz w:val="16"/>
                <w:szCs w:val="16"/>
                <w:color w:val="auto"/>
              </w:rPr>
              <w:t>24</w:t>
            </w:r>
          </w:p>
        </w:tc>
        <w:tc>
          <w:tcPr>
            <w:tcW w:w="1120" w:type="dxa"/>
            <w:vAlign w:val="bottom"/>
          </w:tcPr>
          <w:p>
            <w:pPr>
              <w:jc w:val="right"/>
              <w:ind w:right="704"/>
              <w:spacing w:after="0" w:line="166" w:lineRule="exact"/>
              <w:rPr>
                <w:sz w:val="20"/>
                <w:szCs w:val="20"/>
                <w:color w:val="auto"/>
              </w:rPr>
            </w:pPr>
            <w:r>
              <w:rPr>
                <w:rFonts w:ascii="Arial" w:cs="Arial" w:eastAsia="Arial" w:hAnsi="Arial"/>
                <w:sz w:val="16"/>
                <w:szCs w:val="16"/>
                <w:color w:val="auto"/>
              </w:rPr>
              <w:t>$</w:t>
            </w:r>
          </w:p>
        </w:tc>
        <w:tc>
          <w:tcPr>
            <w:tcW w:w="580" w:type="dxa"/>
            <w:vAlign w:val="bottom"/>
          </w:tcPr>
          <w:p>
            <w:pPr>
              <w:jc w:val="right"/>
              <w:ind w:right="60"/>
              <w:spacing w:after="0" w:line="166" w:lineRule="exact"/>
              <w:rPr>
                <w:sz w:val="20"/>
                <w:szCs w:val="20"/>
                <w:color w:val="auto"/>
              </w:rPr>
            </w:pPr>
            <w:r>
              <w:rPr>
                <w:rFonts w:ascii="Arial" w:cs="Arial" w:eastAsia="Arial" w:hAnsi="Arial"/>
                <w:sz w:val="16"/>
                <w:szCs w:val="16"/>
                <w:color w:val="auto"/>
              </w:rPr>
              <w:t>12</w:t>
            </w:r>
          </w:p>
        </w:tc>
        <w:tc>
          <w:tcPr>
            <w:tcW w:w="420" w:type="dxa"/>
            <w:vAlign w:val="bottom"/>
          </w:tcPr>
          <w:p>
            <w:pPr>
              <w:jc w:val="right"/>
              <w:ind w:right="20"/>
              <w:spacing w:after="0" w:line="166" w:lineRule="exact"/>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0"/>
              <w:spacing w:after="0" w:line="166" w:lineRule="exact"/>
              <w:rPr>
                <w:sz w:val="20"/>
                <w:szCs w:val="20"/>
                <w:color w:val="auto"/>
              </w:rPr>
            </w:pPr>
            <w:r>
              <w:rPr>
                <w:rFonts w:ascii="Arial" w:cs="Arial" w:eastAsia="Arial" w:hAnsi="Arial"/>
                <w:sz w:val="16"/>
                <w:szCs w:val="16"/>
                <w:color w:val="auto"/>
              </w:rPr>
              <w:t>9</w:t>
            </w:r>
          </w:p>
        </w:tc>
      </w:tr>
      <w:tr>
        <w:trPr>
          <w:trHeight w:val="718"/>
        </w:trPr>
        <w:tc>
          <w:tcPr>
            <w:tcW w:w="450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57"/>
        </w:trPr>
        <w:tc>
          <w:tcPr>
            <w:tcW w:w="4760" w:type="dxa"/>
            <w:vAlign w:val="bottom"/>
            <w:gridSpan w:val="2"/>
            <w:shd w:val="clear" w:color="auto" w:fill="C0C0C0"/>
          </w:tcPr>
          <w:p>
            <w:pPr>
              <w:spacing w:after="0" w:line="157" w:lineRule="exact"/>
              <w:rPr>
                <w:sz w:val="20"/>
                <w:szCs w:val="20"/>
                <w:color w:val="auto"/>
              </w:rPr>
            </w:pPr>
            <w:r>
              <w:rPr>
                <w:rFonts w:ascii="Arial" w:cs="Arial" w:eastAsia="Arial" w:hAnsi="Arial"/>
                <w:sz w:val="16"/>
                <w:szCs w:val="16"/>
                <w:b w:val="1"/>
                <w:bCs w:val="1"/>
                <w:color w:val="auto"/>
              </w:rPr>
              <w:t>NET PERIODIC BENEFIT COST – SOCALGAS</w:t>
            </w:r>
          </w:p>
        </w:tc>
        <w:tc>
          <w:tcPr>
            <w:tcW w:w="1040" w:type="dxa"/>
            <w:vAlign w:val="bottom"/>
            <w:shd w:val="clear" w:color="auto" w:fill="C0C0C0"/>
          </w:tcPr>
          <w:p>
            <w:pPr>
              <w:spacing w:after="0"/>
              <w:rPr>
                <w:sz w:val="13"/>
                <w:szCs w:val="13"/>
                <w:color w:val="auto"/>
              </w:rPr>
            </w:pPr>
          </w:p>
        </w:tc>
        <w:tc>
          <w:tcPr>
            <w:tcW w:w="680" w:type="dxa"/>
            <w:vAlign w:val="bottom"/>
            <w:shd w:val="clear" w:color="auto" w:fill="C0C0C0"/>
          </w:tcPr>
          <w:p>
            <w:pPr>
              <w:spacing w:after="0"/>
              <w:rPr>
                <w:sz w:val="13"/>
                <w:szCs w:val="13"/>
                <w:color w:val="auto"/>
              </w:rPr>
            </w:pPr>
          </w:p>
        </w:tc>
        <w:tc>
          <w:tcPr>
            <w:tcW w:w="1040" w:type="dxa"/>
            <w:vAlign w:val="bottom"/>
            <w:shd w:val="clear" w:color="auto" w:fill="C0C0C0"/>
          </w:tcPr>
          <w:p>
            <w:pPr>
              <w:spacing w:after="0"/>
              <w:rPr>
                <w:sz w:val="13"/>
                <w:szCs w:val="13"/>
                <w:color w:val="auto"/>
              </w:rPr>
            </w:pPr>
          </w:p>
        </w:tc>
        <w:tc>
          <w:tcPr>
            <w:tcW w:w="660" w:type="dxa"/>
            <w:vAlign w:val="bottom"/>
            <w:shd w:val="clear" w:color="auto" w:fill="C0C0C0"/>
          </w:tcPr>
          <w:p>
            <w:pPr>
              <w:spacing w:after="0"/>
              <w:rPr>
                <w:sz w:val="13"/>
                <w:szCs w:val="13"/>
                <w:color w:val="auto"/>
              </w:rPr>
            </w:pPr>
          </w:p>
        </w:tc>
        <w:tc>
          <w:tcPr>
            <w:tcW w:w="1120" w:type="dxa"/>
            <w:vAlign w:val="bottom"/>
            <w:shd w:val="clear" w:color="auto" w:fill="C0C0C0"/>
          </w:tcPr>
          <w:p>
            <w:pPr>
              <w:spacing w:after="0"/>
              <w:rPr>
                <w:sz w:val="13"/>
                <w:szCs w:val="13"/>
                <w:color w:val="auto"/>
              </w:rPr>
            </w:pPr>
          </w:p>
        </w:tc>
        <w:tc>
          <w:tcPr>
            <w:tcW w:w="580" w:type="dxa"/>
            <w:vAlign w:val="bottom"/>
            <w:shd w:val="clear" w:color="auto" w:fill="C0C0C0"/>
          </w:tcPr>
          <w:p>
            <w:pPr>
              <w:spacing w:after="0"/>
              <w:rPr>
                <w:sz w:val="13"/>
                <w:szCs w:val="13"/>
                <w:color w:val="auto"/>
              </w:rPr>
            </w:pPr>
          </w:p>
        </w:tc>
        <w:tc>
          <w:tcPr>
            <w:tcW w:w="420" w:type="dxa"/>
            <w:vAlign w:val="bottom"/>
            <w:shd w:val="clear" w:color="auto" w:fill="C0C0C0"/>
          </w:tcPr>
          <w:p>
            <w:pPr>
              <w:spacing w:after="0"/>
              <w:rPr>
                <w:sz w:val="13"/>
                <w:szCs w:val="13"/>
                <w:color w:val="auto"/>
              </w:rPr>
            </w:pPr>
          </w:p>
        </w:tc>
        <w:tc>
          <w:tcPr>
            <w:tcW w:w="1120" w:type="dxa"/>
            <w:vAlign w:val="bottom"/>
            <w:shd w:val="clear" w:color="auto" w:fill="C0C0C0"/>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4760" w:type="dxa"/>
            <w:vAlign w:val="bottom"/>
            <w:gridSpan w:val="2"/>
            <w:shd w:val="clear" w:color="auto" w:fill="C0C0C0"/>
          </w:tcPr>
          <w:p>
            <w:pPr>
              <w:spacing w:after="0"/>
              <w:rPr>
                <w:sz w:val="20"/>
                <w:szCs w:val="20"/>
                <w:color w:val="auto"/>
              </w:rPr>
            </w:pPr>
            <w:r>
              <w:rPr>
                <w:rFonts w:ascii="Arial" w:cs="Arial" w:eastAsia="Arial" w:hAnsi="Arial"/>
                <w:sz w:val="14"/>
                <w:szCs w:val="14"/>
                <w:i w:val="1"/>
                <w:iCs w:val="1"/>
                <w:color w:val="auto"/>
              </w:rPr>
              <w:t>(Dollars in millions)</w:t>
            </w:r>
          </w:p>
        </w:tc>
        <w:tc>
          <w:tcPr>
            <w:tcW w:w="1040" w:type="dxa"/>
            <w:vAlign w:val="bottom"/>
            <w:shd w:val="clear" w:color="auto" w:fill="C0C0C0"/>
          </w:tcPr>
          <w:p>
            <w:pPr>
              <w:spacing w:after="0"/>
              <w:rPr>
                <w:sz w:val="14"/>
                <w:szCs w:val="14"/>
                <w:color w:val="auto"/>
              </w:rPr>
            </w:pPr>
          </w:p>
        </w:tc>
        <w:tc>
          <w:tcPr>
            <w:tcW w:w="680" w:type="dxa"/>
            <w:vAlign w:val="bottom"/>
            <w:shd w:val="clear" w:color="auto" w:fill="C0C0C0"/>
          </w:tcPr>
          <w:p>
            <w:pPr>
              <w:spacing w:after="0"/>
              <w:rPr>
                <w:sz w:val="14"/>
                <w:szCs w:val="14"/>
                <w:color w:val="auto"/>
              </w:rPr>
            </w:pPr>
          </w:p>
        </w:tc>
        <w:tc>
          <w:tcPr>
            <w:tcW w:w="1040" w:type="dxa"/>
            <w:vAlign w:val="bottom"/>
            <w:shd w:val="clear" w:color="auto" w:fill="C0C0C0"/>
          </w:tcPr>
          <w:p>
            <w:pPr>
              <w:spacing w:after="0"/>
              <w:rPr>
                <w:sz w:val="14"/>
                <w:szCs w:val="14"/>
                <w:color w:val="auto"/>
              </w:rPr>
            </w:pPr>
          </w:p>
        </w:tc>
        <w:tc>
          <w:tcPr>
            <w:tcW w:w="660" w:type="dxa"/>
            <w:vAlign w:val="bottom"/>
            <w:shd w:val="clear" w:color="auto" w:fill="C0C0C0"/>
          </w:tcPr>
          <w:p>
            <w:pPr>
              <w:spacing w:after="0"/>
              <w:rPr>
                <w:sz w:val="14"/>
                <w:szCs w:val="14"/>
                <w:color w:val="auto"/>
              </w:rPr>
            </w:pPr>
          </w:p>
        </w:tc>
        <w:tc>
          <w:tcPr>
            <w:tcW w:w="1120" w:type="dxa"/>
            <w:vAlign w:val="bottom"/>
            <w:shd w:val="clear" w:color="auto" w:fill="C0C0C0"/>
          </w:tcPr>
          <w:p>
            <w:pPr>
              <w:spacing w:after="0"/>
              <w:rPr>
                <w:sz w:val="14"/>
                <w:szCs w:val="14"/>
                <w:color w:val="auto"/>
              </w:rPr>
            </w:pPr>
          </w:p>
        </w:tc>
        <w:tc>
          <w:tcPr>
            <w:tcW w:w="580" w:type="dxa"/>
            <w:vAlign w:val="bottom"/>
            <w:shd w:val="clear" w:color="auto" w:fill="C0C0C0"/>
          </w:tcPr>
          <w:p>
            <w:pPr>
              <w:spacing w:after="0"/>
              <w:rPr>
                <w:sz w:val="14"/>
                <w:szCs w:val="14"/>
                <w:color w:val="auto"/>
              </w:rPr>
            </w:pPr>
          </w:p>
        </w:tc>
        <w:tc>
          <w:tcPr>
            <w:tcW w:w="420" w:type="dxa"/>
            <w:vAlign w:val="bottom"/>
            <w:shd w:val="clear" w:color="auto" w:fill="C0C0C0"/>
          </w:tcPr>
          <w:p>
            <w:pPr>
              <w:spacing w:after="0"/>
              <w:rPr>
                <w:sz w:val="14"/>
                <w:szCs w:val="14"/>
                <w:color w:val="auto"/>
              </w:rPr>
            </w:pPr>
          </w:p>
        </w:tc>
        <w:tc>
          <w:tcPr>
            <w:tcW w:w="1120" w:type="dxa"/>
            <w:vAlign w:val="bottom"/>
            <w:shd w:val="clear" w:color="auto" w:fill="C0C0C0"/>
          </w:tcPr>
          <w:p>
            <w:pPr>
              <w:spacing w:after="0"/>
              <w:rPr>
                <w:sz w:val="14"/>
                <w:szCs w:val="14"/>
                <w:color w:val="auto"/>
              </w:rPr>
            </w:pPr>
          </w:p>
        </w:tc>
        <w:tc>
          <w:tcPr>
            <w:tcW w:w="20" w:type="dxa"/>
            <w:vAlign w:val="bottom"/>
          </w:tcPr>
          <w:p>
            <w:pPr>
              <w:spacing w:after="0"/>
              <w:rPr>
                <w:sz w:val="14"/>
                <w:szCs w:val="14"/>
                <w:color w:val="auto"/>
              </w:rPr>
            </w:pPr>
          </w:p>
        </w:tc>
      </w:tr>
      <w:tr>
        <w:trPr>
          <w:trHeight w:val="199"/>
        </w:trPr>
        <w:tc>
          <w:tcPr>
            <w:tcW w:w="4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60" w:type="dxa"/>
            <w:vAlign w:val="bottom"/>
            <w:gridSpan w:val="3"/>
          </w:tcPr>
          <w:p>
            <w:pPr>
              <w:jc w:val="right"/>
              <w:ind w:right="684"/>
              <w:spacing w:after="0"/>
              <w:rPr>
                <w:sz w:val="20"/>
                <w:szCs w:val="20"/>
                <w:color w:val="auto"/>
              </w:rPr>
            </w:pPr>
            <w:r>
              <w:rPr>
                <w:rFonts w:ascii="Arial" w:cs="Arial" w:eastAsia="Arial" w:hAnsi="Arial"/>
                <w:sz w:val="14"/>
                <w:szCs w:val="14"/>
                <w:color w:val="auto"/>
              </w:rPr>
              <w:t>Pension Benefits</w:t>
            </w:r>
          </w:p>
        </w:tc>
        <w:tc>
          <w:tcPr>
            <w:tcW w:w="660" w:type="dxa"/>
            <w:vAlign w:val="bottom"/>
          </w:tcPr>
          <w:p>
            <w:pPr>
              <w:spacing w:after="0"/>
              <w:rPr>
                <w:sz w:val="17"/>
                <w:szCs w:val="17"/>
                <w:color w:val="auto"/>
              </w:rPr>
            </w:pPr>
          </w:p>
        </w:tc>
        <w:tc>
          <w:tcPr>
            <w:tcW w:w="3260" w:type="dxa"/>
            <w:vAlign w:val="bottom"/>
            <w:gridSpan w:val="5"/>
          </w:tcPr>
          <w:p>
            <w:pPr>
              <w:ind w:left="580"/>
              <w:spacing w:after="0"/>
              <w:rPr>
                <w:sz w:val="20"/>
                <w:szCs w:val="20"/>
                <w:color w:val="auto"/>
              </w:rPr>
            </w:pPr>
            <w:r>
              <w:rPr>
                <w:rFonts w:ascii="Arial" w:cs="Arial" w:eastAsia="Arial" w:hAnsi="Arial"/>
                <w:sz w:val="14"/>
                <w:szCs w:val="14"/>
                <w:color w:val="auto"/>
              </w:rPr>
              <w:t>Other Postretirement Benefits</w:t>
            </w:r>
          </w:p>
        </w:tc>
      </w:tr>
      <w:tr>
        <w:trPr>
          <w:trHeight w:val="193"/>
        </w:trPr>
        <w:tc>
          <w:tcPr>
            <w:tcW w:w="450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spacing w:after="0"/>
              <w:rPr>
                <w:sz w:val="16"/>
                <w:szCs w:val="16"/>
                <w:color w:val="auto"/>
              </w:rPr>
            </w:pPr>
          </w:p>
        </w:tc>
        <w:tc>
          <w:tcPr>
            <w:tcW w:w="2820" w:type="dxa"/>
            <w:vAlign w:val="bottom"/>
            <w:tcBorders>
              <w:top w:val="single" w:sz="8" w:color="auto"/>
              <w:bottom w:val="single" w:sz="8" w:color="auto"/>
            </w:tcBorders>
            <w:gridSpan w:val="3"/>
          </w:tcPr>
          <w:p>
            <w:pPr>
              <w:jc w:val="right"/>
              <w:ind w:right="124"/>
              <w:spacing w:after="0"/>
              <w:rPr>
                <w:sz w:val="20"/>
                <w:szCs w:val="20"/>
                <w:color w:val="auto"/>
              </w:rPr>
            </w:pPr>
            <w:r>
              <w:rPr>
                <w:rFonts w:ascii="Arial" w:cs="Arial" w:eastAsia="Arial" w:hAnsi="Arial"/>
                <w:sz w:val="14"/>
                <w:szCs w:val="14"/>
                <w:color w:val="auto"/>
              </w:rPr>
              <w:t>Three months ended September 30,</w:t>
            </w:r>
          </w:p>
        </w:tc>
        <w:tc>
          <w:tcPr>
            <w:tcW w:w="580" w:type="dxa"/>
            <w:vAlign w:val="bottom"/>
            <w:tcBorders>
              <w:top w:val="single" w:sz="8" w:color="auto"/>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06"/>
        </w:trPr>
        <w:tc>
          <w:tcPr>
            <w:tcW w:w="45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color w:val="auto"/>
              </w:rPr>
              <w:t>2014</w:t>
            </w:r>
          </w:p>
        </w:tc>
        <w:tc>
          <w:tcPr>
            <w:tcW w:w="6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color w:val="auto"/>
              </w:rPr>
              <w:t>2013</w:t>
            </w:r>
          </w:p>
        </w:tc>
        <w:tc>
          <w:tcPr>
            <w:tcW w:w="6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color w:val="auto"/>
              </w:rPr>
              <w:t>2014</w:t>
            </w:r>
          </w:p>
        </w:tc>
        <w:tc>
          <w:tcPr>
            <w:tcW w:w="5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41"/>
              <w:spacing w:after="0"/>
              <w:rPr>
                <w:sz w:val="20"/>
                <w:szCs w:val="20"/>
                <w:color w:val="auto"/>
              </w:rPr>
            </w:pPr>
            <w:r>
              <w:rPr>
                <w:rFonts w:ascii="Arial" w:cs="Arial" w:eastAsia="Arial" w:hAnsi="Arial"/>
                <w:sz w:val="14"/>
                <w:szCs w:val="14"/>
                <w:color w:val="auto"/>
              </w:rPr>
              <w:t>2013</w:t>
            </w:r>
          </w:p>
        </w:tc>
        <w:tc>
          <w:tcPr>
            <w:tcW w:w="20" w:type="dxa"/>
            <w:vAlign w:val="bottom"/>
          </w:tcPr>
          <w:p>
            <w:pPr>
              <w:spacing w:after="0"/>
              <w:rPr>
                <w:sz w:val="17"/>
                <w:szCs w:val="17"/>
                <w:color w:val="auto"/>
              </w:rPr>
            </w:pPr>
          </w:p>
        </w:tc>
      </w:tr>
      <w:tr>
        <w:trPr>
          <w:trHeight w:val="186"/>
        </w:trPr>
        <w:tc>
          <w:tcPr>
            <w:tcW w:w="4760" w:type="dxa"/>
            <w:vAlign w:val="bottom"/>
            <w:gridSpan w:val="2"/>
          </w:tcPr>
          <w:p>
            <w:pPr>
              <w:spacing w:after="0"/>
              <w:rPr>
                <w:sz w:val="20"/>
                <w:szCs w:val="20"/>
                <w:color w:val="auto"/>
              </w:rPr>
            </w:pPr>
            <w:r>
              <w:rPr>
                <w:rFonts w:ascii="Arial" w:cs="Arial" w:eastAsia="Arial" w:hAnsi="Arial"/>
                <w:sz w:val="16"/>
                <w:szCs w:val="16"/>
                <w:color w:val="auto"/>
              </w:rPr>
              <w:t>Service cost</w:t>
            </w:r>
          </w:p>
        </w:tc>
        <w:tc>
          <w:tcPr>
            <w:tcW w:w="1040" w:type="dxa"/>
            <w:vAlign w:val="bottom"/>
          </w:tcPr>
          <w:p>
            <w:pPr>
              <w:jc w:val="right"/>
              <w:ind w:right="803"/>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81"/>
              <w:spacing w:after="0"/>
              <w:rPr>
                <w:sz w:val="20"/>
                <w:szCs w:val="20"/>
                <w:color w:val="auto"/>
              </w:rPr>
            </w:pPr>
            <w:r>
              <w:rPr>
                <w:rFonts w:ascii="Arial" w:cs="Arial" w:eastAsia="Arial" w:hAnsi="Arial"/>
                <w:sz w:val="16"/>
                <w:szCs w:val="16"/>
                <w:color w:val="auto"/>
              </w:rPr>
              <w:t>13</w:t>
            </w:r>
          </w:p>
        </w:tc>
        <w:tc>
          <w:tcPr>
            <w:tcW w:w="1040" w:type="dxa"/>
            <w:vAlign w:val="bottom"/>
          </w:tcPr>
          <w:p>
            <w:pPr>
              <w:jc w:val="right"/>
              <w:ind w:right="784"/>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40"/>
              <w:spacing w:after="0"/>
              <w:rPr>
                <w:sz w:val="20"/>
                <w:szCs w:val="20"/>
                <w:color w:val="auto"/>
              </w:rPr>
            </w:pPr>
            <w:r>
              <w:rPr>
                <w:rFonts w:ascii="Arial" w:cs="Arial" w:eastAsia="Arial" w:hAnsi="Arial"/>
                <w:sz w:val="16"/>
                <w:szCs w:val="16"/>
                <w:color w:val="auto"/>
              </w:rPr>
              <w:t>17</w:t>
            </w:r>
          </w:p>
        </w:tc>
        <w:tc>
          <w:tcPr>
            <w:tcW w:w="1120" w:type="dxa"/>
            <w:vAlign w:val="bottom"/>
          </w:tcPr>
          <w:p>
            <w:pPr>
              <w:jc w:val="right"/>
              <w:ind w:right="844"/>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120"/>
              <w:spacing w:after="0"/>
              <w:rPr>
                <w:sz w:val="20"/>
                <w:szCs w:val="20"/>
                <w:color w:val="auto"/>
              </w:rPr>
            </w:pPr>
            <w:r>
              <w:rPr>
                <w:rFonts w:ascii="Arial" w:cs="Arial" w:eastAsia="Arial" w:hAnsi="Arial"/>
                <w:sz w:val="16"/>
                <w:szCs w:val="16"/>
                <w:color w:val="auto"/>
              </w:rPr>
              <w:t>4</w:t>
            </w:r>
          </w:p>
        </w:tc>
        <w:tc>
          <w:tcPr>
            <w:tcW w:w="4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16"/>
                <w:szCs w:val="16"/>
                <w:color w:val="auto"/>
              </w:rPr>
            </w:pPr>
          </w:p>
        </w:tc>
      </w:tr>
      <w:tr>
        <w:trPr>
          <w:trHeight w:val="201"/>
        </w:trPr>
        <w:tc>
          <w:tcPr>
            <w:tcW w:w="4760" w:type="dxa"/>
            <w:vAlign w:val="bottom"/>
            <w:gridSpan w:val="2"/>
          </w:tcPr>
          <w:p>
            <w:pPr>
              <w:spacing w:after="0"/>
              <w:rPr>
                <w:sz w:val="20"/>
                <w:szCs w:val="20"/>
                <w:color w:val="auto"/>
              </w:rPr>
            </w:pPr>
            <w:r>
              <w:rPr>
                <w:rFonts w:ascii="Arial" w:cs="Arial" w:eastAsia="Arial" w:hAnsi="Arial"/>
                <w:sz w:val="16"/>
                <w:szCs w:val="16"/>
                <w:color w:val="auto"/>
              </w:rPr>
              <w:t>Interest cost</w:t>
            </w:r>
          </w:p>
        </w:tc>
        <w:tc>
          <w:tcPr>
            <w:tcW w:w="1040" w:type="dxa"/>
            <w:vAlign w:val="bottom"/>
          </w:tcPr>
          <w:p>
            <w:pPr>
              <w:spacing w:after="0"/>
              <w:rPr>
                <w:sz w:val="17"/>
                <w:szCs w:val="17"/>
                <w:color w:val="auto"/>
              </w:rPr>
            </w:pPr>
          </w:p>
        </w:tc>
        <w:tc>
          <w:tcPr>
            <w:tcW w:w="680" w:type="dxa"/>
            <w:vAlign w:val="bottom"/>
          </w:tcPr>
          <w:p>
            <w:pPr>
              <w:jc w:val="right"/>
              <w:ind w:right="181"/>
              <w:spacing w:after="0"/>
              <w:rPr>
                <w:sz w:val="20"/>
                <w:szCs w:val="20"/>
                <w:color w:val="auto"/>
              </w:rPr>
            </w:pPr>
            <w:r>
              <w:rPr>
                <w:rFonts w:ascii="Arial" w:cs="Arial" w:eastAsia="Arial" w:hAnsi="Arial"/>
                <w:sz w:val="16"/>
                <w:szCs w:val="16"/>
                <w:color w:val="auto"/>
              </w:rPr>
              <w:t>24</w:t>
            </w:r>
          </w:p>
        </w:tc>
        <w:tc>
          <w:tcPr>
            <w:tcW w:w="1040" w:type="dxa"/>
            <w:vAlign w:val="bottom"/>
          </w:tcPr>
          <w:p>
            <w:pPr>
              <w:spacing w:after="0"/>
              <w:rPr>
                <w:sz w:val="17"/>
                <w:szCs w:val="17"/>
                <w:color w:val="auto"/>
              </w:rPr>
            </w:pPr>
          </w:p>
        </w:tc>
        <w:tc>
          <w:tcPr>
            <w:tcW w:w="660" w:type="dxa"/>
            <w:vAlign w:val="bottom"/>
          </w:tcPr>
          <w:p>
            <w:pPr>
              <w:jc w:val="right"/>
              <w:ind w:right="140"/>
              <w:spacing w:after="0"/>
              <w:rPr>
                <w:sz w:val="20"/>
                <w:szCs w:val="20"/>
                <w:color w:val="auto"/>
              </w:rPr>
            </w:pPr>
            <w:r>
              <w:rPr>
                <w:rFonts w:ascii="Arial" w:cs="Arial" w:eastAsia="Arial" w:hAnsi="Arial"/>
                <w:sz w:val="16"/>
                <w:szCs w:val="16"/>
                <w:color w:val="auto"/>
              </w:rPr>
              <w:t>22</w:t>
            </w:r>
          </w:p>
        </w:tc>
        <w:tc>
          <w:tcPr>
            <w:tcW w:w="1120" w:type="dxa"/>
            <w:vAlign w:val="bottom"/>
          </w:tcPr>
          <w:p>
            <w:pPr>
              <w:spacing w:after="0"/>
              <w:rPr>
                <w:sz w:val="17"/>
                <w:szCs w:val="17"/>
                <w:color w:val="auto"/>
              </w:rPr>
            </w:pPr>
          </w:p>
        </w:tc>
        <w:tc>
          <w:tcPr>
            <w:tcW w:w="580" w:type="dxa"/>
            <w:vAlign w:val="bottom"/>
          </w:tcPr>
          <w:p>
            <w:pPr>
              <w:jc w:val="right"/>
              <w:ind w:right="120"/>
              <w:spacing w:after="0"/>
              <w:rPr>
                <w:sz w:val="20"/>
                <w:szCs w:val="20"/>
                <w:color w:val="auto"/>
              </w:rPr>
            </w:pPr>
            <w:r>
              <w:rPr>
                <w:rFonts w:ascii="Arial" w:cs="Arial" w:eastAsia="Arial" w:hAnsi="Arial"/>
                <w:sz w:val="16"/>
                <w:szCs w:val="16"/>
                <w:color w:val="auto"/>
              </w:rPr>
              <w:t>9</w:t>
            </w:r>
          </w:p>
        </w:tc>
        <w:tc>
          <w:tcPr>
            <w:tcW w:w="420" w:type="dxa"/>
            <w:vAlign w:val="bottom"/>
          </w:tcPr>
          <w:p>
            <w:pPr>
              <w:spacing w:after="0"/>
              <w:rPr>
                <w:sz w:val="17"/>
                <w:szCs w:val="17"/>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8</w:t>
            </w:r>
          </w:p>
        </w:tc>
      </w:tr>
      <w:tr>
        <w:trPr>
          <w:trHeight w:val="213"/>
        </w:trPr>
        <w:tc>
          <w:tcPr>
            <w:tcW w:w="4760" w:type="dxa"/>
            <w:vAlign w:val="bottom"/>
            <w:gridSpan w:val="2"/>
          </w:tcPr>
          <w:p>
            <w:pPr>
              <w:spacing w:after="0"/>
              <w:rPr>
                <w:sz w:val="20"/>
                <w:szCs w:val="20"/>
                <w:color w:val="auto"/>
              </w:rPr>
            </w:pPr>
            <w:r>
              <w:rPr>
                <w:rFonts w:ascii="Arial" w:cs="Arial" w:eastAsia="Arial" w:hAnsi="Arial"/>
                <w:sz w:val="16"/>
                <w:szCs w:val="16"/>
                <w:color w:val="auto"/>
              </w:rPr>
              <w:t>Expected return on assets</w:t>
            </w:r>
          </w:p>
        </w:tc>
        <w:tc>
          <w:tcPr>
            <w:tcW w:w="1040" w:type="dxa"/>
            <w:vAlign w:val="bottom"/>
          </w:tcPr>
          <w:p>
            <w:pPr>
              <w:spacing w:after="0"/>
              <w:rPr>
                <w:sz w:val="18"/>
                <w:szCs w:val="18"/>
                <w:color w:val="auto"/>
              </w:rPr>
            </w:pPr>
          </w:p>
        </w:tc>
        <w:tc>
          <w:tcPr>
            <w:tcW w:w="680" w:type="dxa"/>
            <w:vAlign w:val="bottom"/>
          </w:tcPr>
          <w:p>
            <w:pPr>
              <w:jc w:val="right"/>
              <w:ind w:right="181"/>
              <w:spacing w:after="0"/>
              <w:rPr>
                <w:sz w:val="20"/>
                <w:szCs w:val="20"/>
                <w:color w:val="auto"/>
              </w:rPr>
            </w:pPr>
            <w:r>
              <w:rPr>
                <w:rFonts w:ascii="Arial" w:cs="Arial" w:eastAsia="Arial" w:hAnsi="Arial"/>
                <w:sz w:val="16"/>
                <w:szCs w:val="16"/>
                <w:color w:val="auto"/>
              </w:rPr>
              <w:t>(26)</w:t>
            </w:r>
          </w:p>
        </w:tc>
        <w:tc>
          <w:tcPr>
            <w:tcW w:w="1040" w:type="dxa"/>
            <w:vAlign w:val="bottom"/>
          </w:tcPr>
          <w:p>
            <w:pPr>
              <w:spacing w:after="0"/>
              <w:rPr>
                <w:sz w:val="18"/>
                <w:szCs w:val="18"/>
                <w:color w:val="auto"/>
              </w:rPr>
            </w:pPr>
          </w:p>
        </w:tc>
        <w:tc>
          <w:tcPr>
            <w:tcW w:w="660" w:type="dxa"/>
            <w:vAlign w:val="bottom"/>
          </w:tcPr>
          <w:p>
            <w:pPr>
              <w:jc w:val="right"/>
              <w:ind w:right="140"/>
              <w:spacing w:after="0"/>
              <w:rPr>
                <w:sz w:val="20"/>
                <w:szCs w:val="20"/>
                <w:color w:val="auto"/>
              </w:rPr>
            </w:pPr>
            <w:r>
              <w:rPr>
                <w:rFonts w:ascii="Arial" w:cs="Arial" w:eastAsia="Arial" w:hAnsi="Arial"/>
                <w:sz w:val="16"/>
                <w:szCs w:val="16"/>
                <w:color w:val="auto"/>
              </w:rPr>
              <w:t>(24)</w:t>
            </w:r>
          </w:p>
        </w:tc>
        <w:tc>
          <w:tcPr>
            <w:tcW w:w="1120" w:type="dxa"/>
            <w:vAlign w:val="bottom"/>
          </w:tcPr>
          <w:p>
            <w:pPr>
              <w:spacing w:after="0"/>
              <w:rPr>
                <w:sz w:val="18"/>
                <w:szCs w:val="18"/>
                <w:color w:val="auto"/>
              </w:rPr>
            </w:pPr>
          </w:p>
        </w:tc>
        <w:tc>
          <w:tcPr>
            <w:tcW w:w="580" w:type="dxa"/>
            <w:vAlign w:val="bottom"/>
          </w:tcPr>
          <w:p>
            <w:pPr>
              <w:jc w:val="right"/>
              <w:ind w:right="120"/>
              <w:spacing w:after="0"/>
              <w:rPr>
                <w:sz w:val="20"/>
                <w:szCs w:val="20"/>
                <w:color w:val="auto"/>
              </w:rPr>
            </w:pPr>
            <w:r>
              <w:rPr>
                <w:rFonts w:ascii="Arial" w:cs="Arial" w:eastAsia="Arial" w:hAnsi="Arial"/>
                <w:sz w:val="16"/>
                <w:szCs w:val="16"/>
                <w:color w:val="auto"/>
              </w:rPr>
              <w:t>(12)</w:t>
            </w: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18"/>
                <w:szCs w:val="18"/>
                <w:color w:val="auto"/>
              </w:rPr>
            </w:pPr>
          </w:p>
        </w:tc>
      </w:tr>
      <w:tr>
        <w:trPr>
          <w:trHeight w:val="213"/>
        </w:trPr>
        <w:tc>
          <w:tcPr>
            <w:tcW w:w="4760" w:type="dxa"/>
            <w:vAlign w:val="bottom"/>
            <w:gridSpan w:val="2"/>
          </w:tcPr>
          <w:p>
            <w:pPr>
              <w:spacing w:after="0"/>
              <w:rPr>
                <w:sz w:val="20"/>
                <w:szCs w:val="20"/>
                <w:color w:val="auto"/>
              </w:rPr>
            </w:pPr>
            <w:r>
              <w:rPr>
                <w:rFonts w:ascii="Arial" w:cs="Arial" w:eastAsia="Arial" w:hAnsi="Arial"/>
                <w:sz w:val="16"/>
                <w:szCs w:val="16"/>
                <w:color w:val="auto"/>
              </w:rPr>
              <w:t>Amortization of:</w:t>
            </w: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4760" w:type="dxa"/>
            <w:vAlign w:val="bottom"/>
            <w:gridSpan w:val="2"/>
          </w:tcPr>
          <w:p>
            <w:pPr>
              <w:ind w:left="180"/>
              <w:spacing w:after="0"/>
              <w:rPr>
                <w:sz w:val="20"/>
                <w:szCs w:val="20"/>
                <w:color w:val="auto"/>
              </w:rPr>
            </w:pPr>
            <w:r>
              <w:rPr>
                <w:rFonts w:ascii="Arial" w:cs="Arial" w:eastAsia="Arial" w:hAnsi="Arial"/>
                <w:sz w:val="16"/>
                <w:szCs w:val="16"/>
                <w:color w:val="auto"/>
              </w:rPr>
              <w:t>Prior service cost (credit)</w:t>
            </w:r>
          </w:p>
        </w:tc>
        <w:tc>
          <w:tcPr>
            <w:tcW w:w="1040" w:type="dxa"/>
            <w:vAlign w:val="bottom"/>
          </w:tcPr>
          <w:p>
            <w:pPr>
              <w:spacing w:after="0"/>
              <w:rPr>
                <w:sz w:val="18"/>
                <w:szCs w:val="18"/>
                <w:color w:val="auto"/>
              </w:rPr>
            </w:pPr>
          </w:p>
        </w:tc>
        <w:tc>
          <w:tcPr>
            <w:tcW w:w="680" w:type="dxa"/>
            <w:vAlign w:val="bottom"/>
          </w:tcPr>
          <w:p>
            <w:pPr>
              <w:jc w:val="right"/>
              <w:ind w:right="181"/>
              <w:spacing w:after="0"/>
              <w:rPr>
                <w:sz w:val="20"/>
                <w:szCs w:val="20"/>
                <w:color w:val="auto"/>
              </w:rPr>
            </w:pPr>
            <w:r>
              <w:rPr>
                <w:rFonts w:ascii="Arial" w:cs="Arial" w:eastAsia="Arial" w:hAnsi="Arial"/>
                <w:sz w:val="16"/>
                <w:szCs w:val="16"/>
                <w:color w:val="auto"/>
              </w:rPr>
              <w:t>2</w:t>
            </w:r>
          </w:p>
        </w:tc>
        <w:tc>
          <w:tcPr>
            <w:tcW w:w="1040" w:type="dxa"/>
            <w:vAlign w:val="bottom"/>
          </w:tcPr>
          <w:p>
            <w:pPr>
              <w:spacing w:after="0"/>
              <w:rPr>
                <w:sz w:val="18"/>
                <w:szCs w:val="18"/>
                <w:color w:val="auto"/>
              </w:rPr>
            </w:pPr>
          </w:p>
        </w:tc>
        <w:tc>
          <w:tcPr>
            <w:tcW w:w="66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18"/>
                <w:szCs w:val="18"/>
                <w:color w:val="auto"/>
              </w:rPr>
            </w:pPr>
          </w:p>
        </w:tc>
        <w:tc>
          <w:tcPr>
            <w:tcW w:w="580" w:type="dxa"/>
            <w:vAlign w:val="bottom"/>
          </w:tcPr>
          <w:p>
            <w:pPr>
              <w:jc w:val="right"/>
              <w:ind w:right="120"/>
              <w:spacing w:after="0"/>
              <w:rPr>
                <w:sz w:val="20"/>
                <w:szCs w:val="20"/>
                <w:color w:val="auto"/>
              </w:rPr>
            </w:pPr>
            <w:r>
              <w:rPr>
                <w:rFonts w:ascii="Arial" w:cs="Arial" w:eastAsia="Arial" w:hAnsi="Arial"/>
                <w:sz w:val="16"/>
                <w:szCs w:val="16"/>
                <w:color w:val="auto"/>
              </w:rPr>
              <w:t>(2)</w:t>
            </w: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8"/>
                <w:szCs w:val="18"/>
                <w:color w:val="auto"/>
              </w:rPr>
            </w:pPr>
          </w:p>
        </w:tc>
      </w:tr>
      <w:tr>
        <w:trPr>
          <w:trHeight w:val="213"/>
        </w:trPr>
        <w:tc>
          <w:tcPr>
            <w:tcW w:w="4760" w:type="dxa"/>
            <w:vAlign w:val="bottom"/>
            <w:gridSpan w:val="2"/>
          </w:tcPr>
          <w:p>
            <w:pPr>
              <w:ind w:left="180"/>
              <w:spacing w:after="0"/>
              <w:rPr>
                <w:sz w:val="20"/>
                <w:szCs w:val="20"/>
                <w:color w:val="auto"/>
              </w:rPr>
            </w:pPr>
            <w:r>
              <w:rPr>
                <w:rFonts w:ascii="Arial" w:cs="Arial" w:eastAsia="Arial" w:hAnsi="Arial"/>
                <w:sz w:val="16"/>
                <w:szCs w:val="16"/>
                <w:color w:val="auto"/>
              </w:rPr>
              <w:t>Actuarial loss</w:t>
            </w:r>
          </w:p>
        </w:tc>
        <w:tc>
          <w:tcPr>
            <w:tcW w:w="1040" w:type="dxa"/>
            <w:vAlign w:val="bottom"/>
          </w:tcPr>
          <w:p>
            <w:pPr>
              <w:spacing w:after="0"/>
              <w:rPr>
                <w:sz w:val="18"/>
                <w:szCs w:val="18"/>
                <w:color w:val="auto"/>
              </w:rPr>
            </w:pPr>
          </w:p>
        </w:tc>
        <w:tc>
          <w:tcPr>
            <w:tcW w:w="680" w:type="dxa"/>
            <w:vAlign w:val="bottom"/>
          </w:tcPr>
          <w:p>
            <w:pPr>
              <w:jc w:val="right"/>
              <w:ind w:right="181"/>
              <w:spacing w:after="0"/>
              <w:rPr>
                <w:sz w:val="20"/>
                <w:szCs w:val="20"/>
                <w:color w:val="auto"/>
              </w:rPr>
            </w:pPr>
            <w:r>
              <w:rPr>
                <w:rFonts w:ascii="Arial" w:cs="Arial" w:eastAsia="Arial" w:hAnsi="Arial"/>
                <w:sz w:val="16"/>
                <w:szCs w:val="16"/>
                <w:color w:val="auto"/>
              </w:rPr>
              <w:t>1</w:t>
            </w:r>
          </w:p>
        </w:tc>
        <w:tc>
          <w:tcPr>
            <w:tcW w:w="1040" w:type="dxa"/>
            <w:vAlign w:val="bottom"/>
          </w:tcPr>
          <w:p>
            <w:pPr>
              <w:spacing w:after="0"/>
              <w:rPr>
                <w:sz w:val="18"/>
                <w:szCs w:val="18"/>
                <w:color w:val="auto"/>
              </w:rPr>
            </w:pPr>
          </w:p>
        </w:tc>
        <w:tc>
          <w:tcPr>
            <w:tcW w:w="660" w:type="dxa"/>
            <w:vAlign w:val="bottom"/>
          </w:tcPr>
          <w:p>
            <w:pPr>
              <w:jc w:val="right"/>
              <w:ind w:right="140"/>
              <w:spacing w:after="0"/>
              <w:rPr>
                <w:sz w:val="20"/>
                <w:szCs w:val="20"/>
                <w:color w:val="auto"/>
              </w:rPr>
            </w:pPr>
            <w:r>
              <w:rPr>
                <w:rFonts w:ascii="Arial" w:cs="Arial" w:eastAsia="Arial" w:hAnsi="Arial"/>
                <w:sz w:val="16"/>
                <w:szCs w:val="16"/>
                <w:color w:val="auto"/>
              </w:rPr>
              <w:t>6</w:t>
            </w:r>
          </w:p>
        </w:tc>
        <w:tc>
          <w:tcPr>
            <w:tcW w:w="1120" w:type="dxa"/>
            <w:vAlign w:val="bottom"/>
          </w:tcPr>
          <w:p>
            <w:pPr>
              <w:spacing w:after="0"/>
              <w:rPr>
                <w:sz w:val="18"/>
                <w:szCs w:val="18"/>
                <w:color w:val="auto"/>
              </w:rPr>
            </w:pPr>
          </w:p>
        </w:tc>
        <w:tc>
          <w:tcPr>
            <w:tcW w:w="58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13"/>
        </w:trPr>
        <w:tc>
          <w:tcPr>
            <w:tcW w:w="4760" w:type="dxa"/>
            <w:vAlign w:val="bottom"/>
            <w:gridSpan w:val="2"/>
          </w:tcPr>
          <w:p>
            <w:pPr>
              <w:spacing w:after="0"/>
              <w:rPr>
                <w:sz w:val="20"/>
                <w:szCs w:val="20"/>
                <w:color w:val="auto"/>
              </w:rPr>
            </w:pPr>
            <w:r>
              <w:rPr>
                <w:rFonts w:ascii="Arial" w:cs="Arial" w:eastAsia="Arial" w:hAnsi="Arial"/>
                <w:sz w:val="16"/>
                <w:szCs w:val="16"/>
                <w:color w:val="auto"/>
              </w:rPr>
              <w:t>Settlement</w:t>
            </w:r>
          </w:p>
        </w:tc>
        <w:tc>
          <w:tcPr>
            <w:tcW w:w="1040" w:type="dxa"/>
            <w:vAlign w:val="bottom"/>
          </w:tcPr>
          <w:p>
            <w:pPr>
              <w:spacing w:after="0"/>
              <w:rPr>
                <w:sz w:val="18"/>
                <w:szCs w:val="18"/>
                <w:color w:val="auto"/>
              </w:rPr>
            </w:pPr>
          </w:p>
        </w:tc>
        <w:tc>
          <w:tcPr>
            <w:tcW w:w="680" w:type="dxa"/>
            <w:vAlign w:val="bottom"/>
          </w:tcPr>
          <w:p>
            <w:pPr>
              <w:jc w:val="right"/>
              <w:ind w:right="181"/>
              <w:spacing w:after="0"/>
              <w:rPr>
                <w:sz w:val="20"/>
                <w:szCs w:val="20"/>
                <w:color w:val="auto"/>
              </w:rPr>
            </w:pPr>
            <w:r>
              <w:rPr>
                <w:rFonts w:ascii="Arial" w:cs="Arial" w:eastAsia="Arial" w:hAnsi="Arial"/>
                <w:sz w:val="16"/>
                <w:szCs w:val="16"/>
                <w:color w:val="auto"/>
              </w:rPr>
              <w:t>4</w:t>
            </w:r>
          </w:p>
        </w:tc>
        <w:tc>
          <w:tcPr>
            <w:tcW w:w="1040" w:type="dxa"/>
            <w:vAlign w:val="bottom"/>
          </w:tcPr>
          <w:p>
            <w:pPr>
              <w:spacing w:after="0"/>
              <w:rPr>
                <w:sz w:val="18"/>
                <w:szCs w:val="18"/>
                <w:color w:val="auto"/>
              </w:rPr>
            </w:pPr>
          </w:p>
        </w:tc>
        <w:tc>
          <w:tcPr>
            <w:tcW w:w="66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18"/>
                <w:szCs w:val="18"/>
                <w:color w:val="auto"/>
              </w:rPr>
            </w:pPr>
          </w:p>
        </w:tc>
        <w:tc>
          <w:tcPr>
            <w:tcW w:w="58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04"/>
        </w:trPr>
        <w:tc>
          <w:tcPr>
            <w:tcW w:w="4760" w:type="dxa"/>
            <w:vAlign w:val="bottom"/>
            <w:gridSpan w:val="2"/>
          </w:tcPr>
          <w:p>
            <w:pPr>
              <w:spacing w:after="0"/>
              <w:rPr>
                <w:sz w:val="20"/>
                <w:szCs w:val="20"/>
                <w:color w:val="auto"/>
              </w:rPr>
            </w:pPr>
            <w:r>
              <w:rPr>
                <w:rFonts w:ascii="Arial" w:cs="Arial" w:eastAsia="Arial" w:hAnsi="Arial"/>
                <w:sz w:val="16"/>
                <w:szCs w:val="16"/>
                <w:color w:val="auto"/>
              </w:rPr>
              <w:t>Regulatory adjustment</w:t>
            </w:r>
          </w:p>
        </w:tc>
        <w:tc>
          <w:tcPr>
            <w:tcW w:w="1040" w:type="dxa"/>
            <w:vAlign w:val="bottom"/>
          </w:tcPr>
          <w:p>
            <w:pPr>
              <w:spacing w:after="0"/>
              <w:rPr>
                <w:sz w:val="17"/>
                <w:szCs w:val="17"/>
                <w:color w:val="auto"/>
              </w:rPr>
            </w:pPr>
          </w:p>
        </w:tc>
        <w:tc>
          <w:tcPr>
            <w:tcW w:w="680" w:type="dxa"/>
            <w:vAlign w:val="bottom"/>
          </w:tcPr>
          <w:p>
            <w:pPr>
              <w:jc w:val="right"/>
              <w:ind w:right="301"/>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17"/>
                <w:szCs w:val="17"/>
                <w:color w:val="auto"/>
              </w:rPr>
            </w:pPr>
          </w:p>
        </w:tc>
        <w:tc>
          <w:tcPr>
            <w:tcW w:w="660" w:type="dxa"/>
            <w:vAlign w:val="bottom"/>
          </w:tcPr>
          <w:p>
            <w:pPr>
              <w:jc w:val="right"/>
              <w:ind w:right="140"/>
              <w:spacing w:after="0"/>
              <w:rPr>
                <w:sz w:val="20"/>
                <w:szCs w:val="20"/>
                <w:color w:val="auto"/>
              </w:rPr>
            </w:pPr>
            <w:r>
              <w:rPr>
                <w:rFonts w:ascii="Arial" w:cs="Arial" w:eastAsia="Arial" w:hAnsi="Arial"/>
                <w:sz w:val="16"/>
                <w:szCs w:val="16"/>
                <w:color w:val="auto"/>
              </w:rPr>
              <w:t>(17)</w:t>
            </w:r>
          </w:p>
        </w:tc>
        <w:tc>
          <w:tcPr>
            <w:tcW w:w="1120" w:type="dxa"/>
            <w:vAlign w:val="bottom"/>
          </w:tcPr>
          <w:p>
            <w:pPr>
              <w:spacing w:after="0"/>
              <w:rPr>
                <w:sz w:val="17"/>
                <w:szCs w:val="17"/>
                <w:color w:val="auto"/>
              </w:rPr>
            </w:pPr>
          </w:p>
        </w:tc>
        <w:tc>
          <w:tcPr>
            <w:tcW w:w="580" w:type="dxa"/>
            <w:vAlign w:val="bottom"/>
          </w:tcPr>
          <w:p>
            <w:pPr>
              <w:jc w:val="right"/>
              <w:ind w:right="120"/>
              <w:spacing w:after="0"/>
              <w:rPr>
                <w:sz w:val="20"/>
                <w:szCs w:val="20"/>
                <w:color w:val="auto"/>
              </w:rPr>
            </w:pPr>
            <w:r>
              <w:rPr>
                <w:rFonts w:ascii="Arial" w:cs="Arial" w:eastAsia="Arial" w:hAnsi="Arial"/>
                <w:sz w:val="16"/>
                <w:szCs w:val="16"/>
                <w:color w:val="auto"/>
              </w:rPr>
              <w:t>1</w:t>
            </w:r>
          </w:p>
        </w:tc>
        <w:tc>
          <w:tcPr>
            <w:tcW w:w="420" w:type="dxa"/>
            <w:vAlign w:val="bottom"/>
          </w:tcPr>
          <w:p>
            <w:pPr>
              <w:spacing w:after="0"/>
              <w:rPr>
                <w:sz w:val="17"/>
                <w:szCs w:val="17"/>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2</w:t>
            </w:r>
          </w:p>
        </w:tc>
      </w:tr>
      <w:tr>
        <w:trPr>
          <w:trHeight w:val="173"/>
        </w:trPr>
        <w:tc>
          <w:tcPr>
            <w:tcW w:w="4500" w:type="dxa"/>
            <w:vAlign w:val="bottom"/>
          </w:tcPr>
          <w:p>
            <w:pPr>
              <w:spacing w:after="0" w:line="166" w:lineRule="exact"/>
              <w:rPr>
                <w:sz w:val="20"/>
                <w:szCs w:val="20"/>
                <w:color w:val="auto"/>
              </w:rPr>
            </w:pPr>
            <w:r>
              <w:rPr>
                <w:rFonts w:ascii="Arial" w:cs="Arial" w:eastAsia="Arial" w:hAnsi="Arial"/>
                <w:sz w:val="16"/>
                <w:szCs w:val="16"/>
                <w:color w:val="auto"/>
              </w:rPr>
              <w:t>Total net periodic benefit cost</w:t>
            </w:r>
          </w:p>
        </w:tc>
        <w:tc>
          <w:tcPr>
            <w:tcW w:w="2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803"/>
              <w:spacing w:after="0" w:line="166" w:lineRule="exact"/>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ind w:right="181"/>
              <w:spacing w:after="0" w:line="166" w:lineRule="exact"/>
              <w:rPr>
                <w:sz w:val="20"/>
                <w:szCs w:val="20"/>
                <w:color w:val="auto"/>
              </w:rPr>
            </w:pPr>
            <w:r>
              <w:rPr>
                <w:rFonts w:ascii="Arial" w:cs="Arial" w:eastAsia="Arial" w:hAnsi="Arial"/>
                <w:sz w:val="16"/>
                <w:szCs w:val="16"/>
                <w:color w:val="auto"/>
              </w:rPr>
              <w:t>18</w:t>
            </w:r>
          </w:p>
        </w:tc>
        <w:tc>
          <w:tcPr>
            <w:tcW w:w="1040" w:type="dxa"/>
            <w:vAlign w:val="bottom"/>
            <w:tcBorders>
              <w:top w:val="single" w:sz="8" w:color="auto"/>
            </w:tcBorders>
          </w:tcPr>
          <w:p>
            <w:pPr>
              <w:jc w:val="right"/>
              <w:ind w:right="784"/>
              <w:spacing w:after="0" w:line="166" w:lineRule="exact"/>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jc w:val="right"/>
              <w:ind w:right="140"/>
              <w:spacing w:after="0" w:line="166" w:lineRule="exact"/>
              <w:rPr>
                <w:sz w:val="20"/>
                <w:szCs w:val="20"/>
                <w:color w:val="auto"/>
              </w:rPr>
            </w:pPr>
            <w:r>
              <w:rPr>
                <w:rFonts w:ascii="Arial" w:cs="Arial" w:eastAsia="Arial" w:hAnsi="Arial"/>
                <w:sz w:val="16"/>
                <w:szCs w:val="16"/>
                <w:color w:val="auto"/>
              </w:rPr>
              <w:t>4</w:t>
            </w:r>
          </w:p>
        </w:tc>
        <w:tc>
          <w:tcPr>
            <w:tcW w:w="1120" w:type="dxa"/>
            <w:vAlign w:val="bottom"/>
            <w:tcBorders>
              <w:top w:val="single" w:sz="8" w:color="auto"/>
            </w:tcBorders>
          </w:tcPr>
          <w:p>
            <w:pPr>
              <w:jc w:val="right"/>
              <w:ind w:right="844"/>
              <w:spacing w:after="0" w:line="166" w:lineRule="exact"/>
              <w:rPr>
                <w:sz w:val="20"/>
                <w:szCs w:val="20"/>
                <w:color w:val="auto"/>
              </w:rPr>
            </w:pPr>
            <w:r>
              <w:rPr>
                <w:rFonts w:ascii="Arial" w:cs="Arial" w:eastAsia="Arial" w:hAnsi="Arial"/>
                <w:sz w:val="16"/>
                <w:szCs w:val="16"/>
                <w:color w:val="auto"/>
              </w:rPr>
              <w:t>$</w:t>
            </w:r>
          </w:p>
        </w:tc>
        <w:tc>
          <w:tcPr>
            <w:tcW w:w="580" w:type="dxa"/>
            <w:vAlign w:val="bottom"/>
            <w:tcBorders>
              <w:top w:val="single" w:sz="8" w:color="auto"/>
            </w:tcBorders>
          </w:tcPr>
          <w:p>
            <w:pPr>
              <w:jc w:val="right"/>
              <w:ind w:right="260"/>
              <w:spacing w:after="0" w:line="166" w:lineRule="exact"/>
              <w:rPr>
                <w:sz w:val="20"/>
                <w:szCs w:val="20"/>
                <w:color w:val="auto"/>
              </w:rPr>
            </w:pPr>
            <w:r>
              <w:rPr>
                <w:rFonts w:ascii="Arial" w:cs="Arial" w:eastAsia="Arial" w:hAnsi="Arial"/>
                <w:sz w:val="16"/>
                <w:szCs w:val="16"/>
                <w:color w:val="auto"/>
              </w:rPr>
              <w:t>―</w:t>
            </w:r>
          </w:p>
        </w:tc>
        <w:tc>
          <w:tcPr>
            <w:tcW w:w="420" w:type="dxa"/>
            <w:vAlign w:val="bottom"/>
            <w:tcBorders>
              <w:top w:val="single" w:sz="8" w:color="auto"/>
            </w:tcBorders>
          </w:tcPr>
          <w:p>
            <w:pPr>
              <w:jc w:val="right"/>
              <w:ind w:right="120"/>
              <w:spacing w:after="0" w:line="166" w:lineRule="exact"/>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gridSpan w:val="2"/>
          </w:tcPr>
          <w:p>
            <w:pPr>
              <w:jc w:val="right"/>
              <w:ind w:right="20"/>
              <w:spacing w:after="0" w:line="166" w:lineRule="exact"/>
              <w:rPr>
                <w:sz w:val="20"/>
                <w:szCs w:val="20"/>
                <w:color w:val="auto"/>
              </w:rPr>
            </w:pPr>
            <w:r>
              <w:rPr>
                <w:rFonts w:ascii="Arial" w:cs="Arial" w:eastAsia="Arial" w:hAnsi="Arial"/>
                <w:sz w:val="16"/>
                <w:szCs w:val="16"/>
                <w:color w:val="auto"/>
              </w:rPr>
              <w:t>1</w:t>
            </w:r>
          </w:p>
        </w:tc>
      </w:tr>
      <w:tr>
        <w:trPr>
          <w:trHeight w:val="199"/>
        </w:trPr>
        <w:tc>
          <w:tcPr>
            <w:tcW w:w="450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spacing w:after="0"/>
              <w:rPr>
                <w:sz w:val="17"/>
                <w:szCs w:val="17"/>
                <w:color w:val="auto"/>
              </w:rPr>
            </w:pPr>
          </w:p>
        </w:tc>
        <w:tc>
          <w:tcPr>
            <w:tcW w:w="2820" w:type="dxa"/>
            <w:vAlign w:val="bottom"/>
            <w:tcBorders>
              <w:top w:val="single" w:sz="8" w:color="auto"/>
              <w:bottom w:val="single" w:sz="8" w:color="auto"/>
            </w:tcBorders>
            <w:gridSpan w:val="3"/>
          </w:tcPr>
          <w:p>
            <w:pPr>
              <w:jc w:val="right"/>
              <w:ind w:right="164"/>
              <w:spacing w:after="0"/>
              <w:rPr>
                <w:sz w:val="20"/>
                <w:szCs w:val="20"/>
                <w:color w:val="auto"/>
              </w:rPr>
            </w:pPr>
            <w:r>
              <w:rPr>
                <w:rFonts w:ascii="Arial" w:cs="Arial" w:eastAsia="Arial" w:hAnsi="Arial"/>
                <w:sz w:val="14"/>
                <w:szCs w:val="14"/>
                <w:color w:val="auto"/>
              </w:rPr>
              <w:t>Nine months ended September 30,</w:t>
            </w:r>
          </w:p>
        </w:tc>
        <w:tc>
          <w:tcPr>
            <w:tcW w:w="58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06"/>
        </w:trPr>
        <w:tc>
          <w:tcPr>
            <w:tcW w:w="45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color w:val="auto"/>
              </w:rPr>
              <w:t>2014</w:t>
            </w:r>
          </w:p>
        </w:tc>
        <w:tc>
          <w:tcPr>
            <w:tcW w:w="6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color w:val="auto"/>
              </w:rPr>
              <w:t>2013</w:t>
            </w:r>
          </w:p>
        </w:tc>
        <w:tc>
          <w:tcPr>
            <w:tcW w:w="6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color w:val="auto"/>
              </w:rPr>
              <w:t>2014</w:t>
            </w:r>
          </w:p>
        </w:tc>
        <w:tc>
          <w:tcPr>
            <w:tcW w:w="5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41"/>
              <w:spacing w:after="0"/>
              <w:rPr>
                <w:sz w:val="20"/>
                <w:szCs w:val="20"/>
                <w:color w:val="auto"/>
              </w:rPr>
            </w:pPr>
            <w:r>
              <w:rPr>
                <w:rFonts w:ascii="Arial" w:cs="Arial" w:eastAsia="Arial" w:hAnsi="Arial"/>
                <w:sz w:val="14"/>
                <w:szCs w:val="14"/>
                <w:color w:val="auto"/>
              </w:rPr>
              <w:t>2013</w:t>
            </w:r>
          </w:p>
        </w:tc>
        <w:tc>
          <w:tcPr>
            <w:tcW w:w="20" w:type="dxa"/>
            <w:vAlign w:val="bottom"/>
          </w:tcPr>
          <w:p>
            <w:pPr>
              <w:spacing w:after="0"/>
              <w:rPr>
                <w:sz w:val="17"/>
                <w:szCs w:val="17"/>
                <w:color w:val="auto"/>
              </w:rPr>
            </w:pPr>
          </w:p>
        </w:tc>
      </w:tr>
      <w:tr>
        <w:trPr>
          <w:trHeight w:val="186"/>
        </w:trPr>
        <w:tc>
          <w:tcPr>
            <w:tcW w:w="4760" w:type="dxa"/>
            <w:vAlign w:val="bottom"/>
            <w:gridSpan w:val="2"/>
          </w:tcPr>
          <w:p>
            <w:pPr>
              <w:spacing w:after="0"/>
              <w:rPr>
                <w:sz w:val="20"/>
                <w:szCs w:val="20"/>
                <w:color w:val="auto"/>
              </w:rPr>
            </w:pPr>
            <w:r>
              <w:rPr>
                <w:rFonts w:ascii="Arial" w:cs="Arial" w:eastAsia="Arial" w:hAnsi="Arial"/>
                <w:sz w:val="16"/>
                <w:szCs w:val="16"/>
                <w:color w:val="auto"/>
              </w:rPr>
              <w:t>Service cost</w:t>
            </w:r>
          </w:p>
        </w:tc>
        <w:tc>
          <w:tcPr>
            <w:tcW w:w="1040" w:type="dxa"/>
            <w:vAlign w:val="bottom"/>
          </w:tcPr>
          <w:p>
            <w:pPr>
              <w:jc w:val="right"/>
              <w:ind w:right="803"/>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81"/>
              <w:spacing w:after="0"/>
              <w:rPr>
                <w:sz w:val="20"/>
                <w:szCs w:val="20"/>
                <w:color w:val="auto"/>
              </w:rPr>
            </w:pPr>
            <w:r>
              <w:rPr>
                <w:rFonts w:ascii="Arial" w:cs="Arial" w:eastAsia="Arial" w:hAnsi="Arial"/>
                <w:sz w:val="16"/>
                <w:szCs w:val="16"/>
                <w:color w:val="auto"/>
              </w:rPr>
              <w:t>45</w:t>
            </w:r>
          </w:p>
        </w:tc>
        <w:tc>
          <w:tcPr>
            <w:tcW w:w="1040" w:type="dxa"/>
            <w:vAlign w:val="bottom"/>
          </w:tcPr>
          <w:p>
            <w:pPr>
              <w:jc w:val="right"/>
              <w:ind w:right="784"/>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40"/>
              <w:spacing w:after="0"/>
              <w:rPr>
                <w:sz w:val="20"/>
                <w:szCs w:val="20"/>
                <w:color w:val="auto"/>
              </w:rPr>
            </w:pPr>
            <w:r>
              <w:rPr>
                <w:rFonts w:ascii="Arial" w:cs="Arial" w:eastAsia="Arial" w:hAnsi="Arial"/>
                <w:sz w:val="16"/>
                <w:szCs w:val="16"/>
                <w:color w:val="auto"/>
              </w:rPr>
              <w:t>50</w:t>
            </w:r>
          </w:p>
        </w:tc>
        <w:tc>
          <w:tcPr>
            <w:tcW w:w="1120" w:type="dxa"/>
            <w:vAlign w:val="bottom"/>
          </w:tcPr>
          <w:p>
            <w:pPr>
              <w:jc w:val="right"/>
              <w:ind w:right="844"/>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120"/>
              <w:spacing w:after="0"/>
              <w:rPr>
                <w:sz w:val="20"/>
                <w:szCs w:val="20"/>
                <w:color w:val="auto"/>
              </w:rPr>
            </w:pPr>
            <w:r>
              <w:rPr>
                <w:rFonts w:ascii="Arial" w:cs="Arial" w:eastAsia="Arial" w:hAnsi="Arial"/>
                <w:sz w:val="16"/>
                <w:szCs w:val="16"/>
                <w:color w:val="auto"/>
              </w:rPr>
              <w:t>12</w:t>
            </w:r>
          </w:p>
        </w:tc>
        <w:tc>
          <w:tcPr>
            <w:tcW w:w="4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13</w:t>
            </w:r>
          </w:p>
        </w:tc>
        <w:tc>
          <w:tcPr>
            <w:tcW w:w="20" w:type="dxa"/>
            <w:vAlign w:val="bottom"/>
          </w:tcPr>
          <w:p>
            <w:pPr>
              <w:spacing w:after="0"/>
              <w:rPr>
                <w:sz w:val="16"/>
                <w:szCs w:val="16"/>
                <w:color w:val="auto"/>
              </w:rPr>
            </w:pPr>
          </w:p>
        </w:tc>
      </w:tr>
      <w:tr>
        <w:trPr>
          <w:trHeight w:val="201"/>
        </w:trPr>
        <w:tc>
          <w:tcPr>
            <w:tcW w:w="4760" w:type="dxa"/>
            <w:vAlign w:val="bottom"/>
            <w:gridSpan w:val="2"/>
          </w:tcPr>
          <w:p>
            <w:pPr>
              <w:spacing w:after="0"/>
              <w:rPr>
                <w:sz w:val="20"/>
                <w:szCs w:val="20"/>
                <w:color w:val="auto"/>
              </w:rPr>
            </w:pPr>
            <w:r>
              <w:rPr>
                <w:rFonts w:ascii="Arial" w:cs="Arial" w:eastAsia="Arial" w:hAnsi="Arial"/>
                <w:sz w:val="16"/>
                <w:szCs w:val="16"/>
                <w:color w:val="auto"/>
              </w:rPr>
              <w:t>Interest cost</w:t>
            </w:r>
          </w:p>
        </w:tc>
        <w:tc>
          <w:tcPr>
            <w:tcW w:w="1040" w:type="dxa"/>
            <w:vAlign w:val="bottom"/>
          </w:tcPr>
          <w:p>
            <w:pPr>
              <w:spacing w:after="0"/>
              <w:rPr>
                <w:sz w:val="17"/>
                <w:szCs w:val="17"/>
                <w:color w:val="auto"/>
              </w:rPr>
            </w:pPr>
          </w:p>
        </w:tc>
        <w:tc>
          <w:tcPr>
            <w:tcW w:w="680" w:type="dxa"/>
            <w:vAlign w:val="bottom"/>
          </w:tcPr>
          <w:p>
            <w:pPr>
              <w:jc w:val="right"/>
              <w:ind w:right="181"/>
              <w:spacing w:after="0"/>
              <w:rPr>
                <w:sz w:val="20"/>
                <w:szCs w:val="20"/>
                <w:color w:val="auto"/>
              </w:rPr>
            </w:pPr>
            <w:r>
              <w:rPr>
                <w:rFonts w:ascii="Arial" w:cs="Arial" w:eastAsia="Arial" w:hAnsi="Arial"/>
                <w:sz w:val="16"/>
                <w:szCs w:val="16"/>
                <w:color w:val="auto"/>
              </w:rPr>
              <w:t>75</w:t>
            </w:r>
          </w:p>
        </w:tc>
        <w:tc>
          <w:tcPr>
            <w:tcW w:w="1040" w:type="dxa"/>
            <w:vAlign w:val="bottom"/>
          </w:tcPr>
          <w:p>
            <w:pPr>
              <w:spacing w:after="0"/>
              <w:rPr>
                <w:sz w:val="17"/>
                <w:szCs w:val="17"/>
                <w:color w:val="auto"/>
              </w:rPr>
            </w:pPr>
          </w:p>
        </w:tc>
        <w:tc>
          <w:tcPr>
            <w:tcW w:w="660" w:type="dxa"/>
            <w:vAlign w:val="bottom"/>
          </w:tcPr>
          <w:p>
            <w:pPr>
              <w:jc w:val="right"/>
              <w:ind w:right="140"/>
              <w:spacing w:after="0"/>
              <w:rPr>
                <w:sz w:val="20"/>
                <w:szCs w:val="20"/>
                <w:color w:val="auto"/>
              </w:rPr>
            </w:pPr>
            <w:r>
              <w:rPr>
                <w:rFonts w:ascii="Arial" w:cs="Arial" w:eastAsia="Arial" w:hAnsi="Arial"/>
                <w:sz w:val="16"/>
                <w:szCs w:val="16"/>
                <w:color w:val="auto"/>
              </w:rPr>
              <w:t>68</w:t>
            </w:r>
          </w:p>
        </w:tc>
        <w:tc>
          <w:tcPr>
            <w:tcW w:w="1120" w:type="dxa"/>
            <w:vAlign w:val="bottom"/>
          </w:tcPr>
          <w:p>
            <w:pPr>
              <w:spacing w:after="0"/>
              <w:rPr>
                <w:sz w:val="17"/>
                <w:szCs w:val="17"/>
                <w:color w:val="auto"/>
              </w:rPr>
            </w:pPr>
          </w:p>
        </w:tc>
        <w:tc>
          <w:tcPr>
            <w:tcW w:w="580" w:type="dxa"/>
            <w:vAlign w:val="bottom"/>
          </w:tcPr>
          <w:p>
            <w:pPr>
              <w:jc w:val="right"/>
              <w:ind w:right="120"/>
              <w:spacing w:after="0"/>
              <w:rPr>
                <w:sz w:val="20"/>
                <w:szCs w:val="20"/>
                <w:color w:val="auto"/>
              </w:rPr>
            </w:pPr>
            <w:r>
              <w:rPr>
                <w:rFonts w:ascii="Arial" w:cs="Arial" w:eastAsia="Arial" w:hAnsi="Arial"/>
                <w:sz w:val="16"/>
                <w:szCs w:val="16"/>
                <w:color w:val="auto"/>
              </w:rPr>
              <w:t>28</w:t>
            </w:r>
          </w:p>
        </w:tc>
        <w:tc>
          <w:tcPr>
            <w:tcW w:w="420" w:type="dxa"/>
            <w:vAlign w:val="bottom"/>
          </w:tcPr>
          <w:p>
            <w:pPr>
              <w:spacing w:after="0"/>
              <w:rPr>
                <w:sz w:val="17"/>
                <w:szCs w:val="17"/>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26</w:t>
            </w:r>
          </w:p>
        </w:tc>
      </w:tr>
      <w:tr>
        <w:trPr>
          <w:trHeight w:val="213"/>
        </w:trPr>
        <w:tc>
          <w:tcPr>
            <w:tcW w:w="4760" w:type="dxa"/>
            <w:vAlign w:val="bottom"/>
            <w:gridSpan w:val="2"/>
          </w:tcPr>
          <w:p>
            <w:pPr>
              <w:spacing w:after="0"/>
              <w:rPr>
                <w:sz w:val="20"/>
                <w:szCs w:val="20"/>
                <w:color w:val="auto"/>
              </w:rPr>
            </w:pPr>
            <w:r>
              <w:rPr>
                <w:rFonts w:ascii="Arial" w:cs="Arial" w:eastAsia="Arial" w:hAnsi="Arial"/>
                <w:sz w:val="16"/>
                <w:szCs w:val="16"/>
                <w:color w:val="auto"/>
              </w:rPr>
              <w:t>Expected return on assets</w:t>
            </w:r>
          </w:p>
        </w:tc>
        <w:tc>
          <w:tcPr>
            <w:tcW w:w="1040" w:type="dxa"/>
            <w:vAlign w:val="bottom"/>
          </w:tcPr>
          <w:p>
            <w:pPr>
              <w:spacing w:after="0"/>
              <w:rPr>
                <w:sz w:val="18"/>
                <w:szCs w:val="18"/>
                <w:color w:val="auto"/>
              </w:rPr>
            </w:pPr>
          </w:p>
        </w:tc>
        <w:tc>
          <w:tcPr>
            <w:tcW w:w="680" w:type="dxa"/>
            <w:vAlign w:val="bottom"/>
          </w:tcPr>
          <w:p>
            <w:pPr>
              <w:jc w:val="right"/>
              <w:ind w:right="181"/>
              <w:spacing w:after="0"/>
              <w:rPr>
                <w:sz w:val="20"/>
                <w:szCs w:val="20"/>
                <w:color w:val="auto"/>
              </w:rPr>
            </w:pPr>
            <w:r>
              <w:rPr>
                <w:rFonts w:ascii="Arial" w:cs="Arial" w:eastAsia="Arial" w:hAnsi="Arial"/>
                <w:sz w:val="16"/>
                <w:szCs w:val="16"/>
                <w:color w:val="auto"/>
              </w:rPr>
              <w:t>(78)</w:t>
            </w:r>
          </w:p>
        </w:tc>
        <w:tc>
          <w:tcPr>
            <w:tcW w:w="1040" w:type="dxa"/>
            <w:vAlign w:val="bottom"/>
          </w:tcPr>
          <w:p>
            <w:pPr>
              <w:spacing w:after="0"/>
              <w:rPr>
                <w:sz w:val="18"/>
                <w:szCs w:val="18"/>
                <w:color w:val="auto"/>
              </w:rPr>
            </w:pPr>
          </w:p>
        </w:tc>
        <w:tc>
          <w:tcPr>
            <w:tcW w:w="660" w:type="dxa"/>
            <w:vAlign w:val="bottom"/>
          </w:tcPr>
          <w:p>
            <w:pPr>
              <w:jc w:val="right"/>
              <w:ind w:right="140"/>
              <w:spacing w:after="0"/>
              <w:rPr>
                <w:sz w:val="20"/>
                <w:szCs w:val="20"/>
                <w:color w:val="auto"/>
              </w:rPr>
            </w:pPr>
            <w:r>
              <w:rPr>
                <w:rFonts w:ascii="Arial" w:cs="Arial" w:eastAsia="Arial" w:hAnsi="Arial"/>
                <w:sz w:val="16"/>
                <w:szCs w:val="16"/>
                <w:color w:val="auto"/>
              </w:rPr>
              <w:t>(73)</w:t>
            </w:r>
          </w:p>
        </w:tc>
        <w:tc>
          <w:tcPr>
            <w:tcW w:w="1120" w:type="dxa"/>
            <w:vAlign w:val="bottom"/>
          </w:tcPr>
          <w:p>
            <w:pPr>
              <w:spacing w:after="0"/>
              <w:rPr>
                <w:sz w:val="18"/>
                <w:szCs w:val="18"/>
                <w:color w:val="auto"/>
              </w:rPr>
            </w:pPr>
          </w:p>
        </w:tc>
        <w:tc>
          <w:tcPr>
            <w:tcW w:w="580" w:type="dxa"/>
            <w:vAlign w:val="bottom"/>
          </w:tcPr>
          <w:p>
            <w:pPr>
              <w:jc w:val="right"/>
              <w:ind w:right="120"/>
              <w:spacing w:after="0"/>
              <w:rPr>
                <w:sz w:val="20"/>
                <w:szCs w:val="20"/>
                <w:color w:val="auto"/>
              </w:rPr>
            </w:pPr>
            <w:r>
              <w:rPr>
                <w:rFonts w:ascii="Arial" w:cs="Arial" w:eastAsia="Arial" w:hAnsi="Arial"/>
                <w:sz w:val="16"/>
                <w:szCs w:val="16"/>
                <w:color w:val="auto"/>
              </w:rPr>
              <w:t>(38)</w:t>
            </w: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w:t>
            </w:r>
          </w:p>
        </w:tc>
        <w:tc>
          <w:tcPr>
            <w:tcW w:w="20" w:type="dxa"/>
            <w:vAlign w:val="bottom"/>
          </w:tcPr>
          <w:p>
            <w:pPr>
              <w:spacing w:after="0"/>
              <w:rPr>
                <w:sz w:val="18"/>
                <w:szCs w:val="18"/>
                <w:color w:val="auto"/>
              </w:rPr>
            </w:pPr>
          </w:p>
        </w:tc>
      </w:tr>
      <w:tr>
        <w:trPr>
          <w:trHeight w:val="213"/>
        </w:trPr>
        <w:tc>
          <w:tcPr>
            <w:tcW w:w="4760" w:type="dxa"/>
            <w:vAlign w:val="bottom"/>
            <w:gridSpan w:val="2"/>
          </w:tcPr>
          <w:p>
            <w:pPr>
              <w:spacing w:after="0"/>
              <w:rPr>
                <w:sz w:val="20"/>
                <w:szCs w:val="20"/>
                <w:color w:val="auto"/>
              </w:rPr>
            </w:pPr>
            <w:r>
              <w:rPr>
                <w:rFonts w:ascii="Arial" w:cs="Arial" w:eastAsia="Arial" w:hAnsi="Arial"/>
                <w:sz w:val="16"/>
                <w:szCs w:val="16"/>
                <w:color w:val="auto"/>
              </w:rPr>
              <w:t>Amortization of:</w:t>
            </w: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4760" w:type="dxa"/>
            <w:vAlign w:val="bottom"/>
            <w:gridSpan w:val="2"/>
          </w:tcPr>
          <w:p>
            <w:pPr>
              <w:ind w:left="180"/>
              <w:spacing w:after="0"/>
              <w:rPr>
                <w:sz w:val="20"/>
                <w:szCs w:val="20"/>
                <w:color w:val="auto"/>
              </w:rPr>
            </w:pPr>
            <w:r>
              <w:rPr>
                <w:rFonts w:ascii="Arial" w:cs="Arial" w:eastAsia="Arial" w:hAnsi="Arial"/>
                <w:sz w:val="16"/>
                <w:szCs w:val="16"/>
                <w:color w:val="auto"/>
              </w:rPr>
              <w:t>Prior service cost (credit)</w:t>
            </w:r>
          </w:p>
        </w:tc>
        <w:tc>
          <w:tcPr>
            <w:tcW w:w="1040" w:type="dxa"/>
            <w:vAlign w:val="bottom"/>
          </w:tcPr>
          <w:p>
            <w:pPr>
              <w:spacing w:after="0"/>
              <w:rPr>
                <w:sz w:val="18"/>
                <w:szCs w:val="18"/>
                <w:color w:val="auto"/>
              </w:rPr>
            </w:pPr>
          </w:p>
        </w:tc>
        <w:tc>
          <w:tcPr>
            <w:tcW w:w="680" w:type="dxa"/>
            <w:vAlign w:val="bottom"/>
          </w:tcPr>
          <w:p>
            <w:pPr>
              <w:jc w:val="right"/>
              <w:ind w:right="181"/>
              <w:spacing w:after="0"/>
              <w:rPr>
                <w:sz w:val="20"/>
                <w:szCs w:val="20"/>
                <w:color w:val="auto"/>
              </w:rPr>
            </w:pPr>
            <w:r>
              <w:rPr>
                <w:rFonts w:ascii="Arial" w:cs="Arial" w:eastAsia="Arial" w:hAnsi="Arial"/>
                <w:sz w:val="16"/>
                <w:szCs w:val="16"/>
                <w:color w:val="auto"/>
              </w:rPr>
              <w:t>6</w:t>
            </w:r>
          </w:p>
        </w:tc>
        <w:tc>
          <w:tcPr>
            <w:tcW w:w="1040" w:type="dxa"/>
            <w:vAlign w:val="bottom"/>
          </w:tcPr>
          <w:p>
            <w:pPr>
              <w:spacing w:after="0"/>
              <w:rPr>
                <w:sz w:val="18"/>
                <w:szCs w:val="18"/>
                <w:color w:val="auto"/>
              </w:rPr>
            </w:pPr>
          </w:p>
        </w:tc>
        <w:tc>
          <w:tcPr>
            <w:tcW w:w="660" w:type="dxa"/>
            <w:vAlign w:val="bottom"/>
          </w:tcPr>
          <w:p>
            <w:pPr>
              <w:jc w:val="right"/>
              <w:ind w:right="140"/>
              <w:spacing w:after="0"/>
              <w:rPr>
                <w:sz w:val="20"/>
                <w:szCs w:val="20"/>
                <w:color w:val="auto"/>
              </w:rPr>
            </w:pPr>
            <w:r>
              <w:rPr>
                <w:rFonts w:ascii="Arial" w:cs="Arial" w:eastAsia="Arial" w:hAnsi="Arial"/>
                <w:sz w:val="16"/>
                <w:szCs w:val="16"/>
                <w:color w:val="auto"/>
              </w:rPr>
              <w:t>1</w:t>
            </w:r>
          </w:p>
        </w:tc>
        <w:tc>
          <w:tcPr>
            <w:tcW w:w="1120" w:type="dxa"/>
            <w:vAlign w:val="bottom"/>
          </w:tcPr>
          <w:p>
            <w:pPr>
              <w:spacing w:after="0"/>
              <w:rPr>
                <w:sz w:val="18"/>
                <w:szCs w:val="18"/>
                <w:color w:val="auto"/>
              </w:rPr>
            </w:pPr>
          </w:p>
        </w:tc>
        <w:tc>
          <w:tcPr>
            <w:tcW w:w="580" w:type="dxa"/>
            <w:vAlign w:val="bottom"/>
          </w:tcPr>
          <w:p>
            <w:pPr>
              <w:jc w:val="right"/>
              <w:ind w:right="120"/>
              <w:spacing w:after="0"/>
              <w:rPr>
                <w:sz w:val="20"/>
                <w:szCs w:val="20"/>
                <w:color w:val="auto"/>
              </w:rPr>
            </w:pPr>
            <w:r>
              <w:rPr>
                <w:rFonts w:ascii="Arial" w:cs="Arial" w:eastAsia="Arial" w:hAnsi="Arial"/>
                <w:sz w:val="16"/>
                <w:szCs w:val="16"/>
                <w:color w:val="auto"/>
              </w:rPr>
              <w:t>(6)</w:t>
            </w: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w:t>
            </w:r>
          </w:p>
        </w:tc>
        <w:tc>
          <w:tcPr>
            <w:tcW w:w="20" w:type="dxa"/>
            <w:vAlign w:val="bottom"/>
          </w:tcPr>
          <w:p>
            <w:pPr>
              <w:spacing w:after="0"/>
              <w:rPr>
                <w:sz w:val="18"/>
                <w:szCs w:val="18"/>
                <w:color w:val="auto"/>
              </w:rPr>
            </w:pPr>
          </w:p>
        </w:tc>
      </w:tr>
      <w:tr>
        <w:trPr>
          <w:trHeight w:val="213"/>
        </w:trPr>
        <w:tc>
          <w:tcPr>
            <w:tcW w:w="4760" w:type="dxa"/>
            <w:vAlign w:val="bottom"/>
            <w:gridSpan w:val="2"/>
          </w:tcPr>
          <w:p>
            <w:pPr>
              <w:ind w:left="180"/>
              <w:spacing w:after="0"/>
              <w:rPr>
                <w:sz w:val="20"/>
                <w:szCs w:val="20"/>
                <w:color w:val="auto"/>
              </w:rPr>
            </w:pPr>
            <w:r>
              <w:rPr>
                <w:rFonts w:ascii="Arial" w:cs="Arial" w:eastAsia="Arial" w:hAnsi="Arial"/>
                <w:sz w:val="16"/>
                <w:szCs w:val="16"/>
                <w:color w:val="auto"/>
              </w:rPr>
              <w:t>Actuarial loss</w:t>
            </w:r>
          </w:p>
        </w:tc>
        <w:tc>
          <w:tcPr>
            <w:tcW w:w="1040" w:type="dxa"/>
            <w:vAlign w:val="bottom"/>
          </w:tcPr>
          <w:p>
            <w:pPr>
              <w:spacing w:after="0"/>
              <w:rPr>
                <w:sz w:val="18"/>
                <w:szCs w:val="18"/>
                <w:color w:val="auto"/>
              </w:rPr>
            </w:pPr>
          </w:p>
        </w:tc>
        <w:tc>
          <w:tcPr>
            <w:tcW w:w="680" w:type="dxa"/>
            <w:vAlign w:val="bottom"/>
          </w:tcPr>
          <w:p>
            <w:pPr>
              <w:jc w:val="right"/>
              <w:ind w:right="181"/>
              <w:spacing w:after="0"/>
              <w:rPr>
                <w:sz w:val="20"/>
                <w:szCs w:val="20"/>
                <w:color w:val="auto"/>
              </w:rPr>
            </w:pPr>
            <w:r>
              <w:rPr>
                <w:rFonts w:ascii="Arial" w:cs="Arial" w:eastAsia="Arial" w:hAnsi="Arial"/>
                <w:sz w:val="16"/>
                <w:szCs w:val="16"/>
                <w:color w:val="auto"/>
              </w:rPr>
              <w:t>5</w:t>
            </w:r>
          </w:p>
        </w:tc>
        <w:tc>
          <w:tcPr>
            <w:tcW w:w="1040" w:type="dxa"/>
            <w:vAlign w:val="bottom"/>
          </w:tcPr>
          <w:p>
            <w:pPr>
              <w:spacing w:after="0"/>
              <w:rPr>
                <w:sz w:val="18"/>
                <w:szCs w:val="18"/>
                <w:color w:val="auto"/>
              </w:rPr>
            </w:pPr>
          </w:p>
        </w:tc>
        <w:tc>
          <w:tcPr>
            <w:tcW w:w="660" w:type="dxa"/>
            <w:vAlign w:val="bottom"/>
          </w:tcPr>
          <w:p>
            <w:pPr>
              <w:jc w:val="right"/>
              <w:ind w:right="140"/>
              <w:spacing w:after="0"/>
              <w:rPr>
                <w:sz w:val="20"/>
                <w:szCs w:val="20"/>
                <w:color w:val="auto"/>
              </w:rPr>
            </w:pPr>
            <w:r>
              <w:rPr>
                <w:rFonts w:ascii="Arial" w:cs="Arial" w:eastAsia="Arial" w:hAnsi="Arial"/>
                <w:sz w:val="16"/>
                <w:szCs w:val="16"/>
                <w:color w:val="auto"/>
              </w:rPr>
              <w:t>23</w:t>
            </w:r>
          </w:p>
        </w:tc>
        <w:tc>
          <w:tcPr>
            <w:tcW w:w="1120" w:type="dxa"/>
            <w:vAlign w:val="bottom"/>
          </w:tcPr>
          <w:p>
            <w:pPr>
              <w:spacing w:after="0"/>
              <w:rPr>
                <w:sz w:val="18"/>
                <w:szCs w:val="18"/>
                <w:color w:val="auto"/>
              </w:rPr>
            </w:pPr>
          </w:p>
        </w:tc>
        <w:tc>
          <w:tcPr>
            <w:tcW w:w="58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4</w:t>
            </w:r>
          </w:p>
        </w:tc>
      </w:tr>
      <w:tr>
        <w:trPr>
          <w:trHeight w:val="213"/>
        </w:trPr>
        <w:tc>
          <w:tcPr>
            <w:tcW w:w="4760" w:type="dxa"/>
            <w:vAlign w:val="bottom"/>
            <w:gridSpan w:val="2"/>
          </w:tcPr>
          <w:p>
            <w:pPr>
              <w:spacing w:after="0"/>
              <w:rPr>
                <w:sz w:val="20"/>
                <w:szCs w:val="20"/>
                <w:color w:val="auto"/>
              </w:rPr>
            </w:pPr>
            <w:r>
              <w:rPr>
                <w:rFonts w:ascii="Arial" w:cs="Arial" w:eastAsia="Arial" w:hAnsi="Arial"/>
                <w:sz w:val="16"/>
                <w:szCs w:val="16"/>
                <w:color w:val="auto"/>
              </w:rPr>
              <w:t>Settlement</w:t>
            </w:r>
          </w:p>
        </w:tc>
        <w:tc>
          <w:tcPr>
            <w:tcW w:w="1040" w:type="dxa"/>
            <w:vAlign w:val="bottom"/>
          </w:tcPr>
          <w:p>
            <w:pPr>
              <w:spacing w:after="0"/>
              <w:rPr>
                <w:sz w:val="18"/>
                <w:szCs w:val="18"/>
                <w:color w:val="auto"/>
              </w:rPr>
            </w:pPr>
          </w:p>
        </w:tc>
        <w:tc>
          <w:tcPr>
            <w:tcW w:w="680" w:type="dxa"/>
            <w:vAlign w:val="bottom"/>
          </w:tcPr>
          <w:p>
            <w:pPr>
              <w:jc w:val="right"/>
              <w:ind w:right="181"/>
              <w:spacing w:after="0"/>
              <w:rPr>
                <w:sz w:val="20"/>
                <w:szCs w:val="20"/>
                <w:color w:val="auto"/>
              </w:rPr>
            </w:pPr>
            <w:r>
              <w:rPr>
                <w:rFonts w:ascii="Arial" w:cs="Arial" w:eastAsia="Arial" w:hAnsi="Arial"/>
                <w:sz w:val="16"/>
                <w:szCs w:val="16"/>
                <w:color w:val="auto"/>
              </w:rPr>
              <w:t>4</w:t>
            </w:r>
          </w:p>
        </w:tc>
        <w:tc>
          <w:tcPr>
            <w:tcW w:w="1040" w:type="dxa"/>
            <w:vAlign w:val="bottom"/>
          </w:tcPr>
          <w:p>
            <w:pPr>
              <w:spacing w:after="0"/>
              <w:rPr>
                <w:sz w:val="18"/>
                <w:szCs w:val="18"/>
                <w:color w:val="auto"/>
              </w:rPr>
            </w:pPr>
          </w:p>
        </w:tc>
        <w:tc>
          <w:tcPr>
            <w:tcW w:w="66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18"/>
                <w:szCs w:val="18"/>
                <w:color w:val="auto"/>
              </w:rPr>
            </w:pPr>
          </w:p>
        </w:tc>
        <w:tc>
          <w:tcPr>
            <w:tcW w:w="58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04"/>
        </w:trPr>
        <w:tc>
          <w:tcPr>
            <w:tcW w:w="4760" w:type="dxa"/>
            <w:vAlign w:val="bottom"/>
            <w:gridSpan w:val="2"/>
          </w:tcPr>
          <w:p>
            <w:pPr>
              <w:spacing w:after="0"/>
              <w:rPr>
                <w:sz w:val="20"/>
                <w:szCs w:val="20"/>
                <w:color w:val="auto"/>
              </w:rPr>
            </w:pPr>
            <w:r>
              <w:rPr>
                <w:rFonts w:ascii="Arial" w:cs="Arial" w:eastAsia="Arial" w:hAnsi="Arial"/>
                <w:sz w:val="16"/>
                <w:szCs w:val="16"/>
                <w:color w:val="auto"/>
              </w:rPr>
              <w:t>Regulatory adjustment</w:t>
            </w:r>
          </w:p>
        </w:tc>
        <w:tc>
          <w:tcPr>
            <w:tcW w:w="1040" w:type="dxa"/>
            <w:vAlign w:val="bottom"/>
          </w:tcPr>
          <w:p>
            <w:pPr>
              <w:spacing w:after="0"/>
              <w:rPr>
                <w:sz w:val="17"/>
                <w:szCs w:val="17"/>
                <w:color w:val="auto"/>
              </w:rPr>
            </w:pPr>
          </w:p>
        </w:tc>
        <w:tc>
          <w:tcPr>
            <w:tcW w:w="680" w:type="dxa"/>
            <w:vAlign w:val="bottom"/>
          </w:tcPr>
          <w:p>
            <w:pPr>
              <w:jc w:val="right"/>
              <w:ind w:right="181"/>
              <w:spacing w:after="0"/>
              <w:rPr>
                <w:sz w:val="20"/>
                <w:szCs w:val="20"/>
                <w:color w:val="auto"/>
              </w:rPr>
            </w:pPr>
            <w:r>
              <w:rPr>
                <w:rFonts w:ascii="Arial" w:cs="Arial" w:eastAsia="Arial" w:hAnsi="Arial"/>
                <w:sz w:val="16"/>
                <w:szCs w:val="16"/>
                <w:color w:val="auto"/>
              </w:rPr>
              <w:t>(25)</w:t>
            </w:r>
          </w:p>
        </w:tc>
        <w:tc>
          <w:tcPr>
            <w:tcW w:w="1040" w:type="dxa"/>
            <w:vAlign w:val="bottom"/>
          </w:tcPr>
          <w:p>
            <w:pPr>
              <w:spacing w:after="0"/>
              <w:rPr>
                <w:sz w:val="17"/>
                <w:szCs w:val="17"/>
                <w:color w:val="auto"/>
              </w:rPr>
            </w:pPr>
          </w:p>
        </w:tc>
        <w:tc>
          <w:tcPr>
            <w:tcW w:w="660" w:type="dxa"/>
            <w:vAlign w:val="bottom"/>
          </w:tcPr>
          <w:p>
            <w:pPr>
              <w:jc w:val="right"/>
              <w:ind w:right="140"/>
              <w:spacing w:after="0"/>
              <w:rPr>
                <w:sz w:val="20"/>
                <w:szCs w:val="20"/>
                <w:color w:val="auto"/>
              </w:rPr>
            </w:pPr>
            <w:r>
              <w:rPr>
                <w:rFonts w:ascii="Arial" w:cs="Arial" w:eastAsia="Arial" w:hAnsi="Arial"/>
                <w:sz w:val="16"/>
                <w:szCs w:val="16"/>
                <w:color w:val="auto"/>
              </w:rPr>
              <w:t>(62)</w:t>
            </w:r>
          </w:p>
        </w:tc>
        <w:tc>
          <w:tcPr>
            <w:tcW w:w="1120" w:type="dxa"/>
            <w:vAlign w:val="bottom"/>
          </w:tcPr>
          <w:p>
            <w:pPr>
              <w:spacing w:after="0"/>
              <w:rPr>
                <w:sz w:val="17"/>
                <w:szCs w:val="17"/>
                <w:color w:val="auto"/>
              </w:rPr>
            </w:pPr>
          </w:p>
        </w:tc>
        <w:tc>
          <w:tcPr>
            <w:tcW w:w="580" w:type="dxa"/>
            <w:vAlign w:val="bottom"/>
          </w:tcPr>
          <w:p>
            <w:pPr>
              <w:jc w:val="right"/>
              <w:ind w:right="120"/>
              <w:spacing w:after="0"/>
              <w:rPr>
                <w:sz w:val="20"/>
                <w:szCs w:val="20"/>
                <w:color w:val="auto"/>
              </w:rPr>
            </w:pPr>
            <w:r>
              <w:rPr>
                <w:rFonts w:ascii="Arial" w:cs="Arial" w:eastAsia="Arial" w:hAnsi="Arial"/>
                <w:sz w:val="16"/>
                <w:szCs w:val="16"/>
                <w:color w:val="auto"/>
              </w:rPr>
              <w:t>4</w:t>
            </w:r>
          </w:p>
        </w:tc>
        <w:tc>
          <w:tcPr>
            <w:tcW w:w="420" w:type="dxa"/>
            <w:vAlign w:val="bottom"/>
          </w:tcPr>
          <w:p>
            <w:pPr>
              <w:spacing w:after="0"/>
              <w:rPr>
                <w:sz w:val="17"/>
                <w:szCs w:val="17"/>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6</w:t>
            </w:r>
          </w:p>
        </w:tc>
      </w:tr>
      <w:tr>
        <w:trPr>
          <w:trHeight w:val="173"/>
        </w:trPr>
        <w:tc>
          <w:tcPr>
            <w:tcW w:w="4500" w:type="dxa"/>
            <w:vAlign w:val="bottom"/>
            <w:tcBorders>
              <w:bottom w:val="single" w:sz="8" w:color="auto"/>
            </w:tcBorders>
          </w:tcPr>
          <w:p>
            <w:pPr>
              <w:spacing w:after="0" w:line="166" w:lineRule="exact"/>
              <w:rPr>
                <w:sz w:val="20"/>
                <w:szCs w:val="20"/>
                <w:color w:val="auto"/>
              </w:rPr>
            </w:pPr>
            <w:r>
              <w:rPr>
                <w:rFonts w:ascii="Arial" w:cs="Arial" w:eastAsia="Arial" w:hAnsi="Arial"/>
                <w:sz w:val="16"/>
                <w:szCs w:val="16"/>
                <w:color w:val="auto"/>
              </w:rPr>
              <w:t>Total net periodic benefit cost</w:t>
            </w:r>
          </w:p>
        </w:tc>
        <w:tc>
          <w:tcPr>
            <w:tcW w:w="26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803"/>
              <w:spacing w:after="0" w:line="166" w:lineRule="exact"/>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tcPr>
          <w:p>
            <w:pPr>
              <w:jc w:val="right"/>
              <w:ind w:right="181"/>
              <w:spacing w:after="0" w:line="166" w:lineRule="exact"/>
              <w:rPr>
                <w:sz w:val="20"/>
                <w:szCs w:val="20"/>
                <w:color w:val="auto"/>
              </w:rPr>
            </w:pPr>
            <w:r>
              <w:rPr>
                <w:rFonts w:ascii="Arial" w:cs="Arial" w:eastAsia="Arial" w:hAnsi="Arial"/>
                <w:sz w:val="16"/>
                <w:szCs w:val="16"/>
                <w:color w:val="auto"/>
              </w:rPr>
              <w:t>32</w:t>
            </w:r>
          </w:p>
        </w:tc>
        <w:tc>
          <w:tcPr>
            <w:tcW w:w="1040" w:type="dxa"/>
            <w:vAlign w:val="bottom"/>
            <w:tcBorders>
              <w:top w:val="single" w:sz="8" w:color="auto"/>
              <w:bottom w:val="single" w:sz="8" w:color="auto"/>
            </w:tcBorders>
          </w:tcPr>
          <w:p>
            <w:pPr>
              <w:jc w:val="right"/>
              <w:ind w:right="784"/>
              <w:spacing w:after="0" w:line="166" w:lineRule="exact"/>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tcPr>
          <w:p>
            <w:pPr>
              <w:jc w:val="right"/>
              <w:ind w:right="140"/>
              <w:spacing w:after="0" w:line="166" w:lineRule="exact"/>
              <w:rPr>
                <w:sz w:val="20"/>
                <w:szCs w:val="20"/>
                <w:color w:val="auto"/>
              </w:rPr>
            </w:pPr>
            <w:r>
              <w:rPr>
                <w:rFonts w:ascii="Arial" w:cs="Arial" w:eastAsia="Arial" w:hAnsi="Arial"/>
                <w:sz w:val="16"/>
                <w:szCs w:val="16"/>
                <w:color w:val="auto"/>
              </w:rPr>
              <w:t>7</w:t>
            </w:r>
          </w:p>
        </w:tc>
        <w:tc>
          <w:tcPr>
            <w:tcW w:w="1120" w:type="dxa"/>
            <w:vAlign w:val="bottom"/>
            <w:tcBorders>
              <w:top w:val="single" w:sz="8" w:color="auto"/>
              <w:bottom w:val="single" w:sz="8" w:color="auto"/>
            </w:tcBorders>
          </w:tcPr>
          <w:p>
            <w:pPr>
              <w:jc w:val="right"/>
              <w:ind w:right="844"/>
              <w:spacing w:after="0" w:line="166" w:lineRule="exact"/>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auto"/>
            </w:tcBorders>
          </w:tcPr>
          <w:p>
            <w:pPr>
              <w:jc w:val="right"/>
              <w:ind w:right="260"/>
              <w:spacing w:after="0" w:line="166" w:lineRule="exact"/>
              <w:rPr>
                <w:sz w:val="20"/>
                <w:szCs w:val="20"/>
                <w:color w:val="auto"/>
              </w:rPr>
            </w:pPr>
            <w:r>
              <w:rPr>
                <w:rFonts w:ascii="Arial" w:cs="Arial" w:eastAsia="Arial" w:hAnsi="Arial"/>
                <w:sz w:val="16"/>
                <w:szCs w:val="16"/>
                <w:color w:val="auto"/>
              </w:rPr>
              <w:t>―</w:t>
            </w:r>
          </w:p>
        </w:tc>
        <w:tc>
          <w:tcPr>
            <w:tcW w:w="420" w:type="dxa"/>
            <w:vAlign w:val="bottom"/>
            <w:tcBorders>
              <w:top w:val="single" w:sz="8" w:color="auto"/>
              <w:bottom w:val="single" w:sz="8" w:color="auto"/>
            </w:tcBorders>
          </w:tcPr>
          <w:p>
            <w:pPr>
              <w:jc w:val="right"/>
              <w:ind w:right="120"/>
              <w:spacing w:after="0" w:line="166" w:lineRule="exact"/>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gridSpan w:val="2"/>
          </w:tcPr>
          <w:p>
            <w:pPr>
              <w:jc w:val="right"/>
              <w:ind w:right="20"/>
              <w:spacing w:after="0" w:line="166" w:lineRule="exact"/>
              <w:rPr>
                <w:sz w:val="20"/>
                <w:szCs w:val="20"/>
                <w:color w:val="auto"/>
              </w:rPr>
            </w:pPr>
            <w:r>
              <w:rPr>
                <w:rFonts w:ascii="Arial" w:cs="Arial" w:eastAsia="Arial" w:hAnsi="Arial"/>
                <w:sz w:val="16"/>
                <w:szCs w:val="16"/>
                <w:color w:val="auto"/>
              </w:rPr>
              <w:t>7</w:t>
            </w:r>
          </w:p>
        </w:tc>
      </w:tr>
    </w:tbl>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Benefit Plan Contributions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our year-to-date contributions to pension and other postretirement benefit plans and the amounts we expect to contribute in 2014:</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2560" w:type="dxa"/>
            <w:vAlign w:val="bottom"/>
          </w:tcPr>
          <w:p>
            <w:pPr>
              <w:jc w:val="right"/>
              <w:ind w:right="65"/>
              <w:spacing w:after="0"/>
              <w:rPr>
                <w:sz w:val="20"/>
                <w:szCs w:val="20"/>
                <w:color w:val="auto"/>
              </w:rPr>
            </w:pPr>
            <w:r>
              <w:rPr>
                <w:rFonts w:ascii="Arial" w:cs="Arial" w:eastAsia="Arial" w:hAnsi="Arial"/>
                <w:sz w:val="14"/>
                <w:szCs w:val="14"/>
                <w:color w:val="auto"/>
              </w:rPr>
              <w:t>Sempra Energy</w:t>
            </w:r>
          </w:p>
        </w:tc>
        <w:tc>
          <w:tcPr>
            <w:tcW w:w="6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380" w:type="dxa"/>
            <w:vAlign w:val="bottom"/>
            <w:tcBorders>
              <w:bottom w:val="single" w:sz="8" w:color="auto"/>
            </w:tcBorders>
            <w:vMerge w:val="continue"/>
          </w:tcPr>
          <w:p>
            <w:pPr>
              <w:spacing w:after="0"/>
              <w:rPr>
                <w:sz w:val="13"/>
                <w:szCs w:val="13"/>
                <w:color w:val="auto"/>
              </w:rPr>
            </w:pPr>
          </w:p>
        </w:tc>
        <w:tc>
          <w:tcPr>
            <w:tcW w:w="2560" w:type="dxa"/>
            <w:vAlign w:val="bottom"/>
            <w:tcBorders>
              <w:bottom w:val="single" w:sz="8" w:color="auto"/>
            </w:tcBorders>
          </w:tcPr>
          <w:p>
            <w:pPr>
              <w:jc w:val="right"/>
              <w:ind w:right="145"/>
              <w:spacing w:after="0" w:line="155" w:lineRule="exact"/>
              <w:rPr>
                <w:sz w:val="20"/>
                <w:szCs w:val="20"/>
                <w:color w:val="auto"/>
              </w:rPr>
            </w:pPr>
            <w:r>
              <w:rPr>
                <w:rFonts w:ascii="Arial" w:cs="Arial" w:eastAsia="Arial" w:hAnsi="Arial"/>
                <w:sz w:val="14"/>
                <w:szCs w:val="14"/>
                <w:color w:val="auto"/>
              </w:rPr>
              <w:t>Consolidated</w:t>
            </w:r>
          </w:p>
        </w:tc>
        <w:tc>
          <w:tcPr>
            <w:tcW w:w="6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223"/>
              <w:spacing w:after="0" w:line="155" w:lineRule="exact"/>
              <w:rPr>
                <w:sz w:val="20"/>
                <w:szCs w:val="20"/>
                <w:color w:val="auto"/>
              </w:rPr>
            </w:pPr>
            <w:r>
              <w:rPr>
                <w:rFonts w:ascii="Arial" w:cs="Arial" w:eastAsia="Arial" w:hAnsi="Arial"/>
                <w:sz w:val="14"/>
                <w:szCs w:val="14"/>
                <w:color w:val="auto"/>
              </w:rPr>
              <w:t>SDG&amp;E</w:t>
            </w:r>
          </w:p>
        </w:tc>
        <w:tc>
          <w:tcPr>
            <w:tcW w:w="6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color w:val="auto"/>
              </w:rPr>
              <w:t>SoCalGas</w:t>
            </w:r>
          </w:p>
        </w:tc>
        <w:tc>
          <w:tcPr>
            <w:tcW w:w="0" w:type="dxa"/>
            <w:vAlign w:val="bottom"/>
          </w:tcPr>
          <w:p>
            <w:pPr>
              <w:spacing w:after="0"/>
              <w:rPr>
                <w:sz w:val="1"/>
                <w:szCs w:val="1"/>
                <w:color w:val="auto"/>
              </w:rPr>
            </w:pPr>
          </w:p>
        </w:tc>
      </w:tr>
      <w:tr>
        <w:trPr>
          <w:trHeight w:val="194"/>
        </w:trPr>
        <w:tc>
          <w:tcPr>
            <w:tcW w:w="4380" w:type="dxa"/>
            <w:vAlign w:val="bottom"/>
          </w:tcPr>
          <w:p>
            <w:pPr>
              <w:spacing w:after="0"/>
              <w:rPr>
                <w:sz w:val="20"/>
                <w:szCs w:val="20"/>
                <w:color w:val="auto"/>
              </w:rPr>
            </w:pPr>
            <w:r>
              <w:rPr>
                <w:rFonts w:ascii="Arial" w:cs="Arial" w:eastAsia="Arial" w:hAnsi="Arial"/>
                <w:sz w:val="16"/>
                <w:szCs w:val="16"/>
                <w:color w:val="auto"/>
              </w:rPr>
              <w:t>Contributions through September 30, 2014:</w:t>
            </w:r>
          </w:p>
        </w:tc>
        <w:tc>
          <w:tcPr>
            <w:tcW w:w="2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380" w:type="dxa"/>
            <w:vAlign w:val="bottom"/>
          </w:tcPr>
          <w:p>
            <w:pPr>
              <w:ind w:left="180"/>
              <w:spacing w:after="0"/>
              <w:rPr>
                <w:sz w:val="20"/>
                <w:szCs w:val="20"/>
                <w:color w:val="auto"/>
              </w:rPr>
            </w:pPr>
            <w:r>
              <w:rPr>
                <w:rFonts w:ascii="Arial" w:cs="Arial" w:eastAsia="Arial" w:hAnsi="Arial"/>
                <w:sz w:val="16"/>
                <w:szCs w:val="16"/>
                <w:color w:val="auto"/>
              </w:rPr>
              <w:t>Pension plans</w:t>
            </w:r>
          </w:p>
        </w:tc>
        <w:tc>
          <w:tcPr>
            <w:tcW w:w="2560" w:type="dxa"/>
            <w:vAlign w:val="bottom"/>
          </w:tcPr>
          <w:p>
            <w:pPr>
              <w:jc w:val="right"/>
              <w:ind w:right="1085"/>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140"/>
              <w:spacing w:after="0"/>
              <w:rPr>
                <w:sz w:val="20"/>
                <w:szCs w:val="20"/>
                <w:color w:val="auto"/>
              </w:rPr>
            </w:pPr>
            <w:r>
              <w:rPr>
                <w:rFonts w:ascii="Arial" w:cs="Arial" w:eastAsia="Arial" w:hAnsi="Arial"/>
                <w:sz w:val="16"/>
                <w:szCs w:val="16"/>
                <w:color w:val="auto"/>
              </w:rPr>
              <w:t>95</w:t>
            </w:r>
          </w:p>
        </w:tc>
        <w:tc>
          <w:tcPr>
            <w:tcW w:w="1360" w:type="dxa"/>
            <w:vAlign w:val="bottom"/>
          </w:tcPr>
          <w:p>
            <w:pPr>
              <w:jc w:val="right"/>
              <w:ind w:right="983"/>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20"/>
              <w:spacing w:after="0"/>
              <w:rPr>
                <w:sz w:val="20"/>
                <w:szCs w:val="20"/>
                <w:color w:val="auto"/>
              </w:rPr>
            </w:pPr>
            <w:r>
              <w:rPr>
                <w:rFonts w:ascii="Arial" w:cs="Arial" w:eastAsia="Arial" w:hAnsi="Arial"/>
                <w:sz w:val="16"/>
                <w:szCs w:val="16"/>
                <w:color w:val="auto"/>
              </w:rPr>
              <w:t>28</w:t>
            </w:r>
          </w:p>
        </w:tc>
        <w:tc>
          <w:tcPr>
            <w:tcW w:w="4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3"/>
        </w:trPr>
        <w:tc>
          <w:tcPr>
            <w:tcW w:w="4380" w:type="dxa"/>
            <w:vAlign w:val="bottom"/>
          </w:tcPr>
          <w:p>
            <w:pPr>
              <w:ind w:left="180"/>
              <w:spacing w:after="0"/>
              <w:rPr>
                <w:sz w:val="20"/>
                <w:szCs w:val="20"/>
                <w:color w:val="auto"/>
              </w:rPr>
            </w:pPr>
            <w:r>
              <w:rPr>
                <w:rFonts w:ascii="Arial" w:cs="Arial" w:eastAsia="Arial" w:hAnsi="Arial"/>
                <w:sz w:val="16"/>
                <w:szCs w:val="16"/>
                <w:color w:val="auto"/>
              </w:rPr>
              <w:t>Other postretirement benefit plans</w:t>
            </w:r>
          </w:p>
        </w:tc>
        <w:tc>
          <w:tcPr>
            <w:tcW w:w="2560" w:type="dxa"/>
            <w:vAlign w:val="bottom"/>
          </w:tcPr>
          <w:p>
            <w:pPr>
              <w:spacing w:after="0"/>
              <w:rPr>
                <w:sz w:val="18"/>
                <w:szCs w:val="18"/>
                <w:color w:val="auto"/>
              </w:rPr>
            </w:pPr>
          </w:p>
        </w:tc>
        <w:tc>
          <w:tcPr>
            <w:tcW w:w="600" w:type="dxa"/>
            <w:vAlign w:val="bottom"/>
          </w:tcPr>
          <w:p>
            <w:pPr>
              <w:jc w:val="right"/>
              <w:ind w:right="140"/>
              <w:spacing w:after="0"/>
              <w:rPr>
                <w:sz w:val="20"/>
                <w:szCs w:val="20"/>
                <w:color w:val="auto"/>
              </w:rPr>
            </w:pPr>
            <w:r>
              <w:rPr>
                <w:rFonts w:ascii="Arial" w:cs="Arial" w:eastAsia="Arial" w:hAnsi="Arial"/>
                <w:sz w:val="16"/>
                <w:szCs w:val="16"/>
                <w:color w:val="auto"/>
              </w:rPr>
              <w:t>14</w:t>
            </w:r>
          </w:p>
        </w:tc>
        <w:tc>
          <w:tcPr>
            <w:tcW w:w="1360" w:type="dxa"/>
            <w:vAlign w:val="bottom"/>
          </w:tcPr>
          <w:p>
            <w:pPr>
              <w:spacing w:after="0"/>
              <w:rPr>
                <w:sz w:val="18"/>
                <w:szCs w:val="18"/>
                <w:color w:val="auto"/>
              </w:rPr>
            </w:pPr>
          </w:p>
        </w:tc>
        <w:tc>
          <w:tcPr>
            <w:tcW w:w="680" w:type="dxa"/>
            <w:vAlign w:val="bottom"/>
          </w:tcPr>
          <w:p>
            <w:pPr>
              <w:jc w:val="right"/>
              <w:ind w:right="120"/>
              <w:spacing w:after="0"/>
              <w:rPr>
                <w:sz w:val="20"/>
                <w:szCs w:val="20"/>
                <w:color w:val="auto"/>
              </w:rPr>
            </w:pPr>
            <w:r>
              <w:rPr>
                <w:rFonts w:ascii="Arial" w:cs="Arial" w:eastAsia="Arial" w:hAnsi="Arial"/>
                <w:sz w:val="16"/>
                <w:szCs w:val="16"/>
                <w:color w:val="auto"/>
              </w:rPr>
              <w:t>12</w:t>
            </w:r>
          </w:p>
        </w:tc>
        <w:tc>
          <w:tcPr>
            <w:tcW w:w="400" w:type="dxa"/>
            <w:vAlign w:val="bottom"/>
          </w:tcPr>
          <w:p>
            <w:pPr>
              <w:spacing w:after="0"/>
              <w:rPr>
                <w:sz w:val="18"/>
                <w:szCs w:val="18"/>
                <w:color w:val="auto"/>
              </w:rPr>
            </w:pPr>
          </w:p>
        </w:tc>
        <w:tc>
          <w:tcPr>
            <w:tcW w:w="1440" w:type="dxa"/>
            <w:vAlign w:val="bottom"/>
          </w:tcPr>
          <w:p>
            <w:pPr>
              <w:ind w:left="1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4380" w:type="dxa"/>
            <w:vAlign w:val="bottom"/>
          </w:tcPr>
          <w:p>
            <w:pPr>
              <w:spacing w:after="0"/>
              <w:rPr>
                <w:sz w:val="20"/>
                <w:szCs w:val="20"/>
                <w:color w:val="auto"/>
              </w:rPr>
            </w:pPr>
            <w:r>
              <w:rPr>
                <w:rFonts w:ascii="Arial" w:cs="Arial" w:eastAsia="Arial" w:hAnsi="Arial"/>
                <w:sz w:val="16"/>
                <w:szCs w:val="16"/>
                <w:color w:val="auto"/>
              </w:rPr>
              <w:t>Total expected contributions in 2014:</w:t>
            </w:r>
          </w:p>
        </w:tc>
        <w:tc>
          <w:tcPr>
            <w:tcW w:w="2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380" w:type="dxa"/>
            <w:vAlign w:val="bottom"/>
          </w:tcPr>
          <w:p>
            <w:pPr>
              <w:ind w:left="180"/>
              <w:spacing w:after="0"/>
              <w:rPr>
                <w:sz w:val="20"/>
                <w:szCs w:val="20"/>
                <w:color w:val="auto"/>
              </w:rPr>
            </w:pPr>
            <w:r>
              <w:rPr>
                <w:rFonts w:ascii="Arial" w:cs="Arial" w:eastAsia="Arial" w:hAnsi="Arial"/>
                <w:sz w:val="16"/>
                <w:szCs w:val="16"/>
                <w:color w:val="auto"/>
              </w:rPr>
              <w:t>Pension plans</w:t>
            </w:r>
          </w:p>
        </w:tc>
        <w:tc>
          <w:tcPr>
            <w:tcW w:w="2560" w:type="dxa"/>
            <w:vAlign w:val="bottom"/>
          </w:tcPr>
          <w:p>
            <w:pPr>
              <w:jc w:val="right"/>
              <w:ind w:right="1085"/>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140"/>
              <w:spacing w:after="0"/>
              <w:rPr>
                <w:sz w:val="20"/>
                <w:szCs w:val="20"/>
                <w:color w:val="auto"/>
              </w:rPr>
            </w:pPr>
            <w:r>
              <w:rPr>
                <w:rFonts w:ascii="Arial" w:cs="Arial" w:eastAsia="Arial" w:hAnsi="Arial"/>
                <w:sz w:val="16"/>
                <w:szCs w:val="16"/>
                <w:color w:val="auto"/>
              </w:rPr>
              <w:t>128</w:t>
            </w:r>
          </w:p>
        </w:tc>
        <w:tc>
          <w:tcPr>
            <w:tcW w:w="1360" w:type="dxa"/>
            <w:vAlign w:val="bottom"/>
          </w:tcPr>
          <w:p>
            <w:pPr>
              <w:jc w:val="right"/>
              <w:ind w:right="983"/>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20"/>
              <w:spacing w:after="0"/>
              <w:rPr>
                <w:sz w:val="20"/>
                <w:szCs w:val="20"/>
                <w:color w:val="auto"/>
              </w:rPr>
            </w:pPr>
            <w:r>
              <w:rPr>
                <w:rFonts w:ascii="Arial" w:cs="Arial" w:eastAsia="Arial" w:hAnsi="Arial"/>
                <w:sz w:val="16"/>
                <w:szCs w:val="16"/>
                <w:color w:val="auto"/>
              </w:rPr>
              <w:t>55</w:t>
            </w:r>
          </w:p>
        </w:tc>
        <w:tc>
          <w:tcPr>
            <w:tcW w:w="4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1"/>
        </w:trPr>
        <w:tc>
          <w:tcPr>
            <w:tcW w:w="4380" w:type="dxa"/>
            <w:vAlign w:val="bottom"/>
            <w:tcBorders>
              <w:bottom w:val="single" w:sz="8" w:color="C0C0C0"/>
            </w:tcBorders>
          </w:tcPr>
          <w:p>
            <w:pPr>
              <w:ind w:left="180"/>
              <w:spacing w:after="0"/>
              <w:rPr>
                <w:sz w:val="20"/>
                <w:szCs w:val="20"/>
                <w:color w:val="auto"/>
              </w:rPr>
            </w:pPr>
            <w:r>
              <w:rPr>
                <w:rFonts w:ascii="Arial" w:cs="Arial" w:eastAsia="Arial" w:hAnsi="Arial"/>
                <w:sz w:val="16"/>
                <w:szCs w:val="16"/>
                <w:color w:val="auto"/>
              </w:rPr>
              <w:t>Other postretirement benefit plans</w:t>
            </w:r>
          </w:p>
        </w:tc>
        <w:tc>
          <w:tcPr>
            <w:tcW w:w="2560" w:type="dxa"/>
            <w:vAlign w:val="bottom"/>
            <w:tcBorders>
              <w:bottom w:val="single" w:sz="8" w:color="C0C0C0"/>
            </w:tcBorders>
          </w:tcPr>
          <w:p>
            <w:pPr>
              <w:spacing w:after="0"/>
              <w:rPr>
                <w:sz w:val="18"/>
                <w:szCs w:val="18"/>
                <w:color w:val="auto"/>
              </w:rPr>
            </w:pPr>
          </w:p>
        </w:tc>
        <w:tc>
          <w:tcPr>
            <w:tcW w:w="600" w:type="dxa"/>
            <w:vAlign w:val="bottom"/>
            <w:tcBorders>
              <w:bottom w:val="single" w:sz="8" w:color="C0C0C0"/>
            </w:tcBorders>
          </w:tcPr>
          <w:p>
            <w:pPr>
              <w:jc w:val="right"/>
              <w:ind w:right="140"/>
              <w:spacing w:after="0"/>
              <w:rPr>
                <w:sz w:val="20"/>
                <w:szCs w:val="20"/>
                <w:color w:val="auto"/>
              </w:rPr>
            </w:pPr>
            <w:r>
              <w:rPr>
                <w:rFonts w:ascii="Arial" w:cs="Arial" w:eastAsia="Arial" w:hAnsi="Arial"/>
                <w:sz w:val="16"/>
                <w:szCs w:val="16"/>
                <w:color w:val="auto"/>
              </w:rPr>
              <w:t>16</w:t>
            </w:r>
          </w:p>
        </w:tc>
        <w:tc>
          <w:tcPr>
            <w:tcW w:w="1360" w:type="dxa"/>
            <w:vAlign w:val="bottom"/>
            <w:tcBorders>
              <w:bottom w:val="single" w:sz="8" w:color="C0C0C0"/>
            </w:tcBorders>
          </w:tcPr>
          <w:p>
            <w:pPr>
              <w:spacing w:after="0"/>
              <w:rPr>
                <w:sz w:val="18"/>
                <w:szCs w:val="18"/>
                <w:color w:val="auto"/>
              </w:rPr>
            </w:pPr>
          </w:p>
        </w:tc>
        <w:tc>
          <w:tcPr>
            <w:tcW w:w="680" w:type="dxa"/>
            <w:vAlign w:val="bottom"/>
            <w:tcBorders>
              <w:bottom w:val="single" w:sz="8" w:color="C0C0C0"/>
            </w:tcBorders>
          </w:tcPr>
          <w:p>
            <w:pPr>
              <w:jc w:val="right"/>
              <w:ind w:right="120"/>
              <w:spacing w:after="0"/>
              <w:rPr>
                <w:sz w:val="20"/>
                <w:szCs w:val="20"/>
                <w:color w:val="auto"/>
              </w:rPr>
            </w:pPr>
            <w:r>
              <w:rPr>
                <w:rFonts w:ascii="Arial" w:cs="Arial" w:eastAsia="Arial" w:hAnsi="Arial"/>
                <w:sz w:val="16"/>
                <w:szCs w:val="16"/>
                <w:color w:val="auto"/>
              </w:rPr>
              <w:t>14</w:t>
            </w:r>
          </w:p>
        </w:tc>
        <w:tc>
          <w:tcPr>
            <w:tcW w:w="400" w:type="dxa"/>
            <w:vAlign w:val="bottom"/>
            <w:tcBorders>
              <w:bottom w:val="single" w:sz="8" w:color="C0C0C0"/>
            </w:tcBorders>
          </w:tcPr>
          <w:p>
            <w:pPr>
              <w:spacing w:after="0"/>
              <w:rPr>
                <w:sz w:val="18"/>
                <w:szCs w:val="18"/>
                <w:color w:val="auto"/>
              </w:rPr>
            </w:pPr>
          </w:p>
        </w:tc>
        <w:tc>
          <w:tcPr>
            <w:tcW w:w="1440" w:type="dxa"/>
            <w:vAlign w:val="bottom"/>
            <w:tcBorders>
              <w:bottom w:val="single" w:sz="8" w:color="C0C0C0"/>
            </w:tcBorders>
          </w:tcPr>
          <w:p>
            <w:pPr>
              <w:ind w:left="1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RABBI TRUST</w:t>
      </w:r>
    </w:p>
    <w:p>
      <w:pPr>
        <w:sectPr>
          <w:pgSz w:w="11900" w:h="16838" w:orient="portrait"/>
          <w:cols w:equalWidth="0" w:num="1">
            <w:col w:w="11420"/>
          </w:cols>
          <w:pgMar w:left="240" w:top="128" w:right="239" w:bottom="202" w:gutter="0" w:footer="0" w:header="0"/>
        </w:sectPr>
      </w:pPr>
    </w:p>
    <w:bookmarkStart w:id="19" w:name="page20"/>
    <w:bookmarkEnd w:id="19"/>
    <w:p>
      <w:pPr>
        <w:spacing w:after="0" w:line="256" w:lineRule="auto"/>
        <w:rPr>
          <w:sz w:val="20"/>
          <w:szCs w:val="20"/>
          <w:color w:val="auto"/>
        </w:rPr>
      </w:pPr>
      <w:r>
        <w:rPr>
          <w:rFonts w:ascii="Arial" w:cs="Arial" w:eastAsia="Arial" w:hAnsi="Arial"/>
          <w:sz w:val="18"/>
          <w:szCs w:val="18"/>
          <w:color w:val="auto"/>
        </w:rPr>
        <w:t>In support of its Supplemental Executive Retirement, Cash Balance Restoration and Deferred Compensation Plans, Sempra Energy maintains dedicated assets, including a Rabbi Trust and investments in life insurance contracts, which totaled $477 million and $506 million at September 30, 2014 and December 31, 2013, respectively.</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right="400"/>
        <w:spacing w:after="0" w:line="253" w:lineRule="auto"/>
        <w:rPr>
          <w:sz w:val="20"/>
          <w:szCs w:val="20"/>
          <w:color w:val="auto"/>
        </w:rPr>
      </w:pPr>
      <w:r>
        <w:rPr>
          <w:rFonts w:ascii="Arial" w:cs="Arial" w:eastAsia="Arial" w:hAnsi="Arial"/>
          <w:sz w:val="18"/>
          <w:szCs w:val="18"/>
          <w:color w:val="auto"/>
        </w:rPr>
        <w:t>The following table provides the per share computations for our earnings for the three months and nine months ended September 30, 2014 and 2013. Basic earnings per common share (EPS) is calculated by dividing earnings attributable to common stock by the weighted-average number of common shares outstanding for the period. Diluted EPS includes the potential dilution of common stock equivalent shares that could occur if securities or other contracts to issue common stock were exercised or converted into common stock.</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EARNINGS PER SHARE COMPUTATIONS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-104775</wp:posOffset>
            </wp:positionV>
            <wp:extent cx="7248525" cy="2197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8525" cy="21971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per share amounts; shares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3300" w:type="dxa"/>
            <w:vAlign w:val="bottom"/>
            <w:tcBorders>
              <w:bottom w:val="single" w:sz="8" w:color="auto"/>
            </w:tcBorders>
            <w:gridSpan w:val="4"/>
          </w:tcPr>
          <w:p>
            <w:pPr>
              <w:jc w:val="right"/>
              <w:ind w:right="562"/>
              <w:spacing w:after="0"/>
              <w:rPr>
                <w:sz w:val="20"/>
                <w:szCs w:val="20"/>
                <w:color w:val="auto"/>
              </w:rPr>
            </w:pPr>
            <w:r>
              <w:rPr>
                <w:rFonts w:ascii="Arial" w:cs="Arial" w:eastAsia="Arial" w:hAnsi="Arial"/>
                <w:sz w:val="14"/>
                <w:szCs w:val="14"/>
                <w:color w:val="auto"/>
              </w:rPr>
              <w:t>Three months ended September 30,</w:t>
            </w:r>
          </w:p>
        </w:tc>
        <w:tc>
          <w:tcPr>
            <w:tcW w:w="38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3"/>
          </w:tcPr>
          <w:p>
            <w:pPr>
              <w:jc w:val="right"/>
              <w:ind w:right="342"/>
              <w:spacing w:after="0"/>
              <w:rPr>
                <w:sz w:val="20"/>
                <w:szCs w:val="20"/>
                <w:color w:val="auto"/>
              </w:rPr>
            </w:pPr>
            <w:r>
              <w:rPr>
                <w:rFonts w:ascii="Arial" w:cs="Arial" w:eastAsia="Arial" w:hAnsi="Arial"/>
                <w:sz w:val="14"/>
                <w:szCs w:val="14"/>
                <w:color w:val="auto"/>
              </w:rPr>
              <w:t>Nine months ended September 30,</w:t>
            </w:r>
          </w:p>
        </w:tc>
      </w:tr>
      <w:tr>
        <w:trPr>
          <w:trHeight w:val="206"/>
        </w:trPr>
        <w:tc>
          <w:tcPr>
            <w:tcW w:w="50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2014</w:t>
            </w:r>
          </w:p>
        </w:tc>
        <w:tc>
          <w:tcPr>
            <w:tcW w:w="7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782"/>
              <w:spacing w:after="0"/>
              <w:rPr>
                <w:sz w:val="20"/>
                <w:szCs w:val="20"/>
                <w:color w:val="auto"/>
              </w:rPr>
            </w:pPr>
            <w:r>
              <w:rPr>
                <w:rFonts w:ascii="Arial" w:cs="Arial" w:eastAsia="Arial" w:hAnsi="Arial"/>
                <w:sz w:val="14"/>
                <w:szCs w:val="14"/>
                <w:color w:val="auto"/>
              </w:rPr>
              <w:t>2013</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62"/>
              <w:spacing w:after="0"/>
              <w:rPr>
                <w:sz w:val="20"/>
                <w:szCs w:val="20"/>
                <w:color w:val="auto"/>
              </w:rPr>
            </w:pPr>
            <w:r>
              <w:rPr>
                <w:rFonts w:ascii="Arial" w:cs="Arial" w:eastAsia="Arial" w:hAnsi="Arial"/>
                <w:sz w:val="14"/>
                <w:szCs w:val="14"/>
                <w:color w:val="auto"/>
              </w:rPr>
              <w:t>2014</w:t>
            </w: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color w:val="auto"/>
              </w:rPr>
              <w:t>2013</w:t>
            </w:r>
          </w:p>
        </w:tc>
      </w:tr>
      <w:tr>
        <w:trPr>
          <w:trHeight w:val="214"/>
        </w:trPr>
        <w:tc>
          <w:tcPr>
            <w:tcW w:w="5080" w:type="dxa"/>
            <w:vAlign w:val="bottom"/>
          </w:tcPr>
          <w:p>
            <w:pPr>
              <w:spacing w:after="0"/>
              <w:rPr>
                <w:sz w:val="20"/>
                <w:szCs w:val="20"/>
                <w:color w:val="auto"/>
              </w:rPr>
            </w:pPr>
            <w:r>
              <w:rPr>
                <w:rFonts w:ascii="Arial" w:cs="Arial" w:eastAsia="Arial" w:hAnsi="Arial"/>
                <w:sz w:val="16"/>
                <w:szCs w:val="16"/>
                <w:color w:val="auto"/>
              </w:rPr>
              <w:t>Numerator:</w:t>
            </w: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3"/>
        </w:trPr>
        <w:tc>
          <w:tcPr>
            <w:tcW w:w="5080" w:type="dxa"/>
            <w:vAlign w:val="bottom"/>
          </w:tcPr>
          <w:p>
            <w:pPr>
              <w:ind w:left="180"/>
              <w:spacing w:after="0"/>
              <w:rPr>
                <w:sz w:val="20"/>
                <w:szCs w:val="20"/>
                <w:color w:val="auto"/>
              </w:rPr>
            </w:pPr>
            <w:r>
              <w:rPr>
                <w:rFonts w:ascii="Arial" w:cs="Arial" w:eastAsia="Arial" w:hAnsi="Arial"/>
                <w:sz w:val="16"/>
                <w:szCs w:val="16"/>
                <w:color w:val="auto"/>
              </w:rPr>
              <w:t>Earnings/Income attributable to common shares</w:t>
            </w:r>
          </w:p>
        </w:tc>
        <w:tc>
          <w:tcPr>
            <w:tcW w:w="920" w:type="dxa"/>
            <w:vAlign w:val="bottom"/>
          </w:tcPr>
          <w:p>
            <w:pPr>
              <w:jc w:val="right"/>
              <w:ind w:right="465"/>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348</w:t>
            </w:r>
          </w:p>
        </w:tc>
        <w:tc>
          <w:tcPr>
            <w:tcW w:w="3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82"/>
              <w:spacing w:after="0"/>
              <w:rPr>
                <w:sz w:val="20"/>
                <w:szCs w:val="20"/>
                <w:color w:val="auto"/>
              </w:rPr>
            </w:pPr>
            <w:r>
              <w:rPr>
                <w:rFonts w:ascii="Arial" w:cs="Arial" w:eastAsia="Arial" w:hAnsi="Arial"/>
                <w:sz w:val="16"/>
                <w:szCs w:val="16"/>
                <w:color w:val="auto"/>
              </w:rPr>
              <w:t>296</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62"/>
              <w:spacing w:after="0"/>
              <w:rPr>
                <w:sz w:val="20"/>
                <w:szCs w:val="20"/>
                <w:color w:val="auto"/>
              </w:rPr>
            </w:pPr>
            <w:r>
              <w:rPr>
                <w:rFonts w:ascii="Arial" w:cs="Arial" w:eastAsia="Arial" w:hAnsi="Arial"/>
                <w:sz w:val="16"/>
                <w:szCs w:val="16"/>
                <w:color w:val="auto"/>
              </w:rPr>
              <w:t>864</w:t>
            </w:r>
          </w:p>
        </w:tc>
        <w:tc>
          <w:tcPr>
            <w:tcW w:w="3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719</w:t>
            </w:r>
          </w:p>
        </w:tc>
      </w:tr>
      <w:tr>
        <w:trPr>
          <w:trHeight w:val="425"/>
        </w:trPr>
        <w:tc>
          <w:tcPr>
            <w:tcW w:w="5080" w:type="dxa"/>
            <w:vAlign w:val="bottom"/>
          </w:tcPr>
          <w:p>
            <w:pPr>
              <w:spacing w:after="0"/>
              <w:rPr>
                <w:sz w:val="20"/>
                <w:szCs w:val="20"/>
                <w:color w:val="auto"/>
              </w:rPr>
            </w:pPr>
            <w:r>
              <w:rPr>
                <w:rFonts w:ascii="Arial" w:cs="Arial" w:eastAsia="Arial" w:hAnsi="Arial"/>
                <w:sz w:val="16"/>
                <w:szCs w:val="16"/>
                <w:color w:val="auto"/>
              </w:rPr>
              <w:t>Denominator:</w:t>
            </w: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3"/>
        </w:trPr>
        <w:tc>
          <w:tcPr>
            <w:tcW w:w="5080" w:type="dxa"/>
            <w:vAlign w:val="bottom"/>
          </w:tcPr>
          <w:p>
            <w:pPr>
              <w:ind w:left="180"/>
              <w:spacing w:after="0"/>
              <w:rPr>
                <w:sz w:val="20"/>
                <w:szCs w:val="20"/>
                <w:color w:val="auto"/>
              </w:rPr>
            </w:pPr>
            <w:r>
              <w:rPr>
                <w:rFonts w:ascii="Arial" w:cs="Arial" w:eastAsia="Arial" w:hAnsi="Arial"/>
                <w:sz w:val="16"/>
                <w:szCs w:val="16"/>
                <w:color w:val="auto"/>
              </w:rPr>
              <w:t>Weighted-average common shares</w:t>
            </w: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3"/>
        </w:trPr>
        <w:tc>
          <w:tcPr>
            <w:tcW w:w="5080" w:type="dxa"/>
            <w:vAlign w:val="bottom"/>
          </w:tcPr>
          <w:p>
            <w:pPr>
              <w:ind w:left="380"/>
              <w:spacing w:after="0"/>
              <w:rPr>
                <w:sz w:val="20"/>
                <w:szCs w:val="20"/>
                <w:color w:val="auto"/>
              </w:rPr>
            </w:pPr>
            <w:r>
              <w:rPr>
                <w:rFonts w:ascii="Arial" w:cs="Arial" w:eastAsia="Arial" w:hAnsi="Arial"/>
                <w:sz w:val="16"/>
                <w:szCs w:val="16"/>
                <w:color w:val="auto"/>
              </w:rPr>
              <w:t>outstanding for basic EPS</w:t>
            </w:r>
          </w:p>
        </w:tc>
        <w:tc>
          <w:tcPr>
            <w:tcW w:w="920" w:type="dxa"/>
            <w:vAlign w:val="bottom"/>
          </w:tcPr>
          <w:p>
            <w:pPr>
              <w:spacing w:after="0"/>
              <w:rPr>
                <w:sz w:val="18"/>
                <w:szCs w:val="18"/>
                <w:color w:val="auto"/>
              </w:rPr>
            </w:pP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246,137</w:t>
            </w:r>
          </w:p>
        </w:tc>
        <w:tc>
          <w:tcPr>
            <w:tcW w:w="340" w:type="dxa"/>
            <w:vAlign w:val="bottom"/>
          </w:tcPr>
          <w:p>
            <w:pPr>
              <w:spacing w:after="0"/>
              <w:rPr>
                <w:sz w:val="18"/>
                <w:szCs w:val="18"/>
                <w:color w:val="auto"/>
              </w:rPr>
            </w:pPr>
          </w:p>
        </w:tc>
        <w:tc>
          <w:tcPr>
            <w:tcW w:w="1300" w:type="dxa"/>
            <w:vAlign w:val="bottom"/>
          </w:tcPr>
          <w:p>
            <w:pPr>
              <w:jc w:val="right"/>
              <w:ind w:right="182"/>
              <w:spacing w:after="0"/>
              <w:rPr>
                <w:sz w:val="20"/>
                <w:szCs w:val="20"/>
                <w:color w:val="auto"/>
              </w:rPr>
            </w:pPr>
            <w:r>
              <w:rPr>
                <w:rFonts w:ascii="Arial" w:cs="Arial" w:eastAsia="Arial" w:hAnsi="Arial"/>
                <w:sz w:val="16"/>
                <w:szCs w:val="16"/>
                <w:color w:val="auto"/>
              </w:rPr>
              <w:t>244,140</w:t>
            </w:r>
          </w:p>
        </w:tc>
        <w:tc>
          <w:tcPr>
            <w:tcW w:w="380" w:type="dxa"/>
            <w:vAlign w:val="bottom"/>
          </w:tcPr>
          <w:p>
            <w:pPr>
              <w:spacing w:after="0"/>
              <w:rPr>
                <w:sz w:val="18"/>
                <w:szCs w:val="18"/>
                <w:color w:val="auto"/>
              </w:rPr>
            </w:pPr>
          </w:p>
        </w:tc>
        <w:tc>
          <w:tcPr>
            <w:tcW w:w="1260" w:type="dxa"/>
            <w:vAlign w:val="bottom"/>
          </w:tcPr>
          <w:p>
            <w:pPr>
              <w:jc w:val="right"/>
              <w:ind w:right="62"/>
              <w:spacing w:after="0"/>
              <w:rPr>
                <w:sz w:val="20"/>
                <w:szCs w:val="20"/>
                <w:color w:val="auto"/>
              </w:rPr>
            </w:pPr>
            <w:r>
              <w:rPr>
                <w:rFonts w:ascii="Arial" w:cs="Arial" w:eastAsia="Arial" w:hAnsi="Arial"/>
                <w:sz w:val="16"/>
                <w:szCs w:val="16"/>
                <w:color w:val="auto"/>
              </w:rPr>
              <w:t>245,703</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243,682</w:t>
            </w:r>
          </w:p>
        </w:tc>
      </w:tr>
      <w:tr>
        <w:trPr>
          <w:trHeight w:val="213"/>
        </w:trPr>
        <w:tc>
          <w:tcPr>
            <w:tcW w:w="5080" w:type="dxa"/>
            <w:vAlign w:val="bottom"/>
          </w:tcPr>
          <w:p>
            <w:pPr>
              <w:ind w:left="180"/>
              <w:spacing w:after="0"/>
              <w:rPr>
                <w:sz w:val="20"/>
                <w:szCs w:val="20"/>
                <w:color w:val="auto"/>
              </w:rPr>
            </w:pPr>
            <w:r>
              <w:rPr>
                <w:rFonts w:ascii="Arial" w:cs="Arial" w:eastAsia="Arial" w:hAnsi="Arial"/>
                <w:sz w:val="16"/>
                <w:szCs w:val="16"/>
                <w:color w:val="auto"/>
              </w:rPr>
              <w:t>Dilutive effect of stock options, restricted</w:t>
            </w: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3"/>
        </w:trPr>
        <w:tc>
          <w:tcPr>
            <w:tcW w:w="5080" w:type="dxa"/>
            <w:vAlign w:val="bottom"/>
          </w:tcPr>
          <w:p>
            <w:pPr>
              <w:ind w:left="380"/>
              <w:spacing w:after="0"/>
              <w:rPr>
                <w:sz w:val="20"/>
                <w:szCs w:val="20"/>
                <w:color w:val="auto"/>
              </w:rPr>
            </w:pPr>
            <w:r>
              <w:rPr>
                <w:rFonts w:ascii="Arial" w:cs="Arial" w:eastAsia="Arial" w:hAnsi="Arial"/>
                <w:sz w:val="16"/>
                <w:szCs w:val="16"/>
                <w:color w:val="auto"/>
              </w:rPr>
              <w:t>stock awards and restricted stock units</w:t>
            </w:r>
          </w:p>
        </w:tc>
        <w:tc>
          <w:tcPr>
            <w:tcW w:w="920" w:type="dxa"/>
            <w:vAlign w:val="bottom"/>
          </w:tcPr>
          <w:p>
            <w:pPr>
              <w:spacing w:after="0"/>
              <w:rPr>
                <w:sz w:val="18"/>
                <w:szCs w:val="18"/>
                <w:color w:val="auto"/>
              </w:rPr>
            </w:pP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4,634</w:t>
            </w:r>
          </w:p>
        </w:tc>
        <w:tc>
          <w:tcPr>
            <w:tcW w:w="340" w:type="dxa"/>
            <w:vAlign w:val="bottom"/>
          </w:tcPr>
          <w:p>
            <w:pPr>
              <w:spacing w:after="0"/>
              <w:rPr>
                <w:sz w:val="18"/>
                <w:szCs w:val="18"/>
                <w:color w:val="auto"/>
              </w:rPr>
            </w:pPr>
          </w:p>
        </w:tc>
        <w:tc>
          <w:tcPr>
            <w:tcW w:w="1300" w:type="dxa"/>
            <w:vAlign w:val="bottom"/>
          </w:tcPr>
          <w:p>
            <w:pPr>
              <w:jc w:val="right"/>
              <w:ind w:right="182"/>
              <w:spacing w:after="0"/>
              <w:rPr>
                <w:sz w:val="20"/>
                <w:szCs w:val="20"/>
                <w:color w:val="auto"/>
              </w:rPr>
            </w:pPr>
            <w:r>
              <w:rPr>
                <w:rFonts w:ascii="Arial" w:cs="Arial" w:eastAsia="Arial" w:hAnsi="Arial"/>
                <w:sz w:val="16"/>
                <w:szCs w:val="16"/>
                <w:color w:val="auto"/>
              </w:rPr>
              <w:t>5,119</w:t>
            </w:r>
          </w:p>
        </w:tc>
        <w:tc>
          <w:tcPr>
            <w:tcW w:w="380" w:type="dxa"/>
            <w:vAlign w:val="bottom"/>
          </w:tcPr>
          <w:p>
            <w:pPr>
              <w:spacing w:after="0"/>
              <w:rPr>
                <w:sz w:val="18"/>
                <w:szCs w:val="18"/>
                <w:color w:val="auto"/>
              </w:rPr>
            </w:pPr>
          </w:p>
        </w:tc>
        <w:tc>
          <w:tcPr>
            <w:tcW w:w="1260" w:type="dxa"/>
            <w:vAlign w:val="bottom"/>
          </w:tcPr>
          <w:p>
            <w:pPr>
              <w:jc w:val="right"/>
              <w:ind w:right="62"/>
              <w:spacing w:after="0"/>
              <w:rPr>
                <w:sz w:val="20"/>
                <w:szCs w:val="20"/>
                <w:color w:val="auto"/>
              </w:rPr>
            </w:pPr>
            <w:r>
              <w:rPr>
                <w:rFonts w:ascii="Arial" w:cs="Arial" w:eastAsia="Arial" w:hAnsi="Arial"/>
                <w:sz w:val="16"/>
                <w:szCs w:val="16"/>
                <w:color w:val="auto"/>
              </w:rPr>
              <w:t>4,575</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5,041</w:t>
            </w:r>
          </w:p>
        </w:tc>
      </w:tr>
      <w:tr>
        <w:trPr>
          <w:trHeight w:val="213"/>
        </w:trPr>
        <w:tc>
          <w:tcPr>
            <w:tcW w:w="5080" w:type="dxa"/>
            <w:vAlign w:val="bottom"/>
          </w:tcPr>
          <w:p>
            <w:pPr>
              <w:ind w:left="180"/>
              <w:spacing w:after="0"/>
              <w:rPr>
                <w:sz w:val="20"/>
                <w:szCs w:val="20"/>
                <w:color w:val="auto"/>
              </w:rPr>
            </w:pPr>
            <w:r>
              <w:rPr>
                <w:rFonts w:ascii="Arial" w:cs="Arial" w:eastAsia="Arial" w:hAnsi="Arial"/>
                <w:sz w:val="16"/>
                <w:szCs w:val="16"/>
                <w:color w:val="auto"/>
              </w:rPr>
              <w:t>Weighted-average common shares</w:t>
            </w: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3"/>
        </w:trPr>
        <w:tc>
          <w:tcPr>
            <w:tcW w:w="5080" w:type="dxa"/>
            <w:vAlign w:val="bottom"/>
          </w:tcPr>
          <w:p>
            <w:pPr>
              <w:ind w:left="380"/>
              <w:spacing w:after="0"/>
              <w:rPr>
                <w:sz w:val="20"/>
                <w:szCs w:val="20"/>
                <w:color w:val="auto"/>
              </w:rPr>
            </w:pPr>
            <w:r>
              <w:rPr>
                <w:rFonts w:ascii="Arial" w:cs="Arial" w:eastAsia="Arial" w:hAnsi="Arial"/>
                <w:sz w:val="16"/>
                <w:szCs w:val="16"/>
                <w:color w:val="auto"/>
              </w:rPr>
              <w:t>outstanding for diluted EPS</w:t>
            </w:r>
          </w:p>
        </w:tc>
        <w:tc>
          <w:tcPr>
            <w:tcW w:w="920" w:type="dxa"/>
            <w:vAlign w:val="bottom"/>
          </w:tcPr>
          <w:p>
            <w:pPr>
              <w:spacing w:after="0"/>
              <w:rPr>
                <w:sz w:val="18"/>
                <w:szCs w:val="18"/>
                <w:color w:val="auto"/>
              </w:rPr>
            </w:pP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250,771</w:t>
            </w:r>
          </w:p>
        </w:tc>
        <w:tc>
          <w:tcPr>
            <w:tcW w:w="340" w:type="dxa"/>
            <w:vAlign w:val="bottom"/>
          </w:tcPr>
          <w:p>
            <w:pPr>
              <w:spacing w:after="0"/>
              <w:rPr>
                <w:sz w:val="18"/>
                <w:szCs w:val="18"/>
                <w:color w:val="auto"/>
              </w:rPr>
            </w:pPr>
          </w:p>
        </w:tc>
        <w:tc>
          <w:tcPr>
            <w:tcW w:w="1300" w:type="dxa"/>
            <w:vAlign w:val="bottom"/>
          </w:tcPr>
          <w:p>
            <w:pPr>
              <w:jc w:val="right"/>
              <w:ind w:right="182"/>
              <w:spacing w:after="0"/>
              <w:rPr>
                <w:sz w:val="20"/>
                <w:szCs w:val="20"/>
                <w:color w:val="auto"/>
              </w:rPr>
            </w:pPr>
            <w:r>
              <w:rPr>
                <w:rFonts w:ascii="Arial" w:cs="Arial" w:eastAsia="Arial" w:hAnsi="Arial"/>
                <w:sz w:val="16"/>
                <w:szCs w:val="16"/>
                <w:color w:val="auto"/>
              </w:rPr>
              <w:t>249,259</w:t>
            </w:r>
          </w:p>
        </w:tc>
        <w:tc>
          <w:tcPr>
            <w:tcW w:w="380" w:type="dxa"/>
            <w:vAlign w:val="bottom"/>
          </w:tcPr>
          <w:p>
            <w:pPr>
              <w:spacing w:after="0"/>
              <w:rPr>
                <w:sz w:val="18"/>
                <w:szCs w:val="18"/>
                <w:color w:val="auto"/>
              </w:rPr>
            </w:pPr>
          </w:p>
        </w:tc>
        <w:tc>
          <w:tcPr>
            <w:tcW w:w="1260" w:type="dxa"/>
            <w:vAlign w:val="bottom"/>
          </w:tcPr>
          <w:p>
            <w:pPr>
              <w:jc w:val="right"/>
              <w:ind w:right="62"/>
              <w:spacing w:after="0"/>
              <w:rPr>
                <w:sz w:val="20"/>
                <w:szCs w:val="20"/>
                <w:color w:val="auto"/>
              </w:rPr>
            </w:pPr>
            <w:r>
              <w:rPr>
                <w:rFonts w:ascii="Arial" w:cs="Arial" w:eastAsia="Arial" w:hAnsi="Arial"/>
                <w:sz w:val="16"/>
                <w:szCs w:val="16"/>
                <w:color w:val="auto"/>
              </w:rPr>
              <w:t>250,278</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248,723</w:t>
            </w:r>
          </w:p>
        </w:tc>
      </w:tr>
      <w:tr>
        <w:trPr>
          <w:trHeight w:val="425"/>
        </w:trPr>
        <w:tc>
          <w:tcPr>
            <w:tcW w:w="5080" w:type="dxa"/>
            <w:vAlign w:val="bottom"/>
          </w:tcPr>
          <w:p>
            <w:pPr>
              <w:spacing w:after="0"/>
              <w:rPr>
                <w:sz w:val="20"/>
                <w:szCs w:val="20"/>
                <w:color w:val="auto"/>
              </w:rPr>
            </w:pPr>
            <w:r>
              <w:rPr>
                <w:rFonts w:ascii="Arial" w:cs="Arial" w:eastAsia="Arial" w:hAnsi="Arial"/>
                <w:sz w:val="16"/>
                <w:szCs w:val="16"/>
                <w:color w:val="auto"/>
              </w:rPr>
              <w:t>Earnings per share:</w:t>
            </w: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3"/>
        </w:trPr>
        <w:tc>
          <w:tcPr>
            <w:tcW w:w="5080" w:type="dxa"/>
            <w:vAlign w:val="bottom"/>
          </w:tcPr>
          <w:p>
            <w:pPr>
              <w:ind w:left="180"/>
              <w:spacing w:after="0"/>
              <w:rPr>
                <w:sz w:val="20"/>
                <w:szCs w:val="20"/>
                <w:color w:val="auto"/>
              </w:rPr>
            </w:pPr>
            <w:r>
              <w:rPr>
                <w:rFonts w:ascii="Arial" w:cs="Arial" w:eastAsia="Arial" w:hAnsi="Arial"/>
                <w:sz w:val="16"/>
                <w:szCs w:val="16"/>
                <w:color w:val="auto"/>
              </w:rPr>
              <w:t>Basic</w:t>
            </w:r>
          </w:p>
        </w:tc>
        <w:tc>
          <w:tcPr>
            <w:tcW w:w="920" w:type="dxa"/>
            <w:vAlign w:val="bottom"/>
          </w:tcPr>
          <w:p>
            <w:pPr>
              <w:jc w:val="right"/>
              <w:ind w:right="465"/>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1.41</w:t>
            </w:r>
          </w:p>
        </w:tc>
        <w:tc>
          <w:tcPr>
            <w:tcW w:w="3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82"/>
              <w:spacing w:after="0"/>
              <w:rPr>
                <w:sz w:val="20"/>
                <w:szCs w:val="20"/>
                <w:color w:val="auto"/>
              </w:rPr>
            </w:pPr>
            <w:r>
              <w:rPr>
                <w:rFonts w:ascii="Arial" w:cs="Arial" w:eastAsia="Arial" w:hAnsi="Arial"/>
                <w:sz w:val="16"/>
                <w:szCs w:val="16"/>
                <w:color w:val="auto"/>
              </w:rPr>
              <w:t>1.21</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62"/>
              <w:spacing w:after="0"/>
              <w:rPr>
                <w:sz w:val="20"/>
                <w:szCs w:val="20"/>
                <w:color w:val="auto"/>
              </w:rPr>
            </w:pPr>
            <w:r>
              <w:rPr>
                <w:rFonts w:ascii="Arial" w:cs="Arial" w:eastAsia="Arial" w:hAnsi="Arial"/>
                <w:sz w:val="16"/>
                <w:szCs w:val="16"/>
                <w:color w:val="auto"/>
              </w:rPr>
              <w:t>3.52</w:t>
            </w:r>
          </w:p>
        </w:tc>
        <w:tc>
          <w:tcPr>
            <w:tcW w:w="3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2.95</w:t>
            </w:r>
          </w:p>
        </w:tc>
      </w:tr>
      <w:tr>
        <w:trPr>
          <w:trHeight w:val="211"/>
        </w:trPr>
        <w:tc>
          <w:tcPr>
            <w:tcW w:w="5080" w:type="dxa"/>
            <w:vAlign w:val="bottom"/>
            <w:tcBorders>
              <w:bottom w:val="single" w:sz="8" w:color="969696"/>
            </w:tcBorders>
          </w:tcPr>
          <w:p>
            <w:pPr>
              <w:ind w:left="180"/>
              <w:spacing w:after="0"/>
              <w:rPr>
                <w:sz w:val="20"/>
                <w:szCs w:val="20"/>
                <w:color w:val="auto"/>
              </w:rPr>
            </w:pPr>
            <w:r>
              <w:rPr>
                <w:rFonts w:ascii="Arial" w:cs="Arial" w:eastAsia="Arial" w:hAnsi="Arial"/>
                <w:sz w:val="16"/>
                <w:szCs w:val="16"/>
                <w:color w:val="auto"/>
              </w:rPr>
              <w:t>Diluted</w:t>
            </w:r>
          </w:p>
        </w:tc>
        <w:tc>
          <w:tcPr>
            <w:tcW w:w="920" w:type="dxa"/>
            <w:vAlign w:val="bottom"/>
            <w:tcBorders>
              <w:bottom w:val="single" w:sz="8" w:color="969696"/>
            </w:tcBorders>
          </w:tcPr>
          <w:p>
            <w:pPr>
              <w:spacing w:after="0"/>
              <w:rPr>
                <w:sz w:val="18"/>
                <w:szCs w:val="18"/>
                <w:color w:val="auto"/>
              </w:rPr>
            </w:pPr>
          </w:p>
        </w:tc>
        <w:tc>
          <w:tcPr>
            <w:tcW w:w="740" w:type="dxa"/>
            <w:vAlign w:val="bottom"/>
            <w:tcBorders>
              <w:bottom w:val="single" w:sz="8" w:color="969696"/>
            </w:tcBorders>
          </w:tcPr>
          <w:p>
            <w:pPr>
              <w:jc w:val="right"/>
              <w:ind w:right="60"/>
              <w:spacing w:after="0"/>
              <w:rPr>
                <w:sz w:val="20"/>
                <w:szCs w:val="20"/>
                <w:color w:val="auto"/>
              </w:rPr>
            </w:pPr>
            <w:r>
              <w:rPr>
                <w:rFonts w:ascii="Arial" w:cs="Arial" w:eastAsia="Arial" w:hAnsi="Arial"/>
                <w:sz w:val="16"/>
                <w:szCs w:val="16"/>
                <w:color w:val="auto"/>
              </w:rPr>
              <w:t>1.39</w:t>
            </w:r>
          </w:p>
        </w:tc>
        <w:tc>
          <w:tcPr>
            <w:tcW w:w="340" w:type="dxa"/>
            <w:vAlign w:val="bottom"/>
            <w:tcBorders>
              <w:bottom w:val="single" w:sz="8" w:color="969696"/>
            </w:tcBorders>
          </w:tcPr>
          <w:p>
            <w:pPr>
              <w:spacing w:after="0"/>
              <w:rPr>
                <w:sz w:val="18"/>
                <w:szCs w:val="18"/>
                <w:color w:val="auto"/>
              </w:rPr>
            </w:pPr>
          </w:p>
        </w:tc>
        <w:tc>
          <w:tcPr>
            <w:tcW w:w="1300" w:type="dxa"/>
            <w:vAlign w:val="bottom"/>
            <w:tcBorders>
              <w:bottom w:val="single" w:sz="8" w:color="969696"/>
            </w:tcBorders>
          </w:tcPr>
          <w:p>
            <w:pPr>
              <w:jc w:val="right"/>
              <w:ind w:right="182"/>
              <w:spacing w:after="0"/>
              <w:rPr>
                <w:sz w:val="20"/>
                <w:szCs w:val="20"/>
                <w:color w:val="auto"/>
              </w:rPr>
            </w:pPr>
            <w:r>
              <w:rPr>
                <w:rFonts w:ascii="Arial" w:cs="Arial" w:eastAsia="Arial" w:hAnsi="Arial"/>
                <w:sz w:val="16"/>
                <w:szCs w:val="16"/>
                <w:color w:val="auto"/>
              </w:rPr>
              <w:t>1.19</w:t>
            </w:r>
          </w:p>
        </w:tc>
        <w:tc>
          <w:tcPr>
            <w:tcW w:w="380" w:type="dxa"/>
            <w:vAlign w:val="bottom"/>
            <w:tcBorders>
              <w:bottom w:val="single" w:sz="8" w:color="969696"/>
            </w:tcBorders>
          </w:tcPr>
          <w:p>
            <w:pPr>
              <w:spacing w:after="0"/>
              <w:rPr>
                <w:sz w:val="18"/>
                <w:szCs w:val="18"/>
                <w:color w:val="auto"/>
              </w:rPr>
            </w:pPr>
          </w:p>
        </w:tc>
        <w:tc>
          <w:tcPr>
            <w:tcW w:w="1260" w:type="dxa"/>
            <w:vAlign w:val="bottom"/>
            <w:tcBorders>
              <w:bottom w:val="single" w:sz="8" w:color="969696"/>
            </w:tcBorders>
          </w:tcPr>
          <w:p>
            <w:pPr>
              <w:jc w:val="right"/>
              <w:ind w:right="62"/>
              <w:spacing w:after="0"/>
              <w:rPr>
                <w:sz w:val="20"/>
                <w:szCs w:val="20"/>
                <w:color w:val="auto"/>
              </w:rPr>
            </w:pPr>
            <w:r>
              <w:rPr>
                <w:rFonts w:ascii="Arial" w:cs="Arial" w:eastAsia="Arial" w:hAnsi="Arial"/>
                <w:sz w:val="16"/>
                <w:szCs w:val="16"/>
                <w:color w:val="auto"/>
              </w:rPr>
              <w:t>3.45</w:t>
            </w:r>
          </w:p>
        </w:tc>
        <w:tc>
          <w:tcPr>
            <w:tcW w:w="360" w:type="dxa"/>
            <w:vAlign w:val="bottom"/>
            <w:tcBorders>
              <w:bottom w:val="single" w:sz="8" w:color="969696"/>
            </w:tcBorders>
          </w:tcPr>
          <w:p>
            <w:pPr>
              <w:spacing w:after="0"/>
              <w:rPr>
                <w:sz w:val="18"/>
                <w:szCs w:val="18"/>
                <w:color w:val="auto"/>
              </w:rPr>
            </w:pPr>
          </w:p>
        </w:tc>
        <w:tc>
          <w:tcPr>
            <w:tcW w:w="1040" w:type="dxa"/>
            <w:vAlign w:val="bottom"/>
            <w:tcBorders>
              <w:bottom w:val="single" w:sz="8" w:color="969696"/>
            </w:tcBorders>
          </w:tcPr>
          <w:p>
            <w:pPr>
              <w:jc w:val="right"/>
              <w:spacing w:after="0"/>
              <w:rPr>
                <w:sz w:val="20"/>
                <w:szCs w:val="20"/>
                <w:color w:val="auto"/>
              </w:rPr>
            </w:pPr>
            <w:r>
              <w:rPr>
                <w:rFonts w:ascii="Arial" w:cs="Arial" w:eastAsia="Arial" w:hAnsi="Arial"/>
                <w:sz w:val="16"/>
                <w:szCs w:val="16"/>
                <w:color w:val="auto"/>
              </w:rPr>
              <w:t>2.89</w:t>
            </w:r>
          </w:p>
        </w:tc>
      </w:tr>
    </w:tbl>
    <w:p>
      <w:pPr>
        <w:spacing w:after="0" w:line="227"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The dilution from common stock options is based on the treasury stock method. Under this method, proceeds based on the exercise price plus unearned compensation and windfall tax benefits recognized, minus tax shortfalls recognized, are assumed to be used to repurchase shares on the open market at the average market price for the period. The windfall tax benefits are tax deductions we would receive upon the assumed exercise of stock options in excess of the deferred income taxes we recorded related to the compensation expense on the stock options. Tax shortfalls occur when the assumed tax deductions are less than recorded deferred income taxes. The calculation of dilutive common stock equivalents excludes options for which the exercise price on common stock was greater than the average market price during the period (out-of-the-money options). We had no such antidilutive stock options outstanding during either the three months or nine months ended September 30, 2014 and 2013.</w:t>
      </w:r>
    </w:p>
    <w:p>
      <w:pPr>
        <w:spacing w:after="0" w:line="184" w:lineRule="exact"/>
        <w:rPr>
          <w:sz w:val="20"/>
          <w:szCs w:val="20"/>
          <w:color w:val="auto"/>
        </w:rPr>
      </w:pPr>
    </w:p>
    <w:p>
      <w:pPr>
        <w:ind w:right="560"/>
        <w:spacing w:after="0" w:line="295" w:lineRule="auto"/>
        <w:rPr>
          <w:sz w:val="20"/>
          <w:szCs w:val="20"/>
          <w:color w:val="auto"/>
        </w:rPr>
      </w:pPr>
      <w:r>
        <w:rPr>
          <w:rFonts w:ascii="Arial" w:cs="Arial" w:eastAsia="Arial" w:hAnsi="Arial"/>
          <w:sz w:val="17"/>
          <w:szCs w:val="17"/>
          <w:color w:val="auto"/>
        </w:rPr>
        <w:t>During the three months and nine months ended September 30, 2014 and 2013, we had no stock options outstanding that were antidilutive because of the unearned compensation and windfall tax benefits included in the assumed proceeds under the treasury stock method.</w:t>
      </w:r>
    </w:p>
    <w:p>
      <w:pPr>
        <w:spacing w:after="0" w:line="15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dilution from unvested restricted stock awards (RSAs) and restricted stock units (RSUs) is also based on the treasury stock method. Proceeds equal to the unearned compensation and windfall tax benefits recognized, minus tax shortfalls recognized, related to the awards and units are assumed to be used to repurchase shares on the open market at the average market price for the period. The windfall tax benefits or tax shortfalls recognized are the difference between tax deductions we would receive upon the assumed vesting of RSAs or RSUs and the deferred income taxes we recorded related to the compensation expense on such awards and units. There were no antidilutive RSUs or RSAs from the application of unearned compensation in the treasury stock method for either the three months or nine months ended September 30, 2014 and 2013.</w:t>
      </w:r>
    </w:p>
    <w:p>
      <w:pPr>
        <w:spacing w:after="0" w:line="17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Each performance-based RSU represents the right to receive up to 1.5 shares (2.0 shares for awards granted in 2014) of Sempra Energy common stock based on total shareholder return or EPS growth. RSU awards vest based on Sempra Energy’s four-year cumulative total shareholder return compared to the Standard &amp; Poor’s (S&amp;P) 500 Utilities Index,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5120" w:type="dxa"/>
            <w:vAlign w:val="bottom"/>
          </w:tcPr>
          <w:p>
            <w:pPr>
              <w:ind w:left="1700"/>
              <w:spacing w:after="0"/>
              <w:rPr>
                <w:sz w:val="20"/>
                <w:szCs w:val="20"/>
                <w:color w:val="auto"/>
              </w:rPr>
            </w:pPr>
            <w:r>
              <w:rPr>
                <w:rFonts w:ascii="Arial" w:cs="Arial" w:eastAsia="Arial" w:hAnsi="Arial"/>
                <w:sz w:val="14"/>
                <w:szCs w:val="14"/>
                <w:color w:val="auto"/>
              </w:rPr>
              <w:t>Number of Sempra Energy Common Shares Received</w:t>
            </w:r>
          </w:p>
        </w:tc>
      </w:tr>
      <w:tr>
        <w:trPr>
          <w:trHeight w:val="159"/>
        </w:trPr>
        <w:tc>
          <w:tcPr>
            <w:tcW w:w="6300" w:type="dxa"/>
            <w:vAlign w:val="bottom"/>
          </w:tcPr>
          <w:p>
            <w:pPr>
              <w:spacing w:after="0" w:line="159" w:lineRule="exact"/>
              <w:rPr>
                <w:sz w:val="20"/>
                <w:szCs w:val="20"/>
                <w:color w:val="auto"/>
              </w:rPr>
            </w:pPr>
            <w:r>
              <w:rPr>
                <w:rFonts w:ascii="Arial" w:cs="Arial" w:eastAsia="Arial" w:hAnsi="Arial"/>
                <w:sz w:val="14"/>
                <w:szCs w:val="14"/>
                <w:color w:val="auto"/>
              </w:rPr>
              <w:t>Four-Year Cumulative Total Shareholder Return Ranking versus S&amp;P 500</w:t>
            </w:r>
          </w:p>
        </w:tc>
        <w:tc>
          <w:tcPr>
            <w:tcW w:w="5120" w:type="dxa"/>
            <w:vAlign w:val="bottom"/>
          </w:tcPr>
          <w:p>
            <w:pPr>
              <w:ind w:left="1700"/>
              <w:spacing w:after="0" w:line="159" w:lineRule="exact"/>
              <w:rPr>
                <w:sz w:val="20"/>
                <w:szCs w:val="20"/>
                <w:color w:val="auto"/>
              </w:rPr>
            </w:pPr>
            <w:r>
              <w:rPr>
                <w:rFonts w:ascii="Arial" w:cs="Arial" w:eastAsia="Arial" w:hAnsi="Arial"/>
                <w:sz w:val="14"/>
                <w:szCs w:val="14"/>
                <w:color w:val="auto"/>
              </w:rPr>
              <w:t>for Each Performance-Based Restricted Stock Unit(2)</w:t>
            </w:r>
          </w:p>
        </w:tc>
      </w:tr>
      <w:tr>
        <w:trPr>
          <w:trHeight w:val="155"/>
        </w:trPr>
        <w:tc>
          <w:tcPr>
            <w:tcW w:w="63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Utilities Index(1)</w:t>
            </w:r>
          </w:p>
        </w:tc>
        <w:tc>
          <w:tcPr>
            <w:tcW w:w="5120" w:type="dxa"/>
            <w:vAlign w:val="bottom"/>
            <w:tcBorders>
              <w:bottom w:val="single" w:sz="8" w:color="auto"/>
            </w:tcBorders>
          </w:tcPr>
          <w:p>
            <w:pPr>
              <w:ind w:left="1700"/>
              <w:spacing w:after="0" w:line="155" w:lineRule="exact"/>
              <w:rPr>
                <w:sz w:val="20"/>
                <w:szCs w:val="20"/>
                <w:color w:val="auto"/>
              </w:rPr>
            </w:pPr>
            <w:r>
              <w:rPr>
                <w:rFonts w:ascii="Arial" w:cs="Arial" w:eastAsia="Arial" w:hAnsi="Arial"/>
                <w:sz w:val="14"/>
                <w:szCs w:val="14"/>
                <w:color w:val="auto"/>
              </w:rPr>
              <w:t>(3)</w:t>
            </w:r>
          </w:p>
        </w:tc>
      </w:tr>
      <w:tr>
        <w:trPr>
          <w:trHeight w:val="155"/>
        </w:trPr>
        <w:tc>
          <w:tcPr>
            <w:tcW w:w="6300" w:type="dxa"/>
            <w:vAlign w:val="bottom"/>
          </w:tcPr>
          <w:p>
            <w:pPr>
              <w:spacing w:after="0" w:line="155" w:lineRule="exact"/>
              <w:rPr>
                <w:sz w:val="20"/>
                <w:szCs w:val="20"/>
                <w:color w:val="auto"/>
              </w:rPr>
            </w:pPr>
            <w:r>
              <w:rPr>
                <w:rFonts w:ascii="Arial" w:cs="Arial" w:eastAsia="Arial" w:hAnsi="Arial"/>
                <w:sz w:val="16"/>
                <w:szCs w:val="16"/>
                <w:color w:val="auto"/>
              </w:rPr>
              <w:t>90th percentile or above (2014 awards only)</w:t>
            </w:r>
          </w:p>
        </w:tc>
        <w:tc>
          <w:tcPr>
            <w:tcW w:w="5120" w:type="dxa"/>
            <w:vAlign w:val="bottom"/>
          </w:tcPr>
          <w:p>
            <w:pPr>
              <w:jc w:val="right"/>
              <w:ind w:right="1524"/>
              <w:spacing w:after="0" w:line="155" w:lineRule="exact"/>
              <w:rPr>
                <w:sz w:val="20"/>
                <w:szCs w:val="20"/>
                <w:color w:val="auto"/>
              </w:rPr>
            </w:pPr>
            <w:r>
              <w:rPr>
                <w:rFonts w:ascii="Arial" w:cs="Arial" w:eastAsia="Arial" w:hAnsi="Arial"/>
                <w:sz w:val="16"/>
                <w:szCs w:val="16"/>
                <w:color w:val="auto"/>
              </w:rPr>
              <w:t>2.0</w:t>
            </w:r>
          </w:p>
        </w:tc>
      </w:tr>
      <w:tr>
        <w:trPr>
          <w:trHeight w:val="173"/>
        </w:trPr>
        <w:tc>
          <w:tcPr>
            <w:tcW w:w="6300" w:type="dxa"/>
            <w:vAlign w:val="bottom"/>
          </w:tcPr>
          <w:p>
            <w:pPr>
              <w:spacing w:after="0" w:line="173" w:lineRule="exact"/>
              <w:rPr>
                <w:sz w:val="20"/>
                <w:szCs w:val="20"/>
                <w:color w:val="auto"/>
              </w:rPr>
            </w:pPr>
            <w:r>
              <w:rPr>
                <w:rFonts w:ascii="Arial" w:cs="Arial" w:eastAsia="Arial" w:hAnsi="Arial"/>
                <w:sz w:val="16"/>
                <w:szCs w:val="16"/>
                <w:color w:val="auto"/>
              </w:rPr>
              <w:t>75th percentile (maximum for awards prior to 2014)</w:t>
            </w:r>
          </w:p>
        </w:tc>
        <w:tc>
          <w:tcPr>
            <w:tcW w:w="5120" w:type="dxa"/>
            <w:vAlign w:val="bottom"/>
          </w:tcPr>
          <w:p>
            <w:pPr>
              <w:jc w:val="right"/>
              <w:ind w:right="1524"/>
              <w:spacing w:after="0" w:line="173" w:lineRule="exact"/>
              <w:rPr>
                <w:sz w:val="20"/>
                <w:szCs w:val="20"/>
                <w:color w:val="auto"/>
              </w:rPr>
            </w:pPr>
            <w:r>
              <w:rPr>
                <w:rFonts w:ascii="Arial" w:cs="Arial" w:eastAsia="Arial" w:hAnsi="Arial"/>
                <w:sz w:val="16"/>
                <w:szCs w:val="16"/>
                <w:color w:val="auto"/>
              </w:rPr>
              <w:t>1.5</w:t>
            </w:r>
          </w:p>
        </w:tc>
      </w:tr>
      <w:tr>
        <w:trPr>
          <w:trHeight w:val="173"/>
        </w:trPr>
        <w:tc>
          <w:tcPr>
            <w:tcW w:w="6300" w:type="dxa"/>
            <w:vAlign w:val="bottom"/>
          </w:tcPr>
          <w:p>
            <w:pPr>
              <w:spacing w:after="0" w:line="173" w:lineRule="exact"/>
              <w:rPr>
                <w:sz w:val="20"/>
                <w:szCs w:val="20"/>
                <w:color w:val="auto"/>
              </w:rPr>
            </w:pPr>
            <w:r>
              <w:rPr>
                <w:rFonts w:ascii="Arial" w:cs="Arial" w:eastAsia="Arial" w:hAnsi="Arial"/>
                <w:sz w:val="16"/>
                <w:szCs w:val="16"/>
                <w:color w:val="auto"/>
              </w:rPr>
              <w:t>50th percentile</w:t>
            </w:r>
          </w:p>
        </w:tc>
        <w:tc>
          <w:tcPr>
            <w:tcW w:w="5120" w:type="dxa"/>
            <w:vAlign w:val="bottom"/>
          </w:tcPr>
          <w:p>
            <w:pPr>
              <w:jc w:val="right"/>
              <w:ind w:right="1524"/>
              <w:spacing w:after="0" w:line="173" w:lineRule="exact"/>
              <w:rPr>
                <w:sz w:val="20"/>
                <w:szCs w:val="20"/>
                <w:color w:val="auto"/>
              </w:rPr>
            </w:pPr>
            <w:r>
              <w:rPr>
                <w:rFonts w:ascii="Arial" w:cs="Arial" w:eastAsia="Arial" w:hAnsi="Arial"/>
                <w:sz w:val="16"/>
                <w:szCs w:val="16"/>
                <w:color w:val="auto"/>
              </w:rPr>
              <w:t>1.0</w:t>
            </w:r>
          </w:p>
        </w:tc>
      </w:tr>
      <w:tr>
        <w:trPr>
          <w:trHeight w:val="192"/>
        </w:trPr>
        <w:tc>
          <w:tcPr>
            <w:tcW w:w="6300" w:type="dxa"/>
            <w:vAlign w:val="bottom"/>
          </w:tcPr>
          <w:p>
            <w:pPr>
              <w:spacing w:after="0"/>
              <w:rPr>
                <w:sz w:val="20"/>
                <w:szCs w:val="20"/>
                <w:color w:val="auto"/>
              </w:rPr>
            </w:pPr>
            <w:r>
              <w:rPr>
                <w:rFonts w:ascii="Arial" w:cs="Arial" w:eastAsia="Arial" w:hAnsi="Arial"/>
                <w:sz w:val="16"/>
                <w:szCs w:val="16"/>
                <w:color w:val="auto"/>
              </w:rPr>
              <w:t>35th percentile or below</w:t>
            </w:r>
          </w:p>
        </w:tc>
        <w:tc>
          <w:tcPr>
            <w:tcW w:w="5120" w:type="dxa"/>
            <w:vAlign w:val="bottom"/>
          </w:tcPr>
          <w:p>
            <w:pPr>
              <w:jc w:val="right"/>
              <w:ind w:right="1544"/>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724852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8525" cy="17145"/>
                    </a:xfrm>
                    <a:prstGeom prst="rect">
                      <a:avLst/>
                    </a:prstGeom>
                    <a:noFill/>
                  </pic:spPr>
                </pic:pic>
              </a:graphicData>
            </a:graphic>
          </wp:anchor>
        </w:drawing>
      </w:r>
    </w:p>
    <w:p>
      <w:pPr>
        <w:ind w:left="640" w:hanging="634"/>
        <w:spacing w:after="0"/>
        <w:tabs>
          <w:tab w:leader="none" w:pos="640" w:val="left"/>
        </w:tabs>
        <w:numPr>
          <w:ilvl w:val="0"/>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If Sempra Energy ranks at or above the 50th percentile compared to the S&amp;P 500 Index, participants will receive a minimum of 1.0 share for each RSU.</w:t>
      </w:r>
    </w:p>
    <w:p>
      <w:pPr>
        <w:spacing w:after="0" w:line="12" w:lineRule="exact"/>
        <w:rPr>
          <w:rFonts w:ascii="Arial" w:cs="Arial" w:eastAsia="Arial" w:hAnsi="Arial"/>
          <w:sz w:val="14"/>
          <w:szCs w:val="14"/>
          <w:i w:val="1"/>
          <w:iCs w:val="1"/>
          <w:color w:val="auto"/>
        </w:rPr>
      </w:pPr>
    </w:p>
    <w:p>
      <w:pPr>
        <w:ind w:left="640" w:right="380" w:hanging="634"/>
        <w:spacing w:after="0" w:line="237" w:lineRule="auto"/>
        <w:tabs>
          <w:tab w:leader="none" w:pos="640" w:val="left"/>
        </w:tabs>
        <w:numPr>
          <w:ilvl w:val="0"/>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Participants also receive additional shares for dividend equivalents on shares subject to RSUs, which are deemed reinvested to purchase additional units that become subject to the same vesting conditions as the RSUs to which the dividends relate.</w:t>
      </w:r>
    </w:p>
    <w:p>
      <w:pPr>
        <w:ind w:left="640" w:hanging="634"/>
        <w:spacing w:after="0"/>
        <w:tabs>
          <w:tab w:leader="none" w:pos="640" w:val="left"/>
        </w:tabs>
        <w:numPr>
          <w:ilvl w:val="0"/>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If performance falls between the tiers shown above, we calculate the payout using linear interpolation.</w:t>
      </w:r>
    </w:p>
    <w:p>
      <w:pPr>
        <w:spacing w:after="0" w:line="200" w:lineRule="exact"/>
        <w:rPr>
          <w:sz w:val="20"/>
          <w:szCs w:val="20"/>
          <w:color w:val="auto"/>
        </w:rPr>
      </w:pPr>
    </w:p>
    <w:p>
      <w:pPr>
        <w:spacing w:after="0" w:line="207"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Beginning in January 2014, we issued performance-based RSUs representing the right to receive up to 2.0 shares of Sempra Energy common stock based on Sempra Energy’s four-year EPS compound annual growth rate beginning January 1, 2014 and ending on December 31, 2017. These RSU awards vest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5440" w:type="dxa"/>
            <w:vAlign w:val="bottom"/>
          </w:tcPr>
          <w:p>
            <w:pPr>
              <w:ind w:left="2020"/>
              <w:spacing w:after="0"/>
              <w:rPr>
                <w:sz w:val="20"/>
                <w:szCs w:val="20"/>
                <w:color w:val="auto"/>
              </w:rPr>
            </w:pPr>
            <w:r>
              <w:rPr>
                <w:rFonts w:ascii="Arial" w:cs="Arial" w:eastAsia="Arial" w:hAnsi="Arial"/>
                <w:sz w:val="14"/>
                <w:szCs w:val="14"/>
                <w:color w:val="auto"/>
              </w:rPr>
              <w:t>Number of Sempra Energy Common Shares Received</w:t>
            </w:r>
          </w:p>
        </w:tc>
      </w:tr>
      <w:tr>
        <w:trPr>
          <w:trHeight w:val="159"/>
        </w:trPr>
        <w:tc>
          <w:tcPr>
            <w:tcW w:w="5980" w:type="dxa"/>
            <w:vAlign w:val="bottom"/>
          </w:tcPr>
          <w:p>
            <w:pPr>
              <w:spacing w:after="0"/>
              <w:rPr>
                <w:sz w:val="13"/>
                <w:szCs w:val="13"/>
                <w:color w:val="auto"/>
              </w:rPr>
            </w:pPr>
          </w:p>
        </w:tc>
        <w:tc>
          <w:tcPr>
            <w:tcW w:w="5440" w:type="dxa"/>
            <w:vAlign w:val="bottom"/>
          </w:tcPr>
          <w:p>
            <w:pPr>
              <w:ind w:left="2020"/>
              <w:spacing w:after="0" w:line="159" w:lineRule="exact"/>
              <w:rPr>
                <w:sz w:val="20"/>
                <w:szCs w:val="20"/>
                <w:color w:val="auto"/>
              </w:rPr>
            </w:pPr>
            <w:r>
              <w:rPr>
                <w:rFonts w:ascii="Arial" w:cs="Arial" w:eastAsia="Arial" w:hAnsi="Arial"/>
                <w:sz w:val="14"/>
                <w:szCs w:val="14"/>
                <w:color w:val="auto"/>
              </w:rPr>
              <w:t>for Each Performance-Based Restricted Stock Unit(1)</w:t>
            </w:r>
          </w:p>
        </w:tc>
      </w:tr>
      <w:tr>
        <w:trPr>
          <w:trHeight w:val="155"/>
        </w:trPr>
        <w:tc>
          <w:tcPr>
            <w:tcW w:w="59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Four-Year Earnings Per Share Compound Annual Growth Rate</w:t>
            </w:r>
          </w:p>
        </w:tc>
        <w:tc>
          <w:tcPr>
            <w:tcW w:w="5440" w:type="dxa"/>
            <w:vAlign w:val="bottom"/>
            <w:tcBorders>
              <w:bottom w:val="single" w:sz="8" w:color="auto"/>
            </w:tcBorders>
          </w:tcPr>
          <w:p>
            <w:pPr>
              <w:ind w:left="2020"/>
              <w:spacing w:after="0" w:line="155" w:lineRule="exact"/>
              <w:rPr>
                <w:sz w:val="20"/>
                <w:szCs w:val="20"/>
                <w:color w:val="auto"/>
              </w:rPr>
            </w:pPr>
            <w:r>
              <w:rPr>
                <w:rFonts w:ascii="Arial" w:cs="Arial" w:eastAsia="Arial" w:hAnsi="Arial"/>
                <w:sz w:val="14"/>
                <w:szCs w:val="14"/>
                <w:color w:val="auto"/>
              </w:rPr>
              <w:t>(2)</w:t>
            </w:r>
          </w:p>
        </w:tc>
      </w:tr>
      <w:tr>
        <w:trPr>
          <w:trHeight w:val="155"/>
        </w:trPr>
        <w:tc>
          <w:tcPr>
            <w:tcW w:w="5980" w:type="dxa"/>
            <w:vAlign w:val="bottom"/>
          </w:tcPr>
          <w:p>
            <w:pPr>
              <w:spacing w:after="0" w:line="155" w:lineRule="exact"/>
              <w:rPr>
                <w:sz w:val="20"/>
                <w:szCs w:val="20"/>
                <w:color w:val="auto"/>
              </w:rPr>
            </w:pPr>
            <w:r>
              <w:rPr>
                <w:rFonts w:ascii="Arial" w:cs="Arial" w:eastAsia="Arial" w:hAnsi="Arial"/>
                <w:sz w:val="16"/>
                <w:szCs w:val="16"/>
                <w:color w:val="auto"/>
              </w:rPr>
              <w:t>8.0% or above</w:t>
            </w:r>
          </w:p>
        </w:tc>
        <w:tc>
          <w:tcPr>
            <w:tcW w:w="5440" w:type="dxa"/>
            <w:vAlign w:val="bottom"/>
          </w:tcPr>
          <w:p>
            <w:pPr>
              <w:jc w:val="center"/>
              <w:ind w:left="1944"/>
              <w:spacing w:after="0" w:line="155" w:lineRule="exact"/>
              <w:rPr>
                <w:sz w:val="20"/>
                <w:szCs w:val="20"/>
                <w:color w:val="auto"/>
              </w:rPr>
            </w:pPr>
            <w:r>
              <w:rPr>
                <w:rFonts w:ascii="Arial" w:cs="Arial" w:eastAsia="Arial" w:hAnsi="Arial"/>
                <w:sz w:val="16"/>
                <w:szCs w:val="16"/>
                <w:color w:val="auto"/>
                <w:w w:val="98"/>
              </w:rPr>
              <w:t>2.0</w:t>
            </w:r>
          </w:p>
        </w:tc>
      </w:tr>
      <w:tr>
        <w:trPr>
          <w:trHeight w:val="173"/>
        </w:trPr>
        <w:tc>
          <w:tcPr>
            <w:tcW w:w="5980" w:type="dxa"/>
            <w:vAlign w:val="bottom"/>
          </w:tcPr>
          <w:p>
            <w:pPr>
              <w:spacing w:after="0" w:line="173" w:lineRule="exact"/>
              <w:rPr>
                <w:sz w:val="20"/>
                <w:szCs w:val="20"/>
                <w:color w:val="auto"/>
              </w:rPr>
            </w:pPr>
            <w:r>
              <w:rPr>
                <w:rFonts w:ascii="Arial" w:cs="Arial" w:eastAsia="Arial" w:hAnsi="Arial"/>
                <w:sz w:val="16"/>
                <w:szCs w:val="16"/>
                <w:color w:val="auto"/>
              </w:rPr>
              <w:t>6.7%</w:t>
            </w:r>
          </w:p>
        </w:tc>
        <w:tc>
          <w:tcPr>
            <w:tcW w:w="5440" w:type="dxa"/>
            <w:vAlign w:val="bottom"/>
          </w:tcPr>
          <w:p>
            <w:pPr>
              <w:jc w:val="center"/>
              <w:ind w:left="1944"/>
              <w:spacing w:after="0" w:line="173" w:lineRule="exact"/>
              <w:rPr>
                <w:sz w:val="20"/>
                <w:szCs w:val="20"/>
                <w:color w:val="auto"/>
              </w:rPr>
            </w:pPr>
            <w:r>
              <w:rPr>
                <w:rFonts w:ascii="Arial" w:cs="Arial" w:eastAsia="Arial" w:hAnsi="Arial"/>
                <w:sz w:val="16"/>
                <w:szCs w:val="16"/>
                <w:color w:val="auto"/>
                <w:w w:val="98"/>
              </w:rPr>
              <w:t>1.5</w:t>
            </w:r>
          </w:p>
        </w:tc>
      </w:tr>
      <w:tr>
        <w:trPr>
          <w:trHeight w:val="173"/>
        </w:trPr>
        <w:tc>
          <w:tcPr>
            <w:tcW w:w="5980" w:type="dxa"/>
            <w:vAlign w:val="bottom"/>
          </w:tcPr>
          <w:p>
            <w:pPr>
              <w:spacing w:after="0" w:line="173" w:lineRule="exact"/>
              <w:rPr>
                <w:sz w:val="20"/>
                <w:szCs w:val="20"/>
                <w:color w:val="auto"/>
              </w:rPr>
            </w:pPr>
            <w:r>
              <w:rPr>
                <w:rFonts w:ascii="Arial" w:cs="Arial" w:eastAsia="Arial" w:hAnsi="Arial"/>
                <w:sz w:val="16"/>
                <w:szCs w:val="16"/>
                <w:color w:val="auto"/>
              </w:rPr>
              <w:t>4.4%</w:t>
            </w:r>
          </w:p>
        </w:tc>
        <w:tc>
          <w:tcPr>
            <w:tcW w:w="5440" w:type="dxa"/>
            <w:vAlign w:val="bottom"/>
          </w:tcPr>
          <w:p>
            <w:pPr>
              <w:jc w:val="center"/>
              <w:ind w:left="1944"/>
              <w:spacing w:after="0" w:line="173" w:lineRule="exact"/>
              <w:rPr>
                <w:sz w:val="20"/>
                <w:szCs w:val="20"/>
                <w:color w:val="auto"/>
              </w:rPr>
            </w:pPr>
            <w:r>
              <w:rPr>
                <w:rFonts w:ascii="Arial" w:cs="Arial" w:eastAsia="Arial" w:hAnsi="Arial"/>
                <w:sz w:val="16"/>
                <w:szCs w:val="16"/>
                <w:color w:val="auto"/>
                <w:w w:val="98"/>
              </w:rPr>
              <w:t>1.0</w:t>
            </w:r>
          </w:p>
        </w:tc>
      </w:tr>
      <w:tr>
        <w:trPr>
          <w:trHeight w:val="192"/>
        </w:trPr>
        <w:tc>
          <w:tcPr>
            <w:tcW w:w="5980" w:type="dxa"/>
            <w:vAlign w:val="bottom"/>
          </w:tcPr>
          <w:p>
            <w:pPr>
              <w:spacing w:after="0"/>
              <w:rPr>
                <w:sz w:val="20"/>
                <w:szCs w:val="20"/>
                <w:color w:val="auto"/>
              </w:rPr>
            </w:pPr>
            <w:r>
              <w:rPr>
                <w:rFonts w:ascii="Arial" w:cs="Arial" w:eastAsia="Arial" w:hAnsi="Arial"/>
                <w:sz w:val="16"/>
                <w:szCs w:val="16"/>
                <w:color w:val="auto"/>
              </w:rPr>
              <w:t>3.3% or below</w:t>
            </w:r>
          </w:p>
        </w:tc>
        <w:tc>
          <w:tcPr>
            <w:tcW w:w="5440" w:type="dxa"/>
            <w:vAlign w:val="bottom"/>
          </w:tcPr>
          <w:p>
            <w:pPr>
              <w:jc w:val="center"/>
              <w:ind w:left="1924"/>
              <w:spacing w:after="0"/>
              <w:rPr>
                <w:sz w:val="20"/>
                <w:szCs w:val="20"/>
                <w:color w:val="auto"/>
              </w:rPr>
            </w:pPr>
            <w:r>
              <w:rPr>
                <w:rFonts w:ascii="Arial" w:cs="Arial" w:eastAsia="Arial" w:hAnsi="Arial"/>
                <w:sz w:val="16"/>
                <w:szCs w:val="16"/>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724852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8525" cy="17145"/>
                    </a:xfrm>
                    <a:prstGeom prst="rect">
                      <a:avLst/>
                    </a:prstGeom>
                    <a:noFill/>
                  </pic:spPr>
                </pic:pic>
              </a:graphicData>
            </a:graphic>
          </wp:anchor>
        </w:drawing>
      </w:r>
    </w:p>
    <w:p>
      <w:pPr>
        <w:sectPr>
          <w:pgSz w:w="11900" w:h="16838" w:orient="portrait"/>
          <w:cols w:equalWidth="0" w:num="1">
            <w:col w:w="11420"/>
          </w:cols>
          <w:pgMar w:left="240" w:top="127" w:right="239" w:bottom="0" w:gutter="0" w:footer="0" w:header="0"/>
        </w:sectPr>
      </w:pPr>
    </w:p>
    <w:p>
      <w:pPr>
        <w:spacing w:after="0" w:line="9" w:lineRule="exact"/>
        <w:rPr>
          <w:sz w:val="20"/>
          <w:szCs w:val="20"/>
          <w:color w:val="auto"/>
        </w:rPr>
      </w:pPr>
    </w:p>
    <w:p>
      <w:pPr>
        <w:ind w:left="640" w:right="380" w:hanging="634"/>
        <w:spacing w:after="0" w:line="248" w:lineRule="auto"/>
        <w:tabs>
          <w:tab w:leader="none" w:pos="640" w:val="left"/>
        </w:tabs>
        <w:numPr>
          <w:ilvl w:val="0"/>
          <w:numId w:val="15"/>
        </w:numPr>
        <w:rPr>
          <w:rFonts w:ascii="Arial" w:cs="Arial" w:eastAsia="Arial" w:hAnsi="Arial"/>
          <w:sz w:val="14"/>
          <w:szCs w:val="14"/>
          <w:i w:val="1"/>
          <w:iCs w:val="1"/>
          <w:color w:val="auto"/>
        </w:rPr>
      </w:pPr>
      <w:r>
        <w:rPr>
          <w:rFonts w:ascii="Arial" w:cs="Arial" w:eastAsia="Arial" w:hAnsi="Arial"/>
          <w:sz w:val="14"/>
          <w:szCs w:val="14"/>
          <w:i w:val="1"/>
          <w:iCs w:val="1"/>
          <w:color w:val="auto"/>
        </w:rPr>
        <w:t>Participants also receive additional shares for dividend equivalents on shares subject to RSUs, which are deemed reinvested to purchase additional units that become subject to the same vesting conditions as the RSUs to which the dividends relate.</w:t>
      </w:r>
    </w:p>
    <w:p>
      <w:pPr>
        <w:ind w:left="640" w:hanging="634"/>
        <w:spacing w:after="0"/>
        <w:tabs>
          <w:tab w:leader="none" w:pos="640" w:val="left"/>
        </w:tabs>
        <w:numPr>
          <w:ilvl w:val="0"/>
          <w:numId w:val="15"/>
        </w:numPr>
        <w:rPr>
          <w:rFonts w:ascii="Arial" w:cs="Arial" w:eastAsia="Arial" w:hAnsi="Arial"/>
          <w:sz w:val="14"/>
          <w:szCs w:val="14"/>
          <w:i w:val="1"/>
          <w:iCs w:val="1"/>
          <w:color w:val="auto"/>
        </w:rPr>
      </w:pPr>
      <w:r>
        <w:rPr>
          <w:rFonts w:ascii="Arial" w:cs="Arial" w:eastAsia="Arial" w:hAnsi="Arial"/>
          <w:sz w:val="14"/>
          <w:szCs w:val="14"/>
          <w:i w:val="1"/>
          <w:iCs w:val="1"/>
          <w:color w:val="auto"/>
        </w:rPr>
        <w:t>If performance falls between the tiers shown above, we calculate the payout using linear interpolation.</w:t>
      </w:r>
    </w:p>
    <w:p>
      <w:pPr>
        <w:sectPr>
          <w:pgSz w:w="11900" w:h="16838" w:orient="portrait"/>
          <w:cols w:equalWidth="0" w:num="1">
            <w:col w:w="11420"/>
          </w:cols>
          <w:pgMar w:left="240" w:top="127" w:right="239" w:bottom="0" w:gutter="0" w:footer="0" w:header="0"/>
          <w:type w:val="continuous"/>
        </w:sectPr>
      </w:pPr>
    </w:p>
    <w:bookmarkStart w:id="20" w:name="page21"/>
    <w:bookmarkEnd w:id="20"/>
    <w:p>
      <w:pPr>
        <w:ind w:right="120"/>
        <w:spacing w:after="0" w:line="284" w:lineRule="auto"/>
        <w:rPr>
          <w:sz w:val="20"/>
          <w:szCs w:val="20"/>
          <w:color w:val="auto"/>
        </w:rPr>
      </w:pPr>
      <w:r>
        <w:rPr>
          <w:rFonts w:ascii="Arial" w:cs="Arial" w:eastAsia="Arial" w:hAnsi="Arial"/>
          <w:sz w:val="16"/>
          <w:szCs w:val="16"/>
          <w:color w:val="auto"/>
        </w:rPr>
        <w:t>Our RSAs, which are solely service-based, and those RSUs that are solely service-based represent the right to receive 1.0 share at the end of the service period and have the same dividend equivalent rights as performance-based RSUs. We include RSAs and those RSUs that are solely service-based in potential dilutive shares at 100 percent, subject to the application of the treasury stock method. We include our performance-based RSUs in potential dilutive shares at zero to up to 200 percent to the extent that they currently meet the performance requirements for vesting, subject to the application of the treasury stock method. Due to market fluctuations of both Sempra Energy stock and the comparative indices, dilutive performance-based RSU shares may vary widely from period-to-period. If it were assumed that performance goals for all RSUs were met at maximum levels and if the treasury stock method were not applied to any of our RSAs or RSUs, the incremental potential dilutive shares would be 844,251 and 971,943 for the three months and nine months ended September 30, 2014, respectively, and 712,941 and 889,420 for the three months and nine months ended September 30, 2013, respectively.</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SDG&amp;E PREFERRED STOCK</w:t>
      </w:r>
    </w:p>
    <w:p>
      <w:pPr>
        <w:spacing w:after="0" w:line="229"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In September 2013, SDG&amp;E announced that it would redeem all six series of its outstanding shares of contingently redeemable preferred stock. The redemption was completed in October 2013 and, accordingly, we recorded the redemption value, including a $3 million early call premium, as a current liability at September 30, 2013. The early call premium is presented as Call Premium on Preferred Stock of Subsidiary on Sempra Energy’s and Call Premium on Preferred Stock on SDG&amp;E’s Condensed Consolidated Statements of Operations. We provide more detail concerning SDG&amp;E’s preferred stock in Note 11 of the Notes to Consolidated Financial Statements in the Annual Report.</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discuss our share-based compensation plans in Note 8 of the Notes to Consolidated Financial Statements in the Annual Report. We recorded share-based compensation expense, net of income taxes, of $8 million and $6 million for the three months ended September 30, 2014 and 2013, respectively, and $22 million and $17 million for the nine months ended September 30, 2014 and 2013, respectively. Pursuant to our Sempra Energy share-based compensation plans, Sempra Energy’s board of directors granted 444,241 performance-based RSUs and 108,986 service-based RSUs during the nine months ended September 30, 2014, primarily in January. Of the 444,241 performance-based RSUs granted, 355,638 vest based on our four-year comparative total shareholder return performance and 88,603 vest based on our four-year EPS compound annual growth rate performance.</w:t>
      </w:r>
    </w:p>
    <w:p>
      <w:pPr>
        <w:spacing w:after="0" w:line="179"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color w:val="auto"/>
        </w:rPr>
        <w:t>During the nine months ended September 30, 2014, IEnova issued 136,996 RSUs from the IEnova 2013 Long-Term Incentive Plan, under which, awards are cash settled based on the price of IEnova common stock.</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FINANCING COSTS</w:t>
      </w:r>
    </w:p>
    <w:p>
      <w:pPr>
        <w:spacing w:after="0" w:line="229"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Capitalized financing costs include capitalized interest costs and, primarily at the California Utilities, an allowance for funds used during construction (AFUDC) related to both debt and equity financing of construction projects.</w:t>
      </w:r>
    </w:p>
    <w:p>
      <w:pPr>
        <w:spacing w:after="0" w:line="179"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Pipeline projects currently under construction by Sempra Mexico that are both regulated by the Comisión Reguladora de Energía (or CRE, the Energy Regulatory Commission) and meet U.S. GAAP regulatory accounting requirements record the impact of AFUDC related to equity. Beginning in the fourth quarter of 2013, Sempra Mexico began recording AFUDC related to equity for its Sonora Pipeline project, which was $14 million and $34 million for the three months and nine months ended September 30, 2014,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capitalized financing costs for the three months and nine months ended September 30, 2014 and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298450</wp:posOffset>
            </wp:positionV>
            <wp:extent cx="7248525" cy="2787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8525" cy="27876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CAPITALIZED FINANCING COSTS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56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1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shd w:val="clear" w:color="auto" w:fill="C0C0C0"/>
          </w:tcPr>
          <w:p>
            <w:pPr>
              <w:spacing w:after="0"/>
              <w:rPr>
                <w:sz w:val="16"/>
                <w:szCs w:val="16"/>
                <w:color w:val="auto"/>
              </w:rPr>
            </w:pPr>
          </w:p>
        </w:tc>
        <w:tc>
          <w:tcPr>
            <w:tcW w:w="360" w:type="dxa"/>
            <w:vAlign w:val="bottom"/>
            <w:shd w:val="clear" w:color="auto" w:fill="C0C0C0"/>
          </w:tcPr>
          <w:p>
            <w:pPr>
              <w:spacing w:after="0"/>
              <w:rPr>
                <w:sz w:val="16"/>
                <w:szCs w:val="16"/>
                <w:color w:val="auto"/>
              </w:rPr>
            </w:pPr>
          </w:p>
        </w:tc>
        <w:tc>
          <w:tcPr>
            <w:tcW w:w="1340" w:type="dxa"/>
            <w:vAlign w:val="bottom"/>
            <w:shd w:val="clear" w:color="auto" w:fill="C0C0C0"/>
          </w:tcPr>
          <w:p>
            <w:pPr>
              <w:spacing w:after="0"/>
              <w:rPr>
                <w:sz w:val="16"/>
                <w:szCs w:val="16"/>
                <w:color w:val="auto"/>
              </w:rPr>
            </w:pPr>
          </w:p>
        </w:tc>
        <w:tc>
          <w:tcPr>
            <w:tcW w:w="400" w:type="dxa"/>
            <w:vAlign w:val="bottom"/>
            <w:shd w:val="clear" w:color="auto" w:fill="C0C0C0"/>
          </w:tcPr>
          <w:p>
            <w:pPr>
              <w:spacing w:after="0"/>
              <w:rPr>
                <w:sz w:val="16"/>
                <w:szCs w:val="16"/>
                <w:color w:val="auto"/>
              </w:rPr>
            </w:pPr>
          </w:p>
        </w:tc>
        <w:tc>
          <w:tcPr>
            <w:tcW w:w="1160" w:type="dxa"/>
            <w:vAlign w:val="bottom"/>
            <w:shd w:val="clear" w:color="auto" w:fill="C0C0C0"/>
          </w:tcPr>
          <w:p>
            <w:pPr>
              <w:spacing w:after="0"/>
              <w:rPr>
                <w:sz w:val="16"/>
                <w:szCs w:val="16"/>
                <w:color w:val="auto"/>
              </w:rPr>
            </w:pPr>
          </w:p>
        </w:tc>
      </w:tr>
      <w:tr>
        <w:trPr>
          <w:trHeight w:val="199"/>
        </w:trPr>
        <w:tc>
          <w:tcPr>
            <w:tcW w:w="4560" w:type="dxa"/>
            <w:vAlign w:val="bottom"/>
          </w:tcPr>
          <w:p>
            <w:pPr>
              <w:spacing w:after="0"/>
              <w:rPr>
                <w:sz w:val="17"/>
                <w:szCs w:val="17"/>
                <w:color w:val="auto"/>
              </w:rPr>
            </w:pPr>
          </w:p>
        </w:tc>
        <w:tc>
          <w:tcPr>
            <w:tcW w:w="3040" w:type="dxa"/>
            <w:vAlign w:val="bottom"/>
            <w:tcBorders>
              <w:bottom w:val="single" w:sz="8" w:color="auto"/>
            </w:tcBorders>
            <w:gridSpan w:val="3"/>
          </w:tcPr>
          <w:p>
            <w:pPr>
              <w:jc w:val="right"/>
              <w:ind w:right="122"/>
              <w:spacing w:after="0"/>
              <w:rPr>
                <w:sz w:val="20"/>
                <w:szCs w:val="20"/>
                <w:color w:val="auto"/>
              </w:rPr>
            </w:pPr>
            <w:r>
              <w:rPr>
                <w:rFonts w:ascii="Arial" w:cs="Arial" w:eastAsia="Arial" w:hAnsi="Arial"/>
                <w:sz w:val="14"/>
                <w:szCs w:val="14"/>
                <w:color w:val="auto"/>
              </w:rPr>
              <w:t>Three months ended September 30,</w:t>
            </w:r>
          </w:p>
        </w:tc>
        <w:tc>
          <w:tcPr>
            <w:tcW w:w="3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3"/>
          </w:tcPr>
          <w:p>
            <w:pPr>
              <w:jc w:val="right"/>
              <w:ind w:right="541"/>
              <w:spacing w:after="0"/>
              <w:rPr>
                <w:sz w:val="20"/>
                <w:szCs w:val="20"/>
                <w:color w:val="auto"/>
              </w:rPr>
            </w:pPr>
            <w:r>
              <w:rPr>
                <w:rFonts w:ascii="Arial" w:cs="Arial" w:eastAsia="Arial" w:hAnsi="Arial"/>
                <w:sz w:val="14"/>
                <w:szCs w:val="14"/>
                <w:color w:val="auto"/>
              </w:rPr>
              <w:t>Nine months ended September 30,</w:t>
            </w:r>
          </w:p>
        </w:tc>
      </w:tr>
      <w:tr>
        <w:trPr>
          <w:trHeight w:val="206"/>
        </w:trPr>
        <w:tc>
          <w:tcPr>
            <w:tcW w:w="45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color w:val="auto"/>
              </w:rPr>
              <w:t>2014</w:t>
            </w:r>
          </w:p>
        </w:tc>
        <w:tc>
          <w:tcPr>
            <w:tcW w:w="6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color w:val="auto"/>
              </w:rPr>
              <w:t>2013</w:t>
            </w:r>
          </w:p>
        </w:tc>
        <w:tc>
          <w:tcPr>
            <w:tcW w:w="3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802"/>
              <w:spacing w:after="0"/>
              <w:rPr>
                <w:sz w:val="20"/>
                <w:szCs w:val="20"/>
                <w:color w:val="auto"/>
              </w:rPr>
            </w:pPr>
            <w:r>
              <w:rPr>
                <w:rFonts w:ascii="Arial" w:cs="Arial" w:eastAsia="Arial" w:hAnsi="Arial"/>
                <w:sz w:val="14"/>
                <w:szCs w:val="14"/>
                <w:color w:val="auto"/>
              </w:rPr>
              <w:t>2014</w:t>
            </w:r>
          </w:p>
        </w:tc>
        <w:tc>
          <w:tcPr>
            <w:tcW w:w="4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41"/>
              <w:spacing w:after="0"/>
              <w:rPr>
                <w:sz w:val="20"/>
                <w:szCs w:val="20"/>
                <w:color w:val="auto"/>
              </w:rPr>
            </w:pPr>
            <w:r>
              <w:rPr>
                <w:rFonts w:ascii="Arial" w:cs="Arial" w:eastAsia="Arial" w:hAnsi="Arial"/>
                <w:sz w:val="14"/>
                <w:szCs w:val="14"/>
                <w:color w:val="auto"/>
              </w:rPr>
              <w:t>2013</w:t>
            </w:r>
          </w:p>
        </w:tc>
      </w:tr>
      <w:tr>
        <w:trPr>
          <w:trHeight w:val="194"/>
        </w:trPr>
        <w:tc>
          <w:tcPr>
            <w:tcW w:w="4560" w:type="dxa"/>
            <w:vAlign w:val="bottom"/>
          </w:tcPr>
          <w:p>
            <w:pPr>
              <w:spacing w:after="0"/>
              <w:rPr>
                <w:sz w:val="20"/>
                <w:szCs w:val="20"/>
                <w:color w:val="auto"/>
              </w:rPr>
            </w:pPr>
            <w:r>
              <w:rPr>
                <w:rFonts w:ascii="Arial" w:cs="Arial" w:eastAsia="Arial" w:hAnsi="Arial"/>
                <w:sz w:val="16"/>
                <w:szCs w:val="16"/>
                <w:b w:val="1"/>
                <w:bCs w:val="1"/>
                <w:color w:val="auto"/>
              </w:rPr>
              <w:t>Sempra Energy Consolidated:</w:t>
            </w:r>
          </w:p>
        </w:tc>
        <w:tc>
          <w:tcPr>
            <w:tcW w:w="1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2"/>
        </w:trPr>
        <w:tc>
          <w:tcPr>
            <w:tcW w:w="4560" w:type="dxa"/>
            <w:vAlign w:val="bottom"/>
          </w:tcPr>
          <w:p>
            <w:pPr>
              <w:ind w:left="180"/>
              <w:spacing w:after="0"/>
              <w:rPr>
                <w:sz w:val="20"/>
                <w:szCs w:val="20"/>
                <w:color w:val="auto"/>
              </w:rPr>
            </w:pPr>
            <w:r>
              <w:rPr>
                <w:rFonts w:ascii="Arial" w:cs="Arial" w:eastAsia="Arial" w:hAnsi="Arial"/>
                <w:sz w:val="16"/>
                <w:szCs w:val="16"/>
                <w:color w:val="auto"/>
              </w:rPr>
              <w:t>AFUDC related to debt</w:t>
            </w:r>
          </w:p>
        </w:tc>
        <w:tc>
          <w:tcPr>
            <w:tcW w:w="1260" w:type="dxa"/>
            <w:vAlign w:val="bottom"/>
          </w:tcPr>
          <w:p>
            <w:pPr>
              <w:jc w:val="right"/>
              <w:ind w:right="742"/>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00"/>
              <w:spacing w:after="0"/>
              <w:rPr>
                <w:sz w:val="20"/>
                <w:szCs w:val="20"/>
                <w:color w:val="auto"/>
              </w:rPr>
            </w:pPr>
            <w:r>
              <w:rPr>
                <w:rFonts w:ascii="Arial" w:cs="Arial" w:eastAsia="Arial" w:hAnsi="Arial"/>
                <w:sz w:val="16"/>
                <w:szCs w:val="16"/>
                <w:color w:val="auto"/>
              </w:rPr>
              <w:t>5</w:t>
            </w:r>
          </w:p>
        </w:tc>
        <w:tc>
          <w:tcPr>
            <w:tcW w:w="1160" w:type="dxa"/>
            <w:vAlign w:val="bottom"/>
          </w:tcPr>
          <w:p>
            <w:pPr>
              <w:jc w:val="right"/>
              <w:ind w:right="802"/>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6"/>
                <w:szCs w:val="16"/>
                <w:color w:val="auto"/>
              </w:rPr>
              <w:t>6</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02"/>
              <w:spacing w:after="0"/>
              <w:rPr>
                <w:sz w:val="20"/>
                <w:szCs w:val="20"/>
                <w:color w:val="auto"/>
              </w:rPr>
            </w:pPr>
            <w:r>
              <w:rPr>
                <w:rFonts w:ascii="Arial" w:cs="Arial" w:eastAsia="Arial" w:hAnsi="Arial"/>
                <w:sz w:val="16"/>
                <w:szCs w:val="16"/>
                <w:color w:val="auto"/>
              </w:rPr>
              <w:t>15</w:t>
            </w:r>
          </w:p>
        </w:tc>
        <w:tc>
          <w:tcPr>
            <w:tcW w:w="4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13"/>
        </w:trPr>
        <w:tc>
          <w:tcPr>
            <w:tcW w:w="4560" w:type="dxa"/>
            <w:vAlign w:val="bottom"/>
          </w:tcPr>
          <w:p>
            <w:pPr>
              <w:ind w:left="180"/>
              <w:spacing w:after="0"/>
              <w:rPr>
                <w:sz w:val="20"/>
                <w:szCs w:val="20"/>
                <w:color w:val="auto"/>
              </w:rPr>
            </w:pPr>
            <w:r>
              <w:rPr>
                <w:rFonts w:ascii="Arial" w:cs="Arial" w:eastAsia="Arial" w:hAnsi="Arial"/>
                <w:sz w:val="16"/>
                <w:szCs w:val="16"/>
                <w:color w:val="auto"/>
              </w:rPr>
              <w:t>AFUDC related to equity</w:t>
            </w:r>
          </w:p>
        </w:tc>
        <w:tc>
          <w:tcPr>
            <w:tcW w:w="1260" w:type="dxa"/>
            <w:vAlign w:val="bottom"/>
          </w:tcPr>
          <w:p>
            <w:pPr>
              <w:spacing w:after="0"/>
              <w:rPr>
                <w:sz w:val="18"/>
                <w:szCs w:val="18"/>
                <w:color w:val="auto"/>
              </w:rPr>
            </w:pPr>
          </w:p>
        </w:tc>
        <w:tc>
          <w:tcPr>
            <w:tcW w:w="620" w:type="dxa"/>
            <w:vAlign w:val="bottom"/>
          </w:tcPr>
          <w:p>
            <w:pPr>
              <w:jc w:val="right"/>
              <w:ind w:right="100"/>
              <w:spacing w:after="0"/>
              <w:rPr>
                <w:sz w:val="20"/>
                <w:szCs w:val="20"/>
                <w:color w:val="auto"/>
              </w:rPr>
            </w:pPr>
            <w:r>
              <w:rPr>
                <w:rFonts w:ascii="Arial" w:cs="Arial" w:eastAsia="Arial" w:hAnsi="Arial"/>
                <w:sz w:val="16"/>
                <w:szCs w:val="16"/>
                <w:color w:val="auto"/>
              </w:rPr>
              <w:t>28</w:t>
            </w:r>
          </w:p>
        </w:tc>
        <w:tc>
          <w:tcPr>
            <w:tcW w:w="116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6"/>
                <w:szCs w:val="16"/>
                <w:color w:val="auto"/>
              </w:rPr>
              <w:t>14</w:t>
            </w:r>
          </w:p>
        </w:tc>
        <w:tc>
          <w:tcPr>
            <w:tcW w:w="360" w:type="dxa"/>
            <w:vAlign w:val="bottom"/>
          </w:tcPr>
          <w:p>
            <w:pPr>
              <w:spacing w:after="0"/>
              <w:rPr>
                <w:sz w:val="18"/>
                <w:szCs w:val="18"/>
                <w:color w:val="auto"/>
              </w:rPr>
            </w:pPr>
          </w:p>
        </w:tc>
        <w:tc>
          <w:tcPr>
            <w:tcW w:w="1340" w:type="dxa"/>
            <w:vAlign w:val="bottom"/>
          </w:tcPr>
          <w:p>
            <w:pPr>
              <w:jc w:val="right"/>
              <w:ind w:right="102"/>
              <w:spacing w:after="0"/>
              <w:rPr>
                <w:sz w:val="20"/>
                <w:szCs w:val="20"/>
                <w:color w:val="auto"/>
              </w:rPr>
            </w:pPr>
            <w:r>
              <w:rPr>
                <w:rFonts w:ascii="Arial" w:cs="Arial" w:eastAsia="Arial" w:hAnsi="Arial"/>
                <w:sz w:val="16"/>
                <w:szCs w:val="16"/>
                <w:color w:val="auto"/>
              </w:rPr>
              <w:t>77</w:t>
            </w:r>
          </w:p>
        </w:tc>
        <w:tc>
          <w:tcPr>
            <w:tcW w:w="4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04"/>
        </w:trPr>
        <w:tc>
          <w:tcPr>
            <w:tcW w:w="4560" w:type="dxa"/>
            <w:vAlign w:val="bottom"/>
          </w:tcPr>
          <w:p>
            <w:pPr>
              <w:ind w:left="180"/>
              <w:spacing w:after="0"/>
              <w:rPr>
                <w:sz w:val="20"/>
                <w:szCs w:val="20"/>
                <w:color w:val="auto"/>
              </w:rPr>
            </w:pPr>
            <w:r>
              <w:rPr>
                <w:rFonts w:ascii="Arial" w:cs="Arial" w:eastAsia="Arial" w:hAnsi="Arial"/>
                <w:sz w:val="16"/>
                <w:szCs w:val="16"/>
                <w:color w:val="auto"/>
              </w:rPr>
              <w:t>Other capitalized financing costs</w:t>
            </w:r>
          </w:p>
        </w:tc>
        <w:tc>
          <w:tcPr>
            <w:tcW w:w="12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6</w:t>
            </w:r>
          </w:p>
        </w:tc>
        <w:tc>
          <w:tcPr>
            <w:tcW w:w="1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9</w:t>
            </w:r>
          </w:p>
        </w:tc>
        <w:tc>
          <w:tcPr>
            <w:tcW w:w="3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22</w:t>
            </w:r>
          </w:p>
        </w:tc>
        <w:tc>
          <w:tcPr>
            <w:tcW w:w="4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r>
      <w:tr>
        <w:trPr>
          <w:trHeight w:val="173"/>
        </w:trPr>
        <w:tc>
          <w:tcPr>
            <w:tcW w:w="4560" w:type="dxa"/>
            <w:vAlign w:val="bottom"/>
            <w:tcBorders>
              <w:bottom w:val="single" w:sz="8" w:color="auto"/>
            </w:tcBorders>
          </w:tcPr>
          <w:p>
            <w:pPr>
              <w:ind w:left="360"/>
              <w:spacing w:after="0" w:line="166" w:lineRule="exact"/>
              <w:rPr>
                <w:sz w:val="20"/>
                <w:szCs w:val="20"/>
                <w:color w:val="auto"/>
              </w:rPr>
            </w:pPr>
            <w:r>
              <w:rPr>
                <w:rFonts w:ascii="Arial" w:cs="Arial" w:eastAsia="Arial" w:hAnsi="Arial"/>
                <w:sz w:val="16"/>
                <w:szCs w:val="16"/>
                <w:color w:val="auto"/>
              </w:rPr>
              <w:t>Total Sempra Energy Consolidated</w:t>
            </w:r>
          </w:p>
        </w:tc>
        <w:tc>
          <w:tcPr>
            <w:tcW w:w="1260" w:type="dxa"/>
            <w:vAlign w:val="bottom"/>
            <w:tcBorders>
              <w:bottom w:val="single" w:sz="8" w:color="auto"/>
            </w:tcBorders>
          </w:tcPr>
          <w:p>
            <w:pPr>
              <w:jc w:val="right"/>
              <w:ind w:right="742"/>
              <w:spacing w:after="0" w:line="166" w:lineRule="exact"/>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100"/>
              <w:spacing w:after="0" w:line="166" w:lineRule="exact"/>
              <w:rPr>
                <w:sz w:val="20"/>
                <w:szCs w:val="20"/>
                <w:color w:val="auto"/>
              </w:rPr>
            </w:pPr>
            <w:r>
              <w:rPr>
                <w:rFonts w:ascii="Arial" w:cs="Arial" w:eastAsia="Arial" w:hAnsi="Arial"/>
                <w:sz w:val="16"/>
                <w:szCs w:val="16"/>
                <w:color w:val="auto"/>
              </w:rPr>
              <w:t>39</w:t>
            </w:r>
          </w:p>
        </w:tc>
        <w:tc>
          <w:tcPr>
            <w:tcW w:w="1160" w:type="dxa"/>
            <w:vAlign w:val="bottom"/>
            <w:tcBorders>
              <w:bottom w:val="single" w:sz="8" w:color="auto"/>
            </w:tcBorders>
          </w:tcPr>
          <w:p>
            <w:pPr>
              <w:jc w:val="right"/>
              <w:ind w:right="802"/>
              <w:spacing w:after="0" w:line="166" w:lineRule="exact"/>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gridSpan w:val="2"/>
          </w:tcPr>
          <w:p>
            <w:pPr>
              <w:jc w:val="right"/>
              <w:ind w:right="200"/>
              <w:spacing w:after="0" w:line="166" w:lineRule="exact"/>
              <w:rPr>
                <w:sz w:val="20"/>
                <w:szCs w:val="20"/>
                <w:color w:val="auto"/>
              </w:rPr>
            </w:pPr>
            <w:r>
              <w:rPr>
                <w:rFonts w:ascii="Arial" w:cs="Arial" w:eastAsia="Arial" w:hAnsi="Arial"/>
                <w:sz w:val="16"/>
                <w:szCs w:val="16"/>
                <w:color w:val="auto"/>
              </w:rPr>
              <w:t>29</w:t>
            </w:r>
          </w:p>
        </w:tc>
        <w:tc>
          <w:tcPr>
            <w:tcW w:w="3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02"/>
              <w:spacing w:after="0" w:line="166" w:lineRule="exact"/>
              <w:rPr>
                <w:sz w:val="20"/>
                <w:szCs w:val="20"/>
                <w:color w:val="auto"/>
              </w:rPr>
            </w:pPr>
            <w:r>
              <w:rPr>
                <w:rFonts w:ascii="Arial" w:cs="Arial" w:eastAsia="Arial" w:hAnsi="Arial"/>
                <w:sz w:val="16"/>
                <w:szCs w:val="16"/>
                <w:color w:val="auto"/>
              </w:rPr>
              <w:t>114</w:t>
            </w:r>
          </w:p>
        </w:tc>
        <w:tc>
          <w:tcPr>
            <w:tcW w:w="400" w:type="dxa"/>
            <w:vAlign w:val="bottom"/>
            <w:tcBorders>
              <w:bottom w:val="single" w:sz="8" w:color="auto"/>
            </w:tcBorders>
          </w:tcPr>
          <w:p>
            <w:pPr>
              <w:jc w:val="right"/>
              <w:ind w:right="40"/>
              <w:spacing w:after="0" w:line="166" w:lineRule="exact"/>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83</w:t>
            </w:r>
          </w:p>
        </w:tc>
      </w:tr>
      <w:tr>
        <w:trPr>
          <w:trHeight w:val="201"/>
        </w:trPr>
        <w:tc>
          <w:tcPr>
            <w:tcW w:w="456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1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2"/>
        </w:trPr>
        <w:tc>
          <w:tcPr>
            <w:tcW w:w="4560" w:type="dxa"/>
            <w:vAlign w:val="bottom"/>
          </w:tcPr>
          <w:p>
            <w:pPr>
              <w:ind w:left="180"/>
              <w:spacing w:after="0"/>
              <w:rPr>
                <w:sz w:val="20"/>
                <w:szCs w:val="20"/>
                <w:color w:val="auto"/>
              </w:rPr>
            </w:pPr>
            <w:r>
              <w:rPr>
                <w:rFonts w:ascii="Arial" w:cs="Arial" w:eastAsia="Arial" w:hAnsi="Arial"/>
                <w:sz w:val="16"/>
                <w:szCs w:val="16"/>
                <w:color w:val="auto"/>
              </w:rPr>
              <w:t>AFUDC related to debt</w:t>
            </w:r>
          </w:p>
        </w:tc>
        <w:tc>
          <w:tcPr>
            <w:tcW w:w="1260" w:type="dxa"/>
            <w:vAlign w:val="bottom"/>
          </w:tcPr>
          <w:p>
            <w:pPr>
              <w:jc w:val="right"/>
              <w:ind w:right="742"/>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00"/>
              <w:spacing w:after="0"/>
              <w:rPr>
                <w:sz w:val="20"/>
                <w:szCs w:val="20"/>
                <w:color w:val="auto"/>
              </w:rPr>
            </w:pPr>
            <w:r>
              <w:rPr>
                <w:rFonts w:ascii="Arial" w:cs="Arial" w:eastAsia="Arial" w:hAnsi="Arial"/>
                <w:sz w:val="16"/>
                <w:szCs w:val="16"/>
                <w:color w:val="auto"/>
              </w:rPr>
              <w:t>3</w:t>
            </w:r>
          </w:p>
        </w:tc>
        <w:tc>
          <w:tcPr>
            <w:tcW w:w="1160" w:type="dxa"/>
            <w:vAlign w:val="bottom"/>
          </w:tcPr>
          <w:p>
            <w:pPr>
              <w:jc w:val="right"/>
              <w:ind w:right="802"/>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6"/>
                <w:szCs w:val="16"/>
                <w:color w:val="auto"/>
              </w:rPr>
              <w:t>4</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02"/>
              <w:spacing w:after="0"/>
              <w:rPr>
                <w:sz w:val="20"/>
                <w:szCs w:val="20"/>
                <w:color w:val="auto"/>
              </w:rPr>
            </w:pPr>
            <w:r>
              <w:rPr>
                <w:rFonts w:ascii="Arial" w:cs="Arial" w:eastAsia="Arial" w:hAnsi="Arial"/>
                <w:sz w:val="16"/>
                <w:szCs w:val="16"/>
                <w:color w:val="auto"/>
              </w:rPr>
              <w:t>10</w:t>
            </w:r>
          </w:p>
        </w:tc>
        <w:tc>
          <w:tcPr>
            <w:tcW w:w="4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04"/>
        </w:trPr>
        <w:tc>
          <w:tcPr>
            <w:tcW w:w="4560" w:type="dxa"/>
            <w:vAlign w:val="bottom"/>
          </w:tcPr>
          <w:p>
            <w:pPr>
              <w:ind w:left="180"/>
              <w:spacing w:after="0"/>
              <w:rPr>
                <w:sz w:val="20"/>
                <w:szCs w:val="20"/>
                <w:color w:val="auto"/>
              </w:rPr>
            </w:pPr>
            <w:r>
              <w:rPr>
                <w:rFonts w:ascii="Arial" w:cs="Arial" w:eastAsia="Arial" w:hAnsi="Arial"/>
                <w:sz w:val="16"/>
                <w:szCs w:val="16"/>
                <w:color w:val="auto"/>
              </w:rPr>
              <w:t>AFUDC related to equity</w:t>
            </w:r>
          </w:p>
        </w:tc>
        <w:tc>
          <w:tcPr>
            <w:tcW w:w="12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8</w:t>
            </w:r>
          </w:p>
        </w:tc>
        <w:tc>
          <w:tcPr>
            <w:tcW w:w="1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10</w:t>
            </w:r>
          </w:p>
        </w:tc>
        <w:tc>
          <w:tcPr>
            <w:tcW w:w="3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26</w:t>
            </w:r>
          </w:p>
        </w:tc>
        <w:tc>
          <w:tcPr>
            <w:tcW w:w="4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r>
      <w:tr>
        <w:trPr>
          <w:trHeight w:val="173"/>
        </w:trPr>
        <w:tc>
          <w:tcPr>
            <w:tcW w:w="4560" w:type="dxa"/>
            <w:vAlign w:val="bottom"/>
            <w:tcBorders>
              <w:bottom w:val="single" w:sz="8" w:color="auto"/>
            </w:tcBorders>
          </w:tcPr>
          <w:p>
            <w:pPr>
              <w:ind w:left="360"/>
              <w:spacing w:after="0" w:line="166" w:lineRule="exact"/>
              <w:rPr>
                <w:sz w:val="20"/>
                <w:szCs w:val="20"/>
                <w:color w:val="auto"/>
              </w:rPr>
            </w:pPr>
            <w:r>
              <w:rPr>
                <w:rFonts w:ascii="Arial" w:cs="Arial" w:eastAsia="Arial" w:hAnsi="Arial"/>
                <w:sz w:val="16"/>
                <w:szCs w:val="16"/>
                <w:color w:val="auto"/>
              </w:rPr>
              <w:t>Total SDG&amp;E</w:t>
            </w:r>
          </w:p>
        </w:tc>
        <w:tc>
          <w:tcPr>
            <w:tcW w:w="1260" w:type="dxa"/>
            <w:vAlign w:val="bottom"/>
            <w:tcBorders>
              <w:bottom w:val="single" w:sz="8" w:color="auto"/>
            </w:tcBorders>
          </w:tcPr>
          <w:p>
            <w:pPr>
              <w:jc w:val="right"/>
              <w:ind w:right="742"/>
              <w:spacing w:after="0" w:line="166" w:lineRule="exact"/>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100"/>
              <w:spacing w:after="0" w:line="166" w:lineRule="exact"/>
              <w:rPr>
                <w:sz w:val="20"/>
                <w:szCs w:val="20"/>
                <w:color w:val="auto"/>
              </w:rPr>
            </w:pPr>
            <w:r>
              <w:rPr>
                <w:rFonts w:ascii="Arial" w:cs="Arial" w:eastAsia="Arial" w:hAnsi="Arial"/>
                <w:sz w:val="16"/>
                <w:szCs w:val="16"/>
                <w:color w:val="auto"/>
              </w:rPr>
              <w:t>11</w:t>
            </w:r>
          </w:p>
        </w:tc>
        <w:tc>
          <w:tcPr>
            <w:tcW w:w="1160" w:type="dxa"/>
            <w:vAlign w:val="bottom"/>
            <w:tcBorders>
              <w:bottom w:val="single" w:sz="8" w:color="auto"/>
            </w:tcBorders>
          </w:tcPr>
          <w:p>
            <w:pPr>
              <w:jc w:val="right"/>
              <w:ind w:right="802"/>
              <w:spacing w:after="0" w:line="166" w:lineRule="exact"/>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gridSpan w:val="2"/>
          </w:tcPr>
          <w:p>
            <w:pPr>
              <w:jc w:val="right"/>
              <w:ind w:right="200"/>
              <w:spacing w:after="0" w:line="166" w:lineRule="exact"/>
              <w:rPr>
                <w:sz w:val="20"/>
                <w:szCs w:val="20"/>
                <w:color w:val="auto"/>
              </w:rPr>
            </w:pPr>
            <w:r>
              <w:rPr>
                <w:rFonts w:ascii="Arial" w:cs="Arial" w:eastAsia="Arial" w:hAnsi="Arial"/>
                <w:sz w:val="16"/>
                <w:szCs w:val="16"/>
                <w:color w:val="auto"/>
              </w:rPr>
              <w:t>14</w:t>
            </w:r>
          </w:p>
        </w:tc>
        <w:tc>
          <w:tcPr>
            <w:tcW w:w="3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02"/>
              <w:spacing w:after="0" w:line="166" w:lineRule="exact"/>
              <w:rPr>
                <w:sz w:val="20"/>
                <w:szCs w:val="20"/>
                <w:color w:val="auto"/>
              </w:rPr>
            </w:pPr>
            <w:r>
              <w:rPr>
                <w:rFonts w:ascii="Arial" w:cs="Arial" w:eastAsia="Arial" w:hAnsi="Arial"/>
                <w:sz w:val="16"/>
                <w:szCs w:val="16"/>
                <w:color w:val="auto"/>
              </w:rPr>
              <w:t>36</w:t>
            </w:r>
          </w:p>
        </w:tc>
        <w:tc>
          <w:tcPr>
            <w:tcW w:w="400" w:type="dxa"/>
            <w:vAlign w:val="bottom"/>
            <w:tcBorders>
              <w:bottom w:val="single" w:sz="8" w:color="auto"/>
            </w:tcBorders>
          </w:tcPr>
          <w:p>
            <w:pPr>
              <w:jc w:val="right"/>
              <w:ind w:right="40"/>
              <w:spacing w:after="0" w:line="166" w:lineRule="exact"/>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42</w:t>
            </w:r>
          </w:p>
        </w:tc>
      </w:tr>
      <w:tr>
        <w:trPr>
          <w:trHeight w:val="201"/>
        </w:trPr>
        <w:tc>
          <w:tcPr>
            <w:tcW w:w="4560" w:type="dxa"/>
            <w:vAlign w:val="bottom"/>
          </w:tcPr>
          <w:p>
            <w:pPr>
              <w:spacing w:after="0"/>
              <w:rPr>
                <w:sz w:val="20"/>
                <w:szCs w:val="20"/>
                <w:color w:val="auto"/>
              </w:rPr>
            </w:pPr>
            <w:r>
              <w:rPr>
                <w:rFonts w:ascii="Arial" w:cs="Arial" w:eastAsia="Arial" w:hAnsi="Arial"/>
                <w:sz w:val="16"/>
                <w:szCs w:val="16"/>
                <w:b w:val="1"/>
                <w:bCs w:val="1"/>
                <w:color w:val="auto"/>
              </w:rPr>
              <w:t>SoCalGas:</w:t>
            </w:r>
          </w:p>
        </w:tc>
        <w:tc>
          <w:tcPr>
            <w:tcW w:w="1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2"/>
        </w:trPr>
        <w:tc>
          <w:tcPr>
            <w:tcW w:w="4560" w:type="dxa"/>
            <w:vAlign w:val="bottom"/>
          </w:tcPr>
          <w:p>
            <w:pPr>
              <w:ind w:left="180"/>
              <w:spacing w:after="0"/>
              <w:rPr>
                <w:sz w:val="20"/>
                <w:szCs w:val="20"/>
                <w:color w:val="auto"/>
              </w:rPr>
            </w:pPr>
            <w:r>
              <w:rPr>
                <w:rFonts w:ascii="Arial" w:cs="Arial" w:eastAsia="Arial" w:hAnsi="Arial"/>
                <w:sz w:val="16"/>
                <w:szCs w:val="16"/>
                <w:color w:val="auto"/>
              </w:rPr>
              <w:t>AFUDC related to debt</w:t>
            </w:r>
          </w:p>
        </w:tc>
        <w:tc>
          <w:tcPr>
            <w:tcW w:w="1260" w:type="dxa"/>
            <w:vAlign w:val="bottom"/>
          </w:tcPr>
          <w:p>
            <w:pPr>
              <w:jc w:val="right"/>
              <w:ind w:right="742"/>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00"/>
              <w:spacing w:after="0"/>
              <w:rPr>
                <w:sz w:val="20"/>
                <w:szCs w:val="20"/>
                <w:color w:val="auto"/>
              </w:rPr>
            </w:pPr>
            <w:r>
              <w:rPr>
                <w:rFonts w:ascii="Arial" w:cs="Arial" w:eastAsia="Arial" w:hAnsi="Arial"/>
                <w:sz w:val="16"/>
                <w:szCs w:val="16"/>
                <w:color w:val="auto"/>
              </w:rPr>
              <w:t>2</w:t>
            </w:r>
          </w:p>
        </w:tc>
        <w:tc>
          <w:tcPr>
            <w:tcW w:w="1160" w:type="dxa"/>
            <w:vAlign w:val="bottom"/>
          </w:tcPr>
          <w:p>
            <w:pPr>
              <w:jc w:val="right"/>
              <w:ind w:right="802"/>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6"/>
                <w:szCs w:val="16"/>
                <w:color w:val="auto"/>
              </w:rPr>
              <w:t>2</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02"/>
              <w:spacing w:after="0"/>
              <w:rPr>
                <w:sz w:val="20"/>
                <w:szCs w:val="20"/>
                <w:color w:val="auto"/>
              </w:rPr>
            </w:pPr>
            <w:r>
              <w:rPr>
                <w:rFonts w:ascii="Arial" w:cs="Arial" w:eastAsia="Arial" w:hAnsi="Arial"/>
                <w:sz w:val="16"/>
                <w:szCs w:val="16"/>
                <w:color w:val="auto"/>
              </w:rPr>
              <w:t>5</w:t>
            </w:r>
          </w:p>
        </w:tc>
        <w:tc>
          <w:tcPr>
            <w:tcW w:w="4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04"/>
        </w:trPr>
        <w:tc>
          <w:tcPr>
            <w:tcW w:w="4560" w:type="dxa"/>
            <w:vAlign w:val="bottom"/>
          </w:tcPr>
          <w:p>
            <w:pPr>
              <w:ind w:left="180"/>
              <w:spacing w:after="0"/>
              <w:rPr>
                <w:sz w:val="20"/>
                <w:szCs w:val="20"/>
                <w:color w:val="auto"/>
              </w:rPr>
            </w:pPr>
            <w:r>
              <w:rPr>
                <w:rFonts w:ascii="Arial" w:cs="Arial" w:eastAsia="Arial" w:hAnsi="Arial"/>
                <w:sz w:val="16"/>
                <w:szCs w:val="16"/>
                <w:color w:val="auto"/>
              </w:rPr>
              <w:t>AFUDC related to equity</w:t>
            </w:r>
          </w:p>
        </w:tc>
        <w:tc>
          <w:tcPr>
            <w:tcW w:w="12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7</w:t>
            </w:r>
          </w:p>
        </w:tc>
        <w:tc>
          <w:tcPr>
            <w:tcW w:w="1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4</w:t>
            </w:r>
          </w:p>
        </w:tc>
        <w:tc>
          <w:tcPr>
            <w:tcW w:w="3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18</w:t>
            </w:r>
          </w:p>
        </w:tc>
        <w:tc>
          <w:tcPr>
            <w:tcW w:w="4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r>
      <w:tr>
        <w:trPr>
          <w:trHeight w:val="173"/>
        </w:trPr>
        <w:tc>
          <w:tcPr>
            <w:tcW w:w="4560" w:type="dxa"/>
            <w:vAlign w:val="bottom"/>
            <w:tcBorders>
              <w:bottom w:val="single" w:sz="8" w:color="auto"/>
            </w:tcBorders>
          </w:tcPr>
          <w:p>
            <w:pPr>
              <w:ind w:left="360"/>
              <w:spacing w:after="0" w:line="166" w:lineRule="exact"/>
              <w:rPr>
                <w:sz w:val="20"/>
                <w:szCs w:val="20"/>
                <w:color w:val="auto"/>
              </w:rPr>
            </w:pPr>
            <w:r>
              <w:rPr>
                <w:rFonts w:ascii="Arial" w:cs="Arial" w:eastAsia="Arial" w:hAnsi="Arial"/>
                <w:sz w:val="16"/>
                <w:szCs w:val="16"/>
                <w:color w:val="auto"/>
              </w:rPr>
              <w:t>Total SoCalGas</w:t>
            </w:r>
          </w:p>
        </w:tc>
        <w:tc>
          <w:tcPr>
            <w:tcW w:w="1260" w:type="dxa"/>
            <w:vAlign w:val="bottom"/>
            <w:tcBorders>
              <w:bottom w:val="single" w:sz="8" w:color="auto"/>
            </w:tcBorders>
          </w:tcPr>
          <w:p>
            <w:pPr>
              <w:jc w:val="right"/>
              <w:ind w:right="742"/>
              <w:spacing w:after="0" w:line="166" w:lineRule="exact"/>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100"/>
              <w:spacing w:after="0" w:line="166" w:lineRule="exact"/>
              <w:rPr>
                <w:sz w:val="20"/>
                <w:szCs w:val="20"/>
                <w:color w:val="auto"/>
              </w:rPr>
            </w:pPr>
            <w:r>
              <w:rPr>
                <w:rFonts w:ascii="Arial" w:cs="Arial" w:eastAsia="Arial" w:hAnsi="Arial"/>
                <w:sz w:val="16"/>
                <w:szCs w:val="16"/>
                <w:color w:val="auto"/>
              </w:rPr>
              <w:t>9</w:t>
            </w:r>
          </w:p>
        </w:tc>
        <w:tc>
          <w:tcPr>
            <w:tcW w:w="1160" w:type="dxa"/>
            <w:vAlign w:val="bottom"/>
            <w:tcBorders>
              <w:bottom w:val="single" w:sz="8" w:color="auto"/>
            </w:tcBorders>
          </w:tcPr>
          <w:p>
            <w:pPr>
              <w:jc w:val="right"/>
              <w:ind w:right="802"/>
              <w:spacing w:after="0" w:line="166" w:lineRule="exact"/>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gridSpan w:val="2"/>
          </w:tcPr>
          <w:p>
            <w:pPr>
              <w:jc w:val="right"/>
              <w:ind w:right="200"/>
              <w:spacing w:after="0" w:line="166" w:lineRule="exact"/>
              <w:rPr>
                <w:sz w:val="20"/>
                <w:szCs w:val="20"/>
                <w:color w:val="auto"/>
              </w:rPr>
            </w:pPr>
            <w:r>
              <w:rPr>
                <w:rFonts w:ascii="Arial" w:cs="Arial" w:eastAsia="Arial" w:hAnsi="Arial"/>
                <w:sz w:val="16"/>
                <w:szCs w:val="16"/>
                <w:color w:val="auto"/>
              </w:rPr>
              <w:t>6</w:t>
            </w:r>
          </w:p>
        </w:tc>
        <w:tc>
          <w:tcPr>
            <w:tcW w:w="3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02"/>
              <w:spacing w:after="0" w:line="166" w:lineRule="exact"/>
              <w:rPr>
                <w:sz w:val="20"/>
                <w:szCs w:val="20"/>
                <w:color w:val="auto"/>
              </w:rPr>
            </w:pPr>
            <w:r>
              <w:rPr>
                <w:rFonts w:ascii="Arial" w:cs="Arial" w:eastAsia="Arial" w:hAnsi="Arial"/>
                <w:sz w:val="16"/>
                <w:szCs w:val="16"/>
                <w:color w:val="auto"/>
              </w:rPr>
              <w:t>23</w:t>
            </w:r>
          </w:p>
        </w:tc>
        <w:tc>
          <w:tcPr>
            <w:tcW w:w="400" w:type="dxa"/>
            <w:vAlign w:val="bottom"/>
            <w:tcBorders>
              <w:bottom w:val="single" w:sz="8" w:color="auto"/>
            </w:tcBorders>
          </w:tcPr>
          <w:p>
            <w:pPr>
              <w:jc w:val="right"/>
              <w:ind w:right="40"/>
              <w:spacing w:after="0" w:line="166" w:lineRule="exact"/>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19</w:t>
            </w:r>
          </w:p>
        </w:tc>
      </w:tr>
    </w:tbl>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229"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The following tables present the changes in Accumulated Other Comprehensive Income (Loss) (AOCI) by component and amounts reclassified out of AOCI to net income, excluding amounts attributable to noncontrolling interests: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ACCUMULATED OTHER COMPREHENSIVE INCOME (LOSS) BY COMPONENT(1)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-104775</wp:posOffset>
            </wp:positionV>
            <wp:extent cx="7248525" cy="3289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8525" cy="32893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SEMPRA ENERGY CONSOLIDATED</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52" w:lineRule="exact"/>
        <w:rPr>
          <w:sz w:val="20"/>
          <w:szCs w:val="20"/>
          <w:color w:val="auto"/>
        </w:rPr>
      </w:pPr>
    </w:p>
    <w:p>
      <w:pPr>
        <w:jc w:val="center"/>
        <w:ind w:left="2460"/>
        <w:spacing w:after="0"/>
        <w:rPr>
          <w:sz w:val="20"/>
          <w:szCs w:val="20"/>
          <w:color w:val="auto"/>
        </w:rPr>
      </w:pPr>
      <w:r>
        <w:rPr>
          <w:rFonts w:ascii="Arial" w:cs="Arial" w:eastAsia="Arial" w:hAnsi="Arial"/>
          <w:sz w:val="14"/>
          <w:szCs w:val="14"/>
          <w:color w:val="auto"/>
        </w:rPr>
        <w:t>Pension and Other</w:t>
      </w:r>
    </w:p>
    <w:p>
      <w:pPr>
        <w:spacing w:after="0" w:line="38" w:lineRule="exact"/>
        <w:rPr>
          <w:sz w:val="20"/>
          <w:szCs w:val="20"/>
          <w:color w:val="auto"/>
        </w:rPr>
      </w:pPr>
    </w:p>
    <w:p>
      <w:pPr>
        <w:jc w:val="center"/>
        <w:ind w:left="2460"/>
        <w:spacing w:after="0"/>
        <w:rPr>
          <w:sz w:val="20"/>
          <w:szCs w:val="20"/>
          <w:color w:val="auto"/>
        </w:rPr>
      </w:pPr>
      <w:r>
        <w:rPr>
          <w:rFonts w:ascii="Arial" w:cs="Arial" w:eastAsia="Arial" w:hAnsi="Arial"/>
          <w:sz w:val="14"/>
          <w:szCs w:val="14"/>
          <w:color w:val="auto"/>
        </w:rPr>
        <w:t>Postretirement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3463925</wp:posOffset>
            </wp:positionH>
            <wp:positionV relativeFrom="paragraph">
              <wp:posOffset>-3175</wp:posOffset>
            </wp:positionV>
            <wp:extent cx="188150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spacing w:after="0" w:line="45" w:lineRule="exact"/>
        <w:rPr>
          <w:sz w:val="20"/>
          <w:szCs w:val="20"/>
          <w:color w:val="auto"/>
        </w:rPr>
      </w:pPr>
    </w:p>
    <w:p>
      <w:pPr>
        <w:ind w:left="4540"/>
        <w:spacing w:after="0"/>
        <w:tabs>
          <w:tab w:leader="none" w:pos="10360" w:val="left"/>
        </w:tabs>
        <w:rPr>
          <w:sz w:val="20"/>
          <w:szCs w:val="20"/>
          <w:color w:val="auto"/>
        </w:rPr>
      </w:pPr>
      <w:r>
        <w:rPr>
          <w:rFonts w:ascii="Arial" w:cs="Arial" w:eastAsia="Arial" w:hAnsi="Arial"/>
          <w:sz w:val="14"/>
          <w:szCs w:val="14"/>
          <w:color w:val="auto"/>
        </w:rPr>
        <w:t>Foreign</w:t>
      </w:r>
      <w:r>
        <w:rPr>
          <w:sz w:val="20"/>
          <w:szCs w:val="20"/>
          <w:color w:val="auto"/>
        </w:rPr>
        <w:tab/>
      </w:r>
      <w:r>
        <w:rPr>
          <w:rFonts w:ascii="Arial" w:cs="Arial" w:eastAsia="Arial" w:hAnsi="Arial"/>
          <w:sz w:val="14"/>
          <w:szCs w:val="14"/>
          <w:color w:val="auto"/>
        </w:rPr>
        <w:t>Total</w:t>
      </w:r>
    </w:p>
    <w:p>
      <w:pPr>
        <w:sectPr>
          <w:pgSz w:w="11900" w:h="16838" w:orient="portrait"/>
          <w:cols w:equalWidth="0" w:num="1">
            <w:col w:w="11420"/>
          </w:cols>
          <w:pgMar w:left="240" w:top="340" w:right="239" w:bottom="0" w:gutter="0" w:footer="0" w:header="0"/>
        </w:sectPr>
      </w:pPr>
    </w:p>
    <w:bookmarkStart w:id="21" w:name="page22"/>
    <w:bookmarkEnd w:id="21"/>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jc w:val="right"/>
              <w:ind w:right="581"/>
              <w:spacing w:after="0"/>
              <w:rPr>
                <w:sz w:val="20"/>
                <w:szCs w:val="20"/>
                <w:color w:val="auto"/>
              </w:rPr>
            </w:pPr>
            <w:r>
              <w:rPr>
                <w:rFonts w:ascii="Arial" w:cs="Arial" w:eastAsia="Arial" w:hAnsi="Arial"/>
                <w:sz w:val="14"/>
                <w:szCs w:val="14"/>
                <w:color w:val="auto"/>
              </w:rPr>
              <w:t>Currency</w:t>
            </w:r>
          </w:p>
        </w:tc>
        <w:tc>
          <w:tcPr>
            <w:tcW w:w="940" w:type="dxa"/>
            <w:vAlign w:val="bottom"/>
          </w:tcPr>
          <w:p>
            <w:pPr>
              <w:ind w:left="120"/>
              <w:spacing w:after="0"/>
              <w:rPr>
                <w:sz w:val="20"/>
                <w:szCs w:val="20"/>
                <w:color w:val="auto"/>
              </w:rPr>
            </w:pPr>
            <w:r>
              <w:rPr>
                <w:rFonts w:ascii="Arial" w:cs="Arial" w:eastAsia="Arial" w:hAnsi="Arial"/>
                <w:sz w:val="14"/>
                <w:szCs w:val="14"/>
                <w:color w:val="auto"/>
              </w:rPr>
              <w:t>Unamortized</w:t>
            </w:r>
          </w:p>
        </w:tc>
        <w:tc>
          <w:tcPr>
            <w:tcW w:w="520" w:type="dxa"/>
            <w:vAlign w:val="bottom"/>
          </w:tcPr>
          <w:p>
            <w:pPr>
              <w:spacing w:after="0"/>
              <w:rPr>
                <w:sz w:val="14"/>
                <w:szCs w:val="14"/>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color w:val="auto"/>
              </w:rPr>
              <w:t>Unamortized</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20" w:type="dxa"/>
            <w:vAlign w:val="bottom"/>
            <w:gridSpan w:val="2"/>
          </w:tcPr>
          <w:p>
            <w:pPr>
              <w:ind w:left="140"/>
              <w:spacing w:after="0"/>
              <w:rPr>
                <w:sz w:val="20"/>
                <w:szCs w:val="20"/>
                <w:color w:val="auto"/>
              </w:rPr>
            </w:pPr>
            <w:r>
              <w:rPr>
                <w:rFonts w:ascii="Arial" w:cs="Arial" w:eastAsia="Arial" w:hAnsi="Arial"/>
                <w:sz w:val="14"/>
                <w:szCs w:val="14"/>
                <w:color w:val="auto"/>
              </w:rPr>
              <w:t>Accumulated Other</w:t>
            </w:r>
          </w:p>
        </w:tc>
      </w:tr>
      <w:tr>
        <w:trPr>
          <w:trHeight w:val="266"/>
        </w:trPr>
        <w:tc>
          <w:tcPr>
            <w:tcW w:w="4120" w:type="dxa"/>
            <w:vAlign w:val="bottom"/>
          </w:tcPr>
          <w:p>
            <w:pPr>
              <w:spacing w:after="0"/>
              <w:rPr>
                <w:sz w:val="23"/>
                <w:szCs w:val="23"/>
                <w:color w:val="auto"/>
              </w:rPr>
            </w:pPr>
          </w:p>
        </w:tc>
        <w:tc>
          <w:tcPr>
            <w:tcW w:w="1620" w:type="dxa"/>
            <w:vAlign w:val="bottom"/>
            <w:gridSpan w:val="2"/>
          </w:tcPr>
          <w:p>
            <w:pPr>
              <w:jc w:val="right"/>
              <w:ind w:right="521"/>
              <w:spacing w:after="0"/>
              <w:rPr>
                <w:sz w:val="20"/>
                <w:szCs w:val="20"/>
                <w:color w:val="auto"/>
              </w:rPr>
            </w:pPr>
            <w:r>
              <w:rPr>
                <w:rFonts w:ascii="Arial" w:cs="Arial" w:eastAsia="Arial" w:hAnsi="Arial"/>
                <w:sz w:val="14"/>
                <w:szCs w:val="14"/>
                <w:color w:val="auto"/>
              </w:rPr>
              <w:t>Translation</w:t>
            </w:r>
          </w:p>
        </w:tc>
        <w:tc>
          <w:tcPr>
            <w:tcW w:w="940" w:type="dxa"/>
            <w:vAlign w:val="bottom"/>
          </w:tcPr>
          <w:p>
            <w:pPr>
              <w:ind w:left="120"/>
              <w:spacing w:after="0"/>
              <w:rPr>
                <w:sz w:val="20"/>
                <w:szCs w:val="20"/>
                <w:color w:val="auto"/>
              </w:rPr>
            </w:pPr>
            <w:r>
              <w:rPr>
                <w:rFonts w:ascii="Arial" w:cs="Arial" w:eastAsia="Arial" w:hAnsi="Arial"/>
                <w:sz w:val="14"/>
                <w:szCs w:val="14"/>
                <w:color w:val="auto"/>
                <w:w w:val="99"/>
              </w:rPr>
              <w:t>Net Actuarial</w:t>
            </w:r>
          </w:p>
        </w:tc>
        <w:tc>
          <w:tcPr>
            <w:tcW w:w="520" w:type="dxa"/>
            <w:vAlign w:val="bottom"/>
          </w:tcPr>
          <w:p>
            <w:pPr>
              <w:spacing w:after="0"/>
              <w:rPr>
                <w:sz w:val="23"/>
                <w:szCs w:val="23"/>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color w:val="auto"/>
              </w:rPr>
              <w:t>Prior Service</w:t>
            </w:r>
          </w:p>
        </w:tc>
        <w:tc>
          <w:tcPr>
            <w:tcW w:w="220" w:type="dxa"/>
            <w:vAlign w:val="bottom"/>
          </w:tcPr>
          <w:p>
            <w:pPr>
              <w:spacing w:after="0"/>
              <w:rPr>
                <w:sz w:val="23"/>
                <w:szCs w:val="23"/>
                <w:color w:val="auto"/>
              </w:rPr>
            </w:pPr>
          </w:p>
        </w:tc>
        <w:tc>
          <w:tcPr>
            <w:tcW w:w="820" w:type="dxa"/>
            <w:vAlign w:val="bottom"/>
          </w:tcPr>
          <w:p>
            <w:pPr>
              <w:ind w:left="220"/>
              <w:spacing w:after="0"/>
              <w:rPr>
                <w:sz w:val="20"/>
                <w:szCs w:val="20"/>
                <w:color w:val="auto"/>
              </w:rPr>
            </w:pPr>
            <w:r>
              <w:rPr>
                <w:rFonts w:ascii="Arial" w:cs="Arial" w:eastAsia="Arial" w:hAnsi="Arial"/>
                <w:sz w:val="14"/>
                <w:szCs w:val="14"/>
                <w:color w:val="auto"/>
              </w:rPr>
              <w:t>Financial</w:t>
            </w:r>
          </w:p>
        </w:tc>
        <w:tc>
          <w:tcPr>
            <w:tcW w:w="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80" w:type="dxa"/>
            <w:vAlign w:val="bottom"/>
          </w:tcPr>
          <w:p>
            <w:pPr>
              <w:jc w:val="right"/>
              <w:ind w:right="301"/>
              <w:spacing w:after="0"/>
              <w:rPr>
                <w:sz w:val="20"/>
                <w:szCs w:val="20"/>
                <w:color w:val="auto"/>
              </w:rPr>
            </w:pPr>
            <w:r>
              <w:rPr>
                <w:rFonts w:ascii="Arial" w:cs="Arial" w:eastAsia="Arial" w:hAnsi="Arial"/>
                <w:sz w:val="14"/>
                <w:szCs w:val="14"/>
                <w:color w:val="auto"/>
                <w:w w:val="99"/>
              </w:rPr>
              <w:t>Comprehensive</w:t>
            </w:r>
          </w:p>
        </w:tc>
      </w:tr>
      <w:tr>
        <w:trPr>
          <w:trHeight w:val="184"/>
        </w:trPr>
        <w:tc>
          <w:tcPr>
            <w:tcW w:w="4120" w:type="dxa"/>
            <w:vAlign w:val="bottom"/>
          </w:tcPr>
          <w:p>
            <w:pPr>
              <w:spacing w:after="0"/>
              <w:rPr>
                <w:sz w:val="15"/>
                <w:szCs w:val="15"/>
                <w:color w:val="auto"/>
              </w:rPr>
            </w:pPr>
          </w:p>
        </w:tc>
        <w:tc>
          <w:tcPr>
            <w:tcW w:w="162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color w:val="auto"/>
              </w:rPr>
              <w:t>Adjustments</w:t>
            </w: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Gain (Loss)</w:t>
            </w:r>
          </w:p>
        </w:tc>
        <w:tc>
          <w:tcPr>
            <w:tcW w:w="5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Credit</w:t>
            </w: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Instruments</w:t>
            </w: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color w:val="auto"/>
              </w:rPr>
              <w:t>Income (Loss)</w:t>
            </w:r>
          </w:p>
        </w:tc>
      </w:tr>
      <w:tr>
        <w:trPr>
          <w:trHeight w:val="206"/>
        </w:trPr>
        <w:tc>
          <w:tcPr>
            <w:tcW w:w="4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4060" w:type="dxa"/>
            <w:vAlign w:val="bottom"/>
            <w:tcBorders>
              <w:bottom w:val="single" w:sz="8" w:color="auto"/>
            </w:tcBorders>
            <w:gridSpan w:val="7"/>
          </w:tcPr>
          <w:p>
            <w:pPr>
              <w:jc w:val="right"/>
              <w:ind w:right="320"/>
              <w:spacing w:after="0"/>
              <w:rPr>
                <w:sz w:val="20"/>
                <w:szCs w:val="20"/>
                <w:color w:val="auto"/>
              </w:rPr>
            </w:pPr>
            <w:r>
              <w:rPr>
                <w:rFonts w:ascii="Arial" w:cs="Arial" w:eastAsia="Arial" w:hAnsi="Arial"/>
                <w:sz w:val="14"/>
                <w:szCs w:val="14"/>
                <w:color w:val="auto"/>
              </w:rPr>
              <w:t>Three months ended September 30, 2014 and 2013</w:t>
            </w: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r>
      <w:tr>
        <w:trPr>
          <w:trHeight w:val="194"/>
        </w:trPr>
        <w:tc>
          <w:tcPr>
            <w:tcW w:w="4120" w:type="dxa"/>
            <w:vAlign w:val="bottom"/>
          </w:tcPr>
          <w:p>
            <w:pPr>
              <w:spacing w:after="0"/>
              <w:rPr>
                <w:sz w:val="20"/>
                <w:szCs w:val="20"/>
                <w:color w:val="auto"/>
              </w:rPr>
            </w:pPr>
            <w:r>
              <w:rPr>
                <w:rFonts w:ascii="Arial" w:cs="Arial" w:eastAsia="Arial" w:hAnsi="Arial"/>
                <w:sz w:val="16"/>
                <w:szCs w:val="16"/>
                <w:b w:val="1"/>
                <w:bCs w:val="1"/>
                <w:color w:val="auto"/>
              </w:rPr>
              <w:t>2014:</w:t>
            </w: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184"/>
        </w:trPr>
        <w:tc>
          <w:tcPr>
            <w:tcW w:w="4120" w:type="dxa"/>
            <w:vAlign w:val="bottom"/>
          </w:tcPr>
          <w:p>
            <w:pPr>
              <w:spacing w:after="0"/>
              <w:rPr>
                <w:sz w:val="20"/>
                <w:szCs w:val="20"/>
                <w:color w:val="auto"/>
              </w:rPr>
            </w:pPr>
            <w:r>
              <w:rPr>
                <w:rFonts w:ascii="Arial" w:cs="Arial" w:eastAsia="Arial" w:hAnsi="Arial"/>
                <w:sz w:val="16"/>
                <w:szCs w:val="16"/>
                <w:color w:val="auto"/>
              </w:rPr>
              <w:t>Balance as of June 30, 2014</w:t>
            </w:r>
          </w:p>
        </w:tc>
        <w:tc>
          <w:tcPr>
            <w:tcW w:w="36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(170)</w:t>
            </w:r>
          </w:p>
        </w:tc>
        <w:tc>
          <w:tcPr>
            <w:tcW w:w="9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(65)</w:t>
            </w:r>
          </w:p>
        </w:tc>
        <w:tc>
          <w:tcPr>
            <w:tcW w:w="2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w w:val="98"/>
              </w:rPr>
              <w:t>(38)</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w:t>
            </w:r>
          </w:p>
        </w:tc>
      </w:tr>
      <w:tr>
        <w:trPr>
          <w:trHeight w:val="214"/>
        </w:trPr>
        <w:tc>
          <w:tcPr>
            <w:tcW w:w="4120" w:type="dxa"/>
            <w:vAlign w:val="bottom"/>
          </w:tcPr>
          <w:p>
            <w:pPr>
              <w:spacing w:after="0"/>
              <w:rPr>
                <w:sz w:val="20"/>
                <w:szCs w:val="20"/>
                <w:color w:val="auto"/>
              </w:rPr>
            </w:pPr>
            <w:r>
              <w:rPr>
                <w:rFonts w:ascii="Arial" w:cs="Arial" w:eastAsia="Arial" w:hAnsi="Arial"/>
                <w:sz w:val="16"/>
                <w:szCs w:val="16"/>
                <w:color w:val="auto"/>
              </w:rPr>
              <w:t>Other comprehensive loss before</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3"/>
        </w:trPr>
        <w:tc>
          <w:tcPr>
            <w:tcW w:w="4120" w:type="dxa"/>
            <w:vAlign w:val="bottom"/>
          </w:tcPr>
          <w:p>
            <w:pPr>
              <w:ind w:left="140"/>
              <w:spacing w:after="0"/>
              <w:rPr>
                <w:sz w:val="20"/>
                <w:szCs w:val="20"/>
                <w:color w:val="auto"/>
              </w:rPr>
            </w:pPr>
            <w:r>
              <w:rPr>
                <w:rFonts w:ascii="Arial" w:cs="Arial" w:eastAsia="Arial" w:hAnsi="Arial"/>
                <w:sz w:val="16"/>
                <w:szCs w:val="16"/>
                <w:color w:val="auto"/>
              </w:rPr>
              <w:t>reclassifications</w:t>
            </w:r>
          </w:p>
        </w:tc>
        <w:tc>
          <w:tcPr>
            <w:tcW w:w="360" w:type="dxa"/>
            <w:vAlign w:val="bottom"/>
          </w:tcPr>
          <w:p>
            <w:pPr>
              <w:spacing w:after="0"/>
              <w:rPr>
                <w:sz w:val="18"/>
                <w:szCs w:val="18"/>
                <w:color w:val="auto"/>
              </w:rPr>
            </w:pPr>
          </w:p>
        </w:tc>
        <w:tc>
          <w:tcPr>
            <w:tcW w:w="1260" w:type="dxa"/>
            <w:vAlign w:val="bottom"/>
          </w:tcPr>
          <w:p>
            <w:pPr>
              <w:jc w:val="right"/>
              <w:ind w:right="201"/>
              <w:spacing w:after="0"/>
              <w:rPr>
                <w:sz w:val="20"/>
                <w:szCs w:val="20"/>
                <w:color w:val="auto"/>
              </w:rPr>
            </w:pPr>
            <w:r>
              <w:rPr>
                <w:rFonts w:ascii="Arial" w:cs="Arial" w:eastAsia="Arial" w:hAnsi="Arial"/>
                <w:sz w:val="16"/>
                <w:szCs w:val="16"/>
                <w:color w:val="auto"/>
              </w:rPr>
              <w:t>(100)</w:t>
            </w:r>
          </w:p>
        </w:tc>
        <w:tc>
          <w:tcPr>
            <w:tcW w:w="940" w:type="dxa"/>
            <w:vAlign w:val="bottom"/>
          </w:tcPr>
          <w:p>
            <w:pPr>
              <w:spacing w:after="0"/>
              <w:rPr>
                <w:sz w:val="18"/>
                <w:szCs w:val="18"/>
                <w:color w:val="auto"/>
              </w:rPr>
            </w:pPr>
          </w:p>
        </w:tc>
        <w:tc>
          <w:tcPr>
            <w:tcW w:w="52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40" w:type="dxa"/>
            <w:vAlign w:val="bottom"/>
          </w:tcPr>
          <w:p>
            <w:pPr>
              <w:ind w:left="6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jc w:val="right"/>
              <w:ind w:right="60"/>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(102)</w:t>
            </w:r>
          </w:p>
        </w:tc>
      </w:tr>
      <w:tr>
        <w:trPr>
          <w:trHeight w:val="213"/>
        </w:trPr>
        <w:tc>
          <w:tcPr>
            <w:tcW w:w="4120" w:type="dxa"/>
            <w:vAlign w:val="bottom"/>
          </w:tcPr>
          <w:p>
            <w:pPr>
              <w:spacing w:after="0"/>
              <w:rPr>
                <w:sz w:val="20"/>
                <w:szCs w:val="20"/>
                <w:color w:val="auto"/>
              </w:rPr>
            </w:pPr>
            <w:r>
              <w:rPr>
                <w:rFonts w:ascii="Arial" w:cs="Arial" w:eastAsia="Arial" w:hAnsi="Arial"/>
                <w:sz w:val="16"/>
                <w:szCs w:val="16"/>
                <w:color w:val="auto"/>
              </w:rPr>
              <w:t>Amounts reclassified from accumulated other</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04"/>
        </w:trPr>
        <w:tc>
          <w:tcPr>
            <w:tcW w:w="4120" w:type="dxa"/>
            <w:vAlign w:val="bottom"/>
          </w:tcPr>
          <w:p>
            <w:pPr>
              <w:ind w:left="140"/>
              <w:spacing w:after="0"/>
              <w:rPr>
                <w:sz w:val="20"/>
                <w:szCs w:val="20"/>
                <w:color w:val="auto"/>
              </w:rPr>
            </w:pPr>
            <w:r>
              <w:rPr>
                <w:rFonts w:ascii="Arial" w:cs="Arial" w:eastAsia="Arial" w:hAnsi="Arial"/>
                <w:sz w:val="16"/>
                <w:szCs w:val="16"/>
                <w:color w:val="auto"/>
              </w:rPr>
              <w:t>comprehensive income (loss)</w:t>
            </w: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5</w:t>
            </w: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w:t>
            </w: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06"/>
        </w:trPr>
        <w:tc>
          <w:tcPr>
            <w:tcW w:w="4120" w:type="dxa"/>
            <w:vAlign w:val="bottom"/>
          </w:tcPr>
          <w:p>
            <w:pPr>
              <w:spacing w:after="0"/>
              <w:rPr>
                <w:sz w:val="20"/>
                <w:szCs w:val="20"/>
                <w:color w:val="auto"/>
              </w:rPr>
            </w:pPr>
            <w:r>
              <w:rPr>
                <w:rFonts w:ascii="Arial" w:cs="Arial" w:eastAsia="Arial" w:hAnsi="Arial"/>
                <w:sz w:val="16"/>
                <w:szCs w:val="16"/>
                <w:color w:val="auto"/>
              </w:rPr>
              <w:t>Net other comprehensive income (loss)</w:t>
            </w: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(100)</w:t>
            </w:r>
          </w:p>
        </w:tc>
        <w:tc>
          <w:tcPr>
            <w:tcW w:w="9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5</w:t>
            </w: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w:t>
            </w: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r>
      <w:tr>
        <w:trPr>
          <w:trHeight w:val="173"/>
        </w:trPr>
        <w:tc>
          <w:tcPr>
            <w:tcW w:w="4120" w:type="dxa"/>
            <w:vAlign w:val="bottom"/>
            <w:tcBorders>
              <w:bottom w:val="single" w:sz="8" w:color="auto"/>
            </w:tcBorders>
          </w:tcPr>
          <w:p>
            <w:pPr>
              <w:spacing w:after="0" w:line="166" w:lineRule="exact"/>
              <w:rPr>
                <w:sz w:val="20"/>
                <w:szCs w:val="20"/>
                <w:color w:val="auto"/>
              </w:rPr>
            </w:pPr>
            <w:r>
              <w:rPr>
                <w:rFonts w:ascii="Arial" w:cs="Arial" w:eastAsia="Arial" w:hAnsi="Arial"/>
                <w:sz w:val="16"/>
                <w:szCs w:val="16"/>
                <w:color w:val="auto"/>
              </w:rPr>
              <w:t>Balance as of September 30, 2014</w:t>
            </w:r>
          </w:p>
        </w:tc>
        <w:tc>
          <w:tcPr>
            <w:tcW w:w="360" w:type="dxa"/>
            <w:vAlign w:val="bottom"/>
            <w:tcBorders>
              <w:bottom w:val="single" w:sz="8" w:color="auto"/>
            </w:tcBorders>
          </w:tcPr>
          <w:p>
            <w:pPr>
              <w:ind w:left="260"/>
              <w:spacing w:after="0" w:line="166" w:lineRule="exact"/>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201"/>
              <w:spacing w:after="0" w:line="166" w:lineRule="exact"/>
              <w:rPr>
                <w:sz w:val="20"/>
                <w:szCs w:val="20"/>
                <w:color w:val="auto"/>
              </w:rPr>
            </w:pPr>
            <w:r>
              <w:rPr>
                <w:rFonts w:ascii="Arial" w:cs="Arial" w:eastAsia="Arial" w:hAnsi="Arial"/>
                <w:sz w:val="16"/>
                <w:szCs w:val="16"/>
                <w:color w:val="auto"/>
              </w:rPr>
              <w:t>(270)</w:t>
            </w:r>
          </w:p>
        </w:tc>
        <w:tc>
          <w:tcPr>
            <w:tcW w:w="940" w:type="dxa"/>
            <w:vAlign w:val="bottom"/>
            <w:tcBorders>
              <w:bottom w:val="single" w:sz="8" w:color="auto"/>
            </w:tcBorders>
          </w:tcPr>
          <w:p>
            <w:pPr>
              <w:ind w:left="120"/>
              <w:spacing w:after="0" w:line="166" w:lineRule="exact"/>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ind w:right="60"/>
              <w:spacing w:after="0" w:line="166" w:lineRule="exact"/>
              <w:rPr>
                <w:sz w:val="20"/>
                <w:szCs w:val="20"/>
                <w:color w:val="auto"/>
              </w:rPr>
            </w:pPr>
            <w:r>
              <w:rPr>
                <w:rFonts w:ascii="Arial" w:cs="Arial" w:eastAsia="Arial" w:hAnsi="Arial"/>
                <w:sz w:val="16"/>
                <w:szCs w:val="16"/>
                <w:color w:val="auto"/>
              </w:rPr>
              <w:t>(60)</w:t>
            </w:r>
          </w:p>
        </w:tc>
        <w:tc>
          <w:tcPr>
            <w:tcW w:w="280" w:type="dxa"/>
            <w:vAlign w:val="bottom"/>
            <w:tcBorders>
              <w:bottom w:val="single" w:sz="8" w:color="auto"/>
            </w:tcBorders>
          </w:tcPr>
          <w:p>
            <w:pPr>
              <w:ind w:left="140"/>
              <w:spacing w:after="0" w:line="166"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ind w:left="640"/>
              <w:spacing w:after="0" w:line="166" w:lineRule="exact"/>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ind w:left="140"/>
              <w:spacing w:after="0" w:line="166" w:lineRule="exact"/>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ind w:right="60"/>
              <w:spacing w:after="0" w:line="166" w:lineRule="exact"/>
              <w:rPr>
                <w:sz w:val="20"/>
                <w:szCs w:val="20"/>
                <w:color w:val="auto"/>
              </w:rPr>
            </w:pPr>
            <w:r>
              <w:rPr>
                <w:rFonts w:ascii="Arial" w:cs="Arial" w:eastAsia="Arial" w:hAnsi="Arial"/>
                <w:sz w:val="16"/>
                <w:szCs w:val="16"/>
                <w:color w:val="auto"/>
                <w:w w:val="98"/>
              </w:rPr>
              <w:t>(41)</w:t>
            </w:r>
          </w:p>
        </w:tc>
        <w:tc>
          <w:tcPr>
            <w:tcW w:w="240" w:type="dxa"/>
            <w:vAlign w:val="bottom"/>
            <w:tcBorders>
              <w:bottom w:val="single" w:sz="8" w:color="auto"/>
            </w:tcBorders>
          </w:tcPr>
          <w:p>
            <w:pPr>
              <w:ind w:left="140"/>
              <w:spacing w:after="0" w:line="166" w:lineRule="exact"/>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(371)</w:t>
            </w:r>
          </w:p>
        </w:tc>
      </w:tr>
      <w:tr>
        <w:trPr>
          <w:trHeight w:val="201"/>
        </w:trPr>
        <w:tc>
          <w:tcPr>
            <w:tcW w:w="4120" w:type="dxa"/>
            <w:vAlign w:val="bottom"/>
          </w:tcPr>
          <w:p>
            <w:pPr>
              <w:spacing w:after="0"/>
              <w:rPr>
                <w:sz w:val="20"/>
                <w:szCs w:val="20"/>
                <w:color w:val="auto"/>
              </w:rPr>
            </w:pPr>
            <w:r>
              <w:rPr>
                <w:rFonts w:ascii="Arial" w:cs="Arial" w:eastAsia="Arial" w:hAnsi="Arial"/>
                <w:sz w:val="16"/>
                <w:szCs w:val="16"/>
                <w:b w:val="1"/>
                <w:bCs w:val="1"/>
                <w:color w:val="auto"/>
              </w:rPr>
              <w:t>2013:</w:t>
            </w: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184"/>
        </w:trPr>
        <w:tc>
          <w:tcPr>
            <w:tcW w:w="4120" w:type="dxa"/>
            <w:vAlign w:val="bottom"/>
          </w:tcPr>
          <w:p>
            <w:pPr>
              <w:spacing w:after="0"/>
              <w:rPr>
                <w:sz w:val="20"/>
                <w:szCs w:val="20"/>
                <w:color w:val="auto"/>
              </w:rPr>
            </w:pPr>
            <w:r>
              <w:rPr>
                <w:rFonts w:ascii="Arial" w:cs="Arial" w:eastAsia="Arial" w:hAnsi="Arial"/>
                <w:sz w:val="16"/>
                <w:szCs w:val="16"/>
                <w:color w:val="auto"/>
              </w:rPr>
              <w:t>Balance as of June 30, 2013</w:t>
            </w:r>
          </w:p>
        </w:tc>
        <w:tc>
          <w:tcPr>
            <w:tcW w:w="36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(96)</w:t>
            </w:r>
          </w:p>
        </w:tc>
        <w:tc>
          <w:tcPr>
            <w:tcW w:w="9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(98)</w:t>
            </w:r>
          </w:p>
        </w:tc>
        <w:tc>
          <w:tcPr>
            <w:tcW w:w="2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1</w:t>
            </w:r>
          </w:p>
        </w:tc>
        <w:tc>
          <w:tcPr>
            <w:tcW w:w="8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w w:val="98"/>
              </w:rPr>
              <w:t>(26)</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w:t>
            </w:r>
          </w:p>
        </w:tc>
      </w:tr>
      <w:tr>
        <w:trPr>
          <w:trHeight w:val="214"/>
        </w:trPr>
        <w:tc>
          <w:tcPr>
            <w:tcW w:w="4120" w:type="dxa"/>
            <w:vAlign w:val="bottom"/>
          </w:tcPr>
          <w:p>
            <w:pPr>
              <w:spacing w:after="0"/>
              <w:rPr>
                <w:sz w:val="20"/>
                <w:szCs w:val="20"/>
                <w:color w:val="auto"/>
              </w:rPr>
            </w:pPr>
            <w:r>
              <w:rPr>
                <w:rFonts w:ascii="Arial" w:cs="Arial" w:eastAsia="Arial" w:hAnsi="Arial"/>
                <w:sz w:val="16"/>
                <w:szCs w:val="16"/>
                <w:color w:val="auto"/>
              </w:rPr>
              <w:t>Other comprehensive income (loss) before</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3"/>
        </w:trPr>
        <w:tc>
          <w:tcPr>
            <w:tcW w:w="4120" w:type="dxa"/>
            <w:vAlign w:val="bottom"/>
          </w:tcPr>
          <w:p>
            <w:pPr>
              <w:ind w:left="140"/>
              <w:spacing w:after="0"/>
              <w:rPr>
                <w:sz w:val="20"/>
                <w:szCs w:val="20"/>
                <w:color w:val="auto"/>
              </w:rPr>
            </w:pPr>
            <w:r>
              <w:rPr>
                <w:rFonts w:ascii="Arial" w:cs="Arial" w:eastAsia="Arial" w:hAnsi="Arial"/>
                <w:sz w:val="16"/>
                <w:szCs w:val="16"/>
                <w:color w:val="auto"/>
              </w:rPr>
              <w:t>reclassifications</w:t>
            </w:r>
          </w:p>
        </w:tc>
        <w:tc>
          <w:tcPr>
            <w:tcW w:w="360" w:type="dxa"/>
            <w:vAlign w:val="bottom"/>
          </w:tcPr>
          <w:p>
            <w:pPr>
              <w:spacing w:after="0"/>
              <w:rPr>
                <w:sz w:val="18"/>
                <w:szCs w:val="18"/>
                <w:color w:val="auto"/>
              </w:rPr>
            </w:pPr>
          </w:p>
        </w:tc>
        <w:tc>
          <w:tcPr>
            <w:tcW w:w="1260" w:type="dxa"/>
            <w:vAlign w:val="bottom"/>
          </w:tcPr>
          <w:p>
            <w:pPr>
              <w:jc w:val="right"/>
              <w:ind w:right="201"/>
              <w:spacing w:after="0"/>
              <w:rPr>
                <w:sz w:val="20"/>
                <w:szCs w:val="20"/>
                <w:color w:val="auto"/>
              </w:rPr>
            </w:pPr>
            <w:r>
              <w:rPr>
                <w:rFonts w:ascii="Arial" w:cs="Arial" w:eastAsia="Arial" w:hAnsi="Arial"/>
                <w:sz w:val="16"/>
                <w:szCs w:val="16"/>
                <w:color w:val="auto"/>
              </w:rPr>
              <w:t>5</w:t>
            </w:r>
          </w:p>
        </w:tc>
        <w:tc>
          <w:tcPr>
            <w:tcW w:w="940" w:type="dxa"/>
            <w:vAlign w:val="bottom"/>
          </w:tcPr>
          <w:p>
            <w:pPr>
              <w:spacing w:after="0"/>
              <w:rPr>
                <w:sz w:val="18"/>
                <w:szCs w:val="18"/>
                <w:color w:val="auto"/>
              </w:rPr>
            </w:pPr>
          </w:p>
        </w:tc>
        <w:tc>
          <w:tcPr>
            <w:tcW w:w="52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40" w:type="dxa"/>
            <w:vAlign w:val="bottom"/>
          </w:tcPr>
          <w:p>
            <w:pPr>
              <w:ind w:left="6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jc w:val="right"/>
              <w:ind w:right="60"/>
              <w:spacing w:after="0"/>
              <w:rPr>
                <w:sz w:val="20"/>
                <w:szCs w:val="20"/>
                <w:color w:val="auto"/>
              </w:rPr>
            </w:pPr>
            <w:r>
              <w:rPr>
                <w:rFonts w:ascii="Arial" w:cs="Arial" w:eastAsia="Arial" w:hAnsi="Arial"/>
                <w:sz w:val="16"/>
                <w:szCs w:val="16"/>
                <w:color w:val="auto"/>
              </w:rPr>
              <w:t>(6)</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3"/>
        </w:trPr>
        <w:tc>
          <w:tcPr>
            <w:tcW w:w="4120" w:type="dxa"/>
            <w:vAlign w:val="bottom"/>
          </w:tcPr>
          <w:p>
            <w:pPr>
              <w:spacing w:after="0"/>
              <w:rPr>
                <w:sz w:val="20"/>
                <w:szCs w:val="20"/>
                <w:color w:val="auto"/>
              </w:rPr>
            </w:pPr>
            <w:r>
              <w:rPr>
                <w:rFonts w:ascii="Arial" w:cs="Arial" w:eastAsia="Arial" w:hAnsi="Arial"/>
                <w:sz w:val="16"/>
                <w:szCs w:val="16"/>
                <w:color w:val="auto"/>
              </w:rPr>
              <w:t>Amounts reclassified from accumulated other</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04"/>
        </w:trPr>
        <w:tc>
          <w:tcPr>
            <w:tcW w:w="4120" w:type="dxa"/>
            <w:vAlign w:val="bottom"/>
          </w:tcPr>
          <w:p>
            <w:pPr>
              <w:ind w:left="140"/>
              <w:spacing w:after="0"/>
              <w:rPr>
                <w:sz w:val="20"/>
                <w:szCs w:val="20"/>
                <w:color w:val="auto"/>
              </w:rPr>
            </w:pPr>
            <w:r>
              <w:rPr>
                <w:rFonts w:ascii="Arial" w:cs="Arial" w:eastAsia="Arial" w:hAnsi="Arial"/>
                <w:sz w:val="16"/>
                <w:szCs w:val="16"/>
                <w:color w:val="auto"/>
              </w:rPr>
              <w:t>comprehensive income</w:t>
            </w: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w:t>
            </w: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w:t>
            </w: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206"/>
        </w:trPr>
        <w:tc>
          <w:tcPr>
            <w:tcW w:w="4120" w:type="dxa"/>
            <w:vAlign w:val="bottom"/>
          </w:tcPr>
          <w:p>
            <w:pPr>
              <w:spacing w:after="0"/>
              <w:rPr>
                <w:sz w:val="20"/>
                <w:szCs w:val="20"/>
                <w:color w:val="auto"/>
              </w:rPr>
            </w:pPr>
            <w:r>
              <w:rPr>
                <w:rFonts w:ascii="Arial" w:cs="Arial" w:eastAsia="Arial" w:hAnsi="Arial"/>
                <w:sz w:val="16"/>
                <w:szCs w:val="16"/>
                <w:color w:val="auto"/>
              </w:rPr>
              <w:t>Net other comprehensive income (loss)</w:t>
            </w: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5</w:t>
            </w:r>
          </w:p>
        </w:tc>
        <w:tc>
          <w:tcPr>
            <w:tcW w:w="9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w:t>
            </w: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w:t>
            </w: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173"/>
        </w:trPr>
        <w:tc>
          <w:tcPr>
            <w:tcW w:w="4120" w:type="dxa"/>
            <w:vAlign w:val="bottom"/>
            <w:tcBorders>
              <w:bottom w:val="single" w:sz="8" w:color="auto"/>
            </w:tcBorders>
          </w:tcPr>
          <w:p>
            <w:pPr>
              <w:spacing w:after="0" w:line="166" w:lineRule="exact"/>
              <w:rPr>
                <w:sz w:val="20"/>
                <w:szCs w:val="20"/>
                <w:color w:val="auto"/>
              </w:rPr>
            </w:pPr>
            <w:r>
              <w:rPr>
                <w:rFonts w:ascii="Arial" w:cs="Arial" w:eastAsia="Arial" w:hAnsi="Arial"/>
                <w:sz w:val="16"/>
                <w:szCs w:val="16"/>
                <w:color w:val="auto"/>
              </w:rPr>
              <w:t>Balance as of September 30, 2013</w:t>
            </w:r>
          </w:p>
        </w:tc>
        <w:tc>
          <w:tcPr>
            <w:tcW w:w="360" w:type="dxa"/>
            <w:vAlign w:val="bottom"/>
            <w:tcBorders>
              <w:bottom w:val="single" w:sz="8" w:color="auto"/>
            </w:tcBorders>
          </w:tcPr>
          <w:p>
            <w:pPr>
              <w:ind w:left="260"/>
              <w:spacing w:after="0" w:line="166" w:lineRule="exact"/>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201"/>
              <w:spacing w:after="0" w:line="166" w:lineRule="exact"/>
              <w:rPr>
                <w:sz w:val="20"/>
                <w:szCs w:val="20"/>
                <w:color w:val="auto"/>
              </w:rPr>
            </w:pPr>
            <w:r>
              <w:rPr>
                <w:rFonts w:ascii="Arial" w:cs="Arial" w:eastAsia="Arial" w:hAnsi="Arial"/>
                <w:sz w:val="16"/>
                <w:szCs w:val="16"/>
                <w:color w:val="auto"/>
              </w:rPr>
              <w:t>(91)</w:t>
            </w:r>
          </w:p>
        </w:tc>
        <w:tc>
          <w:tcPr>
            <w:tcW w:w="940" w:type="dxa"/>
            <w:vAlign w:val="bottom"/>
            <w:tcBorders>
              <w:bottom w:val="single" w:sz="8" w:color="auto"/>
            </w:tcBorders>
          </w:tcPr>
          <w:p>
            <w:pPr>
              <w:ind w:left="120"/>
              <w:spacing w:after="0" w:line="166" w:lineRule="exact"/>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ind w:right="60"/>
              <w:spacing w:after="0" w:line="166" w:lineRule="exact"/>
              <w:rPr>
                <w:sz w:val="20"/>
                <w:szCs w:val="20"/>
                <w:color w:val="auto"/>
              </w:rPr>
            </w:pPr>
            <w:r>
              <w:rPr>
                <w:rFonts w:ascii="Arial" w:cs="Arial" w:eastAsia="Arial" w:hAnsi="Arial"/>
                <w:sz w:val="16"/>
                <w:szCs w:val="16"/>
                <w:color w:val="auto"/>
              </w:rPr>
              <w:t>(95)</w:t>
            </w:r>
          </w:p>
        </w:tc>
        <w:tc>
          <w:tcPr>
            <w:tcW w:w="280" w:type="dxa"/>
            <w:vAlign w:val="bottom"/>
            <w:tcBorders>
              <w:bottom w:val="single" w:sz="8" w:color="auto"/>
            </w:tcBorders>
          </w:tcPr>
          <w:p>
            <w:pPr>
              <w:ind w:left="140"/>
              <w:spacing w:after="0" w:line="166"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jc w:val="right"/>
              <w:ind w:right="40"/>
              <w:spacing w:after="0" w:line="166" w:lineRule="exact"/>
              <w:rPr>
                <w:sz w:val="20"/>
                <w:szCs w:val="20"/>
                <w:color w:val="auto"/>
              </w:rPr>
            </w:pPr>
            <w:r>
              <w:rPr>
                <w:rFonts w:ascii="Arial" w:cs="Arial" w:eastAsia="Arial" w:hAnsi="Arial"/>
                <w:sz w:val="16"/>
                <w:szCs w:val="16"/>
                <w:color w:val="auto"/>
                <w:w w:val="89"/>
              </w:rPr>
              <w:t>1</w:t>
            </w:r>
          </w:p>
        </w:tc>
        <w:tc>
          <w:tcPr>
            <w:tcW w:w="820" w:type="dxa"/>
            <w:vAlign w:val="bottom"/>
            <w:tcBorders>
              <w:bottom w:val="single" w:sz="8" w:color="auto"/>
            </w:tcBorders>
          </w:tcPr>
          <w:p>
            <w:pPr>
              <w:ind w:left="140"/>
              <w:spacing w:after="0" w:line="166" w:lineRule="exact"/>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ind w:right="60"/>
              <w:spacing w:after="0" w:line="166" w:lineRule="exact"/>
              <w:rPr>
                <w:sz w:val="20"/>
                <w:szCs w:val="20"/>
                <w:color w:val="auto"/>
              </w:rPr>
            </w:pPr>
            <w:r>
              <w:rPr>
                <w:rFonts w:ascii="Arial" w:cs="Arial" w:eastAsia="Arial" w:hAnsi="Arial"/>
                <w:sz w:val="16"/>
                <w:szCs w:val="16"/>
                <w:color w:val="auto"/>
                <w:w w:val="98"/>
              </w:rPr>
              <w:t>(30)</w:t>
            </w:r>
          </w:p>
        </w:tc>
        <w:tc>
          <w:tcPr>
            <w:tcW w:w="240" w:type="dxa"/>
            <w:vAlign w:val="bottom"/>
            <w:tcBorders>
              <w:bottom w:val="single" w:sz="8" w:color="auto"/>
            </w:tcBorders>
          </w:tcPr>
          <w:p>
            <w:pPr>
              <w:ind w:left="140"/>
              <w:spacing w:after="0" w:line="166" w:lineRule="exact"/>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(215)</w:t>
            </w:r>
          </w:p>
        </w:tc>
      </w:tr>
      <w:tr>
        <w:trPr>
          <w:trHeight w:val="425"/>
        </w:trPr>
        <w:tc>
          <w:tcPr>
            <w:tcW w:w="4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6"/>
          </w:tcPr>
          <w:p>
            <w:pPr>
              <w:ind w:left="440"/>
              <w:spacing w:after="0"/>
              <w:rPr>
                <w:sz w:val="20"/>
                <w:szCs w:val="20"/>
                <w:color w:val="auto"/>
              </w:rPr>
            </w:pPr>
            <w:r>
              <w:rPr>
                <w:rFonts w:ascii="Arial" w:cs="Arial" w:eastAsia="Arial" w:hAnsi="Arial"/>
                <w:sz w:val="14"/>
                <w:szCs w:val="14"/>
                <w:color w:val="auto"/>
              </w:rPr>
              <w:t>Nine months ended September 30, 2014 and 2013</w:t>
            </w:r>
          </w:p>
        </w:tc>
        <w:tc>
          <w:tcPr>
            <w:tcW w:w="4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194"/>
        </w:trPr>
        <w:tc>
          <w:tcPr>
            <w:tcW w:w="4120" w:type="dxa"/>
            <w:vAlign w:val="bottom"/>
          </w:tcPr>
          <w:p>
            <w:pPr>
              <w:spacing w:after="0"/>
              <w:rPr>
                <w:sz w:val="20"/>
                <w:szCs w:val="20"/>
                <w:color w:val="auto"/>
              </w:rPr>
            </w:pPr>
            <w:r>
              <w:rPr>
                <w:rFonts w:ascii="Arial" w:cs="Arial" w:eastAsia="Arial" w:hAnsi="Arial"/>
                <w:sz w:val="16"/>
                <w:szCs w:val="16"/>
                <w:b w:val="1"/>
                <w:bCs w:val="1"/>
                <w:color w:val="auto"/>
              </w:rPr>
              <w:t>2014:</w:t>
            </w: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184"/>
        </w:trPr>
        <w:tc>
          <w:tcPr>
            <w:tcW w:w="4120" w:type="dxa"/>
            <w:vAlign w:val="bottom"/>
          </w:tcPr>
          <w:p>
            <w:pPr>
              <w:spacing w:after="0"/>
              <w:rPr>
                <w:sz w:val="20"/>
                <w:szCs w:val="20"/>
                <w:color w:val="auto"/>
              </w:rPr>
            </w:pPr>
            <w:r>
              <w:rPr>
                <w:rFonts w:ascii="Arial" w:cs="Arial" w:eastAsia="Arial" w:hAnsi="Arial"/>
                <w:sz w:val="16"/>
                <w:szCs w:val="16"/>
                <w:color w:val="auto"/>
              </w:rPr>
              <w:t>Balance as of December 31, 2013</w:t>
            </w:r>
          </w:p>
        </w:tc>
        <w:tc>
          <w:tcPr>
            <w:tcW w:w="36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(129)</w:t>
            </w:r>
          </w:p>
        </w:tc>
        <w:tc>
          <w:tcPr>
            <w:tcW w:w="9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(73)</w:t>
            </w:r>
          </w:p>
        </w:tc>
        <w:tc>
          <w:tcPr>
            <w:tcW w:w="2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w w:val="98"/>
              </w:rPr>
              <w:t>(26)</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w:t>
            </w:r>
          </w:p>
        </w:tc>
      </w:tr>
      <w:tr>
        <w:trPr>
          <w:trHeight w:val="214"/>
        </w:trPr>
        <w:tc>
          <w:tcPr>
            <w:tcW w:w="4120" w:type="dxa"/>
            <w:vAlign w:val="bottom"/>
          </w:tcPr>
          <w:p>
            <w:pPr>
              <w:spacing w:after="0"/>
              <w:rPr>
                <w:sz w:val="20"/>
                <w:szCs w:val="20"/>
                <w:color w:val="auto"/>
              </w:rPr>
            </w:pPr>
            <w:r>
              <w:rPr>
                <w:rFonts w:ascii="Arial" w:cs="Arial" w:eastAsia="Arial" w:hAnsi="Arial"/>
                <w:sz w:val="16"/>
                <w:szCs w:val="16"/>
                <w:color w:val="auto"/>
              </w:rPr>
              <w:t>Other comprehensive loss before</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3"/>
        </w:trPr>
        <w:tc>
          <w:tcPr>
            <w:tcW w:w="4120" w:type="dxa"/>
            <w:vAlign w:val="bottom"/>
          </w:tcPr>
          <w:p>
            <w:pPr>
              <w:ind w:left="140"/>
              <w:spacing w:after="0"/>
              <w:rPr>
                <w:sz w:val="20"/>
                <w:szCs w:val="20"/>
                <w:color w:val="auto"/>
              </w:rPr>
            </w:pPr>
            <w:r>
              <w:rPr>
                <w:rFonts w:ascii="Arial" w:cs="Arial" w:eastAsia="Arial" w:hAnsi="Arial"/>
                <w:sz w:val="16"/>
                <w:szCs w:val="16"/>
                <w:color w:val="auto"/>
              </w:rPr>
              <w:t>reclassifications</w:t>
            </w:r>
          </w:p>
        </w:tc>
        <w:tc>
          <w:tcPr>
            <w:tcW w:w="360" w:type="dxa"/>
            <w:vAlign w:val="bottom"/>
          </w:tcPr>
          <w:p>
            <w:pPr>
              <w:spacing w:after="0"/>
              <w:rPr>
                <w:sz w:val="18"/>
                <w:szCs w:val="18"/>
                <w:color w:val="auto"/>
              </w:rPr>
            </w:pPr>
          </w:p>
        </w:tc>
        <w:tc>
          <w:tcPr>
            <w:tcW w:w="1260" w:type="dxa"/>
            <w:vAlign w:val="bottom"/>
          </w:tcPr>
          <w:p>
            <w:pPr>
              <w:jc w:val="right"/>
              <w:ind w:right="201"/>
              <w:spacing w:after="0"/>
              <w:rPr>
                <w:sz w:val="20"/>
                <w:szCs w:val="20"/>
                <w:color w:val="auto"/>
              </w:rPr>
            </w:pPr>
            <w:r>
              <w:rPr>
                <w:rFonts w:ascii="Arial" w:cs="Arial" w:eastAsia="Arial" w:hAnsi="Arial"/>
                <w:sz w:val="16"/>
                <w:szCs w:val="16"/>
                <w:color w:val="auto"/>
              </w:rPr>
              <w:t>(141)</w:t>
            </w:r>
          </w:p>
        </w:tc>
        <w:tc>
          <w:tcPr>
            <w:tcW w:w="940" w:type="dxa"/>
            <w:vAlign w:val="bottom"/>
          </w:tcPr>
          <w:p>
            <w:pPr>
              <w:spacing w:after="0"/>
              <w:rPr>
                <w:sz w:val="18"/>
                <w:szCs w:val="18"/>
                <w:color w:val="auto"/>
              </w:rPr>
            </w:pPr>
          </w:p>
        </w:tc>
        <w:tc>
          <w:tcPr>
            <w:tcW w:w="52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40" w:type="dxa"/>
            <w:vAlign w:val="bottom"/>
          </w:tcPr>
          <w:p>
            <w:pPr>
              <w:ind w:left="6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jc w:val="right"/>
              <w:ind w:right="60"/>
              <w:spacing w:after="0"/>
              <w:rPr>
                <w:sz w:val="20"/>
                <w:szCs w:val="20"/>
                <w:color w:val="auto"/>
              </w:rPr>
            </w:pPr>
            <w:r>
              <w:rPr>
                <w:rFonts w:ascii="Arial" w:cs="Arial" w:eastAsia="Arial" w:hAnsi="Arial"/>
                <w:sz w:val="16"/>
                <w:szCs w:val="16"/>
                <w:color w:val="auto"/>
                <w:w w:val="98"/>
              </w:rPr>
              <w:t>(28)</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(169)</w:t>
            </w:r>
          </w:p>
        </w:tc>
      </w:tr>
      <w:tr>
        <w:trPr>
          <w:trHeight w:val="213"/>
        </w:trPr>
        <w:tc>
          <w:tcPr>
            <w:tcW w:w="4120" w:type="dxa"/>
            <w:vAlign w:val="bottom"/>
          </w:tcPr>
          <w:p>
            <w:pPr>
              <w:spacing w:after="0"/>
              <w:rPr>
                <w:sz w:val="20"/>
                <w:szCs w:val="20"/>
                <w:color w:val="auto"/>
              </w:rPr>
            </w:pPr>
            <w:r>
              <w:rPr>
                <w:rFonts w:ascii="Arial" w:cs="Arial" w:eastAsia="Arial" w:hAnsi="Arial"/>
                <w:sz w:val="16"/>
                <w:szCs w:val="16"/>
                <w:color w:val="auto"/>
              </w:rPr>
              <w:t>Amounts reclassified from accumulated other</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04"/>
        </w:trPr>
        <w:tc>
          <w:tcPr>
            <w:tcW w:w="4120" w:type="dxa"/>
            <w:vAlign w:val="bottom"/>
          </w:tcPr>
          <w:p>
            <w:pPr>
              <w:ind w:left="140"/>
              <w:spacing w:after="0"/>
              <w:rPr>
                <w:sz w:val="20"/>
                <w:szCs w:val="20"/>
                <w:color w:val="auto"/>
              </w:rPr>
            </w:pPr>
            <w:r>
              <w:rPr>
                <w:rFonts w:ascii="Arial" w:cs="Arial" w:eastAsia="Arial" w:hAnsi="Arial"/>
                <w:sz w:val="16"/>
                <w:szCs w:val="16"/>
                <w:color w:val="auto"/>
              </w:rPr>
              <w:t>comprehensive income</w:t>
            </w: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13</w:t>
            </w: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13</w:t>
            </w: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r>
      <w:tr>
        <w:trPr>
          <w:trHeight w:val="206"/>
        </w:trPr>
        <w:tc>
          <w:tcPr>
            <w:tcW w:w="4120" w:type="dxa"/>
            <w:vAlign w:val="bottom"/>
          </w:tcPr>
          <w:p>
            <w:pPr>
              <w:spacing w:after="0"/>
              <w:rPr>
                <w:sz w:val="20"/>
                <w:szCs w:val="20"/>
                <w:color w:val="auto"/>
              </w:rPr>
            </w:pPr>
            <w:r>
              <w:rPr>
                <w:rFonts w:ascii="Arial" w:cs="Arial" w:eastAsia="Arial" w:hAnsi="Arial"/>
                <w:sz w:val="16"/>
                <w:szCs w:val="16"/>
                <w:color w:val="auto"/>
              </w:rPr>
              <w:t>Net other comprehensive income (loss)</w:t>
            </w: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(141)</w:t>
            </w:r>
          </w:p>
        </w:tc>
        <w:tc>
          <w:tcPr>
            <w:tcW w:w="9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13</w:t>
            </w: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w w:val="98"/>
              </w:rPr>
              <w:t>(15)</w:t>
            </w: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w:t>
            </w:r>
          </w:p>
        </w:tc>
      </w:tr>
      <w:tr>
        <w:trPr>
          <w:trHeight w:val="173"/>
        </w:trPr>
        <w:tc>
          <w:tcPr>
            <w:tcW w:w="4120" w:type="dxa"/>
            <w:vAlign w:val="bottom"/>
            <w:tcBorders>
              <w:bottom w:val="single" w:sz="8" w:color="auto"/>
            </w:tcBorders>
          </w:tcPr>
          <w:p>
            <w:pPr>
              <w:spacing w:after="0" w:line="166" w:lineRule="exact"/>
              <w:rPr>
                <w:sz w:val="20"/>
                <w:szCs w:val="20"/>
                <w:color w:val="auto"/>
              </w:rPr>
            </w:pPr>
            <w:r>
              <w:rPr>
                <w:rFonts w:ascii="Arial" w:cs="Arial" w:eastAsia="Arial" w:hAnsi="Arial"/>
                <w:sz w:val="16"/>
                <w:szCs w:val="16"/>
                <w:color w:val="auto"/>
              </w:rPr>
              <w:t>Balance as of September 30, 2014</w:t>
            </w:r>
          </w:p>
        </w:tc>
        <w:tc>
          <w:tcPr>
            <w:tcW w:w="360" w:type="dxa"/>
            <w:vAlign w:val="bottom"/>
            <w:tcBorders>
              <w:bottom w:val="single" w:sz="8" w:color="auto"/>
            </w:tcBorders>
          </w:tcPr>
          <w:p>
            <w:pPr>
              <w:ind w:left="260"/>
              <w:spacing w:after="0" w:line="166" w:lineRule="exact"/>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201"/>
              <w:spacing w:after="0" w:line="166" w:lineRule="exact"/>
              <w:rPr>
                <w:sz w:val="20"/>
                <w:szCs w:val="20"/>
                <w:color w:val="auto"/>
              </w:rPr>
            </w:pPr>
            <w:r>
              <w:rPr>
                <w:rFonts w:ascii="Arial" w:cs="Arial" w:eastAsia="Arial" w:hAnsi="Arial"/>
                <w:sz w:val="16"/>
                <w:szCs w:val="16"/>
                <w:color w:val="auto"/>
              </w:rPr>
              <w:t>(270)</w:t>
            </w:r>
          </w:p>
        </w:tc>
        <w:tc>
          <w:tcPr>
            <w:tcW w:w="940" w:type="dxa"/>
            <w:vAlign w:val="bottom"/>
            <w:tcBorders>
              <w:bottom w:val="single" w:sz="8" w:color="auto"/>
            </w:tcBorders>
          </w:tcPr>
          <w:p>
            <w:pPr>
              <w:ind w:left="120"/>
              <w:spacing w:after="0" w:line="166" w:lineRule="exact"/>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ind w:right="60"/>
              <w:spacing w:after="0" w:line="166" w:lineRule="exact"/>
              <w:rPr>
                <w:sz w:val="20"/>
                <w:szCs w:val="20"/>
                <w:color w:val="auto"/>
              </w:rPr>
            </w:pPr>
            <w:r>
              <w:rPr>
                <w:rFonts w:ascii="Arial" w:cs="Arial" w:eastAsia="Arial" w:hAnsi="Arial"/>
                <w:sz w:val="16"/>
                <w:szCs w:val="16"/>
                <w:color w:val="auto"/>
              </w:rPr>
              <w:t>(60)</w:t>
            </w:r>
          </w:p>
        </w:tc>
        <w:tc>
          <w:tcPr>
            <w:tcW w:w="280" w:type="dxa"/>
            <w:vAlign w:val="bottom"/>
            <w:tcBorders>
              <w:bottom w:val="single" w:sz="8" w:color="auto"/>
            </w:tcBorders>
          </w:tcPr>
          <w:p>
            <w:pPr>
              <w:ind w:left="140"/>
              <w:spacing w:after="0" w:line="166"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ind w:left="640"/>
              <w:spacing w:after="0" w:line="166" w:lineRule="exact"/>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ind w:left="140"/>
              <w:spacing w:after="0" w:line="166" w:lineRule="exact"/>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ind w:right="60"/>
              <w:spacing w:after="0" w:line="166" w:lineRule="exact"/>
              <w:rPr>
                <w:sz w:val="20"/>
                <w:szCs w:val="20"/>
                <w:color w:val="auto"/>
              </w:rPr>
            </w:pPr>
            <w:r>
              <w:rPr>
                <w:rFonts w:ascii="Arial" w:cs="Arial" w:eastAsia="Arial" w:hAnsi="Arial"/>
                <w:sz w:val="16"/>
                <w:szCs w:val="16"/>
                <w:color w:val="auto"/>
                <w:w w:val="98"/>
              </w:rPr>
              <w:t>(41)</w:t>
            </w:r>
          </w:p>
        </w:tc>
        <w:tc>
          <w:tcPr>
            <w:tcW w:w="240" w:type="dxa"/>
            <w:vAlign w:val="bottom"/>
            <w:tcBorders>
              <w:bottom w:val="single" w:sz="8" w:color="auto"/>
            </w:tcBorders>
          </w:tcPr>
          <w:p>
            <w:pPr>
              <w:ind w:left="140"/>
              <w:spacing w:after="0" w:line="166" w:lineRule="exact"/>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(371)</w:t>
            </w:r>
          </w:p>
        </w:tc>
      </w:tr>
      <w:tr>
        <w:trPr>
          <w:trHeight w:val="201"/>
        </w:trPr>
        <w:tc>
          <w:tcPr>
            <w:tcW w:w="4120" w:type="dxa"/>
            <w:vAlign w:val="bottom"/>
          </w:tcPr>
          <w:p>
            <w:pPr>
              <w:spacing w:after="0"/>
              <w:rPr>
                <w:sz w:val="20"/>
                <w:szCs w:val="20"/>
                <w:color w:val="auto"/>
              </w:rPr>
            </w:pPr>
            <w:r>
              <w:rPr>
                <w:rFonts w:ascii="Arial" w:cs="Arial" w:eastAsia="Arial" w:hAnsi="Arial"/>
                <w:sz w:val="16"/>
                <w:szCs w:val="16"/>
                <w:b w:val="1"/>
                <w:bCs w:val="1"/>
                <w:color w:val="auto"/>
              </w:rPr>
              <w:t>2013:</w:t>
            </w: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184"/>
        </w:trPr>
        <w:tc>
          <w:tcPr>
            <w:tcW w:w="4120" w:type="dxa"/>
            <w:vAlign w:val="bottom"/>
          </w:tcPr>
          <w:p>
            <w:pPr>
              <w:spacing w:after="0"/>
              <w:rPr>
                <w:sz w:val="20"/>
                <w:szCs w:val="20"/>
                <w:color w:val="auto"/>
              </w:rPr>
            </w:pPr>
            <w:r>
              <w:rPr>
                <w:rFonts w:ascii="Arial" w:cs="Arial" w:eastAsia="Arial" w:hAnsi="Arial"/>
                <w:sz w:val="16"/>
                <w:szCs w:val="16"/>
                <w:color w:val="auto"/>
              </w:rPr>
              <w:t>Balance as of December 31, 2012</w:t>
            </w:r>
          </w:p>
        </w:tc>
        <w:tc>
          <w:tcPr>
            <w:tcW w:w="36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(240)</w:t>
            </w:r>
          </w:p>
        </w:tc>
        <w:tc>
          <w:tcPr>
            <w:tcW w:w="9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w w:val="96"/>
              </w:rPr>
              <w:t>(102)</w:t>
            </w:r>
          </w:p>
        </w:tc>
        <w:tc>
          <w:tcPr>
            <w:tcW w:w="2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1</w:t>
            </w:r>
          </w:p>
        </w:tc>
        <w:tc>
          <w:tcPr>
            <w:tcW w:w="8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w w:val="98"/>
              </w:rPr>
              <w:t>(35)</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w:t>
            </w:r>
          </w:p>
        </w:tc>
      </w:tr>
      <w:tr>
        <w:trPr>
          <w:trHeight w:val="214"/>
        </w:trPr>
        <w:tc>
          <w:tcPr>
            <w:tcW w:w="4120" w:type="dxa"/>
            <w:vAlign w:val="bottom"/>
          </w:tcPr>
          <w:p>
            <w:pPr>
              <w:spacing w:after="0"/>
              <w:rPr>
                <w:sz w:val="20"/>
                <w:szCs w:val="20"/>
                <w:color w:val="auto"/>
              </w:rPr>
            </w:pPr>
            <w:r>
              <w:rPr>
                <w:rFonts w:ascii="Arial" w:cs="Arial" w:eastAsia="Arial" w:hAnsi="Arial"/>
                <w:sz w:val="16"/>
                <w:szCs w:val="16"/>
                <w:color w:val="auto"/>
              </w:rPr>
              <w:t>Other comprehensive income (loss) before</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3"/>
        </w:trPr>
        <w:tc>
          <w:tcPr>
            <w:tcW w:w="4120" w:type="dxa"/>
            <w:vAlign w:val="bottom"/>
          </w:tcPr>
          <w:p>
            <w:pPr>
              <w:ind w:left="140"/>
              <w:spacing w:after="0"/>
              <w:rPr>
                <w:sz w:val="20"/>
                <w:szCs w:val="20"/>
                <w:color w:val="auto"/>
              </w:rPr>
            </w:pPr>
            <w:r>
              <w:rPr>
                <w:rFonts w:ascii="Arial" w:cs="Arial" w:eastAsia="Arial" w:hAnsi="Arial"/>
                <w:sz w:val="16"/>
                <w:szCs w:val="16"/>
                <w:color w:val="auto"/>
              </w:rPr>
              <w:t>reclassifications</w:t>
            </w:r>
          </w:p>
        </w:tc>
        <w:tc>
          <w:tcPr>
            <w:tcW w:w="360" w:type="dxa"/>
            <w:vAlign w:val="bottom"/>
          </w:tcPr>
          <w:p>
            <w:pPr>
              <w:spacing w:after="0"/>
              <w:rPr>
                <w:sz w:val="18"/>
                <w:szCs w:val="18"/>
                <w:color w:val="auto"/>
              </w:rPr>
            </w:pPr>
          </w:p>
        </w:tc>
        <w:tc>
          <w:tcPr>
            <w:tcW w:w="1260" w:type="dxa"/>
            <w:vAlign w:val="bottom"/>
          </w:tcPr>
          <w:p>
            <w:pPr>
              <w:jc w:val="right"/>
              <w:ind w:right="201"/>
              <w:spacing w:after="0"/>
              <w:rPr>
                <w:sz w:val="20"/>
                <w:szCs w:val="20"/>
                <w:color w:val="auto"/>
              </w:rPr>
            </w:pPr>
            <w:r>
              <w:rPr>
                <w:rFonts w:ascii="Arial" w:cs="Arial" w:eastAsia="Arial" w:hAnsi="Arial"/>
                <w:sz w:val="16"/>
                <w:szCs w:val="16"/>
                <w:color w:val="auto"/>
              </w:rPr>
              <w:t>(121)</w:t>
            </w:r>
          </w:p>
        </w:tc>
        <w:tc>
          <w:tcPr>
            <w:tcW w:w="940" w:type="dxa"/>
            <w:vAlign w:val="bottom"/>
          </w:tcPr>
          <w:p>
            <w:pPr>
              <w:spacing w:after="0"/>
              <w:rPr>
                <w:sz w:val="18"/>
                <w:szCs w:val="18"/>
                <w:color w:val="auto"/>
              </w:rPr>
            </w:pPr>
          </w:p>
        </w:tc>
        <w:tc>
          <w:tcPr>
            <w:tcW w:w="52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40" w:type="dxa"/>
            <w:vAlign w:val="bottom"/>
          </w:tcPr>
          <w:p>
            <w:pPr>
              <w:ind w:left="70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jc w:val="right"/>
              <w:ind w:right="60"/>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(120)</w:t>
            </w:r>
          </w:p>
        </w:tc>
      </w:tr>
      <w:tr>
        <w:trPr>
          <w:trHeight w:val="213"/>
        </w:trPr>
        <w:tc>
          <w:tcPr>
            <w:tcW w:w="4120" w:type="dxa"/>
            <w:vAlign w:val="bottom"/>
          </w:tcPr>
          <w:p>
            <w:pPr>
              <w:spacing w:after="0"/>
              <w:rPr>
                <w:sz w:val="20"/>
                <w:szCs w:val="20"/>
                <w:color w:val="auto"/>
              </w:rPr>
            </w:pPr>
            <w:r>
              <w:rPr>
                <w:rFonts w:ascii="Arial" w:cs="Arial" w:eastAsia="Arial" w:hAnsi="Arial"/>
                <w:sz w:val="16"/>
                <w:szCs w:val="16"/>
                <w:color w:val="auto"/>
              </w:rPr>
              <w:t>Amounts reclassified from accumulated other</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04"/>
        </w:trPr>
        <w:tc>
          <w:tcPr>
            <w:tcW w:w="4120" w:type="dxa"/>
            <w:vAlign w:val="bottom"/>
          </w:tcPr>
          <w:p>
            <w:pPr>
              <w:ind w:left="140"/>
              <w:spacing w:after="0"/>
              <w:rPr>
                <w:sz w:val="20"/>
                <w:szCs w:val="20"/>
                <w:color w:val="auto"/>
              </w:rPr>
            </w:pPr>
            <w:r>
              <w:rPr>
                <w:rFonts w:ascii="Arial" w:cs="Arial" w:eastAsia="Arial" w:hAnsi="Arial"/>
                <w:sz w:val="16"/>
                <w:szCs w:val="16"/>
                <w:color w:val="auto"/>
              </w:rPr>
              <w:t>comprehensive income</w:t>
            </w: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270</w:t>
            </w:r>
            <w:r>
              <w:rPr>
                <w:rFonts w:ascii="Arial" w:cs="Arial" w:eastAsia="Arial" w:hAnsi="Arial"/>
                <w:sz w:val="14"/>
                <w:szCs w:val="14"/>
                <w:i w:val="1"/>
                <w:iCs w:val="1"/>
                <w:color w:val="auto"/>
              </w:rPr>
              <w:t>(2)</w:t>
            </w:r>
          </w:p>
        </w:tc>
        <w:tc>
          <w:tcPr>
            <w:tcW w:w="9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7</w:t>
            </w: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w:t>
            </w: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w:t>
            </w:r>
          </w:p>
        </w:tc>
      </w:tr>
      <w:tr>
        <w:trPr>
          <w:trHeight w:val="206"/>
        </w:trPr>
        <w:tc>
          <w:tcPr>
            <w:tcW w:w="4120" w:type="dxa"/>
            <w:vAlign w:val="bottom"/>
          </w:tcPr>
          <w:p>
            <w:pPr>
              <w:spacing w:after="0"/>
              <w:rPr>
                <w:sz w:val="20"/>
                <w:szCs w:val="20"/>
                <w:color w:val="auto"/>
              </w:rPr>
            </w:pPr>
            <w:r>
              <w:rPr>
                <w:rFonts w:ascii="Arial" w:cs="Arial" w:eastAsia="Arial" w:hAnsi="Arial"/>
                <w:sz w:val="16"/>
                <w:szCs w:val="16"/>
                <w:color w:val="auto"/>
              </w:rPr>
              <w:t>Net other comprehensive income</w:t>
            </w: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149</w:t>
            </w:r>
          </w:p>
        </w:tc>
        <w:tc>
          <w:tcPr>
            <w:tcW w:w="9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7</w:t>
            </w: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5</w:t>
            </w: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w:t>
            </w:r>
          </w:p>
        </w:tc>
      </w:tr>
      <w:tr>
        <w:trPr>
          <w:trHeight w:val="186"/>
        </w:trPr>
        <w:tc>
          <w:tcPr>
            <w:tcW w:w="4120" w:type="dxa"/>
            <w:vAlign w:val="bottom"/>
          </w:tcPr>
          <w:p>
            <w:pPr>
              <w:spacing w:after="0" w:line="175" w:lineRule="exact"/>
              <w:rPr>
                <w:sz w:val="20"/>
                <w:szCs w:val="20"/>
                <w:color w:val="auto"/>
              </w:rPr>
            </w:pPr>
            <w:r>
              <w:rPr>
                <w:rFonts w:ascii="Arial" w:cs="Arial" w:eastAsia="Arial" w:hAnsi="Arial"/>
                <w:sz w:val="16"/>
                <w:szCs w:val="16"/>
                <w:color w:val="auto"/>
              </w:rPr>
              <w:t>Balance as of September 30, 2013</w:t>
            </w:r>
          </w:p>
        </w:tc>
        <w:tc>
          <w:tcPr>
            <w:tcW w:w="360" w:type="dxa"/>
            <w:vAlign w:val="bottom"/>
          </w:tcPr>
          <w:p>
            <w:pPr>
              <w:ind w:left="260"/>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01"/>
              <w:spacing w:after="0"/>
              <w:rPr>
                <w:sz w:val="20"/>
                <w:szCs w:val="20"/>
                <w:color w:val="auto"/>
              </w:rPr>
            </w:pPr>
            <w:r>
              <w:rPr>
                <w:rFonts w:ascii="Arial" w:cs="Arial" w:eastAsia="Arial" w:hAnsi="Arial"/>
                <w:sz w:val="16"/>
                <w:szCs w:val="16"/>
                <w:color w:val="auto"/>
              </w:rPr>
              <w:t>(91)</w:t>
            </w:r>
          </w:p>
        </w:tc>
        <w:tc>
          <w:tcPr>
            <w:tcW w:w="940" w:type="dxa"/>
            <w:vAlign w:val="bottom"/>
          </w:tcPr>
          <w:p>
            <w:pPr>
              <w:ind w:left="120"/>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60"/>
              <w:spacing w:after="0"/>
              <w:rPr>
                <w:sz w:val="20"/>
                <w:szCs w:val="20"/>
                <w:color w:val="auto"/>
              </w:rPr>
            </w:pPr>
            <w:r>
              <w:rPr>
                <w:rFonts w:ascii="Arial" w:cs="Arial" w:eastAsia="Arial" w:hAnsi="Arial"/>
                <w:sz w:val="16"/>
                <w:szCs w:val="16"/>
                <w:color w:val="auto"/>
              </w:rPr>
              <w:t>(95)</w:t>
            </w:r>
          </w:p>
        </w:tc>
        <w:tc>
          <w:tcPr>
            <w:tcW w:w="280" w:type="dxa"/>
            <w:vAlign w:val="bottom"/>
          </w:tcPr>
          <w:p>
            <w:pPr>
              <w:ind w:left="14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6"/>
                <w:szCs w:val="16"/>
                <w:color w:val="auto"/>
              </w:rPr>
            </w:pP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1</w:t>
            </w:r>
          </w:p>
        </w:tc>
        <w:tc>
          <w:tcPr>
            <w:tcW w:w="820" w:type="dxa"/>
            <w:vAlign w:val="bottom"/>
          </w:tcPr>
          <w:p>
            <w:pPr>
              <w:ind w:left="14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60"/>
              <w:spacing w:after="0"/>
              <w:rPr>
                <w:sz w:val="20"/>
                <w:szCs w:val="20"/>
                <w:color w:val="auto"/>
              </w:rPr>
            </w:pPr>
            <w:r>
              <w:rPr>
                <w:rFonts w:ascii="Arial" w:cs="Arial" w:eastAsia="Arial" w:hAnsi="Arial"/>
                <w:sz w:val="16"/>
                <w:szCs w:val="16"/>
                <w:color w:val="auto"/>
                <w:w w:val="98"/>
              </w:rPr>
              <w:t>(30)</w:t>
            </w:r>
          </w:p>
        </w:tc>
        <w:tc>
          <w:tcPr>
            <w:tcW w:w="240" w:type="dxa"/>
            <w:vAlign w:val="bottom"/>
          </w:tcPr>
          <w:p>
            <w:pPr>
              <w:ind w:left="140"/>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24852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8525" cy="17145"/>
                    </a:xfrm>
                    <a:prstGeom prst="rect">
                      <a:avLst/>
                    </a:prstGeom>
                    <a:noFill/>
                  </pic:spPr>
                </pic:pic>
              </a:graphicData>
            </a:graphic>
          </wp:anchor>
        </w:drawing>
      </w:r>
    </w:p>
    <w:p>
      <w:pPr>
        <w:ind w:left="500" w:hanging="494"/>
        <w:spacing w:after="0"/>
        <w:tabs>
          <w:tab w:leader="none" w:pos="500" w:val="left"/>
        </w:tabs>
        <w:numPr>
          <w:ilvl w:val="0"/>
          <w:numId w:val="16"/>
        </w:numPr>
        <w:rPr>
          <w:rFonts w:ascii="Arial" w:cs="Arial" w:eastAsia="Arial" w:hAnsi="Arial"/>
          <w:sz w:val="14"/>
          <w:szCs w:val="14"/>
          <w:i w:val="1"/>
          <w:iCs w:val="1"/>
          <w:color w:val="auto"/>
        </w:rPr>
      </w:pPr>
      <w:r>
        <w:rPr>
          <w:rFonts w:ascii="Arial" w:cs="Arial" w:eastAsia="Arial" w:hAnsi="Arial"/>
          <w:sz w:val="14"/>
          <w:szCs w:val="14"/>
          <w:i w:val="1"/>
          <w:iCs w:val="1"/>
          <w:color w:val="auto"/>
        </w:rPr>
        <w:t>All amounts are net of income tax, if subject to tax, and exclude noncontrolling interests.</w:t>
      </w:r>
    </w:p>
    <w:p>
      <w:pPr>
        <w:spacing w:after="0" w:line="10" w:lineRule="exact"/>
        <w:rPr>
          <w:rFonts w:ascii="Arial" w:cs="Arial" w:eastAsia="Arial" w:hAnsi="Arial"/>
          <w:sz w:val="14"/>
          <w:szCs w:val="14"/>
          <w:i w:val="1"/>
          <w:iCs w:val="1"/>
          <w:color w:val="auto"/>
        </w:rPr>
      </w:pPr>
    </w:p>
    <w:p>
      <w:pPr>
        <w:ind w:left="500" w:right="340" w:hanging="494"/>
        <w:spacing w:after="0" w:line="251" w:lineRule="auto"/>
        <w:tabs>
          <w:tab w:leader="none" w:pos="500" w:val="left"/>
        </w:tabs>
        <w:numPr>
          <w:ilvl w:val="0"/>
          <w:numId w:val="16"/>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cumulative foreign currency translation adjustment related to the impairment of our Argentine investments in 2006, which is substantially offset by an accrued liability established at that time. We provide additional information about these investments in Note 4.</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ACCUMULATED OTHER COMPREHENSIVE INCOME (LOSS) BY COMPONENT(1)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-104775</wp:posOffset>
            </wp:positionV>
            <wp:extent cx="7248525" cy="3289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8525" cy="32893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SAN DIEGO GAS &amp; ELECTRIC COMPANY</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80" w:type="dxa"/>
            <w:vAlign w:val="bottom"/>
          </w:tcPr>
          <w:p>
            <w:pPr>
              <w:spacing w:after="0"/>
              <w:rPr>
                <w:sz w:val="14"/>
                <w:szCs w:val="14"/>
                <w:color w:val="auto"/>
              </w:rPr>
            </w:pPr>
          </w:p>
        </w:tc>
        <w:tc>
          <w:tcPr>
            <w:tcW w:w="3180" w:type="dxa"/>
            <w:vAlign w:val="bottom"/>
            <w:gridSpan w:val="3"/>
          </w:tcPr>
          <w:p>
            <w:pPr>
              <w:jc w:val="right"/>
              <w:ind w:right="743"/>
              <w:spacing w:after="0"/>
              <w:rPr>
                <w:sz w:val="20"/>
                <w:szCs w:val="20"/>
                <w:color w:val="auto"/>
              </w:rPr>
            </w:pPr>
            <w:r>
              <w:rPr>
                <w:rFonts w:ascii="Arial" w:cs="Arial" w:eastAsia="Arial" w:hAnsi="Arial"/>
                <w:sz w:val="14"/>
                <w:szCs w:val="14"/>
                <w:color w:val="auto"/>
              </w:rPr>
              <w:t>Pension and Other</w:t>
            </w: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84"/>
        </w:trPr>
        <w:tc>
          <w:tcPr>
            <w:tcW w:w="5180" w:type="dxa"/>
            <w:vAlign w:val="bottom"/>
          </w:tcPr>
          <w:p>
            <w:pPr>
              <w:spacing w:after="0"/>
              <w:rPr>
                <w:sz w:val="15"/>
                <w:szCs w:val="15"/>
                <w:color w:val="auto"/>
              </w:rPr>
            </w:pPr>
          </w:p>
        </w:tc>
        <w:tc>
          <w:tcPr>
            <w:tcW w:w="3180" w:type="dxa"/>
            <w:vAlign w:val="bottom"/>
            <w:tcBorders>
              <w:bottom w:val="single" w:sz="8" w:color="auto"/>
            </w:tcBorders>
            <w:gridSpan w:val="3"/>
          </w:tcPr>
          <w:p>
            <w:pPr>
              <w:jc w:val="right"/>
              <w:ind w:right="583"/>
              <w:spacing w:after="0"/>
              <w:rPr>
                <w:sz w:val="20"/>
                <w:szCs w:val="20"/>
                <w:color w:val="auto"/>
              </w:rPr>
            </w:pPr>
            <w:r>
              <w:rPr>
                <w:rFonts w:ascii="Arial" w:cs="Arial" w:eastAsia="Arial" w:hAnsi="Arial"/>
                <w:sz w:val="14"/>
                <w:szCs w:val="14"/>
                <w:color w:val="auto"/>
              </w:rPr>
              <w:t>Postretirement Benefits</w:t>
            </w:r>
          </w:p>
        </w:tc>
        <w:tc>
          <w:tcPr>
            <w:tcW w:w="38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221"/>
        </w:trPr>
        <w:tc>
          <w:tcPr>
            <w:tcW w:w="5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40" w:type="dxa"/>
            <w:vAlign w:val="bottom"/>
          </w:tcPr>
          <w:p>
            <w:pPr>
              <w:jc w:val="center"/>
              <w:ind w:right="402"/>
              <w:spacing w:after="0"/>
              <w:rPr>
                <w:sz w:val="20"/>
                <w:szCs w:val="20"/>
                <w:color w:val="auto"/>
              </w:rPr>
            </w:pPr>
            <w:r>
              <w:rPr>
                <w:rFonts w:ascii="Arial" w:cs="Arial" w:eastAsia="Arial" w:hAnsi="Arial"/>
                <w:sz w:val="14"/>
                <w:szCs w:val="14"/>
                <w:color w:val="auto"/>
                <w:w w:val="96"/>
              </w:rPr>
              <w:t>Total</w:t>
            </w:r>
          </w:p>
        </w:tc>
      </w:tr>
      <w:tr>
        <w:trPr>
          <w:trHeight w:val="213"/>
        </w:trPr>
        <w:tc>
          <w:tcPr>
            <w:tcW w:w="5180" w:type="dxa"/>
            <w:vAlign w:val="bottom"/>
          </w:tcPr>
          <w:p>
            <w:pPr>
              <w:spacing w:after="0"/>
              <w:rPr>
                <w:sz w:val="18"/>
                <w:szCs w:val="18"/>
                <w:color w:val="auto"/>
              </w:rPr>
            </w:pPr>
          </w:p>
        </w:tc>
        <w:tc>
          <w:tcPr>
            <w:tcW w:w="1420" w:type="dxa"/>
            <w:vAlign w:val="bottom"/>
          </w:tcPr>
          <w:p>
            <w:pPr>
              <w:jc w:val="center"/>
              <w:ind w:left="344"/>
              <w:spacing w:after="0"/>
              <w:rPr>
                <w:sz w:val="20"/>
                <w:szCs w:val="20"/>
                <w:color w:val="auto"/>
              </w:rPr>
            </w:pPr>
            <w:r>
              <w:rPr>
                <w:rFonts w:ascii="Arial" w:cs="Arial" w:eastAsia="Arial" w:hAnsi="Arial"/>
                <w:sz w:val="14"/>
                <w:szCs w:val="14"/>
                <w:color w:val="auto"/>
              </w:rPr>
              <w:t>Unamortized</w:t>
            </w:r>
          </w:p>
        </w:tc>
        <w:tc>
          <w:tcPr>
            <w:tcW w:w="620" w:type="dxa"/>
            <w:vAlign w:val="bottom"/>
          </w:tcPr>
          <w:p>
            <w:pPr>
              <w:spacing w:after="0"/>
              <w:rPr>
                <w:sz w:val="18"/>
                <w:szCs w:val="18"/>
                <w:color w:val="auto"/>
              </w:rPr>
            </w:pPr>
          </w:p>
        </w:tc>
        <w:tc>
          <w:tcPr>
            <w:tcW w:w="1140" w:type="dxa"/>
            <w:vAlign w:val="bottom"/>
          </w:tcPr>
          <w:p>
            <w:pPr>
              <w:jc w:val="center"/>
              <w:ind w:left="103"/>
              <w:spacing w:after="0"/>
              <w:rPr>
                <w:sz w:val="20"/>
                <w:szCs w:val="20"/>
                <w:color w:val="auto"/>
              </w:rPr>
            </w:pPr>
            <w:r>
              <w:rPr>
                <w:rFonts w:ascii="Arial" w:cs="Arial" w:eastAsia="Arial" w:hAnsi="Arial"/>
                <w:sz w:val="14"/>
                <w:szCs w:val="14"/>
                <w:color w:val="auto"/>
              </w:rPr>
              <w:t>Unamortized</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40" w:type="dxa"/>
            <w:vAlign w:val="bottom"/>
          </w:tcPr>
          <w:p>
            <w:pPr>
              <w:jc w:val="center"/>
              <w:ind w:right="402"/>
              <w:spacing w:after="0"/>
              <w:rPr>
                <w:sz w:val="20"/>
                <w:szCs w:val="20"/>
                <w:color w:val="auto"/>
              </w:rPr>
            </w:pPr>
            <w:r>
              <w:rPr>
                <w:rFonts w:ascii="Arial" w:cs="Arial" w:eastAsia="Arial" w:hAnsi="Arial"/>
                <w:sz w:val="14"/>
                <w:szCs w:val="14"/>
                <w:color w:val="auto"/>
              </w:rPr>
              <w:t>Accumulated Other</w:t>
            </w:r>
          </w:p>
        </w:tc>
      </w:tr>
      <w:tr>
        <w:trPr>
          <w:trHeight w:val="213"/>
        </w:trPr>
        <w:tc>
          <w:tcPr>
            <w:tcW w:w="5180" w:type="dxa"/>
            <w:vAlign w:val="bottom"/>
          </w:tcPr>
          <w:p>
            <w:pPr>
              <w:spacing w:after="0"/>
              <w:rPr>
                <w:sz w:val="18"/>
                <w:szCs w:val="18"/>
                <w:color w:val="auto"/>
              </w:rPr>
            </w:pPr>
          </w:p>
        </w:tc>
        <w:tc>
          <w:tcPr>
            <w:tcW w:w="1420" w:type="dxa"/>
            <w:vAlign w:val="bottom"/>
          </w:tcPr>
          <w:p>
            <w:pPr>
              <w:jc w:val="center"/>
              <w:ind w:left="364"/>
              <w:spacing w:after="0"/>
              <w:rPr>
                <w:sz w:val="20"/>
                <w:szCs w:val="20"/>
                <w:color w:val="auto"/>
              </w:rPr>
            </w:pPr>
            <w:r>
              <w:rPr>
                <w:rFonts w:ascii="Arial" w:cs="Arial" w:eastAsia="Arial" w:hAnsi="Arial"/>
                <w:sz w:val="14"/>
                <w:szCs w:val="14"/>
                <w:color w:val="auto"/>
              </w:rPr>
              <w:t>Net Actuarial</w:t>
            </w:r>
          </w:p>
        </w:tc>
        <w:tc>
          <w:tcPr>
            <w:tcW w:w="620" w:type="dxa"/>
            <w:vAlign w:val="bottom"/>
          </w:tcPr>
          <w:p>
            <w:pPr>
              <w:spacing w:after="0"/>
              <w:rPr>
                <w:sz w:val="18"/>
                <w:szCs w:val="18"/>
                <w:color w:val="auto"/>
              </w:rPr>
            </w:pPr>
          </w:p>
        </w:tc>
        <w:tc>
          <w:tcPr>
            <w:tcW w:w="1140" w:type="dxa"/>
            <w:vAlign w:val="bottom"/>
          </w:tcPr>
          <w:p>
            <w:pPr>
              <w:jc w:val="center"/>
              <w:ind w:left="123"/>
              <w:spacing w:after="0"/>
              <w:rPr>
                <w:sz w:val="20"/>
                <w:szCs w:val="20"/>
                <w:color w:val="auto"/>
              </w:rPr>
            </w:pPr>
            <w:r>
              <w:rPr>
                <w:rFonts w:ascii="Arial" w:cs="Arial" w:eastAsia="Arial" w:hAnsi="Arial"/>
                <w:sz w:val="14"/>
                <w:szCs w:val="14"/>
                <w:color w:val="auto"/>
              </w:rPr>
              <w:t>Prior Service</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40" w:type="dxa"/>
            <w:vAlign w:val="bottom"/>
          </w:tcPr>
          <w:p>
            <w:pPr>
              <w:jc w:val="center"/>
              <w:ind w:right="402"/>
              <w:spacing w:after="0"/>
              <w:rPr>
                <w:sz w:val="20"/>
                <w:szCs w:val="20"/>
                <w:color w:val="auto"/>
              </w:rPr>
            </w:pPr>
            <w:r>
              <w:rPr>
                <w:rFonts w:ascii="Arial" w:cs="Arial" w:eastAsia="Arial" w:hAnsi="Arial"/>
                <w:sz w:val="14"/>
                <w:szCs w:val="14"/>
                <w:color w:val="auto"/>
                <w:w w:val="99"/>
              </w:rPr>
              <w:t>Comprehensive</w:t>
            </w:r>
          </w:p>
        </w:tc>
      </w:tr>
      <w:tr>
        <w:trPr>
          <w:trHeight w:val="197"/>
        </w:trPr>
        <w:tc>
          <w:tcPr>
            <w:tcW w:w="5180" w:type="dxa"/>
            <w:vAlign w:val="bottom"/>
          </w:tcPr>
          <w:p>
            <w:pPr>
              <w:spacing w:after="0"/>
              <w:rPr>
                <w:sz w:val="17"/>
                <w:szCs w:val="17"/>
                <w:color w:val="auto"/>
              </w:rPr>
            </w:pPr>
          </w:p>
        </w:tc>
        <w:tc>
          <w:tcPr>
            <w:tcW w:w="1420" w:type="dxa"/>
            <w:vAlign w:val="bottom"/>
            <w:tcBorders>
              <w:bottom w:val="single" w:sz="8" w:color="auto"/>
            </w:tcBorders>
          </w:tcPr>
          <w:p>
            <w:pPr>
              <w:jc w:val="center"/>
              <w:ind w:left="364"/>
              <w:spacing w:after="0"/>
              <w:rPr>
                <w:sz w:val="20"/>
                <w:szCs w:val="20"/>
                <w:color w:val="auto"/>
              </w:rPr>
            </w:pPr>
            <w:r>
              <w:rPr>
                <w:rFonts w:ascii="Arial" w:cs="Arial" w:eastAsia="Arial" w:hAnsi="Arial"/>
                <w:sz w:val="14"/>
                <w:szCs w:val="14"/>
                <w:color w:val="auto"/>
              </w:rPr>
              <w:t>Gain (Loss)</w:t>
            </w:r>
          </w:p>
        </w:tc>
        <w:tc>
          <w:tcPr>
            <w:tcW w:w="6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left="123"/>
              <w:spacing w:after="0"/>
              <w:rPr>
                <w:sz w:val="20"/>
                <w:szCs w:val="20"/>
                <w:color w:val="auto"/>
              </w:rPr>
            </w:pPr>
            <w:r>
              <w:rPr>
                <w:rFonts w:ascii="Arial" w:cs="Arial" w:eastAsia="Arial" w:hAnsi="Arial"/>
                <w:sz w:val="14"/>
                <w:szCs w:val="14"/>
                <w:color w:val="auto"/>
              </w:rPr>
              <w:t>Credit</w:t>
            </w:r>
          </w:p>
        </w:tc>
        <w:tc>
          <w:tcPr>
            <w:tcW w:w="3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center"/>
              <w:ind w:right="402"/>
              <w:spacing w:after="0"/>
              <w:rPr>
                <w:sz w:val="20"/>
                <w:szCs w:val="20"/>
                <w:color w:val="auto"/>
              </w:rPr>
            </w:pPr>
            <w:r>
              <w:rPr>
                <w:rFonts w:ascii="Arial" w:cs="Arial" w:eastAsia="Arial" w:hAnsi="Arial"/>
                <w:sz w:val="14"/>
                <w:szCs w:val="14"/>
                <w:color w:val="auto"/>
              </w:rPr>
              <w:t>Income (Loss)</w:t>
            </w:r>
          </w:p>
        </w:tc>
      </w:tr>
      <w:tr>
        <w:trPr>
          <w:trHeight w:val="206"/>
        </w:trPr>
        <w:tc>
          <w:tcPr>
            <w:tcW w:w="5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4820" w:type="dxa"/>
            <w:vAlign w:val="bottom"/>
            <w:tcBorders>
              <w:bottom w:val="single" w:sz="8" w:color="auto"/>
            </w:tcBorders>
            <w:gridSpan w:val="6"/>
          </w:tcPr>
          <w:p>
            <w:pPr>
              <w:jc w:val="right"/>
              <w:ind w:right="1422"/>
              <w:spacing w:after="0"/>
              <w:rPr>
                <w:sz w:val="20"/>
                <w:szCs w:val="20"/>
                <w:color w:val="auto"/>
              </w:rPr>
            </w:pPr>
            <w:r>
              <w:rPr>
                <w:rFonts w:ascii="Arial" w:cs="Arial" w:eastAsia="Arial" w:hAnsi="Arial"/>
                <w:sz w:val="14"/>
                <w:szCs w:val="14"/>
                <w:color w:val="auto"/>
              </w:rPr>
              <w:t>Three months ended September 30, 2014 and 2013</w:t>
            </w:r>
          </w:p>
        </w:tc>
      </w:tr>
      <w:tr>
        <w:trPr>
          <w:trHeight w:val="206"/>
        </w:trPr>
        <w:tc>
          <w:tcPr>
            <w:tcW w:w="5180" w:type="dxa"/>
            <w:vAlign w:val="bottom"/>
          </w:tcPr>
          <w:p>
            <w:pPr>
              <w:spacing w:after="0"/>
              <w:rPr>
                <w:sz w:val="20"/>
                <w:szCs w:val="20"/>
                <w:color w:val="auto"/>
              </w:rPr>
            </w:pPr>
            <w:r>
              <w:rPr>
                <w:rFonts w:ascii="Arial" w:cs="Arial" w:eastAsia="Arial" w:hAnsi="Arial"/>
                <w:sz w:val="16"/>
                <w:szCs w:val="16"/>
                <w:b w:val="1"/>
                <w:bCs w:val="1"/>
                <w:color w:val="auto"/>
              </w:rPr>
              <w:t>2014:</w:t>
            </w:r>
          </w:p>
        </w:tc>
        <w:tc>
          <w:tcPr>
            <w:tcW w:w="1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13"/>
        </w:trPr>
        <w:tc>
          <w:tcPr>
            <w:tcW w:w="5180" w:type="dxa"/>
            <w:vAlign w:val="bottom"/>
          </w:tcPr>
          <w:p>
            <w:pPr>
              <w:spacing w:after="0"/>
              <w:rPr>
                <w:sz w:val="20"/>
                <w:szCs w:val="20"/>
                <w:color w:val="auto"/>
              </w:rPr>
            </w:pPr>
            <w:r>
              <w:rPr>
                <w:rFonts w:ascii="Arial" w:cs="Arial" w:eastAsia="Arial" w:hAnsi="Arial"/>
                <w:sz w:val="16"/>
                <w:szCs w:val="16"/>
                <w:color w:val="auto"/>
              </w:rPr>
              <w:t>Balance as of June 30, 2014</w:t>
            </w:r>
          </w:p>
        </w:tc>
        <w:tc>
          <w:tcPr>
            <w:tcW w:w="1420" w:type="dxa"/>
            <w:vAlign w:val="bottom"/>
            <w:tcBorders>
              <w:bottom w:val="single" w:sz="8" w:color="auto"/>
            </w:tcBorders>
          </w:tcPr>
          <w:p>
            <w:pPr>
              <w:jc w:val="right"/>
              <w:ind w:right="904"/>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(9)</w:t>
            </w:r>
          </w:p>
        </w:tc>
        <w:tc>
          <w:tcPr>
            <w:tcW w:w="1140" w:type="dxa"/>
            <w:vAlign w:val="bottom"/>
            <w:tcBorders>
              <w:bottom w:val="single" w:sz="8" w:color="auto"/>
            </w:tcBorders>
          </w:tcPr>
          <w:p>
            <w:pPr>
              <w:jc w:val="right"/>
              <w:ind w:right="803"/>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6"/>
                <w:szCs w:val="16"/>
                <w:color w:val="auto"/>
              </w:rPr>
              <w:t>1</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r>
      <w:tr>
        <w:trPr>
          <w:trHeight w:val="214"/>
        </w:trPr>
        <w:tc>
          <w:tcPr>
            <w:tcW w:w="5180" w:type="dxa"/>
            <w:vAlign w:val="bottom"/>
          </w:tcPr>
          <w:p>
            <w:pPr>
              <w:spacing w:after="0"/>
              <w:rPr>
                <w:sz w:val="20"/>
                <w:szCs w:val="20"/>
                <w:color w:val="auto"/>
              </w:rPr>
            </w:pPr>
            <w:r>
              <w:rPr>
                <w:rFonts w:ascii="Arial" w:cs="Arial" w:eastAsia="Arial" w:hAnsi="Arial"/>
                <w:sz w:val="16"/>
                <w:szCs w:val="16"/>
                <w:color w:val="auto"/>
              </w:rPr>
              <w:t>Amounts reclassified from accumulated other</w:t>
            </w:r>
          </w:p>
        </w:tc>
        <w:tc>
          <w:tcPr>
            <w:tcW w:w="1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04"/>
        </w:trPr>
        <w:tc>
          <w:tcPr>
            <w:tcW w:w="5180" w:type="dxa"/>
            <w:vAlign w:val="bottom"/>
          </w:tcPr>
          <w:p>
            <w:pPr>
              <w:ind w:left="140"/>
              <w:spacing w:after="0"/>
              <w:rPr>
                <w:sz w:val="20"/>
                <w:szCs w:val="20"/>
                <w:color w:val="auto"/>
              </w:rPr>
            </w:pPr>
            <w:r>
              <w:rPr>
                <w:rFonts w:ascii="Arial" w:cs="Arial" w:eastAsia="Arial" w:hAnsi="Arial"/>
                <w:sz w:val="16"/>
                <w:szCs w:val="16"/>
                <w:color w:val="auto"/>
              </w:rPr>
              <w:t>comprehensive income</w:t>
            </w:r>
          </w:p>
        </w:tc>
        <w:tc>
          <w:tcPr>
            <w:tcW w:w="14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1</w:t>
            </w:r>
          </w:p>
        </w:tc>
        <w:tc>
          <w:tcPr>
            <w:tcW w:w="1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06"/>
        </w:trPr>
        <w:tc>
          <w:tcPr>
            <w:tcW w:w="5180" w:type="dxa"/>
            <w:vAlign w:val="bottom"/>
          </w:tcPr>
          <w:p>
            <w:pPr>
              <w:spacing w:after="0"/>
              <w:rPr>
                <w:sz w:val="20"/>
                <w:szCs w:val="20"/>
                <w:color w:val="auto"/>
              </w:rPr>
            </w:pPr>
            <w:r>
              <w:rPr>
                <w:rFonts w:ascii="Arial" w:cs="Arial" w:eastAsia="Arial" w:hAnsi="Arial"/>
                <w:sz w:val="16"/>
                <w:szCs w:val="16"/>
                <w:color w:val="auto"/>
              </w:rPr>
              <w:t>Net other comprehensive income</w:t>
            </w:r>
          </w:p>
        </w:tc>
        <w:tc>
          <w:tcPr>
            <w:tcW w:w="14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1</w:t>
            </w:r>
          </w:p>
        </w:tc>
        <w:tc>
          <w:tcPr>
            <w:tcW w:w="1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12"/>
        </w:trPr>
        <w:tc>
          <w:tcPr>
            <w:tcW w:w="51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Balance as of September 30, 2014</w:t>
            </w:r>
          </w:p>
        </w:tc>
        <w:tc>
          <w:tcPr>
            <w:tcW w:w="1420" w:type="dxa"/>
            <w:vAlign w:val="bottom"/>
            <w:tcBorders>
              <w:bottom w:val="single" w:sz="8" w:color="auto"/>
            </w:tcBorders>
          </w:tcPr>
          <w:p>
            <w:pPr>
              <w:jc w:val="right"/>
              <w:ind w:right="904"/>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(8)</w:t>
            </w:r>
          </w:p>
        </w:tc>
        <w:tc>
          <w:tcPr>
            <w:tcW w:w="1140" w:type="dxa"/>
            <w:vAlign w:val="bottom"/>
            <w:tcBorders>
              <w:bottom w:val="single" w:sz="8" w:color="auto"/>
            </w:tcBorders>
          </w:tcPr>
          <w:p>
            <w:pPr>
              <w:jc w:val="right"/>
              <w:ind w:right="803"/>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6"/>
                <w:szCs w:val="16"/>
                <w:color w:val="auto"/>
              </w:rPr>
              <w:t>1</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r>
      <w:tr>
        <w:trPr>
          <w:trHeight w:val="212"/>
        </w:trPr>
        <w:tc>
          <w:tcPr>
            <w:tcW w:w="5180" w:type="dxa"/>
            <w:vAlign w:val="bottom"/>
          </w:tcPr>
          <w:p>
            <w:pPr>
              <w:spacing w:after="0"/>
              <w:rPr>
                <w:sz w:val="20"/>
                <w:szCs w:val="20"/>
                <w:color w:val="auto"/>
              </w:rPr>
            </w:pPr>
            <w:r>
              <w:rPr>
                <w:rFonts w:ascii="Arial" w:cs="Arial" w:eastAsia="Arial" w:hAnsi="Arial"/>
                <w:sz w:val="16"/>
                <w:szCs w:val="16"/>
                <w:b w:val="1"/>
                <w:bCs w:val="1"/>
                <w:color w:val="auto"/>
              </w:rPr>
              <w:t>2013:</w:t>
            </w:r>
          </w:p>
        </w:tc>
        <w:tc>
          <w:tcPr>
            <w:tcW w:w="1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3"/>
        </w:trPr>
        <w:tc>
          <w:tcPr>
            <w:tcW w:w="5180" w:type="dxa"/>
            <w:vAlign w:val="bottom"/>
          </w:tcPr>
          <w:p>
            <w:pPr>
              <w:spacing w:after="0"/>
              <w:rPr>
                <w:sz w:val="20"/>
                <w:szCs w:val="20"/>
                <w:color w:val="auto"/>
              </w:rPr>
            </w:pPr>
            <w:r>
              <w:rPr>
                <w:rFonts w:ascii="Arial" w:cs="Arial" w:eastAsia="Arial" w:hAnsi="Arial"/>
                <w:sz w:val="16"/>
                <w:szCs w:val="16"/>
                <w:color w:val="auto"/>
              </w:rPr>
              <w:t>Balance as of June 30, 2013</w:t>
            </w:r>
          </w:p>
        </w:tc>
        <w:tc>
          <w:tcPr>
            <w:tcW w:w="1420" w:type="dxa"/>
            <w:vAlign w:val="bottom"/>
            <w:tcBorders>
              <w:bottom w:val="single" w:sz="8" w:color="auto"/>
            </w:tcBorders>
          </w:tcPr>
          <w:p>
            <w:pPr>
              <w:jc w:val="right"/>
              <w:ind w:right="904"/>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(11)</w:t>
            </w:r>
          </w:p>
        </w:tc>
        <w:tc>
          <w:tcPr>
            <w:tcW w:w="1140" w:type="dxa"/>
            <w:vAlign w:val="bottom"/>
            <w:tcBorders>
              <w:bottom w:val="single" w:sz="8" w:color="auto"/>
            </w:tcBorders>
          </w:tcPr>
          <w:p>
            <w:pPr>
              <w:jc w:val="right"/>
              <w:ind w:right="803"/>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6"/>
                <w:szCs w:val="16"/>
                <w:color w:val="auto"/>
              </w:rPr>
              <w:t>1</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214"/>
        </w:trPr>
        <w:tc>
          <w:tcPr>
            <w:tcW w:w="5180" w:type="dxa"/>
            <w:vAlign w:val="bottom"/>
          </w:tcPr>
          <w:p>
            <w:pPr>
              <w:spacing w:after="0"/>
              <w:rPr>
                <w:sz w:val="20"/>
                <w:szCs w:val="20"/>
                <w:color w:val="auto"/>
              </w:rPr>
            </w:pPr>
            <w:r>
              <w:rPr>
                <w:rFonts w:ascii="Arial" w:cs="Arial" w:eastAsia="Arial" w:hAnsi="Arial"/>
                <w:sz w:val="16"/>
                <w:szCs w:val="16"/>
                <w:color w:val="auto"/>
              </w:rPr>
              <w:t>Amounts reclassified from accumulated other</w:t>
            </w:r>
          </w:p>
        </w:tc>
        <w:tc>
          <w:tcPr>
            <w:tcW w:w="1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04"/>
        </w:trPr>
        <w:tc>
          <w:tcPr>
            <w:tcW w:w="5180" w:type="dxa"/>
            <w:vAlign w:val="bottom"/>
          </w:tcPr>
          <w:p>
            <w:pPr>
              <w:ind w:left="140"/>
              <w:spacing w:after="0"/>
              <w:rPr>
                <w:sz w:val="20"/>
                <w:szCs w:val="20"/>
                <w:color w:val="auto"/>
              </w:rPr>
            </w:pPr>
            <w:r>
              <w:rPr>
                <w:rFonts w:ascii="Arial" w:cs="Arial" w:eastAsia="Arial" w:hAnsi="Arial"/>
                <w:sz w:val="16"/>
                <w:szCs w:val="16"/>
                <w:color w:val="auto"/>
              </w:rPr>
              <w:t>comprehensive income</w:t>
            </w:r>
          </w:p>
        </w:tc>
        <w:tc>
          <w:tcPr>
            <w:tcW w:w="14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1</w:t>
            </w:r>
          </w:p>
        </w:tc>
        <w:tc>
          <w:tcPr>
            <w:tcW w:w="1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06"/>
        </w:trPr>
        <w:tc>
          <w:tcPr>
            <w:tcW w:w="5180" w:type="dxa"/>
            <w:vAlign w:val="bottom"/>
          </w:tcPr>
          <w:p>
            <w:pPr>
              <w:spacing w:after="0"/>
              <w:rPr>
                <w:sz w:val="20"/>
                <w:szCs w:val="20"/>
                <w:color w:val="auto"/>
              </w:rPr>
            </w:pPr>
            <w:r>
              <w:rPr>
                <w:rFonts w:ascii="Arial" w:cs="Arial" w:eastAsia="Arial" w:hAnsi="Arial"/>
                <w:sz w:val="16"/>
                <w:szCs w:val="16"/>
                <w:color w:val="auto"/>
              </w:rPr>
              <w:t>Net other comprehensive income</w:t>
            </w:r>
          </w:p>
        </w:tc>
        <w:tc>
          <w:tcPr>
            <w:tcW w:w="14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1</w:t>
            </w:r>
          </w:p>
        </w:tc>
        <w:tc>
          <w:tcPr>
            <w:tcW w:w="1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12"/>
        </w:trPr>
        <w:tc>
          <w:tcPr>
            <w:tcW w:w="51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Balance as of September 30, 2013</w:t>
            </w:r>
          </w:p>
        </w:tc>
        <w:tc>
          <w:tcPr>
            <w:tcW w:w="1420" w:type="dxa"/>
            <w:vAlign w:val="bottom"/>
            <w:tcBorders>
              <w:bottom w:val="single" w:sz="8" w:color="auto"/>
            </w:tcBorders>
          </w:tcPr>
          <w:p>
            <w:pPr>
              <w:jc w:val="right"/>
              <w:ind w:right="904"/>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(10)</w:t>
            </w:r>
          </w:p>
        </w:tc>
        <w:tc>
          <w:tcPr>
            <w:tcW w:w="1140" w:type="dxa"/>
            <w:vAlign w:val="bottom"/>
            <w:tcBorders>
              <w:bottom w:val="single" w:sz="8" w:color="auto"/>
            </w:tcBorders>
          </w:tcPr>
          <w:p>
            <w:pPr>
              <w:jc w:val="right"/>
              <w:ind w:right="803"/>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6"/>
                <w:szCs w:val="16"/>
                <w:color w:val="auto"/>
              </w:rPr>
              <w:t>1</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r>
      <w:tr>
        <w:trPr>
          <w:trHeight w:val="425"/>
        </w:trPr>
        <w:tc>
          <w:tcPr>
            <w:tcW w:w="5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gridSpan w:val="6"/>
          </w:tcPr>
          <w:p>
            <w:pPr>
              <w:jc w:val="right"/>
              <w:ind w:right="1462"/>
              <w:spacing w:after="0"/>
              <w:rPr>
                <w:sz w:val="20"/>
                <w:szCs w:val="20"/>
                <w:color w:val="auto"/>
              </w:rPr>
            </w:pPr>
            <w:r>
              <w:rPr>
                <w:rFonts w:ascii="Arial" w:cs="Arial" w:eastAsia="Arial" w:hAnsi="Arial"/>
                <w:sz w:val="14"/>
                <w:szCs w:val="14"/>
                <w:color w:val="auto"/>
              </w:rPr>
              <w:t>Nine months ended September 30, 2014 and 2013</w:t>
            </w:r>
          </w:p>
        </w:tc>
      </w:tr>
      <w:tr>
        <w:trPr>
          <w:trHeight w:val="206"/>
        </w:trPr>
        <w:tc>
          <w:tcPr>
            <w:tcW w:w="5180" w:type="dxa"/>
            <w:vAlign w:val="bottom"/>
          </w:tcPr>
          <w:p>
            <w:pPr>
              <w:spacing w:after="0"/>
              <w:rPr>
                <w:sz w:val="20"/>
                <w:szCs w:val="20"/>
                <w:color w:val="auto"/>
              </w:rPr>
            </w:pPr>
            <w:r>
              <w:rPr>
                <w:rFonts w:ascii="Arial" w:cs="Arial" w:eastAsia="Arial" w:hAnsi="Arial"/>
                <w:sz w:val="16"/>
                <w:szCs w:val="16"/>
                <w:b w:val="1"/>
                <w:bCs w:val="1"/>
                <w:color w:val="auto"/>
              </w:rPr>
              <w:t>2014:</w:t>
            </w:r>
          </w:p>
        </w:tc>
        <w:tc>
          <w:tcPr>
            <w:tcW w:w="1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13"/>
        </w:trPr>
        <w:tc>
          <w:tcPr>
            <w:tcW w:w="5180" w:type="dxa"/>
            <w:vAlign w:val="bottom"/>
          </w:tcPr>
          <w:p>
            <w:pPr>
              <w:spacing w:after="0"/>
              <w:rPr>
                <w:sz w:val="20"/>
                <w:szCs w:val="20"/>
                <w:color w:val="auto"/>
              </w:rPr>
            </w:pPr>
            <w:r>
              <w:rPr>
                <w:rFonts w:ascii="Arial" w:cs="Arial" w:eastAsia="Arial" w:hAnsi="Arial"/>
                <w:sz w:val="16"/>
                <w:szCs w:val="16"/>
                <w:color w:val="auto"/>
              </w:rPr>
              <w:t>Balance as of December 31, 2013</w:t>
            </w:r>
          </w:p>
        </w:tc>
        <w:tc>
          <w:tcPr>
            <w:tcW w:w="1420" w:type="dxa"/>
            <w:vAlign w:val="bottom"/>
            <w:tcBorders>
              <w:bottom w:val="single" w:sz="8" w:color="auto"/>
            </w:tcBorders>
          </w:tcPr>
          <w:p>
            <w:pPr>
              <w:jc w:val="right"/>
              <w:ind w:right="904"/>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(10)</w:t>
            </w:r>
          </w:p>
        </w:tc>
        <w:tc>
          <w:tcPr>
            <w:tcW w:w="1140" w:type="dxa"/>
            <w:vAlign w:val="bottom"/>
            <w:tcBorders>
              <w:bottom w:val="single" w:sz="8" w:color="auto"/>
            </w:tcBorders>
          </w:tcPr>
          <w:p>
            <w:pPr>
              <w:jc w:val="right"/>
              <w:ind w:right="803"/>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6"/>
                <w:szCs w:val="16"/>
                <w:color w:val="auto"/>
              </w:rPr>
              <w:t>1</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r>
      <w:tr>
        <w:trPr>
          <w:trHeight w:val="214"/>
        </w:trPr>
        <w:tc>
          <w:tcPr>
            <w:tcW w:w="5180" w:type="dxa"/>
            <w:vAlign w:val="bottom"/>
          </w:tcPr>
          <w:p>
            <w:pPr>
              <w:spacing w:after="0"/>
              <w:rPr>
                <w:sz w:val="20"/>
                <w:szCs w:val="20"/>
                <w:color w:val="auto"/>
              </w:rPr>
            </w:pPr>
            <w:r>
              <w:rPr>
                <w:rFonts w:ascii="Arial" w:cs="Arial" w:eastAsia="Arial" w:hAnsi="Arial"/>
                <w:sz w:val="16"/>
                <w:szCs w:val="16"/>
                <w:color w:val="auto"/>
              </w:rPr>
              <w:t>Amounts reclassified from accumulated other</w:t>
            </w:r>
          </w:p>
        </w:tc>
        <w:tc>
          <w:tcPr>
            <w:tcW w:w="1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04"/>
        </w:trPr>
        <w:tc>
          <w:tcPr>
            <w:tcW w:w="5180" w:type="dxa"/>
            <w:vAlign w:val="bottom"/>
          </w:tcPr>
          <w:p>
            <w:pPr>
              <w:ind w:left="140"/>
              <w:spacing w:after="0"/>
              <w:rPr>
                <w:sz w:val="20"/>
                <w:szCs w:val="20"/>
                <w:color w:val="auto"/>
              </w:rPr>
            </w:pPr>
            <w:r>
              <w:rPr>
                <w:rFonts w:ascii="Arial" w:cs="Arial" w:eastAsia="Arial" w:hAnsi="Arial"/>
                <w:sz w:val="16"/>
                <w:szCs w:val="16"/>
                <w:color w:val="auto"/>
              </w:rPr>
              <w:t>comprehensive income</w:t>
            </w:r>
          </w:p>
        </w:tc>
        <w:tc>
          <w:tcPr>
            <w:tcW w:w="14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2</w:t>
            </w:r>
          </w:p>
        </w:tc>
        <w:tc>
          <w:tcPr>
            <w:tcW w:w="1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06"/>
        </w:trPr>
        <w:tc>
          <w:tcPr>
            <w:tcW w:w="5180" w:type="dxa"/>
            <w:vAlign w:val="bottom"/>
          </w:tcPr>
          <w:p>
            <w:pPr>
              <w:spacing w:after="0"/>
              <w:rPr>
                <w:sz w:val="20"/>
                <w:szCs w:val="20"/>
                <w:color w:val="auto"/>
              </w:rPr>
            </w:pPr>
            <w:r>
              <w:rPr>
                <w:rFonts w:ascii="Arial" w:cs="Arial" w:eastAsia="Arial" w:hAnsi="Arial"/>
                <w:sz w:val="16"/>
                <w:szCs w:val="16"/>
                <w:color w:val="auto"/>
              </w:rPr>
              <w:t>Net other comprehensive income</w:t>
            </w:r>
          </w:p>
        </w:tc>
        <w:tc>
          <w:tcPr>
            <w:tcW w:w="14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2</w:t>
            </w:r>
          </w:p>
        </w:tc>
        <w:tc>
          <w:tcPr>
            <w:tcW w:w="1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12"/>
        </w:trPr>
        <w:tc>
          <w:tcPr>
            <w:tcW w:w="51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Balance as of September 30, 2014</w:t>
            </w:r>
          </w:p>
        </w:tc>
        <w:tc>
          <w:tcPr>
            <w:tcW w:w="1420" w:type="dxa"/>
            <w:vAlign w:val="bottom"/>
            <w:tcBorders>
              <w:bottom w:val="single" w:sz="8" w:color="auto"/>
            </w:tcBorders>
          </w:tcPr>
          <w:p>
            <w:pPr>
              <w:jc w:val="right"/>
              <w:ind w:right="904"/>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(8)</w:t>
            </w:r>
          </w:p>
        </w:tc>
        <w:tc>
          <w:tcPr>
            <w:tcW w:w="1140" w:type="dxa"/>
            <w:vAlign w:val="bottom"/>
            <w:tcBorders>
              <w:bottom w:val="single" w:sz="8" w:color="auto"/>
            </w:tcBorders>
          </w:tcPr>
          <w:p>
            <w:pPr>
              <w:jc w:val="right"/>
              <w:ind w:right="803"/>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6"/>
                <w:szCs w:val="16"/>
                <w:color w:val="auto"/>
              </w:rPr>
              <w:t>1</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r>
      <w:tr>
        <w:trPr>
          <w:trHeight w:val="212"/>
        </w:trPr>
        <w:tc>
          <w:tcPr>
            <w:tcW w:w="5180" w:type="dxa"/>
            <w:vAlign w:val="bottom"/>
          </w:tcPr>
          <w:p>
            <w:pPr>
              <w:spacing w:after="0"/>
              <w:rPr>
                <w:sz w:val="20"/>
                <w:szCs w:val="20"/>
                <w:color w:val="auto"/>
              </w:rPr>
            </w:pPr>
            <w:r>
              <w:rPr>
                <w:rFonts w:ascii="Arial" w:cs="Arial" w:eastAsia="Arial" w:hAnsi="Arial"/>
                <w:sz w:val="16"/>
                <w:szCs w:val="16"/>
                <w:b w:val="1"/>
                <w:bCs w:val="1"/>
                <w:color w:val="auto"/>
              </w:rPr>
              <w:t>2013:</w:t>
            </w:r>
          </w:p>
        </w:tc>
        <w:tc>
          <w:tcPr>
            <w:tcW w:w="1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3"/>
        </w:trPr>
        <w:tc>
          <w:tcPr>
            <w:tcW w:w="5180" w:type="dxa"/>
            <w:vAlign w:val="bottom"/>
          </w:tcPr>
          <w:p>
            <w:pPr>
              <w:spacing w:after="0"/>
              <w:rPr>
                <w:sz w:val="20"/>
                <w:szCs w:val="20"/>
                <w:color w:val="auto"/>
              </w:rPr>
            </w:pPr>
            <w:r>
              <w:rPr>
                <w:rFonts w:ascii="Arial" w:cs="Arial" w:eastAsia="Arial" w:hAnsi="Arial"/>
                <w:sz w:val="16"/>
                <w:szCs w:val="16"/>
                <w:color w:val="auto"/>
              </w:rPr>
              <w:t>Balance as of December 31, 2012</w:t>
            </w:r>
          </w:p>
        </w:tc>
        <w:tc>
          <w:tcPr>
            <w:tcW w:w="1420" w:type="dxa"/>
            <w:vAlign w:val="bottom"/>
            <w:tcBorders>
              <w:bottom w:val="single" w:sz="8" w:color="auto"/>
            </w:tcBorders>
          </w:tcPr>
          <w:p>
            <w:pPr>
              <w:jc w:val="right"/>
              <w:ind w:right="904"/>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(12)</w:t>
            </w:r>
          </w:p>
        </w:tc>
        <w:tc>
          <w:tcPr>
            <w:tcW w:w="1140" w:type="dxa"/>
            <w:vAlign w:val="bottom"/>
            <w:tcBorders>
              <w:bottom w:val="single" w:sz="8" w:color="auto"/>
            </w:tcBorders>
          </w:tcPr>
          <w:p>
            <w:pPr>
              <w:jc w:val="right"/>
              <w:ind w:right="803"/>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6"/>
                <w:szCs w:val="16"/>
                <w:color w:val="auto"/>
              </w:rPr>
              <w:t>1</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194"/>
        </w:trPr>
        <w:tc>
          <w:tcPr>
            <w:tcW w:w="5180" w:type="dxa"/>
            <w:vAlign w:val="bottom"/>
          </w:tcPr>
          <w:p>
            <w:pPr>
              <w:spacing w:after="0"/>
              <w:rPr>
                <w:sz w:val="20"/>
                <w:szCs w:val="20"/>
                <w:color w:val="auto"/>
              </w:rPr>
            </w:pPr>
            <w:r>
              <w:rPr>
                <w:rFonts w:ascii="Arial" w:cs="Arial" w:eastAsia="Arial" w:hAnsi="Arial"/>
                <w:sz w:val="16"/>
                <w:szCs w:val="16"/>
                <w:color w:val="auto"/>
              </w:rPr>
              <w:t>Amounts reclassified from accumulated other</w:t>
            </w:r>
          </w:p>
        </w:tc>
        <w:tc>
          <w:tcPr>
            <w:tcW w:w="1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92"/>
        </w:trPr>
        <w:tc>
          <w:tcPr>
            <w:tcW w:w="5180" w:type="dxa"/>
            <w:vAlign w:val="bottom"/>
          </w:tcPr>
          <w:p>
            <w:pPr>
              <w:ind w:left="140"/>
              <w:spacing w:after="0"/>
              <w:rPr>
                <w:sz w:val="20"/>
                <w:szCs w:val="20"/>
                <w:color w:val="auto"/>
              </w:rPr>
            </w:pPr>
            <w:r>
              <w:rPr>
                <w:rFonts w:ascii="Arial" w:cs="Arial" w:eastAsia="Arial" w:hAnsi="Arial"/>
                <w:sz w:val="16"/>
                <w:szCs w:val="16"/>
                <w:color w:val="auto"/>
              </w:rPr>
              <w:t>comprehensive income</w:t>
            </w:r>
          </w:p>
        </w:tc>
        <w:tc>
          <w:tcPr>
            <w:tcW w:w="1420" w:type="dxa"/>
            <w:vAlign w:val="bottom"/>
          </w:tcPr>
          <w:p>
            <w:pPr>
              <w:spacing w:after="0"/>
              <w:rPr>
                <w:sz w:val="16"/>
                <w:szCs w:val="16"/>
                <w:color w:val="auto"/>
              </w:rPr>
            </w:pPr>
          </w:p>
        </w:tc>
        <w:tc>
          <w:tcPr>
            <w:tcW w:w="620" w:type="dxa"/>
            <w:vAlign w:val="bottom"/>
          </w:tcPr>
          <w:p>
            <w:pPr>
              <w:jc w:val="right"/>
              <w:ind w:right="101"/>
              <w:spacing w:after="0"/>
              <w:rPr>
                <w:sz w:val="20"/>
                <w:szCs w:val="20"/>
                <w:color w:val="auto"/>
              </w:rPr>
            </w:pPr>
            <w:r>
              <w:rPr>
                <w:rFonts w:ascii="Arial" w:cs="Arial" w:eastAsia="Arial" w:hAnsi="Arial"/>
                <w:sz w:val="16"/>
                <w:szCs w:val="16"/>
                <w:color w:val="auto"/>
              </w:rPr>
              <w:t>2</w:t>
            </w:r>
          </w:p>
        </w:tc>
        <w:tc>
          <w:tcPr>
            <w:tcW w:w="1140" w:type="dxa"/>
            <w:vAlign w:val="bottom"/>
          </w:tcPr>
          <w:p>
            <w:pPr>
              <w:spacing w:after="0"/>
              <w:rPr>
                <w:sz w:val="16"/>
                <w:szCs w:val="16"/>
                <w:color w:val="auto"/>
              </w:rPr>
            </w:pPr>
          </w:p>
        </w:tc>
        <w:tc>
          <w:tcPr>
            <w:tcW w:w="8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w:t>
            </w:r>
          </w:p>
        </w:tc>
      </w:tr>
    </w:tbl>
    <w:p>
      <w:pPr>
        <w:sectPr>
          <w:pgSz w:w="11900" w:h="16920" w:orient="portrait"/>
          <w:cols w:equalWidth="0" w:num="1">
            <w:col w:w="11420"/>
          </w:cols>
          <w:pgMar w:left="240" w:top="144" w:right="239" w:bottom="0" w:gutter="0" w:footer="0" w:header="0"/>
        </w:sectPr>
      </w:pPr>
    </w:p>
    <w:bookmarkStart w:id="22" w:name="page23"/>
    <w:bookmarkEnd w:id="2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3439160</wp:posOffset>
            </wp:positionH>
            <wp:positionV relativeFrom="page">
              <wp:posOffset>224155</wp:posOffset>
            </wp:positionV>
            <wp:extent cx="396621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96621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4"/>
        </w:trPr>
        <w:tc>
          <w:tcPr>
            <w:tcW w:w="5180" w:type="dxa"/>
            <w:vAlign w:val="bottom"/>
          </w:tcPr>
          <w:p>
            <w:pPr>
              <w:spacing w:after="0"/>
              <w:rPr>
                <w:sz w:val="20"/>
                <w:szCs w:val="20"/>
                <w:color w:val="auto"/>
              </w:rPr>
            </w:pPr>
            <w:r>
              <w:rPr>
                <w:rFonts w:ascii="Arial" w:cs="Arial" w:eastAsia="Arial" w:hAnsi="Arial"/>
                <w:sz w:val="16"/>
                <w:szCs w:val="16"/>
                <w:color w:val="auto"/>
              </w:rPr>
              <w:t>Net other comprehensive income</w:t>
            </w:r>
          </w:p>
        </w:tc>
        <w:tc>
          <w:tcPr>
            <w:tcW w:w="10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w:t>
            </w:r>
          </w:p>
        </w:tc>
        <w:tc>
          <w:tcPr>
            <w:tcW w:w="7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8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14"/>
        </w:trPr>
        <w:tc>
          <w:tcPr>
            <w:tcW w:w="5180" w:type="dxa"/>
            <w:vAlign w:val="bottom"/>
          </w:tcPr>
          <w:p>
            <w:pPr>
              <w:spacing w:after="0"/>
              <w:rPr>
                <w:sz w:val="20"/>
                <w:szCs w:val="20"/>
                <w:color w:val="auto"/>
              </w:rPr>
            </w:pPr>
            <w:r>
              <w:rPr>
                <w:rFonts w:ascii="Arial" w:cs="Arial" w:eastAsia="Arial" w:hAnsi="Arial"/>
                <w:sz w:val="16"/>
                <w:szCs w:val="16"/>
                <w:color w:val="auto"/>
              </w:rPr>
              <w:t>Balance as of September 30, 2013</w:t>
            </w:r>
          </w:p>
        </w:tc>
        <w:tc>
          <w:tcPr>
            <w:tcW w:w="1020" w:type="dxa"/>
            <w:vAlign w:val="bottom"/>
          </w:tcPr>
          <w:p>
            <w:pPr>
              <w:jc w:val="right"/>
              <w:ind w:right="50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00"/>
              <w:spacing w:after="0"/>
              <w:rPr>
                <w:sz w:val="20"/>
                <w:szCs w:val="20"/>
                <w:color w:val="auto"/>
              </w:rPr>
            </w:pPr>
            <w:r>
              <w:rPr>
                <w:rFonts w:ascii="Arial" w:cs="Arial" w:eastAsia="Arial" w:hAnsi="Arial"/>
                <w:sz w:val="16"/>
                <w:szCs w:val="16"/>
                <w:color w:val="auto"/>
              </w:rPr>
              <w:t>(10)</w:t>
            </w:r>
          </w:p>
        </w:tc>
        <w:tc>
          <w:tcPr>
            <w:tcW w:w="740" w:type="dxa"/>
            <w:vAlign w:val="bottom"/>
          </w:tcPr>
          <w:p>
            <w:pPr>
              <w:jc w:val="right"/>
              <w:ind w:right="40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40"/>
              <w:spacing w:after="0"/>
              <w:rPr>
                <w:sz w:val="20"/>
                <w:szCs w:val="20"/>
                <w:color w:val="auto"/>
              </w:rPr>
            </w:pPr>
            <w:r>
              <w:rPr>
                <w:rFonts w:ascii="Arial" w:cs="Arial" w:eastAsia="Arial" w:hAnsi="Arial"/>
                <w:sz w:val="16"/>
                <w:szCs w:val="16"/>
                <w:color w:val="auto"/>
              </w:rPr>
              <w:t>1</w:t>
            </w:r>
          </w:p>
        </w:tc>
        <w:tc>
          <w:tcPr>
            <w:tcW w:w="1280" w:type="dxa"/>
            <w:vAlign w:val="bottom"/>
          </w:tcPr>
          <w:p>
            <w:pPr>
              <w:jc w:val="right"/>
              <w:ind w:right="7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724852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8525" cy="17145"/>
                    </a:xfrm>
                    <a:prstGeom prst="rect">
                      <a:avLst/>
                    </a:prstGeom>
                    <a:noFill/>
                  </pic:spPr>
                </pic:pic>
              </a:graphicData>
            </a:graphic>
          </wp:anchor>
        </w:drawing>
      </w:r>
    </w:p>
    <w:p>
      <w:pPr>
        <w:ind w:left="620" w:hanging="614"/>
        <w:spacing w:after="0"/>
        <w:tabs>
          <w:tab w:leader="none" w:pos="620" w:val="left"/>
        </w:tabs>
        <w:numPr>
          <w:ilvl w:val="0"/>
          <w:numId w:val="17"/>
        </w:numPr>
        <w:rPr>
          <w:rFonts w:ascii="Arial" w:cs="Arial" w:eastAsia="Arial" w:hAnsi="Arial"/>
          <w:sz w:val="14"/>
          <w:szCs w:val="14"/>
          <w:i w:val="1"/>
          <w:iCs w:val="1"/>
          <w:color w:val="auto"/>
        </w:rPr>
      </w:pPr>
      <w:r>
        <w:rPr>
          <w:rFonts w:ascii="Arial" w:cs="Arial" w:eastAsia="Arial" w:hAnsi="Arial"/>
          <w:sz w:val="14"/>
          <w:szCs w:val="14"/>
          <w:i w:val="1"/>
          <w:iCs w:val="1"/>
          <w:color w:val="auto"/>
        </w:rPr>
        <w:t>All amounts are net of income tax, if subject to tax, and exclude noncontrolling interests.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ACCUMULATED OTHER COMPREHENSIVE INCOME (LOSS) BY COMPONENT(1)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-104775</wp:posOffset>
            </wp:positionV>
            <wp:extent cx="7248525" cy="3289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8525" cy="32893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SOUTHERN CALIFORNIA GAS COMPANY</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80" w:type="dxa"/>
            <w:vAlign w:val="bottom"/>
          </w:tcPr>
          <w:p>
            <w:pPr>
              <w:spacing w:after="0"/>
              <w:rPr>
                <w:sz w:val="14"/>
                <w:szCs w:val="14"/>
                <w:color w:val="auto"/>
              </w:rPr>
            </w:pPr>
          </w:p>
        </w:tc>
        <w:tc>
          <w:tcPr>
            <w:tcW w:w="2780" w:type="dxa"/>
            <w:vAlign w:val="bottom"/>
            <w:gridSpan w:val="3"/>
          </w:tcPr>
          <w:p>
            <w:pPr>
              <w:jc w:val="center"/>
              <w:ind w:left="44"/>
              <w:spacing w:after="0"/>
              <w:rPr>
                <w:sz w:val="20"/>
                <w:szCs w:val="20"/>
                <w:color w:val="auto"/>
              </w:rPr>
            </w:pPr>
            <w:r>
              <w:rPr>
                <w:rFonts w:ascii="Arial" w:cs="Arial" w:eastAsia="Arial" w:hAnsi="Arial"/>
                <w:sz w:val="14"/>
                <w:szCs w:val="14"/>
                <w:color w:val="auto"/>
              </w:rPr>
              <w:t>Pension and Other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84"/>
        </w:trPr>
        <w:tc>
          <w:tcPr>
            <w:tcW w:w="5480" w:type="dxa"/>
            <w:vAlign w:val="bottom"/>
          </w:tcPr>
          <w:p>
            <w:pPr>
              <w:spacing w:after="0"/>
              <w:rPr>
                <w:sz w:val="15"/>
                <w:szCs w:val="15"/>
                <w:color w:val="auto"/>
              </w:rPr>
            </w:pPr>
          </w:p>
        </w:tc>
        <w:tc>
          <w:tcPr>
            <w:tcW w:w="2780" w:type="dxa"/>
            <w:vAlign w:val="bottom"/>
            <w:tcBorders>
              <w:bottom w:val="single" w:sz="8" w:color="auto"/>
            </w:tcBorders>
            <w:gridSpan w:val="3"/>
          </w:tcPr>
          <w:p>
            <w:pPr>
              <w:jc w:val="center"/>
              <w:ind w:left="44"/>
              <w:spacing w:after="0"/>
              <w:rPr>
                <w:sz w:val="20"/>
                <w:szCs w:val="20"/>
                <w:color w:val="auto"/>
              </w:rPr>
            </w:pPr>
            <w:r>
              <w:rPr>
                <w:rFonts w:ascii="Arial" w:cs="Arial" w:eastAsia="Arial" w:hAnsi="Arial"/>
                <w:sz w:val="14"/>
                <w:szCs w:val="14"/>
                <w:color w:val="auto"/>
              </w:rPr>
              <w:t>Postretirement Benefits</w:t>
            </w:r>
          </w:p>
        </w:tc>
        <w:tc>
          <w:tcPr>
            <w:tcW w:w="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221"/>
        </w:trPr>
        <w:tc>
          <w:tcPr>
            <w:tcW w:w="54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60" w:type="dxa"/>
            <w:vAlign w:val="bottom"/>
          </w:tcPr>
          <w:p>
            <w:pPr>
              <w:jc w:val="center"/>
              <w:ind w:left="64"/>
              <w:spacing w:after="0"/>
              <w:rPr>
                <w:sz w:val="20"/>
                <w:szCs w:val="20"/>
                <w:color w:val="auto"/>
              </w:rPr>
            </w:pPr>
            <w:r>
              <w:rPr>
                <w:rFonts w:ascii="Arial" w:cs="Arial" w:eastAsia="Arial" w:hAnsi="Arial"/>
                <w:sz w:val="14"/>
                <w:szCs w:val="14"/>
                <w:color w:val="auto"/>
                <w:w w:val="96"/>
              </w:rPr>
              <w:t>Total</w:t>
            </w:r>
          </w:p>
        </w:tc>
        <w:tc>
          <w:tcPr>
            <w:tcW w:w="280" w:type="dxa"/>
            <w:vAlign w:val="bottom"/>
          </w:tcPr>
          <w:p>
            <w:pPr>
              <w:spacing w:after="0"/>
              <w:rPr>
                <w:sz w:val="19"/>
                <w:szCs w:val="19"/>
                <w:color w:val="auto"/>
              </w:rPr>
            </w:pPr>
          </w:p>
        </w:tc>
      </w:tr>
      <w:tr>
        <w:trPr>
          <w:trHeight w:val="213"/>
        </w:trPr>
        <w:tc>
          <w:tcPr>
            <w:tcW w:w="5480" w:type="dxa"/>
            <w:vAlign w:val="bottom"/>
          </w:tcPr>
          <w:p>
            <w:pPr>
              <w:spacing w:after="0"/>
              <w:rPr>
                <w:sz w:val="18"/>
                <w:szCs w:val="18"/>
                <w:color w:val="auto"/>
              </w:rPr>
            </w:pPr>
          </w:p>
        </w:tc>
        <w:tc>
          <w:tcPr>
            <w:tcW w:w="1200" w:type="dxa"/>
            <w:vAlign w:val="bottom"/>
          </w:tcPr>
          <w:p>
            <w:pPr>
              <w:jc w:val="center"/>
              <w:ind w:left="244"/>
              <w:spacing w:after="0"/>
              <w:rPr>
                <w:sz w:val="20"/>
                <w:szCs w:val="20"/>
                <w:color w:val="auto"/>
              </w:rPr>
            </w:pPr>
            <w:r>
              <w:rPr>
                <w:rFonts w:ascii="Arial" w:cs="Arial" w:eastAsia="Arial" w:hAnsi="Arial"/>
                <w:sz w:val="14"/>
                <w:szCs w:val="14"/>
                <w:color w:val="auto"/>
              </w:rPr>
              <w:t>Unamortized</w:t>
            </w:r>
          </w:p>
        </w:tc>
        <w:tc>
          <w:tcPr>
            <w:tcW w:w="460" w:type="dxa"/>
            <w:vAlign w:val="bottom"/>
          </w:tcPr>
          <w:p>
            <w:pPr>
              <w:spacing w:after="0"/>
              <w:rPr>
                <w:sz w:val="18"/>
                <w:szCs w:val="18"/>
                <w:color w:val="auto"/>
              </w:rPr>
            </w:pPr>
          </w:p>
        </w:tc>
        <w:tc>
          <w:tcPr>
            <w:tcW w:w="1120" w:type="dxa"/>
            <w:vAlign w:val="bottom"/>
          </w:tcPr>
          <w:p>
            <w:pPr>
              <w:ind w:left="140"/>
              <w:spacing w:after="0"/>
              <w:rPr>
                <w:sz w:val="20"/>
                <w:szCs w:val="20"/>
                <w:color w:val="auto"/>
              </w:rPr>
            </w:pPr>
            <w:r>
              <w:rPr>
                <w:rFonts w:ascii="Arial" w:cs="Arial" w:eastAsia="Arial" w:hAnsi="Arial"/>
                <w:sz w:val="14"/>
                <w:szCs w:val="14"/>
                <w:color w:val="auto"/>
              </w:rPr>
              <w:t>Unamortized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tcPr>
          <w:p>
            <w:pPr>
              <w:ind w:left="140"/>
              <w:spacing w:after="0"/>
              <w:rPr>
                <w:sz w:val="20"/>
                <w:szCs w:val="20"/>
                <w:color w:val="auto"/>
              </w:rPr>
            </w:pPr>
            <w:r>
              <w:rPr>
                <w:rFonts w:ascii="Arial" w:cs="Arial" w:eastAsia="Arial" w:hAnsi="Arial"/>
                <w:sz w:val="14"/>
                <w:szCs w:val="14"/>
                <w:color w:val="auto"/>
              </w:rPr>
              <w:t>Accumulated Other</w:t>
            </w:r>
          </w:p>
        </w:tc>
        <w:tc>
          <w:tcPr>
            <w:tcW w:w="280" w:type="dxa"/>
            <w:vAlign w:val="bottom"/>
          </w:tcPr>
          <w:p>
            <w:pPr>
              <w:spacing w:after="0"/>
              <w:rPr>
                <w:sz w:val="18"/>
                <w:szCs w:val="18"/>
                <w:color w:val="auto"/>
              </w:rPr>
            </w:pPr>
          </w:p>
        </w:tc>
      </w:tr>
      <w:tr>
        <w:trPr>
          <w:trHeight w:val="213"/>
        </w:trPr>
        <w:tc>
          <w:tcPr>
            <w:tcW w:w="5480" w:type="dxa"/>
            <w:vAlign w:val="bottom"/>
          </w:tcPr>
          <w:p>
            <w:pPr>
              <w:spacing w:after="0"/>
              <w:rPr>
                <w:sz w:val="18"/>
                <w:szCs w:val="18"/>
                <w:color w:val="auto"/>
              </w:rPr>
            </w:pPr>
          </w:p>
        </w:tc>
        <w:tc>
          <w:tcPr>
            <w:tcW w:w="1200" w:type="dxa"/>
            <w:vAlign w:val="bottom"/>
          </w:tcPr>
          <w:p>
            <w:pPr>
              <w:jc w:val="center"/>
              <w:ind w:left="244"/>
              <w:spacing w:after="0"/>
              <w:rPr>
                <w:sz w:val="20"/>
                <w:szCs w:val="20"/>
                <w:color w:val="auto"/>
              </w:rPr>
            </w:pPr>
            <w:r>
              <w:rPr>
                <w:rFonts w:ascii="Arial" w:cs="Arial" w:eastAsia="Arial" w:hAnsi="Arial"/>
                <w:sz w:val="14"/>
                <w:szCs w:val="14"/>
                <w:color w:val="auto"/>
                <w:w w:val="99"/>
              </w:rPr>
              <w:t>Net Actuarial</w:t>
            </w:r>
          </w:p>
        </w:tc>
        <w:tc>
          <w:tcPr>
            <w:tcW w:w="460" w:type="dxa"/>
            <w:vAlign w:val="bottom"/>
          </w:tcPr>
          <w:p>
            <w:pPr>
              <w:spacing w:after="0"/>
              <w:rPr>
                <w:sz w:val="18"/>
                <w:szCs w:val="18"/>
                <w:color w:val="auto"/>
              </w:rPr>
            </w:pPr>
          </w:p>
        </w:tc>
        <w:tc>
          <w:tcPr>
            <w:tcW w:w="1120" w:type="dxa"/>
            <w:vAlign w:val="bottom"/>
          </w:tcPr>
          <w:p>
            <w:pPr>
              <w:ind w:left="140"/>
              <w:spacing w:after="0"/>
              <w:rPr>
                <w:sz w:val="20"/>
                <w:szCs w:val="20"/>
                <w:color w:val="auto"/>
              </w:rPr>
            </w:pPr>
            <w:r>
              <w:rPr>
                <w:rFonts w:ascii="Arial" w:cs="Arial" w:eastAsia="Arial" w:hAnsi="Arial"/>
                <w:sz w:val="14"/>
                <w:szCs w:val="14"/>
                <w:color w:val="auto"/>
              </w:rPr>
              <w:t>Prior Service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Financial</w:t>
            </w:r>
          </w:p>
        </w:tc>
        <w:tc>
          <w:tcPr>
            <w:tcW w:w="460" w:type="dxa"/>
            <w:vAlign w:val="bottom"/>
          </w:tcPr>
          <w:p>
            <w:pPr>
              <w:spacing w:after="0"/>
              <w:rPr>
                <w:sz w:val="18"/>
                <w:szCs w:val="18"/>
                <w:color w:val="auto"/>
              </w:rPr>
            </w:pPr>
          </w:p>
        </w:tc>
        <w:tc>
          <w:tcPr>
            <w:tcW w:w="1360" w:type="dxa"/>
            <w:vAlign w:val="bottom"/>
          </w:tcPr>
          <w:p>
            <w:pPr>
              <w:jc w:val="center"/>
              <w:ind w:left="64"/>
              <w:spacing w:after="0"/>
              <w:rPr>
                <w:sz w:val="20"/>
                <w:szCs w:val="20"/>
                <w:color w:val="auto"/>
              </w:rPr>
            </w:pPr>
            <w:r>
              <w:rPr>
                <w:rFonts w:ascii="Arial" w:cs="Arial" w:eastAsia="Arial" w:hAnsi="Arial"/>
                <w:sz w:val="14"/>
                <w:szCs w:val="14"/>
                <w:color w:val="auto"/>
                <w:w w:val="99"/>
              </w:rPr>
              <w:t>Comprehensive</w:t>
            </w:r>
          </w:p>
        </w:tc>
        <w:tc>
          <w:tcPr>
            <w:tcW w:w="280" w:type="dxa"/>
            <w:vAlign w:val="bottom"/>
          </w:tcPr>
          <w:p>
            <w:pPr>
              <w:spacing w:after="0"/>
              <w:rPr>
                <w:sz w:val="18"/>
                <w:szCs w:val="18"/>
                <w:color w:val="auto"/>
              </w:rPr>
            </w:pPr>
          </w:p>
        </w:tc>
      </w:tr>
      <w:tr>
        <w:trPr>
          <w:trHeight w:val="184"/>
        </w:trPr>
        <w:tc>
          <w:tcPr>
            <w:tcW w:w="5480" w:type="dxa"/>
            <w:vAlign w:val="bottom"/>
          </w:tcPr>
          <w:p>
            <w:pPr>
              <w:spacing w:after="0"/>
              <w:rPr>
                <w:sz w:val="15"/>
                <w:szCs w:val="15"/>
                <w:color w:val="auto"/>
              </w:rPr>
            </w:pPr>
          </w:p>
        </w:tc>
        <w:tc>
          <w:tcPr>
            <w:tcW w:w="1200" w:type="dxa"/>
            <w:vAlign w:val="bottom"/>
            <w:tcBorders>
              <w:bottom w:val="single" w:sz="8" w:color="auto"/>
            </w:tcBorders>
          </w:tcPr>
          <w:p>
            <w:pPr>
              <w:jc w:val="center"/>
              <w:ind w:left="244"/>
              <w:spacing w:after="0"/>
              <w:rPr>
                <w:sz w:val="20"/>
                <w:szCs w:val="20"/>
                <w:color w:val="auto"/>
              </w:rPr>
            </w:pPr>
            <w:r>
              <w:rPr>
                <w:rFonts w:ascii="Arial" w:cs="Arial" w:eastAsia="Arial" w:hAnsi="Arial"/>
                <w:sz w:val="14"/>
                <w:szCs w:val="14"/>
                <w:color w:val="auto"/>
                <w:w w:val="99"/>
              </w:rPr>
              <w:t>Gain (Loss)</w:t>
            </w:r>
          </w:p>
        </w:tc>
        <w:tc>
          <w:tcPr>
            <w:tcW w:w="4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Credit</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color w:val="auto"/>
              </w:rPr>
              <w:t>Instruments</w:t>
            </w:r>
          </w:p>
        </w:tc>
        <w:tc>
          <w:tcPr>
            <w:tcW w:w="1360" w:type="dxa"/>
            <w:vAlign w:val="bottom"/>
            <w:tcBorders>
              <w:bottom w:val="single" w:sz="8" w:color="auto"/>
            </w:tcBorders>
          </w:tcPr>
          <w:p>
            <w:pPr>
              <w:jc w:val="center"/>
              <w:ind w:left="64"/>
              <w:spacing w:after="0"/>
              <w:rPr>
                <w:sz w:val="20"/>
                <w:szCs w:val="20"/>
                <w:color w:val="auto"/>
              </w:rPr>
            </w:pPr>
            <w:r>
              <w:rPr>
                <w:rFonts w:ascii="Arial" w:cs="Arial" w:eastAsia="Arial" w:hAnsi="Arial"/>
                <w:sz w:val="14"/>
                <w:szCs w:val="14"/>
                <w:color w:val="auto"/>
              </w:rPr>
              <w:t>Income (Loss)</w:t>
            </w:r>
          </w:p>
        </w:tc>
        <w:tc>
          <w:tcPr>
            <w:tcW w:w="280" w:type="dxa"/>
            <w:vAlign w:val="bottom"/>
            <w:tcBorders>
              <w:bottom w:val="single" w:sz="8" w:color="auto"/>
            </w:tcBorders>
          </w:tcPr>
          <w:p>
            <w:pPr>
              <w:spacing w:after="0"/>
              <w:rPr>
                <w:sz w:val="15"/>
                <w:szCs w:val="15"/>
                <w:color w:val="auto"/>
              </w:rPr>
            </w:pPr>
          </w:p>
        </w:tc>
      </w:tr>
      <w:tr>
        <w:trPr>
          <w:trHeight w:val="206"/>
        </w:trPr>
        <w:tc>
          <w:tcPr>
            <w:tcW w:w="54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4460" w:type="dxa"/>
            <w:vAlign w:val="bottom"/>
            <w:tcBorders>
              <w:bottom w:val="single" w:sz="8" w:color="auto"/>
            </w:tcBorders>
            <w:gridSpan w:val="7"/>
          </w:tcPr>
          <w:p>
            <w:pPr>
              <w:jc w:val="center"/>
              <w:ind w:right="844"/>
              <w:spacing w:after="0"/>
              <w:rPr>
                <w:sz w:val="20"/>
                <w:szCs w:val="20"/>
                <w:color w:val="auto"/>
              </w:rPr>
            </w:pPr>
            <w:r>
              <w:rPr>
                <w:rFonts w:ascii="Arial" w:cs="Arial" w:eastAsia="Arial" w:hAnsi="Arial"/>
                <w:sz w:val="14"/>
                <w:szCs w:val="14"/>
                <w:color w:val="auto"/>
              </w:rPr>
              <w:t>Three months ended September 30, 2014 and 2013</w:t>
            </w:r>
          </w:p>
        </w:tc>
        <w:tc>
          <w:tcPr>
            <w:tcW w:w="280" w:type="dxa"/>
            <w:vAlign w:val="bottom"/>
            <w:tcBorders>
              <w:bottom w:val="single" w:sz="8" w:color="auto"/>
            </w:tcBorders>
          </w:tcPr>
          <w:p>
            <w:pPr>
              <w:spacing w:after="0"/>
              <w:rPr>
                <w:sz w:val="17"/>
                <w:szCs w:val="17"/>
                <w:color w:val="auto"/>
              </w:rPr>
            </w:pPr>
          </w:p>
        </w:tc>
      </w:tr>
      <w:tr>
        <w:trPr>
          <w:trHeight w:val="194"/>
        </w:trPr>
        <w:tc>
          <w:tcPr>
            <w:tcW w:w="5480" w:type="dxa"/>
            <w:vAlign w:val="bottom"/>
          </w:tcPr>
          <w:p>
            <w:pPr>
              <w:spacing w:after="0"/>
              <w:rPr>
                <w:sz w:val="20"/>
                <w:szCs w:val="20"/>
                <w:color w:val="auto"/>
              </w:rPr>
            </w:pPr>
            <w:r>
              <w:rPr>
                <w:rFonts w:ascii="Arial" w:cs="Arial" w:eastAsia="Arial" w:hAnsi="Arial"/>
                <w:sz w:val="16"/>
                <w:szCs w:val="16"/>
                <w:b w:val="1"/>
                <w:bCs w:val="1"/>
                <w:color w:val="auto"/>
              </w:rPr>
              <w:t>2014:</w:t>
            </w:r>
          </w:p>
        </w:tc>
        <w:tc>
          <w:tcPr>
            <w:tcW w:w="1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84"/>
        </w:trPr>
        <w:tc>
          <w:tcPr>
            <w:tcW w:w="5480" w:type="dxa"/>
            <w:vAlign w:val="bottom"/>
          </w:tcPr>
          <w:p>
            <w:pPr>
              <w:spacing w:after="0"/>
              <w:rPr>
                <w:sz w:val="20"/>
                <w:szCs w:val="20"/>
                <w:color w:val="auto"/>
              </w:rPr>
            </w:pPr>
            <w:r>
              <w:rPr>
                <w:rFonts w:ascii="Arial" w:cs="Arial" w:eastAsia="Arial" w:hAnsi="Arial"/>
                <w:sz w:val="16"/>
                <w:szCs w:val="16"/>
                <w:color w:val="auto"/>
              </w:rPr>
              <w:t>Balance as of June 30, 2014</w:t>
            </w:r>
          </w:p>
        </w:tc>
        <w:tc>
          <w:tcPr>
            <w:tcW w:w="1200" w:type="dxa"/>
            <w:vAlign w:val="bottom"/>
            <w:tcBorders>
              <w:bottom w:val="single" w:sz="8" w:color="auto"/>
            </w:tcBorders>
          </w:tcPr>
          <w:p>
            <w:pPr>
              <w:jc w:val="right"/>
              <w:ind w:right="744"/>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(5)</w:t>
            </w:r>
          </w:p>
        </w:tc>
        <w:tc>
          <w:tcPr>
            <w:tcW w:w="11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1</w:t>
            </w:r>
          </w:p>
        </w:tc>
        <w:tc>
          <w:tcPr>
            <w:tcW w:w="820" w:type="dxa"/>
            <w:vAlign w:val="bottom"/>
            <w:tcBorders>
              <w:bottom w:val="single" w:sz="8" w:color="auto"/>
            </w:tcBorders>
          </w:tcPr>
          <w:p>
            <w:pPr>
              <w:jc w:val="right"/>
              <w:ind w:right="482"/>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(14)</w:t>
            </w:r>
          </w:p>
        </w:tc>
        <w:tc>
          <w:tcPr>
            <w:tcW w:w="13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1"/>
              </w:rPr>
              <w:t>(18)</w:t>
            </w:r>
          </w:p>
        </w:tc>
      </w:tr>
      <w:tr>
        <w:trPr>
          <w:trHeight w:val="214"/>
        </w:trPr>
        <w:tc>
          <w:tcPr>
            <w:tcW w:w="5480" w:type="dxa"/>
            <w:vAlign w:val="bottom"/>
          </w:tcPr>
          <w:p>
            <w:pPr>
              <w:spacing w:after="0"/>
              <w:rPr>
                <w:sz w:val="20"/>
                <w:szCs w:val="20"/>
                <w:color w:val="auto"/>
              </w:rPr>
            </w:pPr>
            <w:r>
              <w:rPr>
                <w:rFonts w:ascii="Arial" w:cs="Arial" w:eastAsia="Arial" w:hAnsi="Arial"/>
                <w:sz w:val="16"/>
                <w:szCs w:val="16"/>
                <w:color w:val="auto"/>
              </w:rPr>
              <w:t>Amounts reclassified from accumulated other</w:t>
            </w:r>
          </w:p>
        </w:tc>
        <w:tc>
          <w:tcPr>
            <w:tcW w:w="1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04"/>
        </w:trPr>
        <w:tc>
          <w:tcPr>
            <w:tcW w:w="5480" w:type="dxa"/>
            <w:vAlign w:val="bottom"/>
          </w:tcPr>
          <w:p>
            <w:pPr>
              <w:ind w:left="140"/>
              <w:spacing w:after="0"/>
              <w:rPr>
                <w:sz w:val="20"/>
                <w:szCs w:val="20"/>
                <w:color w:val="auto"/>
              </w:rPr>
            </w:pPr>
            <w:r>
              <w:rPr>
                <w:rFonts w:ascii="Arial" w:cs="Arial" w:eastAsia="Arial" w:hAnsi="Arial"/>
                <w:sz w:val="16"/>
                <w:szCs w:val="16"/>
                <w:color w:val="auto"/>
              </w:rPr>
              <w:t>comprehensive income</w:t>
            </w:r>
          </w:p>
        </w:tc>
        <w:tc>
          <w:tcPr>
            <w:tcW w:w="12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2</w:t>
            </w:r>
          </w:p>
        </w:tc>
        <w:tc>
          <w:tcPr>
            <w:tcW w:w="1120" w:type="dxa"/>
            <w:vAlign w:val="bottom"/>
            <w:tcBorders>
              <w:bottom w:val="single" w:sz="8" w:color="auto"/>
            </w:tcBorders>
          </w:tcPr>
          <w:p>
            <w:pPr>
              <w:ind w:left="940"/>
              <w:spacing w:after="0"/>
              <w:rPr>
                <w:sz w:val="20"/>
                <w:szCs w:val="20"/>
                <w:color w:val="auto"/>
              </w:rPr>
            </w:pPr>
            <w:r>
              <w:rPr>
                <w:rFonts w:ascii="Arial" w:cs="Arial" w:eastAsia="Arial" w:hAnsi="Arial"/>
                <w:sz w:val="16"/>
                <w:szCs w:val="16"/>
                <w:color w:val="auto"/>
                <w:w w:val="99"/>
              </w:rPr>
              <w:t>―</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w w:val="99"/>
              </w:rPr>
              <w:t>―</w:t>
            </w:r>
          </w:p>
        </w:tc>
        <w:tc>
          <w:tcPr>
            <w:tcW w:w="13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06"/>
        </w:trPr>
        <w:tc>
          <w:tcPr>
            <w:tcW w:w="5480" w:type="dxa"/>
            <w:vAlign w:val="bottom"/>
          </w:tcPr>
          <w:p>
            <w:pPr>
              <w:spacing w:after="0"/>
              <w:rPr>
                <w:sz w:val="20"/>
                <w:szCs w:val="20"/>
                <w:color w:val="auto"/>
              </w:rPr>
            </w:pPr>
            <w:r>
              <w:rPr>
                <w:rFonts w:ascii="Arial" w:cs="Arial" w:eastAsia="Arial" w:hAnsi="Arial"/>
                <w:sz w:val="16"/>
                <w:szCs w:val="16"/>
                <w:color w:val="auto"/>
              </w:rPr>
              <w:t>Net other comprehensive income</w:t>
            </w:r>
          </w:p>
        </w:tc>
        <w:tc>
          <w:tcPr>
            <w:tcW w:w="12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2</w:t>
            </w:r>
          </w:p>
        </w:tc>
        <w:tc>
          <w:tcPr>
            <w:tcW w:w="1120" w:type="dxa"/>
            <w:vAlign w:val="bottom"/>
            <w:tcBorders>
              <w:bottom w:val="single" w:sz="8" w:color="auto"/>
            </w:tcBorders>
          </w:tcPr>
          <w:p>
            <w:pPr>
              <w:ind w:left="940"/>
              <w:spacing w:after="0"/>
              <w:rPr>
                <w:sz w:val="20"/>
                <w:szCs w:val="20"/>
                <w:color w:val="auto"/>
              </w:rPr>
            </w:pPr>
            <w:r>
              <w:rPr>
                <w:rFonts w:ascii="Arial" w:cs="Arial" w:eastAsia="Arial" w:hAnsi="Arial"/>
                <w:sz w:val="16"/>
                <w:szCs w:val="16"/>
                <w:color w:val="auto"/>
                <w:w w:val="99"/>
              </w:rPr>
              <w:t>―</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w w:val="99"/>
              </w:rPr>
              <w:t>―</w:t>
            </w:r>
          </w:p>
        </w:tc>
        <w:tc>
          <w:tcPr>
            <w:tcW w:w="13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173"/>
        </w:trPr>
        <w:tc>
          <w:tcPr>
            <w:tcW w:w="5480" w:type="dxa"/>
            <w:vAlign w:val="bottom"/>
            <w:tcBorders>
              <w:bottom w:val="single" w:sz="8" w:color="auto"/>
            </w:tcBorders>
          </w:tcPr>
          <w:p>
            <w:pPr>
              <w:spacing w:after="0" w:line="166" w:lineRule="exact"/>
              <w:rPr>
                <w:sz w:val="20"/>
                <w:szCs w:val="20"/>
                <w:color w:val="auto"/>
              </w:rPr>
            </w:pPr>
            <w:r>
              <w:rPr>
                <w:rFonts w:ascii="Arial" w:cs="Arial" w:eastAsia="Arial" w:hAnsi="Arial"/>
                <w:sz w:val="16"/>
                <w:szCs w:val="16"/>
                <w:color w:val="auto"/>
              </w:rPr>
              <w:t>Balance as of September 30, 2014</w:t>
            </w:r>
          </w:p>
        </w:tc>
        <w:tc>
          <w:tcPr>
            <w:tcW w:w="1200" w:type="dxa"/>
            <w:vAlign w:val="bottom"/>
            <w:tcBorders>
              <w:bottom w:val="single" w:sz="8" w:color="auto"/>
            </w:tcBorders>
          </w:tcPr>
          <w:p>
            <w:pPr>
              <w:jc w:val="right"/>
              <w:ind w:right="744"/>
              <w:spacing w:after="0" w:line="166" w:lineRule="exact"/>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jc w:val="right"/>
              <w:ind w:right="61"/>
              <w:spacing w:after="0" w:line="166" w:lineRule="exact"/>
              <w:rPr>
                <w:sz w:val="20"/>
                <w:szCs w:val="20"/>
                <w:color w:val="auto"/>
              </w:rPr>
            </w:pPr>
            <w:r>
              <w:rPr>
                <w:rFonts w:ascii="Arial" w:cs="Arial" w:eastAsia="Arial" w:hAnsi="Arial"/>
                <w:sz w:val="16"/>
                <w:szCs w:val="16"/>
                <w:color w:val="auto"/>
              </w:rPr>
              <w:t>(3)</w:t>
            </w:r>
          </w:p>
        </w:tc>
        <w:tc>
          <w:tcPr>
            <w:tcW w:w="1120" w:type="dxa"/>
            <w:vAlign w:val="bottom"/>
            <w:tcBorders>
              <w:bottom w:val="single" w:sz="8" w:color="auto"/>
            </w:tcBorders>
          </w:tcPr>
          <w:p>
            <w:pPr>
              <w:ind w:left="140"/>
              <w:spacing w:after="0" w:line="166" w:lineRule="exact"/>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gridSpan w:val="2"/>
          </w:tcPr>
          <w:p>
            <w:pPr>
              <w:jc w:val="right"/>
              <w:ind w:right="120"/>
              <w:spacing w:after="0" w:line="166" w:lineRule="exact"/>
              <w:rPr>
                <w:sz w:val="20"/>
                <w:szCs w:val="20"/>
                <w:color w:val="auto"/>
              </w:rPr>
            </w:pPr>
            <w:r>
              <w:rPr>
                <w:rFonts w:ascii="Arial" w:cs="Arial" w:eastAsia="Arial" w:hAnsi="Arial"/>
                <w:sz w:val="16"/>
                <w:szCs w:val="16"/>
                <w:color w:val="auto"/>
              </w:rPr>
              <w:t>1</w:t>
            </w:r>
          </w:p>
        </w:tc>
        <w:tc>
          <w:tcPr>
            <w:tcW w:w="820" w:type="dxa"/>
            <w:vAlign w:val="bottom"/>
            <w:tcBorders>
              <w:bottom w:val="single" w:sz="8" w:color="auto"/>
            </w:tcBorders>
          </w:tcPr>
          <w:p>
            <w:pPr>
              <w:jc w:val="right"/>
              <w:ind w:right="482"/>
              <w:spacing w:after="0" w:line="166" w:lineRule="exact"/>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jc w:val="right"/>
              <w:ind w:right="60"/>
              <w:spacing w:after="0" w:line="166" w:lineRule="exact"/>
              <w:rPr>
                <w:sz w:val="20"/>
                <w:szCs w:val="20"/>
                <w:color w:val="auto"/>
              </w:rPr>
            </w:pPr>
            <w:r>
              <w:rPr>
                <w:rFonts w:ascii="Arial" w:cs="Arial" w:eastAsia="Arial" w:hAnsi="Arial"/>
                <w:sz w:val="16"/>
                <w:szCs w:val="16"/>
                <w:color w:val="auto"/>
              </w:rPr>
              <w:t>(14)</w:t>
            </w:r>
          </w:p>
        </w:tc>
        <w:tc>
          <w:tcPr>
            <w:tcW w:w="1360" w:type="dxa"/>
            <w:vAlign w:val="bottom"/>
            <w:tcBorders>
              <w:bottom w:val="single" w:sz="8" w:color="auto"/>
            </w:tcBorders>
          </w:tcPr>
          <w:p>
            <w:pPr>
              <w:ind w:left="140"/>
              <w:spacing w:after="0" w:line="166" w:lineRule="exact"/>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w w:val="91"/>
              </w:rPr>
              <w:t>(16)</w:t>
            </w:r>
          </w:p>
        </w:tc>
      </w:tr>
      <w:tr>
        <w:trPr>
          <w:trHeight w:val="201"/>
        </w:trPr>
        <w:tc>
          <w:tcPr>
            <w:tcW w:w="5480" w:type="dxa"/>
            <w:vAlign w:val="bottom"/>
          </w:tcPr>
          <w:p>
            <w:pPr>
              <w:spacing w:after="0"/>
              <w:rPr>
                <w:sz w:val="20"/>
                <w:szCs w:val="20"/>
                <w:color w:val="auto"/>
              </w:rPr>
            </w:pPr>
            <w:r>
              <w:rPr>
                <w:rFonts w:ascii="Arial" w:cs="Arial" w:eastAsia="Arial" w:hAnsi="Arial"/>
                <w:sz w:val="16"/>
                <w:szCs w:val="16"/>
                <w:b w:val="1"/>
                <w:bCs w:val="1"/>
                <w:color w:val="auto"/>
              </w:rPr>
              <w:t>2013:</w:t>
            </w:r>
          </w:p>
        </w:tc>
        <w:tc>
          <w:tcPr>
            <w:tcW w:w="1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191"/>
        </w:trPr>
        <w:tc>
          <w:tcPr>
            <w:tcW w:w="5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Balance as of June 30 and September 30, 2013</w:t>
            </w:r>
          </w:p>
        </w:tc>
        <w:tc>
          <w:tcPr>
            <w:tcW w:w="1200" w:type="dxa"/>
            <w:vAlign w:val="bottom"/>
            <w:tcBorders>
              <w:bottom w:val="single" w:sz="8" w:color="auto"/>
            </w:tcBorders>
          </w:tcPr>
          <w:p>
            <w:pPr>
              <w:jc w:val="right"/>
              <w:ind w:right="744"/>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(4)</w:t>
            </w:r>
          </w:p>
        </w:tc>
        <w:tc>
          <w:tcPr>
            <w:tcW w:w="11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1</w:t>
            </w:r>
          </w:p>
        </w:tc>
        <w:tc>
          <w:tcPr>
            <w:tcW w:w="820" w:type="dxa"/>
            <w:vAlign w:val="bottom"/>
            <w:tcBorders>
              <w:bottom w:val="single" w:sz="8" w:color="auto"/>
            </w:tcBorders>
          </w:tcPr>
          <w:p>
            <w:pPr>
              <w:jc w:val="right"/>
              <w:ind w:right="482"/>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(14)</w:t>
            </w:r>
          </w:p>
        </w:tc>
        <w:tc>
          <w:tcPr>
            <w:tcW w:w="13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1"/>
              </w:rPr>
              <w:t>(17)</w:t>
            </w:r>
          </w:p>
        </w:tc>
      </w:tr>
      <w:tr>
        <w:trPr>
          <w:trHeight w:val="425"/>
        </w:trPr>
        <w:tc>
          <w:tcPr>
            <w:tcW w:w="54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gridSpan w:val="7"/>
          </w:tcPr>
          <w:p>
            <w:pPr>
              <w:jc w:val="center"/>
              <w:ind w:right="844"/>
              <w:spacing w:after="0"/>
              <w:rPr>
                <w:sz w:val="20"/>
                <w:szCs w:val="20"/>
                <w:color w:val="auto"/>
              </w:rPr>
            </w:pPr>
            <w:r>
              <w:rPr>
                <w:rFonts w:ascii="Arial" w:cs="Arial" w:eastAsia="Arial" w:hAnsi="Arial"/>
                <w:sz w:val="14"/>
                <w:szCs w:val="14"/>
                <w:color w:val="auto"/>
              </w:rPr>
              <w:t>Nine months ended September 30, 2014 and 2013</w:t>
            </w:r>
          </w:p>
        </w:tc>
        <w:tc>
          <w:tcPr>
            <w:tcW w:w="280" w:type="dxa"/>
            <w:vAlign w:val="bottom"/>
            <w:tcBorders>
              <w:bottom w:val="single" w:sz="8" w:color="auto"/>
            </w:tcBorders>
          </w:tcPr>
          <w:p>
            <w:pPr>
              <w:spacing w:after="0"/>
              <w:rPr>
                <w:sz w:val="24"/>
                <w:szCs w:val="24"/>
                <w:color w:val="auto"/>
              </w:rPr>
            </w:pPr>
          </w:p>
        </w:tc>
      </w:tr>
      <w:tr>
        <w:trPr>
          <w:trHeight w:val="194"/>
        </w:trPr>
        <w:tc>
          <w:tcPr>
            <w:tcW w:w="5480" w:type="dxa"/>
            <w:vAlign w:val="bottom"/>
          </w:tcPr>
          <w:p>
            <w:pPr>
              <w:spacing w:after="0"/>
              <w:rPr>
                <w:sz w:val="20"/>
                <w:szCs w:val="20"/>
                <w:color w:val="auto"/>
              </w:rPr>
            </w:pPr>
            <w:r>
              <w:rPr>
                <w:rFonts w:ascii="Arial" w:cs="Arial" w:eastAsia="Arial" w:hAnsi="Arial"/>
                <w:sz w:val="16"/>
                <w:szCs w:val="16"/>
                <w:b w:val="1"/>
                <w:bCs w:val="1"/>
                <w:color w:val="auto"/>
              </w:rPr>
              <w:t>2014:</w:t>
            </w:r>
          </w:p>
        </w:tc>
        <w:tc>
          <w:tcPr>
            <w:tcW w:w="1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84"/>
        </w:trPr>
        <w:tc>
          <w:tcPr>
            <w:tcW w:w="5480" w:type="dxa"/>
            <w:vAlign w:val="bottom"/>
          </w:tcPr>
          <w:p>
            <w:pPr>
              <w:spacing w:after="0"/>
              <w:rPr>
                <w:sz w:val="20"/>
                <w:szCs w:val="20"/>
                <w:color w:val="auto"/>
              </w:rPr>
            </w:pPr>
            <w:r>
              <w:rPr>
                <w:rFonts w:ascii="Arial" w:cs="Arial" w:eastAsia="Arial" w:hAnsi="Arial"/>
                <w:sz w:val="16"/>
                <w:szCs w:val="16"/>
                <w:color w:val="auto"/>
              </w:rPr>
              <w:t>Balance as of December 31, 2013</w:t>
            </w:r>
          </w:p>
        </w:tc>
        <w:tc>
          <w:tcPr>
            <w:tcW w:w="1200" w:type="dxa"/>
            <w:vAlign w:val="bottom"/>
            <w:tcBorders>
              <w:bottom w:val="single" w:sz="8" w:color="auto"/>
            </w:tcBorders>
          </w:tcPr>
          <w:p>
            <w:pPr>
              <w:jc w:val="right"/>
              <w:ind w:right="744"/>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(5)</w:t>
            </w:r>
          </w:p>
        </w:tc>
        <w:tc>
          <w:tcPr>
            <w:tcW w:w="11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1</w:t>
            </w:r>
          </w:p>
        </w:tc>
        <w:tc>
          <w:tcPr>
            <w:tcW w:w="820" w:type="dxa"/>
            <w:vAlign w:val="bottom"/>
            <w:tcBorders>
              <w:bottom w:val="single" w:sz="8" w:color="auto"/>
            </w:tcBorders>
          </w:tcPr>
          <w:p>
            <w:pPr>
              <w:jc w:val="right"/>
              <w:ind w:right="482"/>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(14)</w:t>
            </w:r>
          </w:p>
        </w:tc>
        <w:tc>
          <w:tcPr>
            <w:tcW w:w="13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1"/>
              </w:rPr>
              <w:t>(18)</w:t>
            </w:r>
          </w:p>
        </w:tc>
      </w:tr>
      <w:tr>
        <w:trPr>
          <w:trHeight w:val="214"/>
        </w:trPr>
        <w:tc>
          <w:tcPr>
            <w:tcW w:w="5480" w:type="dxa"/>
            <w:vAlign w:val="bottom"/>
          </w:tcPr>
          <w:p>
            <w:pPr>
              <w:spacing w:after="0"/>
              <w:rPr>
                <w:sz w:val="20"/>
                <w:szCs w:val="20"/>
                <w:color w:val="auto"/>
              </w:rPr>
            </w:pPr>
            <w:r>
              <w:rPr>
                <w:rFonts w:ascii="Arial" w:cs="Arial" w:eastAsia="Arial" w:hAnsi="Arial"/>
                <w:sz w:val="16"/>
                <w:szCs w:val="16"/>
                <w:color w:val="auto"/>
              </w:rPr>
              <w:t>Amounts reclassified from accumulated other</w:t>
            </w:r>
          </w:p>
        </w:tc>
        <w:tc>
          <w:tcPr>
            <w:tcW w:w="1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04"/>
        </w:trPr>
        <w:tc>
          <w:tcPr>
            <w:tcW w:w="5480" w:type="dxa"/>
            <w:vAlign w:val="bottom"/>
          </w:tcPr>
          <w:p>
            <w:pPr>
              <w:ind w:left="140"/>
              <w:spacing w:after="0"/>
              <w:rPr>
                <w:sz w:val="20"/>
                <w:szCs w:val="20"/>
                <w:color w:val="auto"/>
              </w:rPr>
            </w:pPr>
            <w:r>
              <w:rPr>
                <w:rFonts w:ascii="Arial" w:cs="Arial" w:eastAsia="Arial" w:hAnsi="Arial"/>
                <w:sz w:val="16"/>
                <w:szCs w:val="16"/>
                <w:color w:val="auto"/>
              </w:rPr>
              <w:t>comprehensive income</w:t>
            </w:r>
          </w:p>
        </w:tc>
        <w:tc>
          <w:tcPr>
            <w:tcW w:w="12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2</w:t>
            </w:r>
          </w:p>
        </w:tc>
        <w:tc>
          <w:tcPr>
            <w:tcW w:w="1120" w:type="dxa"/>
            <w:vAlign w:val="bottom"/>
            <w:tcBorders>
              <w:bottom w:val="single" w:sz="8" w:color="auto"/>
            </w:tcBorders>
          </w:tcPr>
          <w:p>
            <w:pPr>
              <w:ind w:left="940"/>
              <w:spacing w:after="0"/>
              <w:rPr>
                <w:sz w:val="20"/>
                <w:szCs w:val="20"/>
                <w:color w:val="auto"/>
              </w:rPr>
            </w:pPr>
            <w:r>
              <w:rPr>
                <w:rFonts w:ascii="Arial" w:cs="Arial" w:eastAsia="Arial" w:hAnsi="Arial"/>
                <w:sz w:val="16"/>
                <w:szCs w:val="16"/>
                <w:color w:val="auto"/>
                <w:w w:val="99"/>
              </w:rPr>
              <w:t>―</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w w:val="99"/>
              </w:rPr>
              <w:t>―</w:t>
            </w:r>
          </w:p>
        </w:tc>
        <w:tc>
          <w:tcPr>
            <w:tcW w:w="13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06"/>
        </w:trPr>
        <w:tc>
          <w:tcPr>
            <w:tcW w:w="5480" w:type="dxa"/>
            <w:vAlign w:val="bottom"/>
          </w:tcPr>
          <w:p>
            <w:pPr>
              <w:spacing w:after="0"/>
              <w:rPr>
                <w:sz w:val="20"/>
                <w:szCs w:val="20"/>
                <w:color w:val="auto"/>
              </w:rPr>
            </w:pPr>
            <w:r>
              <w:rPr>
                <w:rFonts w:ascii="Arial" w:cs="Arial" w:eastAsia="Arial" w:hAnsi="Arial"/>
                <w:sz w:val="16"/>
                <w:szCs w:val="16"/>
                <w:color w:val="auto"/>
              </w:rPr>
              <w:t>Net other comprehensive income</w:t>
            </w:r>
          </w:p>
        </w:tc>
        <w:tc>
          <w:tcPr>
            <w:tcW w:w="12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2</w:t>
            </w:r>
          </w:p>
        </w:tc>
        <w:tc>
          <w:tcPr>
            <w:tcW w:w="1120" w:type="dxa"/>
            <w:vAlign w:val="bottom"/>
            <w:tcBorders>
              <w:bottom w:val="single" w:sz="8" w:color="auto"/>
            </w:tcBorders>
          </w:tcPr>
          <w:p>
            <w:pPr>
              <w:ind w:left="940"/>
              <w:spacing w:after="0"/>
              <w:rPr>
                <w:sz w:val="20"/>
                <w:szCs w:val="20"/>
                <w:color w:val="auto"/>
              </w:rPr>
            </w:pPr>
            <w:r>
              <w:rPr>
                <w:rFonts w:ascii="Arial" w:cs="Arial" w:eastAsia="Arial" w:hAnsi="Arial"/>
                <w:sz w:val="16"/>
                <w:szCs w:val="16"/>
                <w:color w:val="auto"/>
                <w:w w:val="99"/>
              </w:rPr>
              <w:t>―</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w w:val="99"/>
              </w:rPr>
              <w:t>―</w:t>
            </w:r>
          </w:p>
        </w:tc>
        <w:tc>
          <w:tcPr>
            <w:tcW w:w="13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173"/>
        </w:trPr>
        <w:tc>
          <w:tcPr>
            <w:tcW w:w="5480" w:type="dxa"/>
            <w:vAlign w:val="bottom"/>
            <w:tcBorders>
              <w:bottom w:val="single" w:sz="8" w:color="auto"/>
            </w:tcBorders>
          </w:tcPr>
          <w:p>
            <w:pPr>
              <w:spacing w:after="0" w:line="166" w:lineRule="exact"/>
              <w:rPr>
                <w:sz w:val="20"/>
                <w:szCs w:val="20"/>
                <w:color w:val="auto"/>
              </w:rPr>
            </w:pPr>
            <w:r>
              <w:rPr>
                <w:rFonts w:ascii="Arial" w:cs="Arial" w:eastAsia="Arial" w:hAnsi="Arial"/>
                <w:sz w:val="16"/>
                <w:szCs w:val="16"/>
                <w:color w:val="auto"/>
              </w:rPr>
              <w:t>Balance as of September 30, 2014</w:t>
            </w:r>
          </w:p>
        </w:tc>
        <w:tc>
          <w:tcPr>
            <w:tcW w:w="1200" w:type="dxa"/>
            <w:vAlign w:val="bottom"/>
            <w:tcBorders>
              <w:bottom w:val="single" w:sz="8" w:color="auto"/>
            </w:tcBorders>
          </w:tcPr>
          <w:p>
            <w:pPr>
              <w:jc w:val="right"/>
              <w:ind w:right="744"/>
              <w:spacing w:after="0" w:line="166" w:lineRule="exact"/>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jc w:val="right"/>
              <w:ind w:right="61"/>
              <w:spacing w:after="0" w:line="166" w:lineRule="exact"/>
              <w:rPr>
                <w:sz w:val="20"/>
                <w:szCs w:val="20"/>
                <w:color w:val="auto"/>
              </w:rPr>
            </w:pPr>
            <w:r>
              <w:rPr>
                <w:rFonts w:ascii="Arial" w:cs="Arial" w:eastAsia="Arial" w:hAnsi="Arial"/>
                <w:sz w:val="16"/>
                <w:szCs w:val="16"/>
                <w:color w:val="auto"/>
              </w:rPr>
              <w:t>(3)</w:t>
            </w:r>
          </w:p>
        </w:tc>
        <w:tc>
          <w:tcPr>
            <w:tcW w:w="1120" w:type="dxa"/>
            <w:vAlign w:val="bottom"/>
            <w:tcBorders>
              <w:bottom w:val="single" w:sz="8" w:color="auto"/>
            </w:tcBorders>
          </w:tcPr>
          <w:p>
            <w:pPr>
              <w:ind w:left="140"/>
              <w:spacing w:after="0" w:line="166" w:lineRule="exact"/>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gridSpan w:val="2"/>
          </w:tcPr>
          <w:p>
            <w:pPr>
              <w:jc w:val="right"/>
              <w:ind w:right="120"/>
              <w:spacing w:after="0" w:line="166" w:lineRule="exact"/>
              <w:rPr>
                <w:sz w:val="20"/>
                <w:szCs w:val="20"/>
                <w:color w:val="auto"/>
              </w:rPr>
            </w:pPr>
            <w:r>
              <w:rPr>
                <w:rFonts w:ascii="Arial" w:cs="Arial" w:eastAsia="Arial" w:hAnsi="Arial"/>
                <w:sz w:val="16"/>
                <w:szCs w:val="16"/>
                <w:color w:val="auto"/>
              </w:rPr>
              <w:t>1</w:t>
            </w:r>
          </w:p>
        </w:tc>
        <w:tc>
          <w:tcPr>
            <w:tcW w:w="820" w:type="dxa"/>
            <w:vAlign w:val="bottom"/>
            <w:tcBorders>
              <w:bottom w:val="single" w:sz="8" w:color="auto"/>
            </w:tcBorders>
          </w:tcPr>
          <w:p>
            <w:pPr>
              <w:jc w:val="right"/>
              <w:ind w:right="482"/>
              <w:spacing w:after="0" w:line="166" w:lineRule="exact"/>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jc w:val="right"/>
              <w:ind w:right="60"/>
              <w:spacing w:after="0" w:line="166" w:lineRule="exact"/>
              <w:rPr>
                <w:sz w:val="20"/>
                <w:szCs w:val="20"/>
                <w:color w:val="auto"/>
              </w:rPr>
            </w:pPr>
            <w:r>
              <w:rPr>
                <w:rFonts w:ascii="Arial" w:cs="Arial" w:eastAsia="Arial" w:hAnsi="Arial"/>
                <w:sz w:val="16"/>
                <w:szCs w:val="16"/>
                <w:color w:val="auto"/>
              </w:rPr>
              <w:t>(14)</w:t>
            </w:r>
          </w:p>
        </w:tc>
        <w:tc>
          <w:tcPr>
            <w:tcW w:w="1360" w:type="dxa"/>
            <w:vAlign w:val="bottom"/>
            <w:tcBorders>
              <w:bottom w:val="single" w:sz="8" w:color="auto"/>
            </w:tcBorders>
          </w:tcPr>
          <w:p>
            <w:pPr>
              <w:ind w:left="140"/>
              <w:spacing w:after="0" w:line="166" w:lineRule="exact"/>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w w:val="91"/>
              </w:rPr>
              <w:t>(16)</w:t>
            </w:r>
          </w:p>
        </w:tc>
      </w:tr>
      <w:tr>
        <w:trPr>
          <w:trHeight w:val="201"/>
        </w:trPr>
        <w:tc>
          <w:tcPr>
            <w:tcW w:w="5480" w:type="dxa"/>
            <w:vAlign w:val="bottom"/>
          </w:tcPr>
          <w:p>
            <w:pPr>
              <w:spacing w:after="0"/>
              <w:rPr>
                <w:sz w:val="20"/>
                <w:szCs w:val="20"/>
                <w:color w:val="auto"/>
              </w:rPr>
            </w:pPr>
            <w:r>
              <w:rPr>
                <w:rFonts w:ascii="Arial" w:cs="Arial" w:eastAsia="Arial" w:hAnsi="Arial"/>
                <w:sz w:val="16"/>
                <w:szCs w:val="16"/>
                <w:b w:val="1"/>
                <w:bCs w:val="1"/>
                <w:color w:val="auto"/>
              </w:rPr>
              <w:t>2013:</w:t>
            </w:r>
          </w:p>
        </w:tc>
        <w:tc>
          <w:tcPr>
            <w:tcW w:w="1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184"/>
        </w:trPr>
        <w:tc>
          <w:tcPr>
            <w:tcW w:w="5480" w:type="dxa"/>
            <w:vAlign w:val="bottom"/>
          </w:tcPr>
          <w:p>
            <w:pPr>
              <w:spacing w:after="0"/>
              <w:rPr>
                <w:sz w:val="20"/>
                <w:szCs w:val="20"/>
                <w:color w:val="auto"/>
              </w:rPr>
            </w:pPr>
            <w:r>
              <w:rPr>
                <w:rFonts w:ascii="Arial" w:cs="Arial" w:eastAsia="Arial" w:hAnsi="Arial"/>
                <w:sz w:val="16"/>
                <w:szCs w:val="16"/>
                <w:color w:val="auto"/>
              </w:rPr>
              <w:t>Balance as of December 31, 2012</w:t>
            </w:r>
          </w:p>
        </w:tc>
        <w:tc>
          <w:tcPr>
            <w:tcW w:w="1200" w:type="dxa"/>
            <w:vAlign w:val="bottom"/>
            <w:tcBorders>
              <w:bottom w:val="single" w:sz="8" w:color="auto"/>
            </w:tcBorders>
          </w:tcPr>
          <w:p>
            <w:pPr>
              <w:jc w:val="right"/>
              <w:ind w:right="744"/>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(4)</w:t>
            </w:r>
          </w:p>
        </w:tc>
        <w:tc>
          <w:tcPr>
            <w:tcW w:w="11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1</w:t>
            </w:r>
          </w:p>
        </w:tc>
        <w:tc>
          <w:tcPr>
            <w:tcW w:w="820" w:type="dxa"/>
            <w:vAlign w:val="bottom"/>
            <w:tcBorders>
              <w:bottom w:val="single" w:sz="8" w:color="auto"/>
            </w:tcBorders>
          </w:tcPr>
          <w:p>
            <w:pPr>
              <w:jc w:val="right"/>
              <w:ind w:right="482"/>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(15)</w:t>
            </w:r>
          </w:p>
        </w:tc>
        <w:tc>
          <w:tcPr>
            <w:tcW w:w="13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1"/>
              </w:rPr>
              <w:t>(18)</w:t>
            </w:r>
          </w:p>
        </w:tc>
      </w:tr>
      <w:tr>
        <w:trPr>
          <w:trHeight w:val="214"/>
        </w:trPr>
        <w:tc>
          <w:tcPr>
            <w:tcW w:w="5480" w:type="dxa"/>
            <w:vAlign w:val="bottom"/>
          </w:tcPr>
          <w:p>
            <w:pPr>
              <w:spacing w:after="0"/>
              <w:rPr>
                <w:sz w:val="20"/>
                <w:szCs w:val="20"/>
                <w:color w:val="auto"/>
              </w:rPr>
            </w:pPr>
            <w:r>
              <w:rPr>
                <w:rFonts w:ascii="Arial" w:cs="Arial" w:eastAsia="Arial" w:hAnsi="Arial"/>
                <w:sz w:val="16"/>
                <w:szCs w:val="16"/>
                <w:color w:val="auto"/>
              </w:rPr>
              <w:t>Amounts reclassified from accumulated other</w:t>
            </w:r>
          </w:p>
        </w:tc>
        <w:tc>
          <w:tcPr>
            <w:tcW w:w="1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04"/>
        </w:trPr>
        <w:tc>
          <w:tcPr>
            <w:tcW w:w="5480" w:type="dxa"/>
            <w:vAlign w:val="bottom"/>
          </w:tcPr>
          <w:p>
            <w:pPr>
              <w:ind w:left="140"/>
              <w:spacing w:after="0"/>
              <w:rPr>
                <w:sz w:val="20"/>
                <w:szCs w:val="20"/>
                <w:color w:val="auto"/>
              </w:rPr>
            </w:pPr>
            <w:r>
              <w:rPr>
                <w:rFonts w:ascii="Arial" w:cs="Arial" w:eastAsia="Arial" w:hAnsi="Arial"/>
                <w:sz w:val="16"/>
                <w:szCs w:val="16"/>
                <w:color w:val="auto"/>
              </w:rPr>
              <w:t>comprehensive income</w:t>
            </w:r>
          </w:p>
        </w:tc>
        <w:tc>
          <w:tcPr>
            <w:tcW w:w="12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w w:val="99"/>
              </w:rPr>
              <w:t>―</w:t>
            </w:r>
          </w:p>
        </w:tc>
        <w:tc>
          <w:tcPr>
            <w:tcW w:w="1120" w:type="dxa"/>
            <w:vAlign w:val="bottom"/>
            <w:tcBorders>
              <w:bottom w:val="single" w:sz="8" w:color="auto"/>
            </w:tcBorders>
          </w:tcPr>
          <w:p>
            <w:pPr>
              <w:ind w:left="940"/>
              <w:spacing w:after="0"/>
              <w:rPr>
                <w:sz w:val="20"/>
                <w:szCs w:val="20"/>
                <w:color w:val="auto"/>
              </w:rPr>
            </w:pPr>
            <w:r>
              <w:rPr>
                <w:rFonts w:ascii="Arial" w:cs="Arial" w:eastAsia="Arial" w:hAnsi="Arial"/>
                <w:sz w:val="16"/>
                <w:szCs w:val="16"/>
                <w:color w:val="auto"/>
                <w:w w:val="99"/>
              </w:rPr>
              <w:t>―</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w:t>
            </w:r>
          </w:p>
        </w:tc>
        <w:tc>
          <w:tcPr>
            <w:tcW w:w="13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06"/>
        </w:trPr>
        <w:tc>
          <w:tcPr>
            <w:tcW w:w="5480" w:type="dxa"/>
            <w:vAlign w:val="bottom"/>
          </w:tcPr>
          <w:p>
            <w:pPr>
              <w:spacing w:after="0"/>
              <w:rPr>
                <w:sz w:val="20"/>
                <w:szCs w:val="20"/>
                <w:color w:val="auto"/>
              </w:rPr>
            </w:pPr>
            <w:r>
              <w:rPr>
                <w:rFonts w:ascii="Arial" w:cs="Arial" w:eastAsia="Arial" w:hAnsi="Arial"/>
                <w:sz w:val="16"/>
                <w:szCs w:val="16"/>
                <w:color w:val="auto"/>
              </w:rPr>
              <w:t>Net other comprehensive income</w:t>
            </w:r>
          </w:p>
        </w:tc>
        <w:tc>
          <w:tcPr>
            <w:tcW w:w="12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w w:val="99"/>
              </w:rPr>
              <w:t>―</w:t>
            </w:r>
          </w:p>
        </w:tc>
        <w:tc>
          <w:tcPr>
            <w:tcW w:w="1120" w:type="dxa"/>
            <w:vAlign w:val="bottom"/>
            <w:tcBorders>
              <w:bottom w:val="single" w:sz="8" w:color="auto"/>
            </w:tcBorders>
          </w:tcPr>
          <w:p>
            <w:pPr>
              <w:ind w:left="940"/>
              <w:spacing w:after="0"/>
              <w:rPr>
                <w:sz w:val="20"/>
                <w:szCs w:val="20"/>
                <w:color w:val="auto"/>
              </w:rPr>
            </w:pPr>
            <w:r>
              <w:rPr>
                <w:rFonts w:ascii="Arial" w:cs="Arial" w:eastAsia="Arial" w:hAnsi="Arial"/>
                <w:sz w:val="16"/>
                <w:szCs w:val="16"/>
                <w:color w:val="auto"/>
                <w:w w:val="99"/>
              </w:rPr>
              <w:t>―</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w:t>
            </w:r>
          </w:p>
        </w:tc>
        <w:tc>
          <w:tcPr>
            <w:tcW w:w="13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186"/>
        </w:trPr>
        <w:tc>
          <w:tcPr>
            <w:tcW w:w="5480" w:type="dxa"/>
            <w:vAlign w:val="bottom"/>
          </w:tcPr>
          <w:p>
            <w:pPr>
              <w:spacing w:after="0" w:line="175" w:lineRule="exact"/>
              <w:rPr>
                <w:sz w:val="20"/>
                <w:szCs w:val="20"/>
                <w:color w:val="auto"/>
              </w:rPr>
            </w:pPr>
            <w:r>
              <w:rPr>
                <w:rFonts w:ascii="Arial" w:cs="Arial" w:eastAsia="Arial" w:hAnsi="Arial"/>
                <w:sz w:val="16"/>
                <w:szCs w:val="16"/>
                <w:color w:val="auto"/>
              </w:rPr>
              <w:t>Balance as of September 30, 2013</w:t>
            </w:r>
          </w:p>
        </w:tc>
        <w:tc>
          <w:tcPr>
            <w:tcW w:w="1200" w:type="dxa"/>
            <w:vAlign w:val="bottom"/>
          </w:tcPr>
          <w:p>
            <w:pPr>
              <w:jc w:val="right"/>
              <w:ind w:right="744"/>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61"/>
              <w:spacing w:after="0"/>
              <w:rPr>
                <w:sz w:val="20"/>
                <w:szCs w:val="20"/>
                <w:color w:val="auto"/>
              </w:rPr>
            </w:pPr>
            <w:r>
              <w:rPr>
                <w:rFonts w:ascii="Arial" w:cs="Arial" w:eastAsia="Arial" w:hAnsi="Arial"/>
                <w:sz w:val="16"/>
                <w:szCs w:val="16"/>
                <w:color w:val="auto"/>
              </w:rPr>
              <w:t>(4)</w:t>
            </w:r>
          </w:p>
        </w:tc>
        <w:tc>
          <w:tcPr>
            <w:tcW w:w="1120" w:type="dxa"/>
            <w:vAlign w:val="bottom"/>
          </w:tcPr>
          <w:p>
            <w:pPr>
              <w:ind w:left="14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ind w:right="120"/>
              <w:spacing w:after="0"/>
              <w:rPr>
                <w:sz w:val="20"/>
                <w:szCs w:val="20"/>
                <w:color w:val="auto"/>
              </w:rPr>
            </w:pPr>
            <w:r>
              <w:rPr>
                <w:rFonts w:ascii="Arial" w:cs="Arial" w:eastAsia="Arial" w:hAnsi="Arial"/>
                <w:sz w:val="16"/>
                <w:szCs w:val="16"/>
                <w:color w:val="auto"/>
              </w:rPr>
              <w:t>1</w:t>
            </w:r>
          </w:p>
        </w:tc>
        <w:tc>
          <w:tcPr>
            <w:tcW w:w="820" w:type="dxa"/>
            <w:vAlign w:val="bottom"/>
          </w:tcPr>
          <w:p>
            <w:pPr>
              <w:jc w:val="right"/>
              <w:ind w:right="482"/>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60"/>
              <w:spacing w:after="0"/>
              <w:rPr>
                <w:sz w:val="20"/>
                <w:szCs w:val="20"/>
                <w:color w:val="auto"/>
              </w:rPr>
            </w:pPr>
            <w:r>
              <w:rPr>
                <w:rFonts w:ascii="Arial" w:cs="Arial" w:eastAsia="Arial" w:hAnsi="Arial"/>
                <w:sz w:val="16"/>
                <w:szCs w:val="16"/>
                <w:color w:val="auto"/>
              </w:rPr>
              <w:t>(14)</w:t>
            </w:r>
          </w:p>
        </w:tc>
        <w:tc>
          <w:tcPr>
            <w:tcW w:w="1360" w:type="dxa"/>
            <w:vAlign w:val="bottom"/>
          </w:tcPr>
          <w:p>
            <w:pPr>
              <w:ind w:left="140"/>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w w:val="91"/>
              </w:rPr>
              <w:t>(17)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24852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8525" cy="17145"/>
                    </a:xfrm>
                    <a:prstGeom prst="rect">
                      <a:avLst/>
                    </a:prstGeom>
                    <a:noFill/>
                  </pic:spPr>
                </pic:pic>
              </a:graphicData>
            </a:graphic>
          </wp:anchor>
        </w:drawing>
      </w:r>
    </w:p>
    <w:p>
      <w:pPr>
        <w:ind w:left="520" w:hanging="514"/>
        <w:spacing w:after="0"/>
        <w:tabs>
          <w:tab w:leader="none" w:pos="520"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All amounts are net of income tax, if subject to tax, and exclude noncontrolling interests.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RECLASSIFICATIONS OUT OF ACCUMULATED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-104775</wp:posOffset>
            </wp:positionV>
            <wp:extent cx="7248525" cy="2279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8525" cy="22796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40" w:type="dxa"/>
            <w:vAlign w:val="bottom"/>
          </w:tcPr>
          <w:p>
            <w:pPr>
              <w:spacing w:after="0"/>
              <w:rPr>
                <w:sz w:val="20"/>
                <w:szCs w:val="20"/>
                <w:color w:val="auto"/>
              </w:rPr>
            </w:pPr>
            <w:r>
              <w:rPr>
                <w:rFonts w:ascii="Arial" w:cs="Arial" w:eastAsia="Arial" w:hAnsi="Arial"/>
                <w:sz w:val="14"/>
                <w:szCs w:val="14"/>
                <w:color w:val="auto"/>
              </w:rPr>
              <w:t>Details about accumulated</w:t>
            </w:r>
          </w:p>
        </w:tc>
        <w:tc>
          <w:tcPr>
            <w:tcW w:w="380" w:type="dxa"/>
            <w:vAlign w:val="bottom"/>
          </w:tcPr>
          <w:p>
            <w:pPr>
              <w:spacing w:after="0"/>
              <w:rPr>
                <w:sz w:val="14"/>
                <w:szCs w:val="14"/>
                <w:color w:val="auto"/>
              </w:rPr>
            </w:pPr>
          </w:p>
        </w:tc>
        <w:tc>
          <w:tcPr>
            <w:tcW w:w="1960" w:type="dxa"/>
            <w:vAlign w:val="bottom"/>
            <w:gridSpan w:val="2"/>
          </w:tcPr>
          <w:p>
            <w:pPr>
              <w:jc w:val="center"/>
              <w:spacing w:after="0"/>
              <w:rPr>
                <w:sz w:val="20"/>
                <w:szCs w:val="20"/>
                <w:color w:val="auto"/>
              </w:rPr>
            </w:pPr>
            <w:r>
              <w:rPr>
                <w:rFonts w:ascii="Arial" w:cs="Arial" w:eastAsia="Arial" w:hAnsi="Arial"/>
                <w:sz w:val="14"/>
                <w:szCs w:val="14"/>
                <w:color w:val="auto"/>
              </w:rPr>
              <w:t>Amounts reclassified</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r>
      <w:tr>
        <w:trPr>
          <w:trHeight w:val="213"/>
        </w:trPr>
        <w:tc>
          <w:tcPr>
            <w:tcW w:w="4240" w:type="dxa"/>
            <w:vAlign w:val="bottom"/>
          </w:tcPr>
          <w:p>
            <w:pPr>
              <w:spacing w:after="0"/>
              <w:rPr>
                <w:sz w:val="20"/>
                <w:szCs w:val="20"/>
                <w:color w:val="auto"/>
              </w:rPr>
            </w:pPr>
            <w:r>
              <w:rPr>
                <w:rFonts w:ascii="Arial" w:cs="Arial" w:eastAsia="Arial" w:hAnsi="Arial"/>
                <w:sz w:val="14"/>
                <w:szCs w:val="14"/>
                <w:color w:val="auto"/>
              </w:rPr>
              <w:t>other comprehensive income (loss)</w:t>
            </w:r>
          </w:p>
        </w:tc>
        <w:tc>
          <w:tcPr>
            <w:tcW w:w="380" w:type="dxa"/>
            <w:vAlign w:val="bottom"/>
          </w:tcPr>
          <w:p>
            <w:pPr>
              <w:spacing w:after="0"/>
              <w:rPr>
                <w:sz w:val="18"/>
                <w:szCs w:val="18"/>
                <w:color w:val="auto"/>
              </w:rPr>
            </w:pPr>
          </w:p>
        </w:tc>
        <w:tc>
          <w:tcPr>
            <w:tcW w:w="1960" w:type="dxa"/>
            <w:vAlign w:val="bottom"/>
            <w:gridSpan w:val="2"/>
          </w:tcPr>
          <w:p>
            <w:pPr>
              <w:jc w:val="center"/>
              <w:spacing w:after="0"/>
              <w:rPr>
                <w:sz w:val="20"/>
                <w:szCs w:val="20"/>
                <w:color w:val="auto"/>
              </w:rPr>
            </w:pPr>
            <w:r>
              <w:rPr>
                <w:rFonts w:ascii="Arial" w:cs="Arial" w:eastAsia="Arial" w:hAnsi="Arial"/>
                <w:sz w:val="14"/>
                <w:szCs w:val="14"/>
                <w:color w:val="auto"/>
              </w:rPr>
              <w:t>from accumulated other</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80" w:type="dxa"/>
            <w:vAlign w:val="bottom"/>
          </w:tcPr>
          <w:p>
            <w:pPr>
              <w:ind w:left="1380"/>
              <w:spacing w:after="0"/>
              <w:rPr>
                <w:sz w:val="20"/>
                <w:szCs w:val="20"/>
                <w:color w:val="auto"/>
              </w:rPr>
            </w:pPr>
            <w:r>
              <w:rPr>
                <w:rFonts w:ascii="Arial" w:cs="Arial" w:eastAsia="Arial" w:hAnsi="Arial"/>
                <w:sz w:val="14"/>
                <w:szCs w:val="14"/>
                <w:color w:val="auto"/>
              </w:rPr>
              <w:t>Affected line item on Condensed</w:t>
            </w:r>
          </w:p>
        </w:tc>
      </w:tr>
      <w:tr>
        <w:trPr>
          <w:trHeight w:val="197"/>
        </w:trPr>
        <w:tc>
          <w:tcPr>
            <w:tcW w:w="4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components</w:t>
            </w:r>
          </w:p>
        </w:tc>
        <w:tc>
          <w:tcPr>
            <w:tcW w:w="38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comprehensive income (loss)</w:t>
            </w:r>
          </w:p>
        </w:tc>
        <w:tc>
          <w:tcPr>
            <w:tcW w:w="3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480" w:type="dxa"/>
            <w:vAlign w:val="bottom"/>
            <w:tcBorders>
              <w:bottom w:val="single" w:sz="8" w:color="auto"/>
            </w:tcBorders>
          </w:tcPr>
          <w:p>
            <w:pPr>
              <w:ind w:left="1180"/>
              <w:spacing w:after="0"/>
              <w:rPr>
                <w:sz w:val="20"/>
                <w:szCs w:val="20"/>
                <w:color w:val="auto"/>
              </w:rPr>
            </w:pPr>
            <w:r>
              <w:rPr>
                <w:rFonts w:ascii="Arial" w:cs="Arial" w:eastAsia="Arial" w:hAnsi="Arial"/>
                <w:sz w:val="14"/>
                <w:szCs w:val="14"/>
                <w:color w:val="auto"/>
              </w:rPr>
              <w:t>Consolidated Statements of Operations</w:t>
            </w:r>
          </w:p>
        </w:tc>
      </w:tr>
      <w:tr>
        <w:trPr>
          <w:trHeight w:val="193"/>
        </w:trPr>
        <w:tc>
          <w:tcPr>
            <w:tcW w:w="4240" w:type="dxa"/>
            <w:vAlign w:val="bottom"/>
          </w:tcPr>
          <w:p>
            <w:pPr>
              <w:spacing w:after="0"/>
              <w:rPr>
                <w:sz w:val="16"/>
                <w:szCs w:val="16"/>
                <w:color w:val="auto"/>
              </w:rPr>
            </w:pPr>
          </w:p>
        </w:tc>
        <w:tc>
          <w:tcPr>
            <w:tcW w:w="2700" w:type="dxa"/>
            <w:vAlign w:val="bottom"/>
            <w:gridSpan w:val="5"/>
          </w:tcPr>
          <w:p>
            <w:pPr>
              <w:jc w:val="center"/>
              <w:spacing w:after="0"/>
              <w:rPr>
                <w:sz w:val="20"/>
                <w:szCs w:val="20"/>
                <w:color w:val="auto"/>
              </w:rPr>
            </w:pPr>
            <w:r>
              <w:rPr>
                <w:rFonts w:ascii="Arial" w:cs="Arial" w:eastAsia="Arial" w:hAnsi="Arial"/>
                <w:sz w:val="14"/>
                <w:szCs w:val="14"/>
                <w:color w:val="auto"/>
              </w:rPr>
              <w:t>Three months ended September 30,</w:t>
            </w:r>
          </w:p>
        </w:tc>
        <w:tc>
          <w:tcPr>
            <w:tcW w:w="4480" w:type="dxa"/>
            <w:vAlign w:val="bottom"/>
          </w:tcPr>
          <w:p>
            <w:pPr>
              <w:spacing w:after="0"/>
              <w:rPr>
                <w:sz w:val="16"/>
                <w:szCs w:val="16"/>
                <w:color w:val="auto"/>
              </w:rPr>
            </w:pPr>
          </w:p>
        </w:tc>
      </w:tr>
      <w:tr>
        <w:trPr>
          <w:trHeight w:val="206"/>
        </w:trPr>
        <w:tc>
          <w:tcPr>
            <w:tcW w:w="4240" w:type="dxa"/>
            <w:vAlign w:val="bottom"/>
            <w:tcBorders>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602"/>
              <w:spacing w:after="0"/>
              <w:rPr>
                <w:sz w:val="20"/>
                <w:szCs w:val="20"/>
                <w:color w:val="auto"/>
              </w:rPr>
            </w:pPr>
            <w:r>
              <w:rPr>
                <w:rFonts w:ascii="Arial" w:cs="Arial" w:eastAsia="Arial" w:hAnsi="Arial"/>
                <w:sz w:val="14"/>
                <w:szCs w:val="14"/>
                <w:color w:val="auto"/>
              </w:rPr>
              <w:t>2014</w:t>
            </w:r>
          </w:p>
        </w:tc>
        <w:tc>
          <w:tcPr>
            <w:tcW w:w="86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4"/>
                <w:szCs w:val="14"/>
                <w:color w:val="auto"/>
              </w:rPr>
              <w:t>2013</w:t>
            </w:r>
          </w:p>
        </w:tc>
        <w:tc>
          <w:tcPr>
            <w:tcW w:w="340" w:type="dxa"/>
            <w:vAlign w:val="bottom"/>
            <w:tcBorders>
              <w:top w:val="single" w:sz="8" w:color="auto"/>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480" w:type="dxa"/>
            <w:vAlign w:val="bottom"/>
            <w:tcBorders>
              <w:bottom w:val="single" w:sz="8" w:color="auto"/>
            </w:tcBorders>
          </w:tcPr>
          <w:p>
            <w:pPr>
              <w:spacing w:after="0"/>
              <w:rPr>
                <w:sz w:val="17"/>
                <w:szCs w:val="17"/>
                <w:color w:val="auto"/>
              </w:rPr>
            </w:pPr>
          </w:p>
        </w:tc>
      </w:tr>
      <w:tr>
        <w:trPr>
          <w:trHeight w:val="214"/>
        </w:trPr>
        <w:tc>
          <w:tcPr>
            <w:tcW w:w="4240" w:type="dxa"/>
            <w:vAlign w:val="bottom"/>
          </w:tcPr>
          <w:p>
            <w:pPr>
              <w:spacing w:after="0"/>
              <w:rPr>
                <w:sz w:val="20"/>
                <w:szCs w:val="20"/>
                <w:color w:val="auto"/>
              </w:rPr>
            </w:pPr>
            <w:r>
              <w:rPr>
                <w:rFonts w:ascii="Arial" w:cs="Arial" w:eastAsia="Arial" w:hAnsi="Arial"/>
                <w:sz w:val="16"/>
                <w:szCs w:val="16"/>
                <w:b w:val="1"/>
                <w:bCs w:val="1"/>
                <w:color w:val="auto"/>
              </w:rPr>
              <w:t>Sempra Energy Consolidated:</w:t>
            </w: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13"/>
        </w:trPr>
        <w:tc>
          <w:tcPr>
            <w:tcW w:w="4240" w:type="dxa"/>
            <w:vAlign w:val="bottom"/>
          </w:tcPr>
          <w:p>
            <w:pPr>
              <w:spacing w:after="0"/>
              <w:rPr>
                <w:sz w:val="20"/>
                <w:szCs w:val="20"/>
                <w:color w:val="auto"/>
              </w:rPr>
            </w:pPr>
            <w:r>
              <w:rPr>
                <w:rFonts w:ascii="Arial" w:cs="Arial" w:eastAsia="Arial" w:hAnsi="Arial"/>
                <w:sz w:val="16"/>
                <w:szCs w:val="16"/>
                <w:color w:val="auto"/>
              </w:rPr>
              <w:t>Financial instruments:</w:t>
            </w: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13"/>
        </w:trPr>
        <w:tc>
          <w:tcPr>
            <w:tcW w:w="4240" w:type="dxa"/>
            <w:vAlign w:val="bottom"/>
          </w:tcPr>
          <w:p>
            <w:pPr>
              <w:ind w:left="180"/>
              <w:spacing w:after="0"/>
              <w:rPr>
                <w:sz w:val="20"/>
                <w:szCs w:val="20"/>
                <w:color w:val="auto"/>
              </w:rPr>
            </w:pPr>
            <w:r>
              <w:rPr>
                <w:rFonts w:ascii="Arial" w:cs="Arial" w:eastAsia="Arial" w:hAnsi="Arial"/>
                <w:sz w:val="16"/>
                <w:szCs w:val="16"/>
                <w:color w:val="auto"/>
              </w:rPr>
              <w:t>Interest rate and foreign exchange instruments</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02"/>
              <w:spacing w:after="0"/>
              <w:rPr>
                <w:sz w:val="20"/>
                <w:szCs w:val="20"/>
                <w:color w:val="auto"/>
              </w:rPr>
            </w:pPr>
            <w:r>
              <w:rPr>
                <w:rFonts w:ascii="Arial" w:cs="Arial" w:eastAsia="Arial" w:hAnsi="Arial"/>
                <w:sz w:val="16"/>
                <w:szCs w:val="16"/>
                <w:color w:val="auto"/>
              </w:rPr>
              <w:t>8</w:t>
            </w:r>
          </w:p>
        </w:tc>
        <w:tc>
          <w:tcPr>
            <w:tcW w:w="860" w:type="dxa"/>
            <w:vAlign w:val="bottom"/>
          </w:tcPr>
          <w:p>
            <w:pPr>
              <w:jc w:val="right"/>
              <w:ind w:right="521"/>
              <w:spacing w:after="0"/>
              <w:rPr>
                <w:sz w:val="20"/>
                <w:szCs w:val="20"/>
                <w:color w:val="auto"/>
              </w:rPr>
            </w:pPr>
            <w:r>
              <w:rPr>
                <w:rFonts w:ascii="Arial" w:cs="Arial" w:eastAsia="Arial" w:hAnsi="Arial"/>
                <w:sz w:val="16"/>
                <w:szCs w:val="16"/>
                <w:color w:val="auto"/>
              </w:rPr>
              <w:t>$</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3</w:t>
            </w:r>
          </w:p>
        </w:tc>
        <w:tc>
          <w:tcPr>
            <w:tcW w:w="4480" w:type="dxa"/>
            <w:vAlign w:val="bottom"/>
          </w:tcPr>
          <w:p>
            <w:pPr>
              <w:ind w:left="340"/>
              <w:spacing w:after="0"/>
              <w:rPr>
                <w:sz w:val="20"/>
                <w:szCs w:val="20"/>
                <w:color w:val="auto"/>
              </w:rPr>
            </w:pPr>
            <w:r>
              <w:rPr>
                <w:rFonts w:ascii="Arial" w:cs="Arial" w:eastAsia="Arial" w:hAnsi="Arial"/>
                <w:sz w:val="16"/>
                <w:szCs w:val="16"/>
                <w:color w:val="auto"/>
              </w:rPr>
              <w:t>Interest Expense</w:t>
            </w:r>
          </w:p>
        </w:tc>
      </w:tr>
      <w:tr>
        <w:trPr>
          <w:trHeight w:val="213"/>
        </w:trPr>
        <w:tc>
          <w:tcPr>
            <w:tcW w:w="4240" w:type="dxa"/>
            <w:vAlign w:val="bottom"/>
          </w:tcPr>
          <w:p>
            <w:pPr>
              <w:ind w:left="180"/>
              <w:spacing w:after="0"/>
              <w:rPr>
                <w:sz w:val="20"/>
                <w:szCs w:val="20"/>
                <w:color w:val="auto"/>
              </w:rPr>
            </w:pPr>
            <w:r>
              <w:rPr>
                <w:rFonts w:ascii="Arial" w:cs="Arial" w:eastAsia="Arial" w:hAnsi="Arial"/>
                <w:sz w:val="16"/>
                <w:szCs w:val="16"/>
                <w:color w:val="auto"/>
              </w:rPr>
              <w:t>Interest rate instruments</w:t>
            </w:r>
          </w:p>
        </w:tc>
        <w:tc>
          <w:tcPr>
            <w:tcW w:w="380" w:type="dxa"/>
            <w:vAlign w:val="bottom"/>
          </w:tcPr>
          <w:p>
            <w:pPr>
              <w:spacing w:after="0"/>
              <w:rPr>
                <w:sz w:val="18"/>
                <w:szCs w:val="18"/>
                <w:color w:val="auto"/>
              </w:rPr>
            </w:pPr>
          </w:p>
        </w:tc>
        <w:tc>
          <w:tcPr>
            <w:tcW w:w="1100" w:type="dxa"/>
            <w:vAlign w:val="bottom"/>
          </w:tcPr>
          <w:p>
            <w:pPr>
              <w:jc w:val="right"/>
              <w:ind w:right="102"/>
              <w:spacing w:after="0"/>
              <w:rPr>
                <w:sz w:val="20"/>
                <w:szCs w:val="20"/>
                <w:color w:val="auto"/>
              </w:rPr>
            </w:pPr>
            <w:r>
              <w:rPr>
                <w:rFonts w:ascii="Arial" w:cs="Arial" w:eastAsia="Arial" w:hAnsi="Arial"/>
                <w:sz w:val="16"/>
                <w:szCs w:val="16"/>
                <w:color w:val="auto"/>
              </w:rPr>
              <w:t>(5)</w:t>
            </w:r>
          </w:p>
        </w:tc>
        <w:tc>
          <w:tcPr>
            <w:tcW w:w="86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480" w:type="dxa"/>
            <w:vAlign w:val="bottom"/>
          </w:tcPr>
          <w:p>
            <w:pPr>
              <w:ind w:left="340"/>
              <w:spacing w:after="0"/>
              <w:rPr>
                <w:sz w:val="20"/>
                <w:szCs w:val="20"/>
                <w:color w:val="auto"/>
              </w:rPr>
            </w:pPr>
            <w:r>
              <w:rPr>
                <w:rFonts w:ascii="Arial" w:cs="Arial" w:eastAsia="Arial" w:hAnsi="Arial"/>
                <w:sz w:val="16"/>
                <w:szCs w:val="16"/>
                <w:color w:val="auto"/>
              </w:rPr>
              <w:t>Gain on Sale of Equity Interests and Assets</w:t>
            </w:r>
          </w:p>
        </w:tc>
      </w:tr>
      <w:tr>
        <w:trPr>
          <w:trHeight w:val="213"/>
        </w:trPr>
        <w:tc>
          <w:tcPr>
            <w:tcW w:w="4240" w:type="dxa"/>
            <w:vAlign w:val="bottom"/>
          </w:tcPr>
          <w:p>
            <w:pPr>
              <w:ind w:left="180"/>
              <w:spacing w:after="0"/>
              <w:rPr>
                <w:sz w:val="20"/>
                <w:szCs w:val="20"/>
                <w:color w:val="auto"/>
              </w:rPr>
            </w:pPr>
            <w:r>
              <w:rPr>
                <w:rFonts w:ascii="Arial" w:cs="Arial" w:eastAsia="Arial" w:hAnsi="Arial"/>
                <w:sz w:val="16"/>
                <w:szCs w:val="16"/>
                <w:color w:val="auto"/>
              </w:rPr>
              <w:t>Interest rate instruments</w:t>
            </w:r>
          </w:p>
        </w:tc>
        <w:tc>
          <w:tcPr>
            <w:tcW w:w="380" w:type="dxa"/>
            <w:vAlign w:val="bottom"/>
          </w:tcPr>
          <w:p>
            <w:pPr>
              <w:spacing w:after="0"/>
              <w:rPr>
                <w:sz w:val="18"/>
                <w:szCs w:val="18"/>
                <w:color w:val="auto"/>
              </w:rPr>
            </w:pPr>
          </w:p>
        </w:tc>
        <w:tc>
          <w:tcPr>
            <w:tcW w:w="1100" w:type="dxa"/>
            <w:vAlign w:val="bottom"/>
          </w:tcPr>
          <w:p>
            <w:pPr>
              <w:jc w:val="right"/>
              <w:ind w:right="102"/>
              <w:spacing w:after="0"/>
              <w:rPr>
                <w:sz w:val="20"/>
                <w:szCs w:val="20"/>
                <w:color w:val="auto"/>
              </w:rPr>
            </w:pPr>
            <w:r>
              <w:rPr>
                <w:rFonts w:ascii="Arial" w:cs="Arial" w:eastAsia="Arial" w:hAnsi="Arial"/>
                <w:sz w:val="16"/>
                <w:szCs w:val="16"/>
                <w:color w:val="auto"/>
              </w:rPr>
              <w:t>2</w:t>
            </w:r>
          </w:p>
        </w:tc>
        <w:tc>
          <w:tcPr>
            <w:tcW w:w="86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3</w:t>
            </w:r>
          </w:p>
        </w:tc>
        <w:tc>
          <w:tcPr>
            <w:tcW w:w="4480" w:type="dxa"/>
            <w:vAlign w:val="bottom"/>
          </w:tcPr>
          <w:p>
            <w:pPr>
              <w:ind w:left="340"/>
              <w:spacing w:after="0"/>
              <w:rPr>
                <w:sz w:val="20"/>
                <w:szCs w:val="20"/>
                <w:color w:val="auto"/>
              </w:rPr>
            </w:pPr>
            <w:r>
              <w:rPr>
                <w:rFonts w:ascii="Arial" w:cs="Arial" w:eastAsia="Arial" w:hAnsi="Arial"/>
                <w:sz w:val="16"/>
                <w:szCs w:val="16"/>
                <w:color w:val="auto"/>
              </w:rPr>
              <w:t>Equity Earnings, Before Income Tax</w:t>
            </w:r>
          </w:p>
        </w:tc>
      </w:tr>
      <w:tr>
        <w:trPr>
          <w:trHeight w:val="213"/>
        </w:trPr>
        <w:tc>
          <w:tcPr>
            <w:tcW w:w="4240" w:type="dxa"/>
            <w:vAlign w:val="bottom"/>
          </w:tcPr>
          <w:p>
            <w:pPr>
              <w:ind w:left="180"/>
              <w:spacing w:after="0"/>
              <w:rPr>
                <w:sz w:val="20"/>
                <w:szCs w:val="20"/>
                <w:color w:val="auto"/>
              </w:rPr>
            </w:pPr>
            <w:r>
              <w:rPr>
                <w:rFonts w:ascii="Arial" w:cs="Arial" w:eastAsia="Arial" w:hAnsi="Arial"/>
                <w:sz w:val="16"/>
                <w:szCs w:val="16"/>
                <w:color w:val="auto"/>
              </w:rPr>
              <w:t>Commodity contracts not subject</w:t>
            </w: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80" w:type="dxa"/>
            <w:vAlign w:val="bottom"/>
          </w:tcPr>
          <w:p>
            <w:pPr>
              <w:ind w:left="340"/>
              <w:spacing w:after="0"/>
              <w:rPr>
                <w:sz w:val="20"/>
                <w:szCs w:val="20"/>
                <w:color w:val="auto"/>
              </w:rPr>
            </w:pPr>
            <w:r>
              <w:rPr>
                <w:rFonts w:ascii="Arial" w:cs="Arial" w:eastAsia="Arial" w:hAnsi="Arial"/>
                <w:sz w:val="16"/>
                <w:szCs w:val="16"/>
                <w:color w:val="auto"/>
              </w:rPr>
              <w:t>Revenues: Energy-Related</w:t>
            </w:r>
          </w:p>
        </w:tc>
      </w:tr>
      <w:tr>
        <w:trPr>
          <w:trHeight w:val="204"/>
        </w:trPr>
        <w:tc>
          <w:tcPr>
            <w:tcW w:w="4240" w:type="dxa"/>
            <w:vAlign w:val="bottom"/>
          </w:tcPr>
          <w:p>
            <w:pPr>
              <w:ind w:left="240"/>
              <w:spacing w:after="0"/>
              <w:rPr>
                <w:sz w:val="20"/>
                <w:szCs w:val="20"/>
                <w:color w:val="auto"/>
              </w:rPr>
            </w:pPr>
            <w:r>
              <w:rPr>
                <w:rFonts w:ascii="Arial" w:cs="Arial" w:eastAsia="Arial" w:hAnsi="Arial"/>
                <w:sz w:val="16"/>
                <w:szCs w:val="16"/>
                <w:color w:val="auto"/>
              </w:rPr>
              <w:t>to rate recovery</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(2)</w:t>
            </w:r>
          </w:p>
        </w:tc>
        <w:tc>
          <w:tcPr>
            <w:tcW w:w="8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4480" w:type="dxa"/>
            <w:vAlign w:val="bottom"/>
          </w:tcPr>
          <w:p>
            <w:pPr>
              <w:ind w:left="460"/>
              <w:spacing w:after="0"/>
              <w:rPr>
                <w:sz w:val="20"/>
                <w:szCs w:val="20"/>
                <w:color w:val="auto"/>
              </w:rPr>
            </w:pPr>
            <w:r>
              <w:rPr>
                <w:rFonts w:ascii="Arial" w:cs="Arial" w:eastAsia="Arial" w:hAnsi="Arial"/>
                <w:sz w:val="16"/>
                <w:szCs w:val="16"/>
                <w:color w:val="auto"/>
              </w:rPr>
              <w:t>Businesses</w:t>
            </w:r>
          </w:p>
        </w:tc>
      </w:tr>
      <w:tr>
        <w:trPr>
          <w:trHeight w:val="214"/>
        </w:trPr>
        <w:tc>
          <w:tcPr>
            <w:tcW w:w="4240" w:type="dxa"/>
            <w:vAlign w:val="bottom"/>
          </w:tcPr>
          <w:p>
            <w:pPr>
              <w:spacing w:after="0"/>
              <w:rPr>
                <w:sz w:val="20"/>
                <w:szCs w:val="20"/>
                <w:color w:val="auto"/>
              </w:rPr>
            </w:pPr>
            <w:r>
              <w:rPr>
                <w:rFonts w:ascii="Arial" w:cs="Arial" w:eastAsia="Arial" w:hAnsi="Arial"/>
                <w:sz w:val="16"/>
                <w:szCs w:val="16"/>
                <w:color w:val="auto"/>
              </w:rPr>
              <w:t>Total before income tax</w:t>
            </w:r>
          </w:p>
        </w:tc>
        <w:tc>
          <w:tcPr>
            <w:tcW w:w="380" w:type="dxa"/>
            <w:vAlign w:val="bottom"/>
          </w:tcPr>
          <w:p>
            <w:pPr>
              <w:spacing w:after="0"/>
              <w:rPr>
                <w:sz w:val="18"/>
                <w:szCs w:val="18"/>
                <w:color w:val="auto"/>
              </w:rPr>
            </w:pPr>
          </w:p>
        </w:tc>
        <w:tc>
          <w:tcPr>
            <w:tcW w:w="1100" w:type="dxa"/>
            <w:vAlign w:val="bottom"/>
          </w:tcPr>
          <w:p>
            <w:pPr>
              <w:jc w:val="right"/>
              <w:ind w:right="102"/>
              <w:spacing w:after="0"/>
              <w:rPr>
                <w:sz w:val="20"/>
                <w:szCs w:val="20"/>
                <w:color w:val="auto"/>
              </w:rPr>
            </w:pPr>
            <w:r>
              <w:rPr>
                <w:rFonts w:ascii="Arial" w:cs="Arial" w:eastAsia="Arial" w:hAnsi="Arial"/>
                <w:sz w:val="16"/>
                <w:szCs w:val="16"/>
                <w:color w:val="auto"/>
              </w:rPr>
              <w:t>3</w:t>
            </w:r>
          </w:p>
        </w:tc>
        <w:tc>
          <w:tcPr>
            <w:tcW w:w="86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6</w:t>
            </w:r>
          </w:p>
        </w:tc>
        <w:tc>
          <w:tcPr>
            <w:tcW w:w="4480" w:type="dxa"/>
            <w:vAlign w:val="bottom"/>
          </w:tcPr>
          <w:p>
            <w:pPr>
              <w:spacing w:after="0"/>
              <w:rPr>
                <w:sz w:val="18"/>
                <w:szCs w:val="18"/>
                <w:color w:val="auto"/>
              </w:rPr>
            </w:pPr>
          </w:p>
        </w:tc>
      </w:tr>
      <w:tr>
        <w:trPr>
          <w:trHeight w:val="204"/>
        </w:trPr>
        <w:tc>
          <w:tcPr>
            <w:tcW w:w="42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(1)</w:t>
            </w:r>
          </w:p>
        </w:tc>
        <w:tc>
          <w:tcPr>
            <w:tcW w:w="8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w:t>
            </w:r>
          </w:p>
        </w:tc>
        <w:tc>
          <w:tcPr>
            <w:tcW w:w="4480" w:type="dxa"/>
            <w:vAlign w:val="bottom"/>
          </w:tcPr>
          <w:p>
            <w:pPr>
              <w:ind w:left="340"/>
              <w:spacing w:after="0"/>
              <w:rPr>
                <w:sz w:val="20"/>
                <w:szCs w:val="20"/>
                <w:color w:val="auto"/>
              </w:rPr>
            </w:pPr>
            <w:r>
              <w:rPr>
                <w:rFonts w:ascii="Arial" w:cs="Arial" w:eastAsia="Arial" w:hAnsi="Arial"/>
                <w:sz w:val="16"/>
                <w:szCs w:val="16"/>
                <w:color w:val="auto"/>
              </w:rPr>
              <w:t>Income Tax Expense</w:t>
            </w:r>
          </w:p>
        </w:tc>
      </w:tr>
      <w:tr>
        <w:trPr>
          <w:trHeight w:val="214"/>
        </w:trPr>
        <w:tc>
          <w:tcPr>
            <w:tcW w:w="4240" w:type="dxa"/>
            <w:vAlign w:val="bottom"/>
          </w:tcPr>
          <w:p>
            <w:pPr>
              <w:spacing w:after="0"/>
              <w:rPr>
                <w:sz w:val="20"/>
                <w:szCs w:val="20"/>
                <w:color w:val="auto"/>
              </w:rPr>
            </w:pPr>
            <w:r>
              <w:rPr>
                <w:rFonts w:ascii="Arial" w:cs="Arial" w:eastAsia="Arial" w:hAnsi="Arial"/>
                <w:sz w:val="16"/>
                <w:szCs w:val="16"/>
                <w:color w:val="auto"/>
              </w:rPr>
              <w:t>Net of income tax</w:t>
            </w:r>
          </w:p>
        </w:tc>
        <w:tc>
          <w:tcPr>
            <w:tcW w:w="380" w:type="dxa"/>
            <w:vAlign w:val="bottom"/>
          </w:tcPr>
          <w:p>
            <w:pPr>
              <w:spacing w:after="0"/>
              <w:rPr>
                <w:sz w:val="18"/>
                <w:szCs w:val="18"/>
                <w:color w:val="auto"/>
              </w:rPr>
            </w:pPr>
          </w:p>
        </w:tc>
        <w:tc>
          <w:tcPr>
            <w:tcW w:w="1100" w:type="dxa"/>
            <w:vAlign w:val="bottom"/>
          </w:tcPr>
          <w:p>
            <w:pPr>
              <w:jc w:val="right"/>
              <w:ind w:right="102"/>
              <w:spacing w:after="0"/>
              <w:rPr>
                <w:sz w:val="20"/>
                <w:szCs w:val="20"/>
                <w:color w:val="auto"/>
              </w:rPr>
            </w:pPr>
            <w:r>
              <w:rPr>
                <w:rFonts w:ascii="Arial" w:cs="Arial" w:eastAsia="Arial" w:hAnsi="Arial"/>
                <w:sz w:val="16"/>
                <w:szCs w:val="16"/>
                <w:color w:val="auto"/>
              </w:rPr>
              <w:t>2</w:t>
            </w:r>
          </w:p>
        </w:tc>
        <w:tc>
          <w:tcPr>
            <w:tcW w:w="86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4</w:t>
            </w:r>
          </w:p>
        </w:tc>
        <w:tc>
          <w:tcPr>
            <w:tcW w:w="4480" w:type="dxa"/>
            <w:vAlign w:val="bottom"/>
          </w:tcPr>
          <w:p>
            <w:pPr>
              <w:spacing w:after="0"/>
              <w:rPr>
                <w:sz w:val="18"/>
                <w:szCs w:val="18"/>
                <w:color w:val="auto"/>
              </w:rPr>
            </w:pPr>
          </w:p>
        </w:tc>
      </w:tr>
      <w:tr>
        <w:trPr>
          <w:trHeight w:val="204"/>
        </w:trPr>
        <w:tc>
          <w:tcPr>
            <w:tcW w:w="42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(3)</w:t>
            </w:r>
          </w:p>
        </w:tc>
        <w:tc>
          <w:tcPr>
            <w:tcW w:w="8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w:t>
            </w:r>
          </w:p>
        </w:tc>
        <w:tc>
          <w:tcPr>
            <w:tcW w:w="4480" w:type="dxa"/>
            <w:vAlign w:val="bottom"/>
          </w:tcPr>
          <w:p>
            <w:pPr>
              <w:ind w:left="340"/>
              <w:spacing w:after="0"/>
              <w:rPr>
                <w:sz w:val="20"/>
                <w:szCs w:val="20"/>
                <w:color w:val="auto"/>
              </w:rPr>
            </w:pPr>
            <w:r>
              <w:rPr>
                <w:rFonts w:ascii="Arial" w:cs="Arial" w:eastAsia="Arial" w:hAnsi="Arial"/>
                <w:sz w:val="16"/>
                <w:szCs w:val="16"/>
                <w:color w:val="auto"/>
              </w:rPr>
              <w:t>Earnings Attributable to Noncontrolling Interests</w:t>
            </w:r>
          </w:p>
        </w:tc>
      </w:tr>
      <w:tr>
        <w:trPr>
          <w:trHeight w:val="212"/>
        </w:trPr>
        <w:tc>
          <w:tcPr>
            <w:tcW w:w="42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02"/>
              <w:spacing w:after="0"/>
              <w:rPr>
                <w:sz w:val="20"/>
                <w:szCs w:val="20"/>
                <w:color w:val="auto"/>
              </w:rPr>
            </w:pPr>
            <w:r>
              <w:rPr>
                <w:rFonts w:ascii="Arial" w:cs="Arial" w:eastAsia="Arial" w:hAnsi="Arial"/>
                <w:sz w:val="16"/>
                <w:szCs w:val="16"/>
                <w:color w:val="auto"/>
              </w:rPr>
              <w:t>(1)</w:t>
            </w:r>
          </w:p>
        </w:tc>
        <w:tc>
          <w:tcPr>
            <w:tcW w:w="860" w:type="dxa"/>
            <w:vAlign w:val="bottom"/>
          </w:tcPr>
          <w:p>
            <w:pPr>
              <w:jc w:val="right"/>
              <w:ind w:right="521"/>
              <w:spacing w:after="0"/>
              <w:rPr>
                <w:sz w:val="20"/>
                <w:szCs w:val="20"/>
                <w:color w:val="auto"/>
              </w:rPr>
            </w:pPr>
            <w:r>
              <w:rPr>
                <w:rFonts w:ascii="Arial" w:cs="Arial" w:eastAsia="Arial" w:hAnsi="Arial"/>
                <w:sz w:val="16"/>
                <w:szCs w:val="16"/>
                <w:color w:val="auto"/>
              </w:rPr>
              <w:t>$</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4480" w:type="dxa"/>
            <w:vAlign w:val="bottom"/>
          </w:tcPr>
          <w:p>
            <w:pPr>
              <w:spacing w:after="0"/>
              <w:rPr>
                <w:sz w:val="18"/>
                <w:szCs w:val="18"/>
                <w:color w:val="auto"/>
              </w:rPr>
            </w:pPr>
          </w:p>
        </w:tc>
      </w:tr>
      <w:tr>
        <w:trPr>
          <w:trHeight w:val="433"/>
        </w:trPr>
        <w:tc>
          <w:tcPr>
            <w:tcW w:w="4240" w:type="dxa"/>
            <w:vAlign w:val="bottom"/>
          </w:tcPr>
          <w:p>
            <w:pPr>
              <w:spacing w:after="0"/>
              <w:rPr>
                <w:sz w:val="20"/>
                <w:szCs w:val="20"/>
                <w:color w:val="auto"/>
              </w:rPr>
            </w:pPr>
            <w:r>
              <w:rPr>
                <w:rFonts w:ascii="Arial" w:cs="Arial" w:eastAsia="Arial" w:hAnsi="Arial"/>
                <w:sz w:val="16"/>
                <w:szCs w:val="16"/>
                <w:color w:val="auto"/>
              </w:rPr>
              <w:t>Pension and other postretirement benefits:</w:t>
            </w:r>
          </w:p>
        </w:tc>
        <w:tc>
          <w:tcPr>
            <w:tcW w:w="3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13"/>
        </w:trPr>
        <w:tc>
          <w:tcPr>
            <w:tcW w:w="4240" w:type="dxa"/>
            <w:vAlign w:val="bottom"/>
          </w:tcPr>
          <w:p>
            <w:pPr>
              <w:ind w:left="180"/>
              <w:spacing w:after="0"/>
              <w:rPr>
                <w:sz w:val="20"/>
                <w:szCs w:val="20"/>
                <w:color w:val="auto"/>
              </w:rPr>
            </w:pPr>
            <w:r>
              <w:rPr>
                <w:rFonts w:ascii="Arial" w:cs="Arial" w:eastAsia="Arial" w:hAnsi="Arial"/>
                <w:sz w:val="16"/>
                <w:szCs w:val="16"/>
                <w:color w:val="auto"/>
              </w:rPr>
              <w:t>Amortization of actuarial loss</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02"/>
              <w:spacing w:after="0"/>
              <w:rPr>
                <w:sz w:val="20"/>
                <w:szCs w:val="20"/>
                <w:color w:val="auto"/>
              </w:rPr>
            </w:pPr>
            <w:r>
              <w:rPr>
                <w:rFonts w:ascii="Arial" w:cs="Arial" w:eastAsia="Arial" w:hAnsi="Arial"/>
                <w:sz w:val="16"/>
                <w:szCs w:val="16"/>
                <w:color w:val="auto"/>
              </w:rPr>
              <w:t>8</w:t>
            </w:r>
          </w:p>
        </w:tc>
        <w:tc>
          <w:tcPr>
            <w:tcW w:w="860" w:type="dxa"/>
            <w:vAlign w:val="bottom"/>
          </w:tcPr>
          <w:p>
            <w:pPr>
              <w:jc w:val="right"/>
              <w:ind w:right="521"/>
              <w:spacing w:after="0"/>
              <w:rPr>
                <w:sz w:val="20"/>
                <w:szCs w:val="20"/>
                <w:color w:val="auto"/>
              </w:rPr>
            </w:pPr>
            <w:r>
              <w:rPr>
                <w:rFonts w:ascii="Arial" w:cs="Arial" w:eastAsia="Arial" w:hAnsi="Arial"/>
                <w:sz w:val="16"/>
                <w:szCs w:val="16"/>
                <w:color w:val="auto"/>
              </w:rPr>
              <w:t>$</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5</w:t>
            </w:r>
          </w:p>
        </w:tc>
        <w:tc>
          <w:tcPr>
            <w:tcW w:w="4480" w:type="dxa"/>
            <w:vAlign w:val="bottom"/>
          </w:tcPr>
          <w:p>
            <w:pPr>
              <w:ind w:left="340"/>
              <w:spacing w:after="0"/>
              <w:rPr>
                <w:sz w:val="20"/>
                <w:szCs w:val="20"/>
                <w:color w:val="auto"/>
              </w:rPr>
            </w:pPr>
            <w:r>
              <w:rPr>
                <w:rFonts w:ascii="Arial" w:cs="Arial" w:eastAsia="Arial" w:hAnsi="Arial"/>
                <w:sz w:val="16"/>
                <w:szCs w:val="16"/>
                <w:color w:val="auto"/>
              </w:rPr>
              <w:t>(1)</w:t>
            </w:r>
          </w:p>
        </w:tc>
      </w:tr>
      <w:tr>
        <w:trPr>
          <w:trHeight w:val="204"/>
        </w:trPr>
        <w:tc>
          <w:tcPr>
            <w:tcW w:w="42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(3)</w:t>
            </w:r>
          </w:p>
        </w:tc>
        <w:tc>
          <w:tcPr>
            <w:tcW w:w="8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w:t>
            </w:r>
          </w:p>
        </w:tc>
        <w:tc>
          <w:tcPr>
            <w:tcW w:w="4480" w:type="dxa"/>
            <w:vAlign w:val="bottom"/>
          </w:tcPr>
          <w:p>
            <w:pPr>
              <w:ind w:left="340"/>
              <w:spacing w:after="0"/>
              <w:rPr>
                <w:sz w:val="20"/>
                <w:szCs w:val="20"/>
                <w:color w:val="auto"/>
              </w:rPr>
            </w:pPr>
            <w:r>
              <w:rPr>
                <w:rFonts w:ascii="Arial" w:cs="Arial" w:eastAsia="Arial" w:hAnsi="Arial"/>
                <w:sz w:val="16"/>
                <w:szCs w:val="16"/>
                <w:color w:val="auto"/>
              </w:rPr>
              <w:t>Income Tax Expense</w:t>
            </w:r>
          </w:p>
        </w:tc>
      </w:tr>
      <w:tr>
        <w:trPr>
          <w:trHeight w:val="212"/>
        </w:trPr>
        <w:tc>
          <w:tcPr>
            <w:tcW w:w="4240" w:type="dxa"/>
            <w:vAlign w:val="bottom"/>
          </w:tcPr>
          <w:p>
            <w:pPr>
              <w:spacing w:after="0"/>
              <w:rPr>
                <w:sz w:val="20"/>
                <w:szCs w:val="20"/>
                <w:color w:val="auto"/>
              </w:rPr>
            </w:pPr>
            <w:r>
              <w:rPr>
                <w:rFonts w:ascii="Arial" w:cs="Arial" w:eastAsia="Arial" w:hAnsi="Arial"/>
                <w:sz w:val="16"/>
                <w:szCs w:val="16"/>
                <w:color w:val="auto"/>
              </w:rPr>
              <w:t>Net of income tax</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5</w:t>
            </w:r>
          </w:p>
        </w:tc>
        <w:tc>
          <w:tcPr>
            <w:tcW w:w="86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w:t>
            </w:r>
          </w:p>
        </w:tc>
        <w:tc>
          <w:tcPr>
            <w:tcW w:w="4480" w:type="dxa"/>
            <w:vAlign w:val="bottom"/>
          </w:tcPr>
          <w:p>
            <w:pPr>
              <w:spacing w:after="0"/>
              <w:rPr>
                <w:sz w:val="18"/>
                <w:szCs w:val="18"/>
                <w:color w:val="auto"/>
              </w:rPr>
            </w:pPr>
          </w:p>
        </w:tc>
      </w:tr>
      <w:tr>
        <w:trPr>
          <w:trHeight w:val="432"/>
        </w:trPr>
        <w:tc>
          <w:tcPr>
            <w:tcW w:w="4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reclassifications for the period, net of tax</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4</w:t>
            </w:r>
          </w:p>
        </w:tc>
        <w:tc>
          <w:tcPr>
            <w:tcW w:w="86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w:t>
            </w:r>
          </w:p>
        </w:tc>
        <w:tc>
          <w:tcPr>
            <w:tcW w:w="4480" w:type="dxa"/>
            <w:vAlign w:val="bottom"/>
            <w:tcBorders>
              <w:bottom w:val="single" w:sz="8" w:color="auto"/>
            </w:tcBorders>
          </w:tcPr>
          <w:p>
            <w:pPr>
              <w:spacing w:after="0"/>
              <w:rPr>
                <w:sz w:val="24"/>
                <w:szCs w:val="24"/>
                <w:color w:val="auto"/>
              </w:rPr>
            </w:pPr>
          </w:p>
        </w:tc>
      </w:tr>
      <w:tr>
        <w:trPr>
          <w:trHeight w:val="221"/>
        </w:trPr>
        <w:tc>
          <w:tcPr>
            <w:tcW w:w="424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80" w:type="dxa"/>
            <w:vAlign w:val="bottom"/>
          </w:tcPr>
          <w:p>
            <w:pPr>
              <w:spacing w:after="0"/>
              <w:rPr>
                <w:sz w:val="19"/>
                <w:szCs w:val="19"/>
                <w:color w:val="auto"/>
              </w:rPr>
            </w:pPr>
          </w:p>
        </w:tc>
      </w:tr>
      <w:tr>
        <w:trPr>
          <w:trHeight w:val="213"/>
        </w:trPr>
        <w:tc>
          <w:tcPr>
            <w:tcW w:w="4240" w:type="dxa"/>
            <w:vAlign w:val="bottom"/>
          </w:tcPr>
          <w:p>
            <w:pPr>
              <w:spacing w:after="0"/>
              <w:rPr>
                <w:sz w:val="20"/>
                <w:szCs w:val="20"/>
                <w:color w:val="auto"/>
              </w:rPr>
            </w:pPr>
            <w:r>
              <w:rPr>
                <w:rFonts w:ascii="Arial" w:cs="Arial" w:eastAsia="Arial" w:hAnsi="Arial"/>
                <w:sz w:val="16"/>
                <w:szCs w:val="16"/>
                <w:color w:val="auto"/>
              </w:rPr>
              <w:t>Financial instruments:</w:t>
            </w: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13"/>
        </w:trPr>
        <w:tc>
          <w:tcPr>
            <w:tcW w:w="4240" w:type="dxa"/>
            <w:vAlign w:val="bottom"/>
          </w:tcPr>
          <w:p>
            <w:pPr>
              <w:ind w:left="180"/>
              <w:spacing w:after="0"/>
              <w:rPr>
                <w:sz w:val="20"/>
                <w:szCs w:val="20"/>
                <w:color w:val="auto"/>
              </w:rPr>
            </w:pPr>
            <w:r>
              <w:rPr>
                <w:rFonts w:ascii="Arial" w:cs="Arial" w:eastAsia="Arial" w:hAnsi="Arial"/>
                <w:sz w:val="16"/>
                <w:szCs w:val="16"/>
                <w:color w:val="auto"/>
              </w:rPr>
              <w:t>Interest rate instruments</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02"/>
              <w:spacing w:after="0"/>
              <w:rPr>
                <w:sz w:val="20"/>
                <w:szCs w:val="20"/>
                <w:color w:val="auto"/>
              </w:rPr>
            </w:pPr>
            <w:r>
              <w:rPr>
                <w:rFonts w:ascii="Arial" w:cs="Arial" w:eastAsia="Arial" w:hAnsi="Arial"/>
                <w:sz w:val="16"/>
                <w:szCs w:val="16"/>
                <w:color w:val="auto"/>
              </w:rPr>
              <w:t>3</w:t>
            </w:r>
          </w:p>
        </w:tc>
        <w:tc>
          <w:tcPr>
            <w:tcW w:w="860" w:type="dxa"/>
            <w:vAlign w:val="bottom"/>
          </w:tcPr>
          <w:p>
            <w:pPr>
              <w:jc w:val="right"/>
              <w:ind w:right="521"/>
              <w:spacing w:after="0"/>
              <w:rPr>
                <w:sz w:val="20"/>
                <w:szCs w:val="20"/>
                <w:color w:val="auto"/>
              </w:rPr>
            </w:pPr>
            <w:r>
              <w:rPr>
                <w:rFonts w:ascii="Arial" w:cs="Arial" w:eastAsia="Arial" w:hAnsi="Arial"/>
                <w:sz w:val="16"/>
                <w:szCs w:val="16"/>
                <w:color w:val="auto"/>
              </w:rPr>
              <w:t>$</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4480" w:type="dxa"/>
            <w:vAlign w:val="bottom"/>
          </w:tcPr>
          <w:p>
            <w:pPr>
              <w:ind w:left="340"/>
              <w:spacing w:after="0"/>
              <w:rPr>
                <w:sz w:val="20"/>
                <w:szCs w:val="20"/>
                <w:color w:val="auto"/>
              </w:rPr>
            </w:pPr>
            <w:r>
              <w:rPr>
                <w:rFonts w:ascii="Arial" w:cs="Arial" w:eastAsia="Arial" w:hAnsi="Arial"/>
                <w:sz w:val="16"/>
                <w:szCs w:val="16"/>
                <w:color w:val="auto"/>
              </w:rPr>
              <w:t>Interest Expense</w:t>
            </w:r>
          </w:p>
        </w:tc>
      </w:tr>
      <w:tr>
        <w:trPr>
          <w:trHeight w:val="204"/>
        </w:trPr>
        <w:tc>
          <w:tcPr>
            <w:tcW w:w="4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jc w:val="right"/>
              <w:ind w:right="102"/>
              <w:spacing w:after="0"/>
              <w:rPr>
                <w:sz w:val="20"/>
                <w:szCs w:val="20"/>
                <w:color w:val="auto"/>
              </w:rPr>
            </w:pPr>
            <w:r>
              <w:rPr>
                <w:rFonts w:ascii="Arial" w:cs="Arial" w:eastAsia="Arial" w:hAnsi="Arial"/>
                <w:sz w:val="16"/>
                <w:szCs w:val="16"/>
                <w:color w:val="auto"/>
              </w:rPr>
              <w:t>(3)</w:t>
            </w:r>
          </w:p>
        </w:tc>
        <w:tc>
          <w:tcPr>
            <w:tcW w:w="860" w:type="dxa"/>
            <w:vAlign w:val="bottom"/>
          </w:tcPr>
          <w:p>
            <w:pPr>
              <w:spacing w:after="0"/>
              <w:rPr>
                <w:sz w:val="17"/>
                <w:szCs w:val="17"/>
                <w:color w:val="auto"/>
              </w:rPr>
            </w:pP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4480" w:type="dxa"/>
            <w:vAlign w:val="bottom"/>
          </w:tcPr>
          <w:p>
            <w:pPr>
              <w:ind w:left="340"/>
              <w:spacing w:after="0"/>
              <w:rPr>
                <w:sz w:val="20"/>
                <w:szCs w:val="20"/>
                <w:color w:val="auto"/>
              </w:rPr>
            </w:pPr>
            <w:r>
              <w:rPr>
                <w:rFonts w:ascii="Arial" w:cs="Arial" w:eastAsia="Arial" w:hAnsi="Arial"/>
                <w:sz w:val="16"/>
                <w:szCs w:val="16"/>
                <w:color w:val="auto"/>
              </w:rPr>
              <w:t>Earnings Attributable to Noncontrolling Interest</w:t>
            </w:r>
          </w:p>
        </w:tc>
      </w:tr>
      <w:tr>
        <w:trPr>
          <w:trHeight w:val="212"/>
        </w:trPr>
        <w:tc>
          <w:tcPr>
            <w:tcW w:w="424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242"/>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433"/>
        </w:trPr>
        <w:tc>
          <w:tcPr>
            <w:tcW w:w="4240" w:type="dxa"/>
            <w:vAlign w:val="bottom"/>
          </w:tcPr>
          <w:p>
            <w:pPr>
              <w:spacing w:after="0"/>
              <w:rPr>
                <w:sz w:val="20"/>
                <w:szCs w:val="20"/>
                <w:color w:val="auto"/>
              </w:rPr>
            </w:pPr>
            <w:r>
              <w:rPr>
                <w:rFonts w:ascii="Arial" w:cs="Arial" w:eastAsia="Arial" w:hAnsi="Arial"/>
                <w:sz w:val="16"/>
                <w:szCs w:val="16"/>
                <w:color w:val="auto"/>
              </w:rPr>
              <w:t>Pension and other postretirement benefits:</w:t>
            </w: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13"/>
        </w:trPr>
        <w:tc>
          <w:tcPr>
            <w:tcW w:w="4240" w:type="dxa"/>
            <w:vAlign w:val="bottom"/>
          </w:tcPr>
          <w:p>
            <w:pPr>
              <w:ind w:left="180"/>
              <w:spacing w:after="0"/>
              <w:rPr>
                <w:sz w:val="20"/>
                <w:szCs w:val="20"/>
                <w:color w:val="auto"/>
              </w:rPr>
            </w:pPr>
            <w:r>
              <w:rPr>
                <w:rFonts w:ascii="Arial" w:cs="Arial" w:eastAsia="Arial" w:hAnsi="Arial"/>
                <w:sz w:val="16"/>
                <w:szCs w:val="16"/>
                <w:color w:val="auto"/>
              </w:rPr>
              <w:t>Amortization of actuarial loss</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02"/>
              <w:spacing w:after="0"/>
              <w:rPr>
                <w:sz w:val="20"/>
                <w:szCs w:val="20"/>
                <w:color w:val="auto"/>
              </w:rPr>
            </w:pPr>
            <w:r>
              <w:rPr>
                <w:rFonts w:ascii="Arial" w:cs="Arial" w:eastAsia="Arial" w:hAnsi="Arial"/>
                <w:sz w:val="16"/>
                <w:szCs w:val="16"/>
                <w:color w:val="auto"/>
              </w:rPr>
              <w:t>1</w:t>
            </w:r>
          </w:p>
        </w:tc>
        <w:tc>
          <w:tcPr>
            <w:tcW w:w="860" w:type="dxa"/>
            <w:vAlign w:val="bottom"/>
          </w:tcPr>
          <w:p>
            <w:pPr>
              <w:jc w:val="right"/>
              <w:ind w:right="521"/>
              <w:spacing w:after="0"/>
              <w:rPr>
                <w:sz w:val="20"/>
                <w:szCs w:val="20"/>
                <w:color w:val="auto"/>
              </w:rPr>
            </w:pPr>
            <w:r>
              <w:rPr>
                <w:rFonts w:ascii="Arial" w:cs="Arial" w:eastAsia="Arial" w:hAnsi="Arial"/>
                <w:sz w:val="16"/>
                <w:szCs w:val="16"/>
                <w:color w:val="auto"/>
              </w:rPr>
              <w:t>$</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4480" w:type="dxa"/>
            <w:vAlign w:val="bottom"/>
          </w:tcPr>
          <w:p>
            <w:pPr>
              <w:ind w:left="340"/>
              <w:spacing w:after="0"/>
              <w:rPr>
                <w:sz w:val="20"/>
                <w:szCs w:val="20"/>
                <w:color w:val="auto"/>
              </w:rPr>
            </w:pPr>
            <w:r>
              <w:rPr>
                <w:rFonts w:ascii="Arial" w:cs="Arial" w:eastAsia="Arial" w:hAnsi="Arial"/>
                <w:sz w:val="16"/>
                <w:szCs w:val="16"/>
                <w:color w:val="auto"/>
              </w:rPr>
              <w:t>(1)</w:t>
            </w:r>
          </w:p>
        </w:tc>
      </w:tr>
    </w:tbl>
    <w:p>
      <w:pPr>
        <w:sectPr>
          <w:pgSz w:w="11900" w:h="16838" w:orient="portrait"/>
          <w:cols w:equalWidth="0" w:num="1">
            <w:col w:w="11420"/>
          </w:cols>
          <w:pgMar w:left="240" w:top="394" w:right="239" w:bottom="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w:t>
            </w:r>
          </w:p>
        </w:tc>
        <w:tc>
          <w:tcPr>
            <w:tcW w:w="4480" w:type="dxa"/>
            <w:vAlign w:val="bottom"/>
          </w:tcPr>
          <w:p>
            <w:pPr>
              <w:ind w:left="340"/>
              <w:spacing w:after="0"/>
              <w:rPr>
                <w:sz w:val="20"/>
                <w:szCs w:val="20"/>
                <w:color w:val="auto"/>
              </w:rPr>
            </w:pPr>
            <w:r>
              <w:rPr>
                <w:rFonts w:ascii="Arial" w:cs="Arial" w:eastAsia="Arial" w:hAnsi="Arial"/>
                <w:sz w:val="16"/>
                <w:szCs w:val="16"/>
                <w:color w:val="auto"/>
              </w:rPr>
              <w:t>Income Tax Expense</w:t>
            </w:r>
          </w:p>
        </w:tc>
      </w:tr>
      <w:tr>
        <w:trPr>
          <w:trHeight w:val="32"/>
        </w:trPr>
        <w:tc>
          <w:tcPr>
            <w:tcW w:w="42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480" w:type="dxa"/>
            <w:vAlign w:val="bottom"/>
          </w:tcPr>
          <w:p>
            <w:pPr>
              <w:spacing w:after="0"/>
              <w:rPr>
                <w:sz w:val="2"/>
                <w:szCs w:val="2"/>
                <w:color w:val="auto"/>
              </w:rPr>
            </w:pPr>
          </w:p>
        </w:tc>
      </w:tr>
      <w:tr>
        <w:trPr>
          <w:trHeight w:val="212"/>
        </w:trPr>
        <w:tc>
          <w:tcPr>
            <w:tcW w:w="4240" w:type="dxa"/>
            <w:vAlign w:val="bottom"/>
          </w:tcPr>
          <w:p>
            <w:pPr>
              <w:spacing w:after="0"/>
              <w:rPr>
                <w:sz w:val="20"/>
                <w:szCs w:val="20"/>
                <w:color w:val="auto"/>
              </w:rPr>
            </w:pPr>
            <w:r>
              <w:rPr>
                <w:rFonts w:ascii="Arial" w:cs="Arial" w:eastAsia="Arial" w:hAnsi="Arial"/>
                <w:sz w:val="16"/>
                <w:szCs w:val="16"/>
                <w:color w:val="auto"/>
              </w:rPr>
              <w:t>Net of income tax</w:t>
            </w:r>
          </w:p>
        </w:tc>
        <w:tc>
          <w:tcPr>
            <w:tcW w:w="68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w:t>
            </w:r>
          </w:p>
        </w:tc>
        <w:tc>
          <w:tcPr>
            <w:tcW w:w="64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4480" w:type="dxa"/>
            <w:vAlign w:val="bottom"/>
          </w:tcPr>
          <w:p>
            <w:pPr>
              <w:spacing w:after="0"/>
              <w:rPr>
                <w:sz w:val="18"/>
                <w:szCs w:val="18"/>
                <w:color w:val="auto"/>
              </w:rPr>
            </w:pPr>
          </w:p>
        </w:tc>
      </w:tr>
      <w:tr>
        <w:trPr>
          <w:trHeight w:val="432"/>
        </w:trPr>
        <w:tc>
          <w:tcPr>
            <w:tcW w:w="4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reclassifications for the period, net of tax</w:t>
            </w:r>
          </w:p>
        </w:tc>
        <w:tc>
          <w:tcPr>
            <w:tcW w:w="68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w:t>
            </w:r>
          </w:p>
        </w:tc>
        <w:tc>
          <w:tcPr>
            <w:tcW w:w="64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4480" w:type="dxa"/>
            <w:vAlign w:val="bottom"/>
            <w:tcBorders>
              <w:bottom w:val="single" w:sz="8" w:color="auto"/>
            </w:tcBorders>
          </w:tcPr>
          <w:p>
            <w:pPr>
              <w:spacing w:after="0"/>
              <w:rPr>
                <w:sz w:val="24"/>
                <w:szCs w:val="24"/>
                <w:color w:val="auto"/>
              </w:rPr>
            </w:pPr>
          </w:p>
        </w:tc>
      </w:tr>
    </w:tbl>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40" w:type="dxa"/>
            <w:vAlign w:val="bottom"/>
          </w:tcPr>
          <w:p>
            <w:pPr>
              <w:spacing w:after="0"/>
              <w:rPr>
                <w:sz w:val="20"/>
                <w:szCs w:val="20"/>
                <w:color w:val="auto"/>
              </w:rPr>
            </w:pPr>
            <w:r>
              <w:rPr>
                <w:rFonts w:ascii="Arial" w:cs="Arial" w:eastAsia="Arial" w:hAnsi="Arial"/>
                <w:sz w:val="16"/>
                <w:szCs w:val="16"/>
                <w:b w:val="1"/>
                <w:bCs w:val="1"/>
                <w:color w:val="auto"/>
              </w:rPr>
              <w:t>SoCalGas:</w:t>
            </w: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3"/>
        </w:trPr>
        <w:tc>
          <w:tcPr>
            <w:tcW w:w="4240" w:type="dxa"/>
            <w:vAlign w:val="bottom"/>
          </w:tcPr>
          <w:p>
            <w:pPr>
              <w:spacing w:after="0"/>
              <w:rPr>
                <w:sz w:val="20"/>
                <w:szCs w:val="20"/>
                <w:color w:val="auto"/>
              </w:rPr>
            </w:pPr>
            <w:r>
              <w:rPr>
                <w:rFonts w:ascii="Arial" w:cs="Arial" w:eastAsia="Arial" w:hAnsi="Arial"/>
                <w:sz w:val="16"/>
                <w:szCs w:val="16"/>
                <w:color w:val="auto"/>
              </w:rPr>
              <w:t>Pension and other postretirement benefits:</w:t>
            </w: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3"/>
        </w:trPr>
        <w:tc>
          <w:tcPr>
            <w:tcW w:w="4240" w:type="dxa"/>
            <w:vAlign w:val="bottom"/>
          </w:tcPr>
          <w:p>
            <w:pPr>
              <w:ind w:left="180"/>
              <w:spacing w:after="0"/>
              <w:rPr>
                <w:sz w:val="20"/>
                <w:szCs w:val="20"/>
                <w:color w:val="auto"/>
              </w:rPr>
            </w:pPr>
            <w:r>
              <w:rPr>
                <w:rFonts w:ascii="Arial" w:cs="Arial" w:eastAsia="Arial" w:hAnsi="Arial"/>
                <w:sz w:val="16"/>
                <w:szCs w:val="16"/>
                <w:color w:val="auto"/>
              </w:rPr>
              <w:t>Amortization of actuarial loss</w:t>
            </w:r>
          </w:p>
        </w:tc>
        <w:tc>
          <w:tcPr>
            <w:tcW w:w="72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00"/>
              <w:spacing w:after="0"/>
              <w:rPr>
                <w:sz w:val="20"/>
                <w:szCs w:val="20"/>
                <w:color w:val="auto"/>
              </w:rPr>
            </w:pPr>
            <w:r>
              <w:rPr>
                <w:rFonts w:ascii="Arial" w:cs="Arial" w:eastAsia="Arial" w:hAnsi="Arial"/>
                <w:sz w:val="16"/>
                <w:szCs w:val="16"/>
                <w:color w:val="auto"/>
              </w:rPr>
              <w:t>4</w:t>
            </w:r>
          </w:p>
        </w:tc>
        <w:tc>
          <w:tcPr>
            <w:tcW w:w="60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600" w:type="dxa"/>
            <w:vAlign w:val="bottom"/>
          </w:tcPr>
          <w:p>
            <w:pPr>
              <w:ind w:left="320"/>
              <w:spacing w:after="0"/>
              <w:rPr>
                <w:sz w:val="20"/>
                <w:szCs w:val="20"/>
                <w:color w:val="auto"/>
              </w:rPr>
            </w:pPr>
            <w:r>
              <w:rPr>
                <w:rFonts w:ascii="Arial" w:cs="Arial" w:eastAsia="Arial" w:hAnsi="Arial"/>
                <w:sz w:val="16"/>
                <w:szCs w:val="16"/>
                <w:color w:val="auto"/>
              </w:rPr>
              <w:t>―</w:t>
            </w:r>
          </w:p>
        </w:tc>
        <w:tc>
          <w:tcPr>
            <w:tcW w:w="1840" w:type="dxa"/>
            <w:vAlign w:val="bottom"/>
          </w:tcPr>
          <w:p>
            <w:pPr>
              <w:ind w:left="360"/>
              <w:spacing w:after="0"/>
              <w:rPr>
                <w:sz w:val="20"/>
                <w:szCs w:val="20"/>
                <w:color w:val="auto"/>
              </w:rPr>
            </w:pPr>
            <w:r>
              <w:rPr>
                <w:rFonts w:ascii="Arial" w:cs="Arial" w:eastAsia="Arial" w:hAnsi="Arial"/>
                <w:sz w:val="16"/>
                <w:szCs w:val="16"/>
                <w:color w:val="auto"/>
              </w:rPr>
              <w:t>(1)</w:t>
            </w:r>
          </w:p>
        </w:tc>
      </w:tr>
      <w:tr>
        <w:trPr>
          <w:trHeight w:val="204"/>
        </w:trPr>
        <w:tc>
          <w:tcPr>
            <w:tcW w:w="424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w:t>
            </w:r>
          </w:p>
        </w:tc>
        <w:tc>
          <w:tcPr>
            <w:tcW w:w="6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w:t>
            </w:r>
          </w:p>
        </w:tc>
        <w:tc>
          <w:tcPr>
            <w:tcW w:w="1840" w:type="dxa"/>
            <w:vAlign w:val="bottom"/>
          </w:tcPr>
          <w:p>
            <w:pPr>
              <w:ind w:left="360"/>
              <w:spacing w:after="0"/>
              <w:rPr>
                <w:sz w:val="20"/>
                <w:szCs w:val="20"/>
                <w:color w:val="auto"/>
              </w:rPr>
            </w:pPr>
            <w:r>
              <w:rPr>
                <w:rFonts w:ascii="Arial" w:cs="Arial" w:eastAsia="Arial" w:hAnsi="Arial"/>
                <w:sz w:val="16"/>
                <w:szCs w:val="16"/>
                <w:color w:val="auto"/>
                <w:w w:val="97"/>
              </w:rPr>
              <w:t>Income Tax Expense</w:t>
            </w:r>
          </w:p>
        </w:tc>
      </w:tr>
      <w:tr>
        <w:trPr>
          <w:trHeight w:val="212"/>
        </w:trPr>
        <w:tc>
          <w:tcPr>
            <w:tcW w:w="4240" w:type="dxa"/>
            <w:vAlign w:val="bottom"/>
          </w:tcPr>
          <w:p>
            <w:pPr>
              <w:spacing w:after="0"/>
              <w:rPr>
                <w:sz w:val="20"/>
                <w:szCs w:val="20"/>
                <w:color w:val="auto"/>
              </w:rPr>
            </w:pPr>
            <w:r>
              <w:rPr>
                <w:rFonts w:ascii="Arial" w:cs="Arial" w:eastAsia="Arial" w:hAnsi="Arial"/>
                <w:sz w:val="16"/>
                <w:szCs w:val="16"/>
                <w:color w:val="auto"/>
              </w:rPr>
              <w:t>Net of income tax</w:t>
            </w:r>
          </w:p>
        </w:tc>
        <w:tc>
          <w:tcPr>
            <w:tcW w:w="72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w:t>
            </w:r>
          </w:p>
        </w:tc>
        <w:tc>
          <w:tcPr>
            <w:tcW w:w="60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w:t>
            </w:r>
          </w:p>
        </w:tc>
        <w:tc>
          <w:tcPr>
            <w:tcW w:w="1840" w:type="dxa"/>
            <w:vAlign w:val="bottom"/>
          </w:tcPr>
          <w:p>
            <w:pPr>
              <w:spacing w:after="0"/>
              <w:rPr>
                <w:sz w:val="18"/>
                <w:szCs w:val="18"/>
                <w:color w:val="auto"/>
              </w:rPr>
            </w:pPr>
          </w:p>
        </w:tc>
      </w:tr>
      <w:tr>
        <w:trPr>
          <w:trHeight w:val="433"/>
        </w:trPr>
        <w:tc>
          <w:tcPr>
            <w:tcW w:w="4240" w:type="dxa"/>
            <w:vAlign w:val="bottom"/>
          </w:tcPr>
          <w:p>
            <w:pPr>
              <w:spacing w:after="0"/>
              <w:rPr>
                <w:sz w:val="20"/>
                <w:szCs w:val="20"/>
                <w:color w:val="auto"/>
              </w:rPr>
            </w:pPr>
            <w:r>
              <w:rPr>
                <w:rFonts w:ascii="Arial" w:cs="Arial" w:eastAsia="Arial" w:hAnsi="Arial"/>
                <w:sz w:val="16"/>
                <w:szCs w:val="16"/>
                <w:color w:val="auto"/>
              </w:rPr>
              <w:t>Total reclassifications for the period, net of tax</w:t>
            </w:r>
          </w:p>
        </w:tc>
        <w:tc>
          <w:tcPr>
            <w:tcW w:w="72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00"/>
              <w:spacing w:after="0"/>
              <w:rPr>
                <w:sz w:val="20"/>
                <w:szCs w:val="20"/>
                <w:color w:val="auto"/>
              </w:rPr>
            </w:pPr>
            <w:r>
              <w:rPr>
                <w:rFonts w:ascii="Arial" w:cs="Arial" w:eastAsia="Arial" w:hAnsi="Arial"/>
                <w:sz w:val="16"/>
                <w:szCs w:val="16"/>
                <w:color w:val="auto"/>
              </w:rPr>
              <w:t>2</w:t>
            </w:r>
          </w:p>
        </w:tc>
        <w:tc>
          <w:tcPr>
            <w:tcW w:w="60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600" w:type="dxa"/>
            <w:vAlign w:val="bottom"/>
          </w:tcPr>
          <w:p>
            <w:pPr>
              <w:ind w:left="320"/>
              <w:spacing w:after="0"/>
              <w:rPr>
                <w:sz w:val="20"/>
                <w:szCs w:val="20"/>
                <w:color w:val="auto"/>
              </w:rPr>
            </w:pPr>
            <w:r>
              <w:rPr>
                <w:rFonts w:ascii="Arial" w:cs="Arial" w:eastAsia="Arial" w:hAnsi="Arial"/>
                <w:sz w:val="16"/>
                <w:szCs w:val="16"/>
                <w:color w:val="auto"/>
              </w:rPr>
              <w:t>―</w:t>
            </w:r>
          </w:p>
        </w:tc>
        <w:tc>
          <w:tcPr>
            <w:tcW w:w="18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724852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8525" cy="1714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i w:val="1"/>
          <w:iCs w:val="1"/>
          <w:color w:val="auto"/>
        </w:rPr>
        <w:t>(1) Amounts are included in the computation of net periodic benefit cost (see "Pension and Other Postretirement Benefits" above).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RECLASSIFICATIONS OUT OF ACCUMULATED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-104775</wp:posOffset>
            </wp:positionV>
            <wp:extent cx="7248525" cy="2279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8525" cy="22796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20"/>
                <w:szCs w:val="20"/>
                <w:color w:val="auto"/>
              </w:rPr>
            </w:pPr>
            <w:r>
              <w:rPr>
                <w:rFonts w:ascii="Arial" w:cs="Arial" w:eastAsia="Arial" w:hAnsi="Arial"/>
                <w:sz w:val="14"/>
                <w:szCs w:val="14"/>
                <w:color w:val="auto"/>
              </w:rPr>
              <w:t>Details about accumulated</w:t>
            </w:r>
          </w:p>
        </w:tc>
        <w:tc>
          <w:tcPr>
            <w:tcW w:w="340" w:type="dxa"/>
            <w:vAlign w:val="bottom"/>
          </w:tcPr>
          <w:p>
            <w:pPr>
              <w:spacing w:after="0"/>
              <w:rPr>
                <w:sz w:val="14"/>
                <w:szCs w:val="14"/>
                <w:color w:val="auto"/>
              </w:rPr>
            </w:pPr>
          </w:p>
        </w:tc>
        <w:tc>
          <w:tcPr>
            <w:tcW w:w="1880" w:type="dxa"/>
            <w:vAlign w:val="bottom"/>
            <w:gridSpan w:val="2"/>
          </w:tcPr>
          <w:p>
            <w:pPr>
              <w:jc w:val="center"/>
              <w:spacing w:after="0"/>
              <w:rPr>
                <w:sz w:val="20"/>
                <w:szCs w:val="20"/>
                <w:color w:val="auto"/>
              </w:rPr>
            </w:pPr>
            <w:r>
              <w:rPr>
                <w:rFonts w:ascii="Arial" w:cs="Arial" w:eastAsia="Arial" w:hAnsi="Arial"/>
                <w:sz w:val="14"/>
                <w:szCs w:val="14"/>
                <w:color w:val="auto"/>
              </w:rPr>
              <w:t>Amount reclassified</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380" w:type="dxa"/>
            <w:vAlign w:val="bottom"/>
          </w:tcPr>
          <w:p>
            <w:pPr>
              <w:spacing w:after="0"/>
              <w:rPr>
                <w:sz w:val="20"/>
                <w:szCs w:val="20"/>
                <w:color w:val="auto"/>
              </w:rPr>
            </w:pPr>
            <w:r>
              <w:rPr>
                <w:rFonts w:ascii="Arial" w:cs="Arial" w:eastAsia="Arial" w:hAnsi="Arial"/>
                <w:sz w:val="14"/>
                <w:szCs w:val="14"/>
                <w:color w:val="auto"/>
              </w:rPr>
              <w:t>other comprehensive income (loss)</w:t>
            </w:r>
          </w:p>
        </w:tc>
        <w:tc>
          <w:tcPr>
            <w:tcW w:w="340" w:type="dxa"/>
            <w:vAlign w:val="bottom"/>
          </w:tcPr>
          <w:p>
            <w:pPr>
              <w:spacing w:after="0"/>
              <w:rPr>
                <w:sz w:val="18"/>
                <w:szCs w:val="18"/>
                <w:color w:val="auto"/>
              </w:rPr>
            </w:pPr>
          </w:p>
        </w:tc>
        <w:tc>
          <w:tcPr>
            <w:tcW w:w="1880" w:type="dxa"/>
            <w:vAlign w:val="bottom"/>
            <w:gridSpan w:val="2"/>
          </w:tcPr>
          <w:p>
            <w:pPr>
              <w:jc w:val="center"/>
              <w:spacing w:after="0"/>
              <w:rPr>
                <w:sz w:val="20"/>
                <w:szCs w:val="20"/>
                <w:color w:val="auto"/>
              </w:rPr>
            </w:pPr>
            <w:r>
              <w:rPr>
                <w:rFonts w:ascii="Arial" w:cs="Arial" w:eastAsia="Arial" w:hAnsi="Arial"/>
                <w:sz w:val="14"/>
                <w:szCs w:val="14"/>
                <w:color w:val="auto"/>
              </w:rPr>
              <w:t>from accumulated other</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80" w:type="dxa"/>
            <w:vAlign w:val="bottom"/>
          </w:tcPr>
          <w:p>
            <w:pPr>
              <w:ind w:left="1380"/>
              <w:spacing w:after="0"/>
              <w:rPr>
                <w:sz w:val="20"/>
                <w:szCs w:val="20"/>
                <w:color w:val="auto"/>
              </w:rPr>
            </w:pPr>
            <w:r>
              <w:rPr>
                <w:rFonts w:ascii="Arial" w:cs="Arial" w:eastAsia="Arial" w:hAnsi="Arial"/>
                <w:sz w:val="14"/>
                <w:szCs w:val="14"/>
                <w:color w:val="auto"/>
              </w:rPr>
              <w:t>Affected line item on Condensed</w:t>
            </w:r>
          </w:p>
        </w:tc>
        <w:tc>
          <w:tcPr>
            <w:tcW w:w="0" w:type="dxa"/>
            <w:vAlign w:val="bottom"/>
          </w:tcPr>
          <w:p>
            <w:pPr>
              <w:spacing w:after="0"/>
              <w:rPr>
                <w:sz w:val="1"/>
                <w:szCs w:val="1"/>
                <w:color w:val="auto"/>
              </w:rPr>
            </w:pPr>
          </w:p>
        </w:tc>
      </w:tr>
      <w:tr>
        <w:trPr>
          <w:trHeight w:val="197"/>
        </w:trPr>
        <w:tc>
          <w:tcPr>
            <w:tcW w:w="4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components</w:t>
            </w:r>
          </w:p>
        </w:tc>
        <w:tc>
          <w:tcPr>
            <w:tcW w:w="3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comprehensive income (loss)</w:t>
            </w:r>
          </w:p>
        </w:tc>
        <w:tc>
          <w:tcPr>
            <w:tcW w:w="3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480" w:type="dxa"/>
            <w:vAlign w:val="bottom"/>
            <w:tcBorders>
              <w:bottom w:val="single" w:sz="8" w:color="auto"/>
            </w:tcBorders>
          </w:tcPr>
          <w:p>
            <w:pPr>
              <w:ind w:left="1200"/>
              <w:spacing w:after="0"/>
              <w:rPr>
                <w:sz w:val="20"/>
                <w:szCs w:val="20"/>
                <w:color w:val="auto"/>
              </w:rPr>
            </w:pPr>
            <w:r>
              <w:rPr>
                <w:rFonts w:ascii="Arial" w:cs="Arial" w:eastAsia="Arial" w:hAnsi="Arial"/>
                <w:sz w:val="14"/>
                <w:szCs w:val="14"/>
                <w:color w:val="auto"/>
              </w:rPr>
              <w:t>Consolidated Statements of Operations</w:t>
            </w:r>
          </w:p>
        </w:tc>
        <w:tc>
          <w:tcPr>
            <w:tcW w:w="0" w:type="dxa"/>
            <w:vAlign w:val="bottom"/>
          </w:tcPr>
          <w:p>
            <w:pPr>
              <w:spacing w:after="0"/>
              <w:rPr>
                <w:sz w:val="1"/>
                <w:szCs w:val="1"/>
                <w:color w:val="auto"/>
              </w:rPr>
            </w:pPr>
          </w:p>
        </w:tc>
      </w:tr>
      <w:tr>
        <w:trPr>
          <w:trHeight w:val="193"/>
        </w:trPr>
        <w:tc>
          <w:tcPr>
            <w:tcW w:w="4380" w:type="dxa"/>
            <w:vAlign w:val="bottom"/>
          </w:tcPr>
          <w:p>
            <w:pPr>
              <w:spacing w:after="0"/>
              <w:rPr>
                <w:sz w:val="16"/>
                <w:szCs w:val="16"/>
                <w:color w:val="auto"/>
              </w:rPr>
            </w:pPr>
          </w:p>
        </w:tc>
        <w:tc>
          <w:tcPr>
            <w:tcW w:w="2560" w:type="dxa"/>
            <w:vAlign w:val="bottom"/>
            <w:gridSpan w:val="5"/>
          </w:tcPr>
          <w:p>
            <w:pPr>
              <w:jc w:val="center"/>
              <w:spacing w:after="0"/>
              <w:rPr>
                <w:sz w:val="20"/>
                <w:szCs w:val="20"/>
                <w:color w:val="auto"/>
              </w:rPr>
            </w:pPr>
            <w:r>
              <w:rPr>
                <w:rFonts w:ascii="Arial" w:cs="Arial" w:eastAsia="Arial" w:hAnsi="Arial"/>
                <w:sz w:val="14"/>
                <w:szCs w:val="14"/>
                <w:color w:val="auto"/>
              </w:rPr>
              <w:t>Nine months ended September 30,</w:t>
            </w:r>
          </w:p>
        </w:tc>
        <w:tc>
          <w:tcPr>
            <w:tcW w:w="4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380" w:type="dxa"/>
            <w:vAlign w:val="bottom"/>
            <w:tcBorders>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4"/>
                <w:szCs w:val="14"/>
                <w:color w:val="auto"/>
              </w:rPr>
              <w:t>2014</w:t>
            </w:r>
          </w:p>
        </w:tc>
        <w:tc>
          <w:tcPr>
            <w:tcW w:w="82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4"/>
                <w:szCs w:val="14"/>
                <w:color w:val="auto"/>
              </w:rPr>
              <w:t>2013</w:t>
            </w:r>
          </w:p>
        </w:tc>
        <w:tc>
          <w:tcPr>
            <w:tcW w:w="320" w:type="dxa"/>
            <w:vAlign w:val="bottom"/>
            <w:tcBorders>
              <w:top w:val="single" w:sz="8" w:color="auto"/>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4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380" w:type="dxa"/>
            <w:vAlign w:val="bottom"/>
          </w:tcPr>
          <w:p>
            <w:pPr>
              <w:spacing w:after="0"/>
              <w:rPr>
                <w:sz w:val="20"/>
                <w:szCs w:val="20"/>
                <w:color w:val="auto"/>
              </w:rPr>
            </w:pPr>
            <w:r>
              <w:rPr>
                <w:rFonts w:ascii="Arial" w:cs="Arial" w:eastAsia="Arial" w:hAnsi="Arial"/>
                <w:sz w:val="16"/>
                <w:szCs w:val="16"/>
                <w:b w:val="1"/>
                <w:bCs w:val="1"/>
                <w:color w:val="auto"/>
              </w:rPr>
              <w:t>Sempra Energy Consolidated:</w:t>
            </w: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60" w:type="dxa"/>
            <w:vAlign w:val="bottom"/>
            <w:vMerge w:val="restart"/>
          </w:tcPr>
          <w:p>
            <w:pPr>
              <w:jc w:val="right"/>
              <w:ind w:right="181"/>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ind w:right="521"/>
              <w:spacing w:after="0"/>
              <w:rPr>
                <w:sz w:val="20"/>
                <w:szCs w:val="20"/>
                <w:color w:val="auto"/>
              </w:rPr>
            </w:pPr>
            <w:r>
              <w:rPr>
                <w:rFonts w:ascii="Arial" w:cs="Arial" w:eastAsia="Arial" w:hAnsi="Arial"/>
                <w:sz w:val="16"/>
                <w:szCs w:val="16"/>
                <w:color w:val="auto"/>
              </w:rPr>
              <w:t>$</w:t>
            </w:r>
          </w:p>
        </w:tc>
        <w:tc>
          <w:tcPr>
            <w:tcW w:w="340" w:type="dxa"/>
            <w:vAlign w:val="bottom"/>
            <w:gridSpan w:val="2"/>
            <w:vMerge w:val="restart"/>
          </w:tcPr>
          <w:p>
            <w:pPr>
              <w:jc w:val="right"/>
              <w:spacing w:after="0"/>
              <w:rPr>
                <w:sz w:val="20"/>
                <w:szCs w:val="20"/>
                <w:color w:val="auto"/>
              </w:rPr>
            </w:pPr>
            <w:r>
              <w:rPr>
                <w:rFonts w:ascii="Arial" w:cs="Arial" w:eastAsia="Arial" w:hAnsi="Arial"/>
                <w:sz w:val="16"/>
                <w:szCs w:val="16"/>
                <w:color w:val="auto"/>
              </w:rPr>
              <w:t>270</w:t>
            </w: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4380" w:type="dxa"/>
            <w:vAlign w:val="bottom"/>
          </w:tcPr>
          <w:p>
            <w:pPr>
              <w:spacing w:after="0" w:line="178" w:lineRule="exact"/>
              <w:rPr>
                <w:sz w:val="20"/>
                <w:szCs w:val="20"/>
                <w:color w:val="auto"/>
              </w:rPr>
            </w:pPr>
            <w:r>
              <w:rPr>
                <w:rFonts w:ascii="Arial" w:cs="Arial" w:eastAsia="Arial" w:hAnsi="Arial"/>
                <w:sz w:val="16"/>
                <w:szCs w:val="16"/>
                <w:color w:val="auto"/>
              </w:rPr>
              <w:t>Foreign currency translation adjustments</w:t>
            </w:r>
          </w:p>
        </w:tc>
        <w:tc>
          <w:tcPr>
            <w:tcW w:w="34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4480" w:type="dxa"/>
            <w:vAlign w:val="bottom"/>
          </w:tcPr>
          <w:p>
            <w:pPr>
              <w:ind w:left="340"/>
              <w:spacing w:after="0" w:line="178" w:lineRule="exact"/>
              <w:rPr>
                <w:sz w:val="20"/>
                <w:szCs w:val="20"/>
                <w:color w:val="auto"/>
              </w:rPr>
            </w:pPr>
            <w:r>
              <w:rPr>
                <w:rFonts w:ascii="Arial" w:cs="Arial" w:eastAsia="Arial" w:hAnsi="Arial"/>
                <w:sz w:val="16"/>
                <w:szCs w:val="16"/>
                <w:color w:val="auto"/>
              </w:rPr>
              <w:t>Equity Earnings, Net of Income Tax(1)</w:t>
            </w:r>
          </w:p>
        </w:tc>
        <w:tc>
          <w:tcPr>
            <w:tcW w:w="0" w:type="dxa"/>
            <w:vAlign w:val="bottom"/>
          </w:tcPr>
          <w:p>
            <w:pPr>
              <w:spacing w:after="0"/>
              <w:rPr>
                <w:sz w:val="1"/>
                <w:szCs w:val="1"/>
                <w:color w:val="auto"/>
              </w:rPr>
            </w:pPr>
          </w:p>
        </w:tc>
      </w:tr>
      <w:tr>
        <w:trPr>
          <w:trHeight w:val="433"/>
        </w:trPr>
        <w:tc>
          <w:tcPr>
            <w:tcW w:w="4380" w:type="dxa"/>
            <w:vAlign w:val="bottom"/>
          </w:tcPr>
          <w:p>
            <w:pPr>
              <w:spacing w:after="0"/>
              <w:rPr>
                <w:sz w:val="20"/>
                <w:szCs w:val="20"/>
                <w:color w:val="auto"/>
              </w:rPr>
            </w:pPr>
            <w:r>
              <w:rPr>
                <w:rFonts w:ascii="Arial" w:cs="Arial" w:eastAsia="Arial" w:hAnsi="Arial"/>
                <w:sz w:val="16"/>
                <w:szCs w:val="16"/>
                <w:color w:val="auto"/>
              </w:rPr>
              <w:t>Financial instruments:</w:t>
            </w:r>
          </w:p>
        </w:tc>
        <w:tc>
          <w:tcPr>
            <w:tcW w:w="3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380" w:type="dxa"/>
            <w:vAlign w:val="bottom"/>
          </w:tcPr>
          <w:p>
            <w:pPr>
              <w:ind w:left="180"/>
              <w:spacing w:after="0"/>
              <w:rPr>
                <w:sz w:val="20"/>
                <w:szCs w:val="20"/>
                <w:color w:val="auto"/>
              </w:rPr>
            </w:pPr>
            <w:r>
              <w:rPr>
                <w:rFonts w:ascii="Arial" w:cs="Arial" w:eastAsia="Arial" w:hAnsi="Arial"/>
                <w:sz w:val="16"/>
                <w:szCs w:val="16"/>
                <w:color w:val="auto"/>
              </w:rPr>
              <w:t>Interest rate and foreign exchange instruments</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17</w:t>
            </w:r>
          </w:p>
        </w:tc>
        <w:tc>
          <w:tcPr>
            <w:tcW w:w="820" w:type="dxa"/>
            <w:vAlign w:val="bottom"/>
          </w:tcPr>
          <w:p>
            <w:pPr>
              <w:jc w:val="right"/>
              <w:ind w:right="521"/>
              <w:spacing w:after="0"/>
              <w:rPr>
                <w:sz w:val="20"/>
                <w:szCs w:val="20"/>
                <w:color w:val="auto"/>
              </w:rPr>
            </w:pPr>
            <w:r>
              <w:rPr>
                <w:rFonts w:ascii="Arial" w:cs="Arial" w:eastAsia="Arial" w:hAnsi="Arial"/>
                <w:sz w:val="16"/>
                <w:szCs w:val="16"/>
                <w:color w:val="auto"/>
              </w:rPr>
              <w:t>$</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9</w:t>
            </w:r>
          </w:p>
        </w:tc>
        <w:tc>
          <w:tcPr>
            <w:tcW w:w="4480" w:type="dxa"/>
            <w:vAlign w:val="bottom"/>
          </w:tcPr>
          <w:p>
            <w:pPr>
              <w:ind w:left="340"/>
              <w:spacing w:after="0"/>
              <w:rPr>
                <w:sz w:val="20"/>
                <w:szCs w:val="20"/>
                <w:color w:val="auto"/>
              </w:rPr>
            </w:pPr>
            <w:r>
              <w:rPr>
                <w:rFonts w:ascii="Arial" w:cs="Arial" w:eastAsia="Arial" w:hAnsi="Arial"/>
                <w:sz w:val="16"/>
                <w:szCs w:val="16"/>
                <w:color w:val="auto"/>
              </w:rPr>
              <w:t>Interest Expense</w:t>
            </w:r>
          </w:p>
        </w:tc>
        <w:tc>
          <w:tcPr>
            <w:tcW w:w="0" w:type="dxa"/>
            <w:vAlign w:val="bottom"/>
          </w:tcPr>
          <w:p>
            <w:pPr>
              <w:spacing w:after="0"/>
              <w:rPr>
                <w:sz w:val="1"/>
                <w:szCs w:val="1"/>
                <w:color w:val="auto"/>
              </w:rPr>
            </w:pPr>
          </w:p>
        </w:tc>
      </w:tr>
      <w:tr>
        <w:trPr>
          <w:trHeight w:val="213"/>
        </w:trPr>
        <w:tc>
          <w:tcPr>
            <w:tcW w:w="4380" w:type="dxa"/>
            <w:vAlign w:val="bottom"/>
          </w:tcPr>
          <w:p>
            <w:pPr>
              <w:ind w:left="180"/>
              <w:spacing w:after="0"/>
              <w:rPr>
                <w:sz w:val="20"/>
                <w:szCs w:val="20"/>
                <w:color w:val="auto"/>
              </w:rPr>
            </w:pPr>
            <w:r>
              <w:rPr>
                <w:rFonts w:ascii="Arial" w:cs="Arial" w:eastAsia="Arial" w:hAnsi="Arial"/>
                <w:sz w:val="16"/>
                <w:szCs w:val="16"/>
                <w:color w:val="auto"/>
              </w:rPr>
              <w:t>Interest rate instruments</w:t>
            </w:r>
          </w:p>
        </w:tc>
        <w:tc>
          <w:tcPr>
            <w:tcW w:w="340" w:type="dxa"/>
            <w:vAlign w:val="bottom"/>
          </w:tcPr>
          <w:p>
            <w:pPr>
              <w:spacing w:after="0"/>
              <w:rPr>
                <w:sz w:val="18"/>
                <w:szCs w:val="18"/>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(3)</w:t>
            </w:r>
          </w:p>
        </w:tc>
        <w:tc>
          <w:tcPr>
            <w:tcW w:w="82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480" w:type="dxa"/>
            <w:vAlign w:val="bottom"/>
          </w:tcPr>
          <w:p>
            <w:pPr>
              <w:ind w:left="340"/>
              <w:spacing w:after="0"/>
              <w:rPr>
                <w:sz w:val="20"/>
                <w:szCs w:val="20"/>
                <w:color w:val="auto"/>
              </w:rPr>
            </w:pPr>
            <w:r>
              <w:rPr>
                <w:rFonts w:ascii="Arial" w:cs="Arial" w:eastAsia="Arial" w:hAnsi="Arial"/>
                <w:sz w:val="16"/>
                <w:szCs w:val="16"/>
                <w:color w:val="auto"/>
              </w:rPr>
              <w:t>Gain on Sale of Equity Interests and Assets</w:t>
            </w:r>
          </w:p>
        </w:tc>
        <w:tc>
          <w:tcPr>
            <w:tcW w:w="0" w:type="dxa"/>
            <w:vAlign w:val="bottom"/>
          </w:tcPr>
          <w:p>
            <w:pPr>
              <w:spacing w:after="0"/>
              <w:rPr>
                <w:sz w:val="1"/>
                <w:szCs w:val="1"/>
                <w:color w:val="auto"/>
              </w:rPr>
            </w:pPr>
          </w:p>
        </w:tc>
      </w:tr>
      <w:tr>
        <w:trPr>
          <w:trHeight w:val="213"/>
        </w:trPr>
        <w:tc>
          <w:tcPr>
            <w:tcW w:w="4380" w:type="dxa"/>
            <w:vAlign w:val="bottom"/>
          </w:tcPr>
          <w:p>
            <w:pPr>
              <w:ind w:left="180"/>
              <w:spacing w:after="0"/>
              <w:rPr>
                <w:sz w:val="20"/>
                <w:szCs w:val="20"/>
                <w:color w:val="auto"/>
              </w:rPr>
            </w:pPr>
            <w:r>
              <w:rPr>
                <w:rFonts w:ascii="Arial" w:cs="Arial" w:eastAsia="Arial" w:hAnsi="Arial"/>
                <w:sz w:val="16"/>
                <w:szCs w:val="16"/>
                <w:color w:val="auto"/>
              </w:rPr>
              <w:t>Interest rate instruments</w:t>
            </w:r>
          </w:p>
        </w:tc>
        <w:tc>
          <w:tcPr>
            <w:tcW w:w="340" w:type="dxa"/>
            <w:vAlign w:val="bottom"/>
          </w:tcPr>
          <w:p>
            <w:pPr>
              <w:spacing w:after="0"/>
              <w:rPr>
                <w:sz w:val="18"/>
                <w:szCs w:val="18"/>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7</w:t>
            </w:r>
          </w:p>
        </w:tc>
        <w:tc>
          <w:tcPr>
            <w:tcW w:w="8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7</w:t>
            </w:r>
          </w:p>
        </w:tc>
        <w:tc>
          <w:tcPr>
            <w:tcW w:w="4480" w:type="dxa"/>
            <w:vAlign w:val="bottom"/>
          </w:tcPr>
          <w:p>
            <w:pPr>
              <w:ind w:left="340"/>
              <w:spacing w:after="0"/>
              <w:rPr>
                <w:sz w:val="20"/>
                <w:szCs w:val="20"/>
                <w:color w:val="auto"/>
              </w:rPr>
            </w:pPr>
            <w:r>
              <w:rPr>
                <w:rFonts w:ascii="Arial" w:cs="Arial" w:eastAsia="Arial" w:hAnsi="Arial"/>
                <w:sz w:val="16"/>
                <w:szCs w:val="16"/>
                <w:color w:val="auto"/>
              </w:rPr>
              <w:t>Equity Earnings, Before Income Tax</w:t>
            </w:r>
          </w:p>
        </w:tc>
        <w:tc>
          <w:tcPr>
            <w:tcW w:w="0" w:type="dxa"/>
            <w:vAlign w:val="bottom"/>
          </w:tcPr>
          <w:p>
            <w:pPr>
              <w:spacing w:after="0"/>
              <w:rPr>
                <w:sz w:val="1"/>
                <w:szCs w:val="1"/>
                <w:color w:val="auto"/>
              </w:rPr>
            </w:pPr>
          </w:p>
        </w:tc>
      </w:tr>
      <w:tr>
        <w:trPr>
          <w:trHeight w:val="213"/>
        </w:trPr>
        <w:tc>
          <w:tcPr>
            <w:tcW w:w="4380" w:type="dxa"/>
            <w:vAlign w:val="bottom"/>
          </w:tcPr>
          <w:p>
            <w:pPr>
              <w:ind w:left="180"/>
              <w:spacing w:after="0"/>
              <w:rPr>
                <w:sz w:val="20"/>
                <w:szCs w:val="20"/>
                <w:color w:val="auto"/>
              </w:rPr>
            </w:pPr>
            <w:r>
              <w:rPr>
                <w:rFonts w:ascii="Arial" w:cs="Arial" w:eastAsia="Arial" w:hAnsi="Arial"/>
                <w:sz w:val="16"/>
                <w:szCs w:val="16"/>
                <w:color w:val="auto"/>
              </w:rPr>
              <w:t>Commodity contracts not subject to</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80" w:type="dxa"/>
            <w:vAlign w:val="bottom"/>
          </w:tcPr>
          <w:p>
            <w:pPr>
              <w:ind w:left="340"/>
              <w:spacing w:after="0"/>
              <w:rPr>
                <w:sz w:val="20"/>
                <w:szCs w:val="20"/>
                <w:color w:val="auto"/>
              </w:rPr>
            </w:pPr>
            <w:r>
              <w:rPr>
                <w:rFonts w:ascii="Arial" w:cs="Arial" w:eastAsia="Arial" w:hAnsi="Arial"/>
                <w:sz w:val="16"/>
                <w:szCs w:val="16"/>
                <w:color w:val="auto"/>
              </w:rPr>
              <w:t>Revenues: Energy-Related</w:t>
            </w:r>
          </w:p>
        </w:tc>
        <w:tc>
          <w:tcPr>
            <w:tcW w:w="0" w:type="dxa"/>
            <w:vAlign w:val="bottom"/>
          </w:tcPr>
          <w:p>
            <w:pPr>
              <w:spacing w:after="0"/>
              <w:rPr>
                <w:sz w:val="1"/>
                <w:szCs w:val="1"/>
                <w:color w:val="auto"/>
              </w:rPr>
            </w:pPr>
          </w:p>
        </w:tc>
      </w:tr>
      <w:tr>
        <w:trPr>
          <w:trHeight w:val="204"/>
        </w:trPr>
        <w:tc>
          <w:tcPr>
            <w:tcW w:w="4380" w:type="dxa"/>
            <w:vAlign w:val="bottom"/>
          </w:tcPr>
          <w:p>
            <w:pPr>
              <w:ind w:left="240"/>
              <w:spacing w:after="0"/>
              <w:rPr>
                <w:sz w:val="20"/>
                <w:szCs w:val="20"/>
                <w:color w:val="auto"/>
              </w:rPr>
            </w:pPr>
            <w:r>
              <w:rPr>
                <w:rFonts w:ascii="Arial" w:cs="Arial" w:eastAsia="Arial" w:hAnsi="Arial"/>
                <w:sz w:val="16"/>
                <w:szCs w:val="16"/>
                <w:color w:val="auto"/>
              </w:rPr>
              <w:t>rate recovery</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8</w:t>
            </w:r>
          </w:p>
        </w:tc>
        <w:tc>
          <w:tcPr>
            <w:tcW w:w="8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w:t>
            </w:r>
          </w:p>
        </w:tc>
        <w:tc>
          <w:tcPr>
            <w:tcW w:w="4480" w:type="dxa"/>
            <w:vAlign w:val="bottom"/>
          </w:tcPr>
          <w:p>
            <w:pPr>
              <w:ind w:left="520"/>
              <w:spacing w:after="0"/>
              <w:rPr>
                <w:sz w:val="20"/>
                <w:szCs w:val="20"/>
                <w:color w:val="auto"/>
              </w:rPr>
            </w:pPr>
            <w:r>
              <w:rPr>
                <w:rFonts w:ascii="Arial" w:cs="Arial" w:eastAsia="Arial" w:hAnsi="Arial"/>
                <w:sz w:val="16"/>
                <w:szCs w:val="16"/>
                <w:color w:val="auto"/>
              </w:rPr>
              <w:t>Businesses</w:t>
            </w:r>
          </w:p>
        </w:tc>
        <w:tc>
          <w:tcPr>
            <w:tcW w:w="0" w:type="dxa"/>
            <w:vAlign w:val="bottom"/>
          </w:tcPr>
          <w:p>
            <w:pPr>
              <w:spacing w:after="0"/>
              <w:rPr>
                <w:sz w:val="1"/>
                <w:szCs w:val="1"/>
                <w:color w:val="auto"/>
              </w:rPr>
            </w:pPr>
          </w:p>
        </w:tc>
      </w:tr>
      <w:tr>
        <w:trPr>
          <w:trHeight w:val="214"/>
        </w:trPr>
        <w:tc>
          <w:tcPr>
            <w:tcW w:w="4380" w:type="dxa"/>
            <w:vAlign w:val="bottom"/>
          </w:tcPr>
          <w:p>
            <w:pPr>
              <w:spacing w:after="0"/>
              <w:rPr>
                <w:sz w:val="20"/>
                <w:szCs w:val="20"/>
                <w:color w:val="auto"/>
              </w:rPr>
            </w:pPr>
            <w:r>
              <w:rPr>
                <w:rFonts w:ascii="Arial" w:cs="Arial" w:eastAsia="Arial" w:hAnsi="Arial"/>
                <w:sz w:val="16"/>
                <w:szCs w:val="16"/>
                <w:color w:val="auto"/>
              </w:rPr>
              <w:t>Total before income tax</w:t>
            </w:r>
          </w:p>
        </w:tc>
        <w:tc>
          <w:tcPr>
            <w:tcW w:w="340" w:type="dxa"/>
            <w:vAlign w:val="bottom"/>
          </w:tcPr>
          <w:p>
            <w:pPr>
              <w:spacing w:after="0"/>
              <w:rPr>
                <w:sz w:val="18"/>
                <w:szCs w:val="18"/>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29</w:t>
            </w:r>
          </w:p>
        </w:tc>
        <w:tc>
          <w:tcPr>
            <w:tcW w:w="8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11</w:t>
            </w: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3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(8)</w:t>
            </w:r>
          </w:p>
        </w:tc>
        <w:tc>
          <w:tcPr>
            <w:tcW w:w="8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w:t>
            </w:r>
          </w:p>
        </w:tc>
        <w:tc>
          <w:tcPr>
            <w:tcW w:w="4480" w:type="dxa"/>
            <w:vAlign w:val="bottom"/>
          </w:tcPr>
          <w:p>
            <w:pPr>
              <w:ind w:left="340"/>
              <w:spacing w:after="0"/>
              <w:rPr>
                <w:sz w:val="20"/>
                <w:szCs w:val="20"/>
                <w:color w:val="auto"/>
              </w:rPr>
            </w:pPr>
            <w:r>
              <w:rPr>
                <w:rFonts w:ascii="Arial" w:cs="Arial" w:eastAsia="Arial" w:hAnsi="Arial"/>
                <w:sz w:val="16"/>
                <w:szCs w:val="16"/>
                <w:color w:val="auto"/>
              </w:rPr>
              <w:t>Income Tax Expense</w:t>
            </w:r>
          </w:p>
        </w:tc>
        <w:tc>
          <w:tcPr>
            <w:tcW w:w="0" w:type="dxa"/>
            <w:vAlign w:val="bottom"/>
          </w:tcPr>
          <w:p>
            <w:pPr>
              <w:spacing w:after="0"/>
              <w:rPr>
                <w:sz w:val="1"/>
                <w:szCs w:val="1"/>
                <w:color w:val="auto"/>
              </w:rPr>
            </w:pPr>
          </w:p>
        </w:tc>
      </w:tr>
      <w:tr>
        <w:trPr>
          <w:trHeight w:val="214"/>
        </w:trPr>
        <w:tc>
          <w:tcPr>
            <w:tcW w:w="4380" w:type="dxa"/>
            <w:vAlign w:val="bottom"/>
          </w:tcPr>
          <w:p>
            <w:pPr>
              <w:spacing w:after="0"/>
              <w:rPr>
                <w:sz w:val="20"/>
                <w:szCs w:val="20"/>
                <w:color w:val="auto"/>
              </w:rPr>
            </w:pPr>
            <w:r>
              <w:rPr>
                <w:rFonts w:ascii="Arial" w:cs="Arial" w:eastAsia="Arial" w:hAnsi="Arial"/>
                <w:sz w:val="16"/>
                <w:szCs w:val="16"/>
                <w:color w:val="auto"/>
              </w:rPr>
              <w:t>Net of income tax</w:t>
            </w:r>
          </w:p>
        </w:tc>
        <w:tc>
          <w:tcPr>
            <w:tcW w:w="340" w:type="dxa"/>
            <w:vAlign w:val="bottom"/>
          </w:tcPr>
          <w:p>
            <w:pPr>
              <w:spacing w:after="0"/>
              <w:rPr>
                <w:sz w:val="18"/>
                <w:szCs w:val="18"/>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21</w:t>
            </w:r>
          </w:p>
        </w:tc>
        <w:tc>
          <w:tcPr>
            <w:tcW w:w="8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10</w:t>
            </w: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3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(8)</w:t>
            </w:r>
          </w:p>
        </w:tc>
        <w:tc>
          <w:tcPr>
            <w:tcW w:w="8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(6)</w:t>
            </w:r>
          </w:p>
        </w:tc>
        <w:tc>
          <w:tcPr>
            <w:tcW w:w="4480" w:type="dxa"/>
            <w:vAlign w:val="bottom"/>
          </w:tcPr>
          <w:p>
            <w:pPr>
              <w:ind w:left="340"/>
              <w:spacing w:after="0"/>
              <w:rPr>
                <w:sz w:val="20"/>
                <w:szCs w:val="20"/>
                <w:color w:val="auto"/>
              </w:rPr>
            </w:pPr>
            <w:r>
              <w:rPr>
                <w:rFonts w:ascii="Arial" w:cs="Arial" w:eastAsia="Arial" w:hAnsi="Arial"/>
                <w:sz w:val="16"/>
                <w:szCs w:val="16"/>
                <w:color w:val="auto"/>
              </w:rPr>
              <w:t>Earnings Attributable to Noncontrolling Interests</w:t>
            </w:r>
          </w:p>
        </w:tc>
        <w:tc>
          <w:tcPr>
            <w:tcW w:w="0" w:type="dxa"/>
            <w:vAlign w:val="bottom"/>
          </w:tcPr>
          <w:p>
            <w:pPr>
              <w:spacing w:after="0"/>
              <w:rPr>
                <w:sz w:val="1"/>
                <w:szCs w:val="1"/>
                <w:color w:val="auto"/>
              </w:rPr>
            </w:pPr>
          </w:p>
        </w:tc>
      </w:tr>
      <w:tr>
        <w:trPr>
          <w:trHeight w:val="186"/>
        </w:trPr>
        <w:tc>
          <w:tcPr>
            <w:tcW w:w="4380" w:type="dxa"/>
            <w:vAlign w:val="bottom"/>
          </w:tcPr>
          <w:p>
            <w:pPr>
              <w:spacing w:after="0"/>
              <w:rPr>
                <w:sz w:val="16"/>
                <w:szCs w:val="16"/>
                <w:color w:val="auto"/>
              </w:rPr>
            </w:pPr>
          </w:p>
        </w:tc>
        <w:tc>
          <w:tcPr>
            <w:tcW w:w="340" w:type="dxa"/>
            <w:vAlign w:val="bottom"/>
          </w:tcPr>
          <w:p>
            <w:pPr>
              <w:jc w:val="right"/>
              <w:spacing w:after="0" w:line="179" w:lineRule="exact"/>
              <w:rPr>
                <w:sz w:val="20"/>
                <w:szCs w:val="20"/>
                <w:color w:val="auto"/>
              </w:rPr>
            </w:pPr>
            <w:r>
              <w:rPr>
                <w:rFonts w:ascii="Arial" w:cs="Arial" w:eastAsia="Arial" w:hAnsi="Arial"/>
                <w:sz w:val="16"/>
                <w:szCs w:val="16"/>
                <w:color w:val="auto"/>
              </w:rPr>
              <w:t>$</w:t>
            </w:r>
          </w:p>
        </w:tc>
        <w:tc>
          <w:tcPr>
            <w:tcW w:w="1060" w:type="dxa"/>
            <w:vAlign w:val="bottom"/>
          </w:tcPr>
          <w:p>
            <w:pPr>
              <w:jc w:val="right"/>
              <w:ind w:right="41"/>
              <w:spacing w:after="0" w:line="179" w:lineRule="exact"/>
              <w:rPr>
                <w:sz w:val="20"/>
                <w:szCs w:val="20"/>
                <w:color w:val="auto"/>
              </w:rPr>
            </w:pPr>
            <w:r>
              <w:rPr>
                <w:rFonts w:ascii="Arial" w:cs="Arial" w:eastAsia="Arial" w:hAnsi="Arial"/>
                <w:sz w:val="16"/>
                <w:szCs w:val="16"/>
                <w:color w:val="auto"/>
              </w:rPr>
              <w:t>13</w:t>
            </w:r>
          </w:p>
        </w:tc>
        <w:tc>
          <w:tcPr>
            <w:tcW w:w="820" w:type="dxa"/>
            <w:vAlign w:val="bottom"/>
          </w:tcPr>
          <w:p>
            <w:pPr>
              <w:jc w:val="right"/>
              <w:ind w:right="521"/>
              <w:spacing w:after="0" w:line="179" w:lineRule="exact"/>
              <w:rPr>
                <w:sz w:val="20"/>
                <w:szCs w:val="20"/>
                <w:color w:val="auto"/>
              </w:rPr>
            </w:pPr>
            <w:r>
              <w:rPr>
                <w:rFonts w:ascii="Arial" w:cs="Arial" w:eastAsia="Arial" w:hAnsi="Arial"/>
                <w:sz w:val="16"/>
                <w:szCs w:val="16"/>
                <w:color w:val="auto"/>
              </w:rPr>
              <w:t>$</w:t>
            </w:r>
          </w:p>
        </w:tc>
        <w:tc>
          <w:tcPr>
            <w:tcW w:w="340" w:type="dxa"/>
            <w:vAlign w:val="bottom"/>
            <w:gridSpan w:val="2"/>
          </w:tcPr>
          <w:p>
            <w:pPr>
              <w:jc w:val="right"/>
              <w:spacing w:after="0" w:line="179" w:lineRule="exact"/>
              <w:rPr>
                <w:sz w:val="20"/>
                <w:szCs w:val="20"/>
                <w:color w:val="auto"/>
              </w:rPr>
            </w:pPr>
            <w:r>
              <w:rPr>
                <w:rFonts w:ascii="Arial" w:cs="Arial" w:eastAsia="Arial" w:hAnsi="Arial"/>
                <w:sz w:val="16"/>
                <w:szCs w:val="16"/>
                <w:color w:val="auto"/>
              </w:rPr>
              <w:t>4</w:t>
            </w:r>
          </w:p>
        </w:tc>
        <w:tc>
          <w:tcPr>
            <w:tcW w:w="4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3"/>
        </w:trPr>
        <w:tc>
          <w:tcPr>
            <w:tcW w:w="4380" w:type="dxa"/>
            <w:vAlign w:val="bottom"/>
          </w:tcPr>
          <w:p>
            <w:pPr>
              <w:spacing w:after="0"/>
              <w:rPr>
                <w:sz w:val="20"/>
                <w:szCs w:val="20"/>
                <w:color w:val="auto"/>
              </w:rPr>
            </w:pPr>
            <w:r>
              <w:rPr>
                <w:rFonts w:ascii="Arial" w:cs="Arial" w:eastAsia="Arial" w:hAnsi="Arial"/>
                <w:sz w:val="16"/>
                <w:szCs w:val="16"/>
                <w:color w:val="auto"/>
              </w:rPr>
              <w:t>Pension and other postretirement benefits:</w:t>
            </w:r>
          </w:p>
        </w:tc>
        <w:tc>
          <w:tcPr>
            <w:tcW w:w="3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380" w:type="dxa"/>
            <w:vAlign w:val="bottom"/>
          </w:tcPr>
          <w:p>
            <w:pPr>
              <w:ind w:left="180"/>
              <w:spacing w:after="0"/>
              <w:rPr>
                <w:sz w:val="20"/>
                <w:szCs w:val="20"/>
                <w:color w:val="auto"/>
              </w:rPr>
            </w:pPr>
            <w:r>
              <w:rPr>
                <w:rFonts w:ascii="Arial" w:cs="Arial" w:eastAsia="Arial" w:hAnsi="Arial"/>
                <w:sz w:val="16"/>
                <w:szCs w:val="16"/>
                <w:color w:val="auto"/>
              </w:rPr>
              <w:t>Amortization of actuarial loss</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21</w:t>
            </w:r>
          </w:p>
        </w:tc>
        <w:tc>
          <w:tcPr>
            <w:tcW w:w="820" w:type="dxa"/>
            <w:vAlign w:val="bottom"/>
          </w:tcPr>
          <w:p>
            <w:pPr>
              <w:jc w:val="right"/>
              <w:ind w:right="521"/>
              <w:spacing w:after="0"/>
              <w:rPr>
                <w:sz w:val="20"/>
                <w:szCs w:val="20"/>
                <w:color w:val="auto"/>
              </w:rPr>
            </w:pPr>
            <w:r>
              <w:rPr>
                <w:rFonts w:ascii="Arial" w:cs="Arial" w:eastAsia="Arial" w:hAnsi="Arial"/>
                <w:sz w:val="16"/>
                <w:szCs w:val="16"/>
                <w:color w:val="auto"/>
              </w:rPr>
              <w:t>$</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12</w:t>
            </w:r>
          </w:p>
        </w:tc>
        <w:tc>
          <w:tcPr>
            <w:tcW w:w="4480" w:type="dxa"/>
            <w:vAlign w:val="bottom"/>
          </w:tcPr>
          <w:p>
            <w:pPr>
              <w:ind w:left="34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4"/>
        </w:trPr>
        <w:tc>
          <w:tcPr>
            <w:tcW w:w="43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(8)</w:t>
            </w:r>
          </w:p>
        </w:tc>
        <w:tc>
          <w:tcPr>
            <w:tcW w:w="8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w:t>
            </w:r>
          </w:p>
        </w:tc>
        <w:tc>
          <w:tcPr>
            <w:tcW w:w="4480" w:type="dxa"/>
            <w:vAlign w:val="bottom"/>
          </w:tcPr>
          <w:p>
            <w:pPr>
              <w:ind w:left="340"/>
              <w:spacing w:after="0"/>
              <w:rPr>
                <w:sz w:val="20"/>
                <w:szCs w:val="20"/>
                <w:color w:val="auto"/>
              </w:rPr>
            </w:pPr>
            <w:r>
              <w:rPr>
                <w:rFonts w:ascii="Arial" w:cs="Arial" w:eastAsia="Arial" w:hAnsi="Arial"/>
                <w:sz w:val="16"/>
                <w:szCs w:val="16"/>
                <w:color w:val="auto"/>
              </w:rPr>
              <w:t>Income Tax Expense</w:t>
            </w:r>
          </w:p>
        </w:tc>
        <w:tc>
          <w:tcPr>
            <w:tcW w:w="0" w:type="dxa"/>
            <w:vAlign w:val="bottom"/>
          </w:tcPr>
          <w:p>
            <w:pPr>
              <w:spacing w:after="0"/>
              <w:rPr>
                <w:sz w:val="1"/>
                <w:szCs w:val="1"/>
                <w:color w:val="auto"/>
              </w:rPr>
            </w:pPr>
          </w:p>
        </w:tc>
      </w:tr>
      <w:tr>
        <w:trPr>
          <w:trHeight w:val="186"/>
        </w:trPr>
        <w:tc>
          <w:tcPr>
            <w:tcW w:w="4380" w:type="dxa"/>
            <w:vAlign w:val="bottom"/>
          </w:tcPr>
          <w:p>
            <w:pPr>
              <w:spacing w:after="0" w:line="179" w:lineRule="exact"/>
              <w:rPr>
                <w:sz w:val="20"/>
                <w:szCs w:val="20"/>
                <w:color w:val="auto"/>
              </w:rPr>
            </w:pPr>
            <w:r>
              <w:rPr>
                <w:rFonts w:ascii="Arial" w:cs="Arial" w:eastAsia="Arial" w:hAnsi="Arial"/>
                <w:sz w:val="16"/>
                <w:szCs w:val="16"/>
                <w:color w:val="auto"/>
              </w:rPr>
              <w:t>Net of income tax</w:t>
            </w:r>
          </w:p>
        </w:tc>
        <w:tc>
          <w:tcPr>
            <w:tcW w:w="34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41"/>
              <w:spacing w:after="0" w:line="179" w:lineRule="exact"/>
              <w:rPr>
                <w:sz w:val="20"/>
                <w:szCs w:val="20"/>
                <w:color w:val="auto"/>
              </w:rPr>
            </w:pPr>
            <w:r>
              <w:rPr>
                <w:rFonts w:ascii="Arial" w:cs="Arial" w:eastAsia="Arial" w:hAnsi="Arial"/>
                <w:sz w:val="16"/>
                <w:szCs w:val="16"/>
                <w:color w:val="auto"/>
              </w:rPr>
              <w:t>13</w:t>
            </w:r>
          </w:p>
        </w:tc>
        <w:tc>
          <w:tcPr>
            <w:tcW w:w="820" w:type="dxa"/>
            <w:vAlign w:val="bottom"/>
            <w:tcBorders>
              <w:bottom w:val="single" w:sz="8" w:color="auto"/>
            </w:tcBorders>
          </w:tcPr>
          <w:p>
            <w:pPr>
              <w:jc w:val="right"/>
              <w:ind w:right="521"/>
              <w:spacing w:after="0" w:line="179" w:lineRule="exact"/>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gridSpan w:val="2"/>
          </w:tcPr>
          <w:p>
            <w:pPr>
              <w:jc w:val="right"/>
              <w:spacing w:after="0" w:line="179" w:lineRule="exact"/>
              <w:rPr>
                <w:sz w:val="20"/>
                <w:szCs w:val="20"/>
                <w:color w:val="auto"/>
              </w:rPr>
            </w:pPr>
            <w:r>
              <w:rPr>
                <w:rFonts w:ascii="Arial" w:cs="Arial" w:eastAsia="Arial" w:hAnsi="Arial"/>
                <w:sz w:val="16"/>
                <w:szCs w:val="16"/>
                <w:color w:val="auto"/>
              </w:rPr>
              <w:t>7</w:t>
            </w:r>
          </w:p>
        </w:tc>
        <w:tc>
          <w:tcPr>
            <w:tcW w:w="4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2"/>
        </w:trPr>
        <w:tc>
          <w:tcPr>
            <w:tcW w:w="43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reclassifications for the period, net of tax</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26</w:t>
            </w:r>
          </w:p>
        </w:tc>
        <w:tc>
          <w:tcPr>
            <w:tcW w:w="82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281</w:t>
            </w:r>
          </w:p>
        </w:tc>
        <w:tc>
          <w:tcPr>
            <w:tcW w:w="4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438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80" w:type="dxa"/>
            <w:vAlign w:val="bottom"/>
          </w:tcPr>
          <w:p>
            <w:pPr>
              <w:spacing w:after="0"/>
              <w:rPr>
                <w:sz w:val="20"/>
                <w:szCs w:val="20"/>
                <w:color w:val="auto"/>
              </w:rPr>
            </w:pPr>
            <w:r>
              <w:rPr>
                <w:rFonts w:ascii="Arial" w:cs="Arial" w:eastAsia="Arial" w:hAnsi="Arial"/>
                <w:sz w:val="16"/>
                <w:szCs w:val="16"/>
                <w:color w:val="auto"/>
              </w:rPr>
              <w:t>Financial instruments:</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80" w:type="dxa"/>
            <w:vAlign w:val="bottom"/>
          </w:tcPr>
          <w:p>
            <w:pPr>
              <w:ind w:left="180"/>
              <w:spacing w:after="0"/>
              <w:rPr>
                <w:sz w:val="20"/>
                <w:szCs w:val="20"/>
                <w:color w:val="auto"/>
              </w:rPr>
            </w:pPr>
            <w:r>
              <w:rPr>
                <w:rFonts w:ascii="Arial" w:cs="Arial" w:eastAsia="Arial" w:hAnsi="Arial"/>
                <w:sz w:val="16"/>
                <w:szCs w:val="16"/>
                <w:color w:val="auto"/>
              </w:rPr>
              <w:t>Interest rate instruments</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8</w:t>
            </w:r>
          </w:p>
        </w:tc>
        <w:tc>
          <w:tcPr>
            <w:tcW w:w="820" w:type="dxa"/>
            <w:vAlign w:val="bottom"/>
          </w:tcPr>
          <w:p>
            <w:pPr>
              <w:jc w:val="right"/>
              <w:ind w:right="521"/>
              <w:spacing w:after="0"/>
              <w:rPr>
                <w:sz w:val="20"/>
                <w:szCs w:val="20"/>
                <w:color w:val="auto"/>
              </w:rPr>
            </w:pPr>
            <w:r>
              <w:rPr>
                <w:rFonts w:ascii="Arial" w:cs="Arial" w:eastAsia="Arial" w:hAnsi="Arial"/>
                <w:sz w:val="16"/>
                <w:szCs w:val="16"/>
                <w:color w:val="auto"/>
              </w:rPr>
              <w:t>$</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6</w:t>
            </w:r>
          </w:p>
        </w:tc>
        <w:tc>
          <w:tcPr>
            <w:tcW w:w="4480" w:type="dxa"/>
            <w:vAlign w:val="bottom"/>
          </w:tcPr>
          <w:p>
            <w:pPr>
              <w:ind w:left="340"/>
              <w:spacing w:after="0"/>
              <w:rPr>
                <w:sz w:val="20"/>
                <w:szCs w:val="20"/>
                <w:color w:val="auto"/>
              </w:rPr>
            </w:pPr>
            <w:r>
              <w:rPr>
                <w:rFonts w:ascii="Arial" w:cs="Arial" w:eastAsia="Arial" w:hAnsi="Arial"/>
                <w:sz w:val="16"/>
                <w:szCs w:val="16"/>
                <w:color w:val="auto"/>
              </w:rPr>
              <w:t>Interest Expense</w:t>
            </w:r>
          </w:p>
        </w:tc>
        <w:tc>
          <w:tcPr>
            <w:tcW w:w="0" w:type="dxa"/>
            <w:vAlign w:val="bottom"/>
          </w:tcPr>
          <w:p>
            <w:pPr>
              <w:spacing w:after="0"/>
              <w:rPr>
                <w:sz w:val="1"/>
                <w:szCs w:val="1"/>
                <w:color w:val="auto"/>
              </w:rPr>
            </w:pPr>
          </w:p>
        </w:tc>
      </w:tr>
      <w:tr>
        <w:trPr>
          <w:trHeight w:val="204"/>
        </w:trPr>
        <w:tc>
          <w:tcPr>
            <w:tcW w:w="4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(8)</w:t>
            </w:r>
          </w:p>
        </w:tc>
        <w:tc>
          <w:tcPr>
            <w:tcW w:w="820" w:type="dxa"/>
            <w:vAlign w:val="bottom"/>
          </w:tcPr>
          <w:p>
            <w:pPr>
              <w:spacing w:after="0"/>
              <w:rPr>
                <w:sz w:val="17"/>
                <w:szCs w:val="17"/>
                <w:color w:val="auto"/>
              </w:rPr>
            </w:pP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(6)</w:t>
            </w:r>
          </w:p>
        </w:tc>
        <w:tc>
          <w:tcPr>
            <w:tcW w:w="4480" w:type="dxa"/>
            <w:vAlign w:val="bottom"/>
          </w:tcPr>
          <w:p>
            <w:pPr>
              <w:ind w:left="340"/>
              <w:spacing w:after="0"/>
              <w:rPr>
                <w:sz w:val="20"/>
                <w:szCs w:val="20"/>
                <w:color w:val="auto"/>
              </w:rPr>
            </w:pPr>
            <w:r>
              <w:rPr>
                <w:rFonts w:ascii="Arial" w:cs="Arial" w:eastAsia="Arial" w:hAnsi="Arial"/>
                <w:sz w:val="16"/>
                <w:szCs w:val="16"/>
                <w:color w:val="auto"/>
              </w:rPr>
              <w:t>Earnings Attributable to Noncontrolling Interest</w:t>
            </w:r>
          </w:p>
        </w:tc>
        <w:tc>
          <w:tcPr>
            <w:tcW w:w="0" w:type="dxa"/>
            <w:vAlign w:val="bottom"/>
          </w:tcPr>
          <w:p>
            <w:pPr>
              <w:spacing w:after="0"/>
              <w:rPr>
                <w:sz w:val="1"/>
                <w:szCs w:val="1"/>
                <w:color w:val="auto"/>
              </w:rPr>
            </w:pPr>
          </w:p>
        </w:tc>
      </w:tr>
      <w:tr>
        <w:trPr>
          <w:trHeight w:val="186"/>
        </w:trPr>
        <w:tc>
          <w:tcPr>
            <w:tcW w:w="438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spacing w:after="0" w:line="179" w:lineRule="exact"/>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181"/>
              <w:spacing w:after="0" w:line="179" w:lineRule="exact"/>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ind w:right="521"/>
              <w:spacing w:after="0" w:line="179" w:lineRule="exact"/>
              <w:rPr>
                <w:sz w:val="20"/>
                <w:szCs w:val="20"/>
                <w:color w:val="auto"/>
              </w:rPr>
            </w:pPr>
            <w:r>
              <w:rPr>
                <w:rFonts w:ascii="Arial" w:cs="Arial" w:eastAsia="Arial" w:hAnsi="Arial"/>
                <w:sz w:val="16"/>
                <w:szCs w:val="16"/>
                <w:color w:val="auto"/>
              </w:rPr>
              <w:t>$</w:t>
            </w:r>
          </w:p>
        </w:tc>
        <w:tc>
          <w:tcPr>
            <w:tcW w:w="320" w:type="dxa"/>
            <w:vAlign w:val="bottom"/>
            <w:tcBorders>
              <w:top w:val="single" w:sz="8" w:color="auto"/>
              <w:bottom w:val="single" w:sz="8" w:color="auto"/>
            </w:tcBorders>
          </w:tcPr>
          <w:p>
            <w:pPr>
              <w:jc w:val="right"/>
              <w:ind w:right="40"/>
              <w:spacing w:after="0" w:line="179"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3"/>
        </w:trPr>
        <w:tc>
          <w:tcPr>
            <w:tcW w:w="4380" w:type="dxa"/>
            <w:vAlign w:val="bottom"/>
          </w:tcPr>
          <w:p>
            <w:pPr>
              <w:spacing w:after="0"/>
              <w:rPr>
                <w:sz w:val="20"/>
                <w:szCs w:val="20"/>
                <w:color w:val="auto"/>
              </w:rPr>
            </w:pPr>
            <w:r>
              <w:rPr>
                <w:rFonts w:ascii="Arial" w:cs="Arial" w:eastAsia="Arial" w:hAnsi="Arial"/>
                <w:sz w:val="16"/>
                <w:szCs w:val="16"/>
                <w:color w:val="auto"/>
              </w:rPr>
              <w:t>Pension and other postretirement benefits:</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380" w:type="dxa"/>
            <w:vAlign w:val="bottom"/>
          </w:tcPr>
          <w:p>
            <w:pPr>
              <w:ind w:left="180"/>
              <w:spacing w:after="0"/>
              <w:rPr>
                <w:sz w:val="20"/>
                <w:szCs w:val="20"/>
                <w:color w:val="auto"/>
              </w:rPr>
            </w:pPr>
            <w:r>
              <w:rPr>
                <w:rFonts w:ascii="Arial" w:cs="Arial" w:eastAsia="Arial" w:hAnsi="Arial"/>
                <w:sz w:val="16"/>
                <w:szCs w:val="16"/>
                <w:color w:val="auto"/>
              </w:rPr>
              <w:t>Amortization of actuarial loss</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3</w:t>
            </w:r>
          </w:p>
        </w:tc>
        <w:tc>
          <w:tcPr>
            <w:tcW w:w="820" w:type="dxa"/>
            <w:vAlign w:val="bottom"/>
          </w:tcPr>
          <w:p>
            <w:pPr>
              <w:jc w:val="right"/>
              <w:ind w:right="521"/>
              <w:spacing w:after="0"/>
              <w:rPr>
                <w:sz w:val="20"/>
                <w:szCs w:val="20"/>
                <w:color w:val="auto"/>
              </w:rPr>
            </w:pPr>
            <w:r>
              <w:rPr>
                <w:rFonts w:ascii="Arial" w:cs="Arial" w:eastAsia="Arial" w:hAnsi="Arial"/>
                <w:sz w:val="16"/>
                <w:szCs w:val="16"/>
                <w:color w:val="auto"/>
              </w:rPr>
              <w:t>$</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3</w:t>
            </w:r>
          </w:p>
        </w:tc>
        <w:tc>
          <w:tcPr>
            <w:tcW w:w="4480" w:type="dxa"/>
            <w:vAlign w:val="bottom"/>
          </w:tcPr>
          <w:p>
            <w:pPr>
              <w:ind w:left="34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4"/>
        </w:trPr>
        <w:tc>
          <w:tcPr>
            <w:tcW w:w="43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w:t>
            </w:r>
          </w:p>
        </w:tc>
        <w:tc>
          <w:tcPr>
            <w:tcW w:w="8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w:t>
            </w:r>
          </w:p>
        </w:tc>
        <w:tc>
          <w:tcPr>
            <w:tcW w:w="4480" w:type="dxa"/>
            <w:vAlign w:val="bottom"/>
          </w:tcPr>
          <w:p>
            <w:pPr>
              <w:ind w:left="340"/>
              <w:spacing w:after="0"/>
              <w:rPr>
                <w:sz w:val="20"/>
                <w:szCs w:val="20"/>
                <w:color w:val="auto"/>
              </w:rPr>
            </w:pPr>
            <w:r>
              <w:rPr>
                <w:rFonts w:ascii="Arial" w:cs="Arial" w:eastAsia="Arial" w:hAnsi="Arial"/>
                <w:sz w:val="16"/>
                <w:szCs w:val="16"/>
                <w:color w:val="auto"/>
              </w:rPr>
              <w:t>Income Tax Expense</w:t>
            </w:r>
          </w:p>
        </w:tc>
        <w:tc>
          <w:tcPr>
            <w:tcW w:w="0" w:type="dxa"/>
            <w:vAlign w:val="bottom"/>
          </w:tcPr>
          <w:p>
            <w:pPr>
              <w:spacing w:after="0"/>
              <w:rPr>
                <w:sz w:val="1"/>
                <w:szCs w:val="1"/>
                <w:color w:val="auto"/>
              </w:rPr>
            </w:pPr>
          </w:p>
        </w:tc>
      </w:tr>
      <w:tr>
        <w:trPr>
          <w:trHeight w:val="186"/>
        </w:trPr>
        <w:tc>
          <w:tcPr>
            <w:tcW w:w="4380" w:type="dxa"/>
            <w:vAlign w:val="bottom"/>
          </w:tcPr>
          <w:p>
            <w:pPr>
              <w:spacing w:after="0" w:line="179" w:lineRule="exact"/>
              <w:rPr>
                <w:sz w:val="20"/>
                <w:szCs w:val="20"/>
                <w:color w:val="auto"/>
              </w:rPr>
            </w:pPr>
            <w:r>
              <w:rPr>
                <w:rFonts w:ascii="Arial" w:cs="Arial" w:eastAsia="Arial" w:hAnsi="Arial"/>
                <w:sz w:val="16"/>
                <w:szCs w:val="16"/>
                <w:color w:val="auto"/>
              </w:rPr>
              <w:t>Net of income tax</w:t>
            </w:r>
          </w:p>
        </w:tc>
        <w:tc>
          <w:tcPr>
            <w:tcW w:w="34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41"/>
              <w:spacing w:after="0" w:line="179" w:lineRule="exact"/>
              <w:rPr>
                <w:sz w:val="20"/>
                <w:szCs w:val="20"/>
                <w:color w:val="auto"/>
              </w:rPr>
            </w:pPr>
            <w:r>
              <w:rPr>
                <w:rFonts w:ascii="Arial" w:cs="Arial" w:eastAsia="Arial" w:hAnsi="Arial"/>
                <w:sz w:val="16"/>
                <w:szCs w:val="16"/>
                <w:color w:val="auto"/>
              </w:rPr>
              <w:t>2</w:t>
            </w:r>
          </w:p>
        </w:tc>
        <w:tc>
          <w:tcPr>
            <w:tcW w:w="820" w:type="dxa"/>
            <w:vAlign w:val="bottom"/>
            <w:tcBorders>
              <w:bottom w:val="single" w:sz="8" w:color="auto"/>
            </w:tcBorders>
          </w:tcPr>
          <w:p>
            <w:pPr>
              <w:jc w:val="right"/>
              <w:ind w:right="521"/>
              <w:spacing w:after="0" w:line="179" w:lineRule="exact"/>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gridSpan w:val="2"/>
          </w:tcPr>
          <w:p>
            <w:pPr>
              <w:jc w:val="right"/>
              <w:spacing w:after="0" w:line="179" w:lineRule="exact"/>
              <w:rPr>
                <w:sz w:val="20"/>
                <w:szCs w:val="20"/>
                <w:color w:val="auto"/>
              </w:rPr>
            </w:pPr>
            <w:r>
              <w:rPr>
                <w:rFonts w:ascii="Arial" w:cs="Arial" w:eastAsia="Arial" w:hAnsi="Arial"/>
                <w:sz w:val="16"/>
                <w:szCs w:val="16"/>
                <w:color w:val="auto"/>
              </w:rPr>
              <w:t>2</w:t>
            </w:r>
          </w:p>
        </w:tc>
        <w:tc>
          <w:tcPr>
            <w:tcW w:w="4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2"/>
        </w:trPr>
        <w:tc>
          <w:tcPr>
            <w:tcW w:w="43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reclassifications for the period, net of tax</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w:t>
            </w:r>
          </w:p>
        </w:tc>
        <w:tc>
          <w:tcPr>
            <w:tcW w:w="82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w:t>
            </w:r>
          </w:p>
        </w:tc>
        <w:tc>
          <w:tcPr>
            <w:tcW w:w="4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4380" w:type="dxa"/>
            <w:vAlign w:val="bottom"/>
          </w:tcPr>
          <w:p>
            <w:pPr>
              <w:spacing w:after="0"/>
              <w:rPr>
                <w:sz w:val="20"/>
                <w:szCs w:val="20"/>
                <w:color w:val="auto"/>
              </w:rPr>
            </w:pPr>
            <w:r>
              <w:rPr>
                <w:rFonts w:ascii="Arial" w:cs="Arial" w:eastAsia="Arial" w:hAnsi="Arial"/>
                <w:sz w:val="16"/>
                <w:szCs w:val="16"/>
                <w:b w:val="1"/>
                <w:bCs w:val="1"/>
                <w:color w:val="auto"/>
              </w:rPr>
              <w:t>SoCalGas:</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80" w:type="dxa"/>
            <w:vAlign w:val="bottom"/>
          </w:tcPr>
          <w:p>
            <w:pPr>
              <w:spacing w:after="0"/>
              <w:rPr>
                <w:sz w:val="20"/>
                <w:szCs w:val="20"/>
                <w:color w:val="auto"/>
              </w:rPr>
            </w:pPr>
            <w:r>
              <w:rPr>
                <w:rFonts w:ascii="Arial" w:cs="Arial" w:eastAsia="Arial" w:hAnsi="Arial"/>
                <w:sz w:val="16"/>
                <w:szCs w:val="16"/>
                <w:color w:val="auto"/>
              </w:rPr>
              <w:t>Financial instruments:</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80" w:type="dxa"/>
            <w:vAlign w:val="bottom"/>
          </w:tcPr>
          <w:p>
            <w:pPr>
              <w:ind w:left="180"/>
              <w:spacing w:after="0"/>
              <w:rPr>
                <w:sz w:val="20"/>
                <w:szCs w:val="20"/>
                <w:color w:val="auto"/>
              </w:rPr>
            </w:pPr>
            <w:r>
              <w:rPr>
                <w:rFonts w:ascii="Arial" w:cs="Arial" w:eastAsia="Arial" w:hAnsi="Arial"/>
                <w:sz w:val="16"/>
                <w:szCs w:val="16"/>
                <w:color w:val="auto"/>
              </w:rPr>
              <w:t>Interest rate instruments</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521"/>
              <w:spacing w:after="0"/>
              <w:rPr>
                <w:sz w:val="20"/>
                <w:szCs w:val="20"/>
                <w:color w:val="auto"/>
              </w:rPr>
            </w:pPr>
            <w:r>
              <w:rPr>
                <w:rFonts w:ascii="Arial" w:cs="Arial" w:eastAsia="Arial" w:hAnsi="Arial"/>
                <w:sz w:val="16"/>
                <w:szCs w:val="16"/>
                <w:color w:val="auto"/>
              </w:rPr>
              <w:t>$</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4480" w:type="dxa"/>
            <w:vAlign w:val="bottom"/>
          </w:tcPr>
          <w:p>
            <w:pPr>
              <w:ind w:left="340"/>
              <w:spacing w:after="0"/>
              <w:rPr>
                <w:sz w:val="20"/>
                <w:szCs w:val="20"/>
                <w:color w:val="auto"/>
              </w:rPr>
            </w:pPr>
            <w:r>
              <w:rPr>
                <w:rFonts w:ascii="Arial" w:cs="Arial" w:eastAsia="Arial" w:hAnsi="Arial"/>
                <w:sz w:val="16"/>
                <w:szCs w:val="16"/>
                <w:color w:val="auto"/>
              </w:rPr>
              <w:t>Interest Expense</w:t>
            </w:r>
          </w:p>
        </w:tc>
        <w:tc>
          <w:tcPr>
            <w:tcW w:w="0" w:type="dxa"/>
            <w:vAlign w:val="bottom"/>
          </w:tcPr>
          <w:p>
            <w:pPr>
              <w:spacing w:after="0"/>
              <w:rPr>
                <w:sz w:val="1"/>
                <w:szCs w:val="1"/>
                <w:color w:val="auto"/>
              </w:rPr>
            </w:pPr>
          </w:p>
        </w:tc>
      </w:tr>
      <w:tr>
        <w:trPr>
          <w:trHeight w:val="204"/>
        </w:trPr>
        <w:tc>
          <w:tcPr>
            <w:tcW w:w="43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4480" w:type="dxa"/>
            <w:vAlign w:val="bottom"/>
          </w:tcPr>
          <w:p>
            <w:pPr>
              <w:ind w:left="340"/>
              <w:spacing w:after="0"/>
              <w:rPr>
                <w:sz w:val="20"/>
                <w:szCs w:val="20"/>
                <w:color w:val="auto"/>
              </w:rPr>
            </w:pPr>
            <w:r>
              <w:rPr>
                <w:rFonts w:ascii="Arial" w:cs="Arial" w:eastAsia="Arial" w:hAnsi="Arial"/>
                <w:sz w:val="16"/>
                <w:szCs w:val="16"/>
                <w:color w:val="auto"/>
              </w:rPr>
              <w:t>Income Tax Expense</w:t>
            </w:r>
          </w:p>
        </w:tc>
        <w:tc>
          <w:tcPr>
            <w:tcW w:w="0" w:type="dxa"/>
            <w:vAlign w:val="bottom"/>
          </w:tcPr>
          <w:p>
            <w:pPr>
              <w:spacing w:after="0"/>
              <w:rPr>
                <w:sz w:val="1"/>
                <w:szCs w:val="1"/>
                <w:color w:val="auto"/>
              </w:rPr>
            </w:pPr>
          </w:p>
        </w:tc>
      </w:tr>
      <w:tr>
        <w:trPr>
          <w:trHeight w:val="186"/>
        </w:trPr>
        <w:tc>
          <w:tcPr>
            <w:tcW w:w="4380" w:type="dxa"/>
            <w:vAlign w:val="bottom"/>
          </w:tcPr>
          <w:p>
            <w:pPr>
              <w:spacing w:after="0" w:line="179" w:lineRule="exact"/>
              <w:rPr>
                <w:sz w:val="20"/>
                <w:szCs w:val="20"/>
                <w:color w:val="auto"/>
              </w:rPr>
            </w:pPr>
            <w:r>
              <w:rPr>
                <w:rFonts w:ascii="Arial" w:cs="Arial" w:eastAsia="Arial" w:hAnsi="Arial"/>
                <w:sz w:val="16"/>
                <w:szCs w:val="16"/>
                <w:color w:val="auto"/>
              </w:rPr>
              <w:t>Net of income tax</w:t>
            </w:r>
          </w:p>
        </w:tc>
        <w:tc>
          <w:tcPr>
            <w:tcW w:w="340" w:type="dxa"/>
            <w:vAlign w:val="bottom"/>
          </w:tcPr>
          <w:p>
            <w:pPr>
              <w:jc w:val="right"/>
              <w:spacing w:after="0" w:line="179" w:lineRule="exact"/>
              <w:rPr>
                <w:sz w:val="20"/>
                <w:szCs w:val="20"/>
                <w:color w:val="auto"/>
              </w:rPr>
            </w:pPr>
            <w:r>
              <w:rPr>
                <w:rFonts w:ascii="Arial" w:cs="Arial" w:eastAsia="Arial" w:hAnsi="Arial"/>
                <w:sz w:val="16"/>
                <w:szCs w:val="16"/>
                <w:color w:val="auto"/>
              </w:rPr>
              <w:t>$</w:t>
            </w:r>
          </w:p>
        </w:tc>
        <w:tc>
          <w:tcPr>
            <w:tcW w:w="1060" w:type="dxa"/>
            <w:vAlign w:val="bottom"/>
          </w:tcPr>
          <w:p>
            <w:pPr>
              <w:jc w:val="right"/>
              <w:ind w:right="181"/>
              <w:spacing w:after="0" w:line="179" w:lineRule="exact"/>
              <w:rPr>
                <w:sz w:val="20"/>
                <w:szCs w:val="20"/>
                <w:color w:val="auto"/>
              </w:rPr>
            </w:pPr>
            <w:r>
              <w:rPr>
                <w:rFonts w:ascii="Arial" w:cs="Arial" w:eastAsia="Arial" w:hAnsi="Arial"/>
                <w:sz w:val="16"/>
                <w:szCs w:val="16"/>
                <w:color w:val="auto"/>
              </w:rPr>
              <w:t>―</w:t>
            </w:r>
          </w:p>
        </w:tc>
        <w:tc>
          <w:tcPr>
            <w:tcW w:w="820" w:type="dxa"/>
            <w:vAlign w:val="bottom"/>
          </w:tcPr>
          <w:p>
            <w:pPr>
              <w:jc w:val="right"/>
              <w:ind w:right="521"/>
              <w:spacing w:after="0" w:line="179" w:lineRule="exact"/>
              <w:rPr>
                <w:sz w:val="20"/>
                <w:szCs w:val="20"/>
                <w:color w:val="auto"/>
              </w:rPr>
            </w:pPr>
            <w:r>
              <w:rPr>
                <w:rFonts w:ascii="Arial" w:cs="Arial" w:eastAsia="Arial" w:hAnsi="Arial"/>
                <w:sz w:val="16"/>
                <w:szCs w:val="16"/>
                <w:color w:val="auto"/>
              </w:rPr>
              <w:t>$</w:t>
            </w:r>
          </w:p>
        </w:tc>
        <w:tc>
          <w:tcPr>
            <w:tcW w:w="340" w:type="dxa"/>
            <w:vAlign w:val="bottom"/>
            <w:gridSpan w:val="2"/>
          </w:tcPr>
          <w:p>
            <w:pPr>
              <w:jc w:val="right"/>
              <w:spacing w:after="0" w:line="179" w:lineRule="exact"/>
              <w:rPr>
                <w:sz w:val="20"/>
                <w:szCs w:val="20"/>
                <w:color w:val="auto"/>
              </w:rPr>
            </w:pPr>
            <w:r>
              <w:rPr>
                <w:rFonts w:ascii="Arial" w:cs="Arial" w:eastAsia="Arial" w:hAnsi="Arial"/>
                <w:sz w:val="16"/>
                <w:szCs w:val="16"/>
                <w:color w:val="auto"/>
              </w:rPr>
              <w:t>1</w:t>
            </w:r>
          </w:p>
        </w:tc>
        <w:tc>
          <w:tcPr>
            <w:tcW w:w="4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3"/>
        </w:trPr>
        <w:tc>
          <w:tcPr>
            <w:tcW w:w="4380" w:type="dxa"/>
            <w:vAlign w:val="bottom"/>
          </w:tcPr>
          <w:p>
            <w:pPr>
              <w:spacing w:after="0"/>
              <w:rPr>
                <w:sz w:val="20"/>
                <w:szCs w:val="20"/>
                <w:color w:val="auto"/>
              </w:rPr>
            </w:pPr>
            <w:r>
              <w:rPr>
                <w:rFonts w:ascii="Arial" w:cs="Arial" w:eastAsia="Arial" w:hAnsi="Arial"/>
                <w:sz w:val="16"/>
                <w:szCs w:val="16"/>
                <w:color w:val="auto"/>
              </w:rPr>
              <w:t>Pension and other postretirement benefits:</w:t>
            </w:r>
          </w:p>
        </w:tc>
        <w:tc>
          <w:tcPr>
            <w:tcW w:w="3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380" w:type="dxa"/>
            <w:vAlign w:val="bottom"/>
          </w:tcPr>
          <w:p>
            <w:pPr>
              <w:ind w:left="180"/>
              <w:spacing w:after="0"/>
              <w:rPr>
                <w:sz w:val="20"/>
                <w:szCs w:val="20"/>
                <w:color w:val="auto"/>
              </w:rPr>
            </w:pPr>
            <w:r>
              <w:rPr>
                <w:rFonts w:ascii="Arial" w:cs="Arial" w:eastAsia="Arial" w:hAnsi="Arial"/>
                <w:sz w:val="16"/>
                <w:szCs w:val="16"/>
                <w:color w:val="auto"/>
              </w:rPr>
              <w:t>Amortization of actuarial loss</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4</w:t>
            </w:r>
          </w:p>
        </w:tc>
        <w:tc>
          <w:tcPr>
            <w:tcW w:w="820" w:type="dxa"/>
            <w:vAlign w:val="bottom"/>
          </w:tcPr>
          <w:p>
            <w:pPr>
              <w:jc w:val="right"/>
              <w:ind w:right="521"/>
              <w:spacing w:after="0"/>
              <w:rPr>
                <w:sz w:val="20"/>
                <w:szCs w:val="20"/>
                <w:color w:val="auto"/>
              </w:rPr>
            </w:pPr>
            <w:r>
              <w:rPr>
                <w:rFonts w:ascii="Arial" w:cs="Arial" w:eastAsia="Arial" w:hAnsi="Arial"/>
                <w:sz w:val="16"/>
                <w:szCs w:val="16"/>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480" w:type="dxa"/>
            <w:vAlign w:val="bottom"/>
          </w:tcPr>
          <w:p>
            <w:pPr>
              <w:ind w:left="34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4"/>
        </w:trPr>
        <w:tc>
          <w:tcPr>
            <w:tcW w:w="43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w:t>
            </w:r>
          </w:p>
        </w:tc>
        <w:tc>
          <w:tcPr>
            <w:tcW w:w="8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4480" w:type="dxa"/>
            <w:vAlign w:val="bottom"/>
          </w:tcPr>
          <w:p>
            <w:pPr>
              <w:ind w:left="340"/>
              <w:spacing w:after="0"/>
              <w:rPr>
                <w:sz w:val="20"/>
                <w:szCs w:val="20"/>
                <w:color w:val="auto"/>
              </w:rPr>
            </w:pPr>
            <w:r>
              <w:rPr>
                <w:rFonts w:ascii="Arial" w:cs="Arial" w:eastAsia="Arial" w:hAnsi="Arial"/>
                <w:sz w:val="16"/>
                <w:szCs w:val="16"/>
                <w:color w:val="auto"/>
              </w:rPr>
              <w:t>Income Tax Expense</w:t>
            </w:r>
          </w:p>
        </w:tc>
        <w:tc>
          <w:tcPr>
            <w:tcW w:w="0" w:type="dxa"/>
            <w:vAlign w:val="bottom"/>
          </w:tcPr>
          <w:p>
            <w:pPr>
              <w:spacing w:after="0"/>
              <w:rPr>
                <w:sz w:val="1"/>
                <w:szCs w:val="1"/>
                <w:color w:val="auto"/>
              </w:rPr>
            </w:pPr>
          </w:p>
        </w:tc>
      </w:tr>
      <w:tr>
        <w:trPr>
          <w:trHeight w:val="186"/>
        </w:trPr>
        <w:tc>
          <w:tcPr>
            <w:tcW w:w="4380" w:type="dxa"/>
            <w:vAlign w:val="bottom"/>
          </w:tcPr>
          <w:p>
            <w:pPr>
              <w:spacing w:after="0" w:line="179" w:lineRule="exact"/>
              <w:rPr>
                <w:sz w:val="20"/>
                <w:szCs w:val="20"/>
                <w:color w:val="auto"/>
              </w:rPr>
            </w:pPr>
            <w:r>
              <w:rPr>
                <w:rFonts w:ascii="Arial" w:cs="Arial" w:eastAsia="Arial" w:hAnsi="Arial"/>
                <w:sz w:val="16"/>
                <w:szCs w:val="16"/>
                <w:color w:val="auto"/>
              </w:rPr>
              <w:t>Net of income tax</w:t>
            </w:r>
          </w:p>
        </w:tc>
        <w:tc>
          <w:tcPr>
            <w:tcW w:w="34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41"/>
              <w:spacing w:after="0" w:line="179" w:lineRule="exact"/>
              <w:rPr>
                <w:sz w:val="20"/>
                <w:szCs w:val="20"/>
                <w:color w:val="auto"/>
              </w:rPr>
            </w:pPr>
            <w:r>
              <w:rPr>
                <w:rFonts w:ascii="Arial" w:cs="Arial" w:eastAsia="Arial" w:hAnsi="Arial"/>
                <w:sz w:val="16"/>
                <w:szCs w:val="16"/>
                <w:color w:val="auto"/>
              </w:rPr>
              <w:t>2</w:t>
            </w:r>
          </w:p>
        </w:tc>
        <w:tc>
          <w:tcPr>
            <w:tcW w:w="820" w:type="dxa"/>
            <w:vAlign w:val="bottom"/>
            <w:tcBorders>
              <w:bottom w:val="single" w:sz="8" w:color="auto"/>
            </w:tcBorders>
          </w:tcPr>
          <w:p>
            <w:pPr>
              <w:jc w:val="right"/>
              <w:ind w:right="521"/>
              <w:spacing w:after="0" w:line="179" w:lineRule="exact"/>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ind w:right="40"/>
              <w:spacing w:after="0" w:line="179"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3"/>
        </w:trPr>
        <w:tc>
          <w:tcPr>
            <w:tcW w:w="4380" w:type="dxa"/>
            <w:vAlign w:val="bottom"/>
          </w:tcPr>
          <w:p>
            <w:pPr>
              <w:spacing w:after="0"/>
              <w:rPr>
                <w:sz w:val="20"/>
                <w:szCs w:val="20"/>
                <w:color w:val="auto"/>
              </w:rPr>
            </w:pPr>
            <w:r>
              <w:rPr>
                <w:rFonts w:ascii="Arial" w:cs="Arial" w:eastAsia="Arial" w:hAnsi="Arial"/>
                <w:sz w:val="16"/>
                <w:szCs w:val="16"/>
                <w:color w:val="auto"/>
              </w:rPr>
              <w:t>Total reclassifications for the period, net of tax</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2</w:t>
            </w:r>
          </w:p>
        </w:tc>
        <w:tc>
          <w:tcPr>
            <w:tcW w:w="820" w:type="dxa"/>
            <w:vAlign w:val="bottom"/>
          </w:tcPr>
          <w:p>
            <w:pPr>
              <w:jc w:val="right"/>
              <w:ind w:right="521"/>
              <w:spacing w:after="0"/>
              <w:rPr>
                <w:sz w:val="20"/>
                <w:szCs w:val="20"/>
                <w:color w:val="auto"/>
              </w:rPr>
            </w:pPr>
            <w:r>
              <w:rPr>
                <w:rFonts w:ascii="Arial" w:cs="Arial" w:eastAsia="Arial" w:hAnsi="Arial"/>
                <w:sz w:val="16"/>
                <w:szCs w:val="16"/>
                <w:color w:val="auto"/>
              </w:rPr>
              <w:t>$</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724852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8525" cy="17145"/>
                    </a:xfrm>
                    <a:prstGeom prst="rect">
                      <a:avLst/>
                    </a:prstGeom>
                    <a:noFill/>
                  </pic:spPr>
                </pic:pic>
              </a:graphicData>
            </a:graphic>
          </wp:anchor>
        </w:drawing>
      </w:r>
    </w:p>
    <w:p>
      <w:pPr>
        <w:ind w:left="240" w:right="140" w:hanging="234"/>
        <w:spacing w:after="0" w:line="248" w:lineRule="auto"/>
        <w:tabs>
          <w:tab w:leader="none" w:pos="240" w:val="left"/>
        </w:tabs>
        <w:numPr>
          <w:ilvl w:val="0"/>
          <w:numId w:val="19"/>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cumulative foreign currency translation adjustment related to the impairment of our Argentine investments in 2006, which is substantially offset by an accrued liability established at that time. We provide additional information about these investments in Note 4.</w:t>
      </w:r>
    </w:p>
    <w:p>
      <w:pPr>
        <w:ind w:left="240" w:hanging="234"/>
        <w:spacing w:after="0"/>
        <w:tabs>
          <w:tab w:leader="none" w:pos="240" w:val="left"/>
        </w:tabs>
        <w:numPr>
          <w:ilvl w:val="0"/>
          <w:numId w:val="19"/>
        </w:numPr>
        <w:rPr>
          <w:rFonts w:ascii="Arial" w:cs="Arial" w:eastAsia="Arial" w:hAnsi="Arial"/>
          <w:sz w:val="14"/>
          <w:szCs w:val="14"/>
          <w:i w:val="1"/>
          <w:iCs w:val="1"/>
          <w:color w:val="auto"/>
        </w:rPr>
      </w:pPr>
      <w:r>
        <w:rPr>
          <w:rFonts w:ascii="Arial" w:cs="Arial" w:eastAsia="Arial" w:hAnsi="Arial"/>
          <w:sz w:val="14"/>
          <w:szCs w:val="14"/>
          <w:i w:val="1"/>
          <w:iCs w:val="1"/>
          <w:color w:val="auto"/>
        </w:rPr>
        <w:t>Amounts are included in the computation of net periodic benefit cost (see "Pension and Other Postretirement Benefits" above).</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EQUITY AND NONCONTROLLING INTERESTS</w:t>
      </w:r>
    </w:p>
    <w:p>
      <w:pPr>
        <w:spacing w:after="0" w:line="229"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color w:val="auto"/>
        </w:rPr>
        <w:t>The following three tables provide a reconciliation of changes in Sempra Energy’s, SDG&amp;E’s and SoCalGas’ shareholders’ equity and noncontrolling interests for the nine months ended September 30, 2014 and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273685</wp:posOffset>
            </wp:positionV>
            <wp:extent cx="7248525" cy="266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8525" cy="26670"/>
                    </a:xfrm>
                    <a:prstGeom prst="rect">
                      <a:avLst/>
                    </a:prstGeom>
                    <a:noFill/>
                  </pic:spPr>
                </pic:pic>
              </a:graphicData>
            </a:graphic>
          </wp:anchor>
        </w:drawing>
      </w:r>
    </w:p>
    <w:p>
      <w:pPr>
        <w:sectPr>
          <w:pgSz w:w="11900" w:h="16838" w:orient="portrait"/>
          <w:cols w:equalWidth="0" w:num="1">
            <w:col w:w="11420"/>
          </w:cols>
          <w:pgMar w:left="240" w:top="128" w:right="239" w:bottom="46" w:gutter="0" w:footer="0" w:header="0"/>
        </w:sectPr>
      </w:pPr>
    </w:p>
    <w:bookmarkStart w:id="24" w:name="page25"/>
    <w:bookmarkEnd w:id="24"/>
    <w:p>
      <w:pPr>
        <w:spacing w:after="0" w:line="53" w:lineRule="exact"/>
        <w:rPr>
          <w:sz w:val="20"/>
          <w:szCs w:val="20"/>
          <w:color w:val="auto"/>
        </w:rPr>
      </w:pPr>
    </w:p>
    <w:p>
      <w:pPr>
        <w:ind w:right="3540"/>
        <w:spacing w:after="0" w:line="252" w:lineRule="auto"/>
        <w:rPr>
          <w:sz w:val="20"/>
          <w:szCs w:val="20"/>
          <w:color w:val="auto"/>
        </w:rPr>
      </w:pPr>
      <w:r>
        <w:rPr>
          <w:rFonts w:ascii="Arial" w:cs="Arial" w:eastAsia="Arial" w:hAnsi="Arial"/>
          <w:sz w:val="16"/>
          <w:szCs w:val="16"/>
          <w:b w:val="1"/>
          <w:bCs w:val="1"/>
          <w:color w:val="auto"/>
        </w:rPr>
        <w:t xml:space="preserve">SHAREHOLDERS’ EQUITY AND NONCONTROLLING INTERESTS ― SEMPRA ENERGY CONSOLIDATED </w:t>
      </w: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-225425</wp:posOffset>
            </wp:positionV>
            <wp:extent cx="7248525" cy="2108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8525" cy="210820"/>
                    </a:xfrm>
                    <a:prstGeom prst="rect">
                      <a:avLst/>
                    </a:prstGeom>
                    <a:noFill/>
                  </pic:spPr>
                </pic:pic>
              </a:graphicData>
            </a:graphic>
          </wp:anchor>
        </w:drawing>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20" w:type="dxa"/>
            <w:vAlign w:val="bottom"/>
          </w:tcPr>
          <w:p>
            <w:pPr>
              <w:jc w:val="center"/>
              <w:ind w:right="282"/>
              <w:spacing w:after="0"/>
              <w:rPr>
                <w:sz w:val="20"/>
                <w:szCs w:val="20"/>
                <w:color w:val="auto"/>
              </w:rPr>
            </w:pPr>
            <w:r>
              <w:rPr>
                <w:rFonts w:ascii="Arial" w:cs="Arial" w:eastAsia="Arial" w:hAnsi="Arial"/>
                <w:sz w:val="14"/>
                <w:szCs w:val="14"/>
                <w:color w:val="auto"/>
              </w:rPr>
              <w:t>Sempra Energy</w:t>
            </w:r>
          </w:p>
        </w:tc>
        <w:tc>
          <w:tcPr>
            <w:tcW w:w="440" w:type="dxa"/>
            <w:vAlign w:val="bottom"/>
          </w:tcPr>
          <w:p>
            <w:pPr>
              <w:spacing w:after="0"/>
              <w:rPr>
                <w:sz w:val="14"/>
                <w:szCs w:val="14"/>
                <w:color w:val="auto"/>
              </w:rPr>
            </w:pPr>
          </w:p>
        </w:tc>
        <w:tc>
          <w:tcPr>
            <w:tcW w:w="1340" w:type="dxa"/>
            <w:vAlign w:val="bottom"/>
          </w:tcPr>
          <w:p>
            <w:pPr>
              <w:ind w:left="400"/>
              <w:spacing w:after="0"/>
              <w:rPr>
                <w:sz w:val="20"/>
                <w:szCs w:val="20"/>
                <w:color w:val="auto"/>
              </w:rPr>
            </w:pPr>
            <w:r>
              <w:rPr>
                <w:rFonts w:ascii="Arial" w:cs="Arial" w:eastAsia="Arial" w:hAnsi="Arial"/>
                <w:sz w:val="14"/>
                <w:szCs w:val="14"/>
                <w:color w:val="auto"/>
              </w:rPr>
              <w:t>Non-</w:t>
            </w: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13"/>
        </w:trPr>
        <w:tc>
          <w:tcPr>
            <w:tcW w:w="5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20" w:type="dxa"/>
            <w:vAlign w:val="bottom"/>
          </w:tcPr>
          <w:p>
            <w:pPr>
              <w:jc w:val="center"/>
              <w:ind w:right="302"/>
              <w:spacing w:after="0"/>
              <w:rPr>
                <w:sz w:val="20"/>
                <w:szCs w:val="20"/>
                <w:color w:val="auto"/>
              </w:rPr>
            </w:pPr>
            <w:r>
              <w:rPr>
                <w:rFonts w:ascii="Arial" w:cs="Arial" w:eastAsia="Arial" w:hAnsi="Arial"/>
                <w:sz w:val="14"/>
                <w:szCs w:val="14"/>
                <w:color w:val="auto"/>
              </w:rPr>
              <w:t>Shareholders’</w:t>
            </w:r>
          </w:p>
        </w:tc>
        <w:tc>
          <w:tcPr>
            <w:tcW w:w="440" w:type="dxa"/>
            <w:vAlign w:val="bottom"/>
          </w:tcPr>
          <w:p>
            <w:pPr>
              <w:spacing w:after="0"/>
              <w:rPr>
                <w:sz w:val="18"/>
                <w:szCs w:val="18"/>
                <w:color w:val="auto"/>
              </w:rPr>
            </w:pPr>
          </w:p>
        </w:tc>
        <w:tc>
          <w:tcPr>
            <w:tcW w:w="1340" w:type="dxa"/>
            <w:vAlign w:val="bottom"/>
          </w:tcPr>
          <w:p>
            <w:pPr>
              <w:ind w:left="220"/>
              <w:spacing w:after="0"/>
              <w:rPr>
                <w:sz w:val="20"/>
                <w:szCs w:val="20"/>
                <w:color w:val="auto"/>
              </w:rPr>
            </w:pPr>
            <w:r>
              <w:rPr>
                <w:rFonts w:ascii="Arial" w:cs="Arial" w:eastAsia="Arial" w:hAnsi="Arial"/>
                <w:sz w:val="14"/>
                <w:szCs w:val="14"/>
                <w:color w:val="auto"/>
              </w:rPr>
              <w:t>controlling</w:t>
            </w:r>
          </w:p>
        </w:tc>
        <w:tc>
          <w:tcPr>
            <w:tcW w:w="840" w:type="dxa"/>
            <w:vAlign w:val="bottom"/>
          </w:tcPr>
          <w:p>
            <w:pPr>
              <w:spacing w:after="0"/>
              <w:rPr>
                <w:sz w:val="18"/>
                <w:szCs w:val="18"/>
                <w:color w:val="auto"/>
              </w:rPr>
            </w:pPr>
          </w:p>
        </w:tc>
        <w:tc>
          <w:tcPr>
            <w:tcW w:w="920" w:type="dxa"/>
            <w:vAlign w:val="bottom"/>
          </w:tcPr>
          <w:p>
            <w:pPr>
              <w:jc w:val="center"/>
              <w:ind w:right="381"/>
              <w:spacing w:after="0"/>
              <w:rPr>
                <w:sz w:val="20"/>
                <w:szCs w:val="20"/>
                <w:color w:val="auto"/>
              </w:rPr>
            </w:pPr>
            <w:r>
              <w:rPr>
                <w:rFonts w:ascii="Arial" w:cs="Arial" w:eastAsia="Arial" w:hAnsi="Arial"/>
                <w:sz w:val="14"/>
                <w:szCs w:val="14"/>
                <w:color w:val="auto"/>
                <w:w w:val="96"/>
              </w:rPr>
              <w:t>Total</w:t>
            </w:r>
          </w:p>
        </w:tc>
      </w:tr>
      <w:tr>
        <w:trPr>
          <w:trHeight w:val="197"/>
        </w:trPr>
        <w:tc>
          <w:tcPr>
            <w:tcW w:w="56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center"/>
              <w:ind w:right="302"/>
              <w:spacing w:after="0"/>
              <w:rPr>
                <w:sz w:val="20"/>
                <w:szCs w:val="20"/>
                <w:color w:val="auto"/>
              </w:rPr>
            </w:pPr>
            <w:r>
              <w:rPr>
                <w:rFonts w:ascii="Arial" w:cs="Arial" w:eastAsia="Arial" w:hAnsi="Arial"/>
                <w:sz w:val="14"/>
                <w:szCs w:val="14"/>
                <w:color w:val="auto"/>
              </w:rPr>
              <w:t>Equity</w:t>
            </w:r>
          </w:p>
        </w:tc>
        <w:tc>
          <w:tcPr>
            <w:tcW w:w="4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Interests</w:t>
            </w:r>
          </w:p>
        </w:tc>
        <w:tc>
          <w:tcPr>
            <w:tcW w:w="8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401"/>
              <w:spacing w:after="0"/>
              <w:rPr>
                <w:sz w:val="20"/>
                <w:szCs w:val="20"/>
                <w:color w:val="auto"/>
              </w:rPr>
            </w:pPr>
            <w:r>
              <w:rPr>
                <w:rFonts w:ascii="Arial" w:cs="Arial" w:eastAsia="Arial" w:hAnsi="Arial"/>
                <w:sz w:val="14"/>
                <w:szCs w:val="14"/>
                <w:color w:val="auto"/>
              </w:rPr>
              <w:t>Equity</w:t>
            </w:r>
          </w:p>
        </w:tc>
      </w:tr>
      <w:tr>
        <w:trPr>
          <w:trHeight w:val="186"/>
        </w:trPr>
        <w:tc>
          <w:tcPr>
            <w:tcW w:w="5660" w:type="dxa"/>
            <w:vAlign w:val="bottom"/>
          </w:tcPr>
          <w:p>
            <w:pPr>
              <w:spacing w:after="0"/>
              <w:rPr>
                <w:sz w:val="20"/>
                <w:szCs w:val="20"/>
                <w:color w:val="auto"/>
              </w:rPr>
            </w:pPr>
            <w:r>
              <w:rPr>
                <w:rFonts w:ascii="Arial" w:cs="Arial" w:eastAsia="Arial" w:hAnsi="Arial"/>
                <w:sz w:val="16"/>
                <w:szCs w:val="16"/>
                <w:color w:val="auto"/>
              </w:rPr>
              <w:t>Balance at December 31, 2013</w:t>
            </w:r>
          </w:p>
        </w:tc>
        <w:tc>
          <w:tcPr>
            <w:tcW w:w="6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82"/>
              <w:spacing w:after="0"/>
              <w:rPr>
                <w:sz w:val="20"/>
                <w:szCs w:val="20"/>
                <w:color w:val="auto"/>
              </w:rPr>
            </w:pPr>
            <w:r>
              <w:rPr>
                <w:rFonts w:ascii="Arial" w:cs="Arial" w:eastAsia="Arial" w:hAnsi="Arial"/>
                <w:sz w:val="16"/>
                <w:szCs w:val="16"/>
                <w:color w:val="auto"/>
              </w:rPr>
              <w:t>11,008</w:t>
            </w:r>
          </w:p>
        </w:tc>
        <w:tc>
          <w:tcPr>
            <w:tcW w:w="44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842</w:t>
            </w:r>
          </w:p>
        </w:tc>
        <w:tc>
          <w:tcPr>
            <w:tcW w:w="840" w:type="dxa"/>
            <w:vAlign w:val="bottom"/>
          </w:tcPr>
          <w:p>
            <w:pPr>
              <w:jc w:val="right"/>
              <w:ind w:right="402"/>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11,850</w:t>
            </w:r>
          </w:p>
        </w:tc>
      </w:tr>
      <w:tr>
        <w:trPr>
          <w:trHeight w:val="201"/>
        </w:trPr>
        <w:tc>
          <w:tcPr>
            <w:tcW w:w="5660" w:type="dxa"/>
            <w:vAlign w:val="bottom"/>
          </w:tcPr>
          <w:p>
            <w:pPr>
              <w:spacing w:after="0"/>
              <w:rPr>
                <w:sz w:val="20"/>
                <w:szCs w:val="20"/>
                <w:color w:val="auto"/>
              </w:rPr>
            </w:pPr>
            <w:r>
              <w:rPr>
                <w:rFonts w:ascii="Arial" w:cs="Arial" w:eastAsia="Arial" w:hAnsi="Arial"/>
                <w:sz w:val="16"/>
                <w:szCs w:val="16"/>
                <w:color w:val="auto"/>
              </w:rPr>
              <w:t>Comprehensive income</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20" w:type="dxa"/>
            <w:vAlign w:val="bottom"/>
          </w:tcPr>
          <w:p>
            <w:pPr>
              <w:jc w:val="right"/>
              <w:ind w:right="82"/>
              <w:spacing w:after="0"/>
              <w:rPr>
                <w:sz w:val="20"/>
                <w:szCs w:val="20"/>
                <w:color w:val="auto"/>
              </w:rPr>
            </w:pPr>
            <w:r>
              <w:rPr>
                <w:rFonts w:ascii="Arial" w:cs="Arial" w:eastAsia="Arial" w:hAnsi="Arial"/>
                <w:sz w:val="16"/>
                <w:szCs w:val="16"/>
                <w:color w:val="auto"/>
              </w:rPr>
              <w:t>722</w:t>
            </w:r>
          </w:p>
        </w:tc>
        <w:tc>
          <w:tcPr>
            <w:tcW w:w="4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66</w:t>
            </w:r>
          </w:p>
        </w:tc>
        <w:tc>
          <w:tcPr>
            <w:tcW w:w="8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788</w:t>
            </w:r>
          </w:p>
        </w:tc>
      </w:tr>
      <w:tr>
        <w:trPr>
          <w:trHeight w:val="213"/>
        </w:trPr>
        <w:tc>
          <w:tcPr>
            <w:tcW w:w="5660" w:type="dxa"/>
            <w:vAlign w:val="bottom"/>
          </w:tcPr>
          <w:p>
            <w:pPr>
              <w:spacing w:after="0"/>
              <w:rPr>
                <w:sz w:val="20"/>
                <w:szCs w:val="20"/>
                <w:color w:val="auto"/>
              </w:rPr>
            </w:pPr>
            <w:r>
              <w:rPr>
                <w:rFonts w:ascii="Arial" w:cs="Arial" w:eastAsia="Arial" w:hAnsi="Arial"/>
                <w:sz w:val="16"/>
                <w:szCs w:val="16"/>
                <w:color w:val="auto"/>
              </w:rPr>
              <w:t>Preferred dividends of subsidiary</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20" w:type="dxa"/>
            <w:vAlign w:val="bottom"/>
          </w:tcPr>
          <w:p>
            <w:pPr>
              <w:jc w:val="right"/>
              <w:ind w:right="82"/>
              <w:spacing w:after="0"/>
              <w:rPr>
                <w:sz w:val="20"/>
                <w:szCs w:val="20"/>
                <w:color w:val="auto"/>
              </w:rPr>
            </w:pPr>
            <w:r>
              <w:rPr>
                <w:rFonts w:ascii="Arial" w:cs="Arial" w:eastAsia="Arial" w:hAnsi="Arial"/>
                <w:sz w:val="16"/>
                <w:szCs w:val="16"/>
                <w:color w:val="auto"/>
              </w:rPr>
              <w:t>(1)</w:t>
            </w:r>
          </w:p>
        </w:tc>
        <w:tc>
          <w:tcPr>
            <w:tcW w:w="440" w:type="dxa"/>
            <w:vAlign w:val="bottom"/>
          </w:tcPr>
          <w:p>
            <w:pPr>
              <w:spacing w:after="0"/>
              <w:rPr>
                <w:sz w:val="18"/>
                <w:szCs w:val="18"/>
                <w:color w:val="auto"/>
              </w:rPr>
            </w:pPr>
          </w:p>
        </w:tc>
        <w:tc>
          <w:tcPr>
            <w:tcW w:w="1340" w:type="dxa"/>
            <w:vAlign w:val="bottom"/>
          </w:tcPr>
          <w:p>
            <w:pPr>
              <w:ind w:left="102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3"/>
        </w:trPr>
        <w:tc>
          <w:tcPr>
            <w:tcW w:w="5660" w:type="dxa"/>
            <w:vAlign w:val="bottom"/>
          </w:tcPr>
          <w:p>
            <w:pPr>
              <w:spacing w:after="0"/>
              <w:rPr>
                <w:sz w:val="20"/>
                <w:szCs w:val="20"/>
                <w:color w:val="auto"/>
              </w:rPr>
            </w:pPr>
            <w:r>
              <w:rPr>
                <w:rFonts w:ascii="Arial" w:cs="Arial" w:eastAsia="Arial" w:hAnsi="Arial"/>
                <w:sz w:val="16"/>
                <w:szCs w:val="16"/>
                <w:color w:val="auto"/>
              </w:rPr>
              <w:t>Share-based compensation expense</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20" w:type="dxa"/>
            <w:vAlign w:val="bottom"/>
          </w:tcPr>
          <w:p>
            <w:pPr>
              <w:jc w:val="right"/>
              <w:ind w:right="82"/>
              <w:spacing w:after="0"/>
              <w:rPr>
                <w:sz w:val="20"/>
                <w:szCs w:val="20"/>
                <w:color w:val="auto"/>
              </w:rPr>
            </w:pPr>
            <w:r>
              <w:rPr>
                <w:rFonts w:ascii="Arial" w:cs="Arial" w:eastAsia="Arial" w:hAnsi="Arial"/>
                <w:sz w:val="16"/>
                <w:szCs w:val="16"/>
                <w:color w:val="auto"/>
              </w:rPr>
              <w:t>35</w:t>
            </w:r>
          </w:p>
        </w:tc>
        <w:tc>
          <w:tcPr>
            <w:tcW w:w="440" w:type="dxa"/>
            <w:vAlign w:val="bottom"/>
          </w:tcPr>
          <w:p>
            <w:pPr>
              <w:spacing w:after="0"/>
              <w:rPr>
                <w:sz w:val="18"/>
                <w:szCs w:val="18"/>
                <w:color w:val="auto"/>
              </w:rPr>
            </w:pPr>
          </w:p>
        </w:tc>
        <w:tc>
          <w:tcPr>
            <w:tcW w:w="1340" w:type="dxa"/>
            <w:vAlign w:val="bottom"/>
          </w:tcPr>
          <w:p>
            <w:pPr>
              <w:ind w:left="102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13"/>
        </w:trPr>
        <w:tc>
          <w:tcPr>
            <w:tcW w:w="5660" w:type="dxa"/>
            <w:vAlign w:val="bottom"/>
          </w:tcPr>
          <w:p>
            <w:pPr>
              <w:spacing w:after="0"/>
              <w:rPr>
                <w:sz w:val="20"/>
                <w:szCs w:val="20"/>
                <w:color w:val="auto"/>
              </w:rPr>
            </w:pPr>
            <w:r>
              <w:rPr>
                <w:rFonts w:ascii="Arial" w:cs="Arial" w:eastAsia="Arial" w:hAnsi="Arial"/>
                <w:sz w:val="16"/>
                <w:szCs w:val="16"/>
                <w:color w:val="auto"/>
              </w:rPr>
              <w:t>Common stock dividends declared</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20" w:type="dxa"/>
            <w:vAlign w:val="bottom"/>
          </w:tcPr>
          <w:p>
            <w:pPr>
              <w:jc w:val="right"/>
              <w:ind w:right="82"/>
              <w:spacing w:after="0"/>
              <w:rPr>
                <w:sz w:val="20"/>
                <w:szCs w:val="20"/>
                <w:color w:val="auto"/>
              </w:rPr>
            </w:pPr>
            <w:r>
              <w:rPr>
                <w:rFonts w:ascii="Arial" w:cs="Arial" w:eastAsia="Arial" w:hAnsi="Arial"/>
                <w:sz w:val="16"/>
                <w:szCs w:val="16"/>
                <w:color w:val="auto"/>
              </w:rPr>
              <w:t>(486)</w:t>
            </w:r>
          </w:p>
        </w:tc>
        <w:tc>
          <w:tcPr>
            <w:tcW w:w="440" w:type="dxa"/>
            <w:vAlign w:val="bottom"/>
          </w:tcPr>
          <w:p>
            <w:pPr>
              <w:spacing w:after="0"/>
              <w:rPr>
                <w:sz w:val="18"/>
                <w:szCs w:val="18"/>
                <w:color w:val="auto"/>
              </w:rPr>
            </w:pPr>
          </w:p>
        </w:tc>
        <w:tc>
          <w:tcPr>
            <w:tcW w:w="1340" w:type="dxa"/>
            <w:vAlign w:val="bottom"/>
          </w:tcPr>
          <w:p>
            <w:pPr>
              <w:ind w:left="102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(486)</w:t>
            </w:r>
          </w:p>
        </w:tc>
      </w:tr>
      <w:tr>
        <w:trPr>
          <w:trHeight w:val="213"/>
        </w:trPr>
        <w:tc>
          <w:tcPr>
            <w:tcW w:w="5660" w:type="dxa"/>
            <w:vAlign w:val="bottom"/>
          </w:tcPr>
          <w:p>
            <w:pPr>
              <w:spacing w:after="0"/>
              <w:rPr>
                <w:sz w:val="20"/>
                <w:szCs w:val="20"/>
                <w:color w:val="auto"/>
              </w:rPr>
            </w:pPr>
            <w:r>
              <w:rPr>
                <w:rFonts w:ascii="Arial" w:cs="Arial" w:eastAsia="Arial" w:hAnsi="Arial"/>
                <w:sz w:val="16"/>
                <w:szCs w:val="16"/>
                <w:color w:val="auto"/>
              </w:rPr>
              <w:t>Issuance of common stock</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20" w:type="dxa"/>
            <w:vAlign w:val="bottom"/>
          </w:tcPr>
          <w:p>
            <w:pPr>
              <w:jc w:val="right"/>
              <w:ind w:right="82"/>
              <w:spacing w:after="0"/>
              <w:rPr>
                <w:sz w:val="20"/>
                <w:szCs w:val="20"/>
                <w:color w:val="auto"/>
              </w:rPr>
            </w:pPr>
            <w:r>
              <w:rPr>
                <w:rFonts w:ascii="Arial" w:cs="Arial" w:eastAsia="Arial" w:hAnsi="Arial"/>
                <w:sz w:val="16"/>
                <w:szCs w:val="16"/>
                <w:color w:val="auto"/>
              </w:rPr>
              <w:t>71</w:t>
            </w:r>
          </w:p>
        </w:tc>
        <w:tc>
          <w:tcPr>
            <w:tcW w:w="440" w:type="dxa"/>
            <w:vAlign w:val="bottom"/>
          </w:tcPr>
          <w:p>
            <w:pPr>
              <w:spacing w:after="0"/>
              <w:rPr>
                <w:sz w:val="18"/>
                <w:szCs w:val="18"/>
                <w:color w:val="auto"/>
              </w:rPr>
            </w:pPr>
          </w:p>
        </w:tc>
        <w:tc>
          <w:tcPr>
            <w:tcW w:w="1340" w:type="dxa"/>
            <w:vAlign w:val="bottom"/>
          </w:tcPr>
          <w:p>
            <w:pPr>
              <w:ind w:left="102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13"/>
        </w:trPr>
        <w:tc>
          <w:tcPr>
            <w:tcW w:w="5660" w:type="dxa"/>
            <w:vAlign w:val="bottom"/>
          </w:tcPr>
          <w:p>
            <w:pPr>
              <w:spacing w:after="0"/>
              <w:rPr>
                <w:sz w:val="20"/>
                <w:szCs w:val="20"/>
                <w:color w:val="auto"/>
              </w:rPr>
            </w:pPr>
            <w:r>
              <w:rPr>
                <w:rFonts w:ascii="Arial" w:cs="Arial" w:eastAsia="Arial" w:hAnsi="Arial"/>
                <w:sz w:val="16"/>
                <w:szCs w:val="16"/>
                <w:color w:val="auto"/>
              </w:rPr>
              <w:t>Repurchase of common stock</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20" w:type="dxa"/>
            <w:vAlign w:val="bottom"/>
          </w:tcPr>
          <w:p>
            <w:pPr>
              <w:jc w:val="right"/>
              <w:ind w:right="82"/>
              <w:spacing w:after="0"/>
              <w:rPr>
                <w:sz w:val="20"/>
                <w:szCs w:val="20"/>
                <w:color w:val="auto"/>
              </w:rPr>
            </w:pPr>
            <w:r>
              <w:rPr>
                <w:rFonts w:ascii="Arial" w:cs="Arial" w:eastAsia="Arial" w:hAnsi="Arial"/>
                <w:sz w:val="16"/>
                <w:szCs w:val="16"/>
                <w:color w:val="auto"/>
              </w:rPr>
              <w:t>(38)</w:t>
            </w:r>
          </w:p>
        </w:tc>
        <w:tc>
          <w:tcPr>
            <w:tcW w:w="440" w:type="dxa"/>
            <w:vAlign w:val="bottom"/>
          </w:tcPr>
          <w:p>
            <w:pPr>
              <w:spacing w:after="0"/>
              <w:rPr>
                <w:sz w:val="18"/>
                <w:szCs w:val="18"/>
                <w:color w:val="auto"/>
              </w:rPr>
            </w:pPr>
          </w:p>
        </w:tc>
        <w:tc>
          <w:tcPr>
            <w:tcW w:w="1340" w:type="dxa"/>
            <w:vAlign w:val="bottom"/>
          </w:tcPr>
          <w:p>
            <w:pPr>
              <w:ind w:left="102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13"/>
        </w:trPr>
        <w:tc>
          <w:tcPr>
            <w:tcW w:w="5660" w:type="dxa"/>
            <w:vAlign w:val="bottom"/>
          </w:tcPr>
          <w:p>
            <w:pPr>
              <w:spacing w:after="0"/>
              <w:rPr>
                <w:sz w:val="20"/>
                <w:szCs w:val="20"/>
                <w:color w:val="auto"/>
              </w:rPr>
            </w:pPr>
            <w:r>
              <w:rPr>
                <w:rFonts w:ascii="Arial" w:cs="Arial" w:eastAsia="Arial" w:hAnsi="Arial"/>
                <w:sz w:val="16"/>
                <w:szCs w:val="16"/>
                <w:color w:val="auto"/>
              </w:rPr>
              <w:t>Tax benefit related to share-based compensation</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20" w:type="dxa"/>
            <w:vAlign w:val="bottom"/>
          </w:tcPr>
          <w:p>
            <w:pPr>
              <w:jc w:val="right"/>
              <w:ind w:right="82"/>
              <w:spacing w:after="0"/>
              <w:rPr>
                <w:sz w:val="20"/>
                <w:szCs w:val="20"/>
                <w:color w:val="auto"/>
              </w:rPr>
            </w:pPr>
            <w:r>
              <w:rPr>
                <w:rFonts w:ascii="Arial" w:cs="Arial" w:eastAsia="Arial" w:hAnsi="Arial"/>
                <w:sz w:val="16"/>
                <w:szCs w:val="16"/>
                <w:color w:val="auto"/>
              </w:rPr>
              <w:t>22</w:t>
            </w:r>
          </w:p>
        </w:tc>
        <w:tc>
          <w:tcPr>
            <w:tcW w:w="440" w:type="dxa"/>
            <w:vAlign w:val="bottom"/>
          </w:tcPr>
          <w:p>
            <w:pPr>
              <w:spacing w:after="0"/>
              <w:rPr>
                <w:sz w:val="18"/>
                <w:szCs w:val="18"/>
                <w:color w:val="auto"/>
              </w:rPr>
            </w:pPr>
          </w:p>
        </w:tc>
        <w:tc>
          <w:tcPr>
            <w:tcW w:w="1340" w:type="dxa"/>
            <w:vAlign w:val="bottom"/>
          </w:tcPr>
          <w:p>
            <w:pPr>
              <w:ind w:left="106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13"/>
        </w:trPr>
        <w:tc>
          <w:tcPr>
            <w:tcW w:w="5660" w:type="dxa"/>
            <w:vAlign w:val="bottom"/>
          </w:tcPr>
          <w:p>
            <w:pPr>
              <w:spacing w:after="0"/>
              <w:rPr>
                <w:sz w:val="20"/>
                <w:szCs w:val="20"/>
                <w:color w:val="auto"/>
              </w:rPr>
            </w:pPr>
            <w:r>
              <w:rPr>
                <w:rFonts w:ascii="Arial" w:cs="Arial" w:eastAsia="Arial" w:hAnsi="Arial"/>
                <w:sz w:val="16"/>
                <w:szCs w:val="16"/>
                <w:color w:val="auto"/>
              </w:rPr>
              <w:t>Equity contributed by noncontrolling interest</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20" w:type="dxa"/>
            <w:vAlign w:val="bottom"/>
          </w:tcPr>
          <w:p>
            <w:pPr>
              <w:jc w:val="right"/>
              <w:ind w:right="222"/>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w:t>
            </w:r>
          </w:p>
        </w:tc>
        <w:tc>
          <w:tcPr>
            <w:tcW w:w="8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04"/>
        </w:trPr>
        <w:tc>
          <w:tcPr>
            <w:tcW w:w="5660" w:type="dxa"/>
            <w:vAlign w:val="bottom"/>
          </w:tcPr>
          <w:p>
            <w:pPr>
              <w:spacing w:after="0"/>
              <w:rPr>
                <w:sz w:val="20"/>
                <w:szCs w:val="20"/>
                <w:color w:val="auto"/>
              </w:rPr>
            </w:pPr>
            <w:r>
              <w:rPr>
                <w:rFonts w:ascii="Arial" w:cs="Arial" w:eastAsia="Arial" w:hAnsi="Arial"/>
                <w:sz w:val="16"/>
                <w:szCs w:val="16"/>
                <w:color w:val="auto"/>
              </w:rPr>
              <w:t>Distributions to noncontrolling interests</w:t>
            </w:r>
          </w:p>
        </w:tc>
        <w:tc>
          <w:tcPr>
            <w:tcW w:w="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c>
          <w:tcPr>
            <w:tcW w:w="8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r>
      <w:tr>
        <w:trPr>
          <w:trHeight w:val="173"/>
        </w:trPr>
        <w:tc>
          <w:tcPr>
            <w:tcW w:w="5660" w:type="dxa"/>
            <w:vAlign w:val="bottom"/>
            <w:tcBorders>
              <w:bottom w:val="single" w:sz="8" w:color="auto"/>
            </w:tcBorders>
          </w:tcPr>
          <w:p>
            <w:pPr>
              <w:spacing w:after="0" w:line="166" w:lineRule="exact"/>
              <w:rPr>
                <w:sz w:val="20"/>
                <w:szCs w:val="20"/>
                <w:color w:val="auto"/>
              </w:rPr>
            </w:pPr>
            <w:r>
              <w:rPr>
                <w:rFonts w:ascii="Arial" w:cs="Arial" w:eastAsia="Arial" w:hAnsi="Arial"/>
                <w:sz w:val="16"/>
                <w:szCs w:val="16"/>
                <w:color w:val="auto"/>
              </w:rPr>
              <w:t>Balance at September 30, 2014</w:t>
            </w:r>
          </w:p>
        </w:tc>
        <w:tc>
          <w:tcPr>
            <w:tcW w:w="600" w:type="dxa"/>
            <w:vAlign w:val="bottom"/>
            <w:tcBorders>
              <w:bottom w:val="single" w:sz="8" w:color="auto"/>
            </w:tcBorders>
            <w:gridSpan w:val="2"/>
          </w:tcPr>
          <w:p>
            <w:pPr>
              <w:jc w:val="right"/>
              <w:ind w:right="120"/>
              <w:spacing w:after="0" w:line="166" w:lineRule="exact"/>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ind w:right="82"/>
              <w:spacing w:after="0" w:line="166" w:lineRule="exact"/>
              <w:rPr>
                <w:sz w:val="20"/>
                <w:szCs w:val="20"/>
                <w:color w:val="auto"/>
              </w:rPr>
            </w:pPr>
            <w:r>
              <w:rPr>
                <w:rFonts w:ascii="Arial" w:cs="Arial" w:eastAsia="Arial" w:hAnsi="Arial"/>
                <w:sz w:val="16"/>
                <w:szCs w:val="16"/>
                <w:color w:val="auto"/>
              </w:rPr>
              <w:t>11,333</w:t>
            </w:r>
          </w:p>
        </w:tc>
        <w:tc>
          <w:tcPr>
            <w:tcW w:w="440" w:type="dxa"/>
            <w:vAlign w:val="bottom"/>
            <w:tcBorders>
              <w:bottom w:val="single" w:sz="8" w:color="auto"/>
            </w:tcBorders>
          </w:tcPr>
          <w:p>
            <w:pPr>
              <w:jc w:val="right"/>
              <w:ind w:right="120"/>
              <w:spacing w:after="0" w:line="166" w:lineRule="exact"/>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824</w:t>
            </w:r>
          </w:p>
        </w:tc>
        <w:tc>
          <w:tcPr>
            <w:tcW w:w="840" w:type="dxa"/>
            <w:vAlign w:val="bottom"/>
            <w:tcBorders>
              <w:bottom w:val="single" w:sz="8" w:color="auto"/>
            </w:tcBorders>
          </w:tcPr>
          <w:p>
            <w:pPr>
              <w:jc w:val="right"/>
              <w:ind w:right="402"/>
              <w:spacing w:after="0" w:line="166"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12,157</w:t>
            </w:r>
          </w:p>
        </w:tc>
      </w:tr>
      <w:tr>
        <w:trPr>
          <w:trHeight w:val="192"/>
        </w:trPr>
        <w:tc>
          <w:tcPr>
            <w:tcW w:w="5660" w:type="dxa"/>
            <w:vAlign w:val="bottom"/>
          </w:tcPr>
          <w:p>
            <w:pPr>
              <w:spacing w:after="0"/>
              <w:rPr>
                <w:sz w:val="20"/>
                <w:szCs w:val="20"/>
                <w:color w:val="auto"/>
              </w:rPr>
            </w:pPr>
            <w:r>
              <w:rPr>
                <w:rFonts w:ascii="Arial" w:cs="Arial" w:eastAsia="Arial" w:hAnsi="Arial"/>
                <w:sz w:val="16"/>
                <w:szCs w:val="16"/>
                <w:color w:val="auto"/>
              </w:rPr>
              <w:t>Balance at December 31, 2012</w:t>
            </w:r>
          </w:p>
        </w:tc>
        <w:tc>
          <w:tcPr>
            <w:tcW w:w="6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82"/>
              <w:spacing w:after="0"/>
              <w:rPr>
                <w:sz w:val="20"/>
                <w:szCs w:val="20"/>
                <w:color w:val="auto"/>
              </w:rPr>
            </w:pPr>
            <w:r>
              <w:rPr>
                <w:rFonts w:ascii="Arial" w:cs="Arial" w:eastAsia="Arial" w:hAnsi="Arial"/>
                <w:sz w:val="16"/>
                <w:szCs w:val="16"/>
                <w:color w:val="auto"/>
              </w:rPr>
              <w:t>10,282</w:t>
            </w:r>
          </w:p>
        </w:tc>
        <w:tc>
          <w:tcPr>
            <w:tcW w:w="44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401</w:t>
            </w:r>
          </w:p>
        </w:tc>
        <w:tc>
          <w:tcPr>
            <w:tcW w:w="840" w:type="dxa"/>
            <w:vAlign w:val="bottom"/>
          </w:tcPr>
          <w:p>
            <w:pPr>
              <w:jc w:val="right"/>
              <w:ind w:right="402"/>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10,683</w:t>
            </w:r>
          </w:p>
        </w:tc>
      </w:tr>
      <w:tr>
        <w:trPr>
          <w:trHeight w:val="201"/>
        </w:trPr>
        <w:tc>
          <w:tcPr>
            <w:tcW w:w="5660" w:type="dxa"/>
            <w:vAlign w:val="bottom"/>
          </w:tcPr>
          <w:p>
            <w:pPr>
              <w:spacing w:after="0"/>
              <w:rPr>
                <w:sz w:val="20"/>
                <w:szCs w:val="20"/>
                <w:color w:val="auto"/>
              </w:rPr>
            </w:pPr>
            <w:r>
              <w:rPr>
                <w:rFonts w:ascii="Arial" w:cs="Arial" w:eastAsia="Arial" w:hAnsi="Arial"/>
                <w:sz w:val="16"/>
                <w:szCs w:val="16"/>
                <w:color w:val="auto"/>
              </w:rPr>
              <w:t>Comprehensive income</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20" w:type="dxa"/>
            <w:vAlign w:val="bottom"/>
          </w:tcPr>
          <w:p>
            <w:pPr>
              <w:jc w:val="right"/>
              <w:ind w:right="82"/>
              <w:spacing w:after="0"/>
              <w:rPr>
                <w:sz w:val="20"/>
                <w:szCs w:val="20"/>
                <w:color w:val="auto"/>
              </w:rPr>
            </w:pPr>
            <w:r>
              <w:rPr>
                <w:rFonts w:ascii="Arial" w:cs="Arial" w:eastAsia="Arial" w:hAnsi="Arial"/>
                <w:sz w:val="16"/>
                <w:szCs w:val="16"/>
                <w:color w:val="auto"/>
              </w:rPr>
              <w:t>888</w:t>
            </w:r>
          </w:p>
        </w:tc>
        <w:tc>
          <w:tcPr>
            <w:tcW w:w="4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33</w:t>
            </w:r>
          </w:p>
        </w:tc>
        <w:tc>
          <w:tcPr>
            <w:tcW w:w="8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921</w:t>
            </w:r>
          </w:p>
        </w:tc>
      </w:tr>
      <w:tr>
        <w:trPr>
          <w:trHeight w:val="213"/>
        </w:trPr>
        <w:tc>
          <w:tcPr>
            <w:tcW w:w="5660" w:type="dxa"/>
            <w:vAlign w:val="bottom"/>
          </w:tcPr>
          <w:p>
            <w:pPr>
              <w:spacing w:after="0"/>
              <w:rPr>
                <w:sz w:val="20"/>
                <w:szCs w:val="20"/>
                <w:color w:val="auto"/>
              </w:rPr>
            </w:pPr>
            <w:r>
              <w:rPr>
                <w:rFonts w:ascii="Arial" w:cs="Arial" w:eastAsia="Arial" w:hAnsi="Arial"/>
                <w:sz w:val="16"/>
                <w:szCs w:val="16"/>
                <w:color w:val="auto"/>
              </w:rPr>
              <w:t>Preferred dividends of subsidiaries</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20" w:type="dxa"/>
            <w:vAlign w:val="bottom"/>
          </w:tcPr>
          <w:p>
            <w:pPr>
              <w:jc w:val="right"/>
              <w:ind w:right="82"/>
              <w:spacing w:after="0"/>
              <w:rPr>
                <w:sz w:val="20"/>
                <w:szCs w:val="20"/>
                <w:color w:val="auto"/>
              </w:rPr>
            </w:pPr>
            <w:r>
              <w:rPr>
                <w:rFonts w:ascii="Arial" w:cs="Arial" w:eastAsia="Arial" w:hAnsi="Arial"/>
                <w:sz w:val="16"/>
                <w:szCs w:val="16"/>
                <w:color w:val="auto"/>
              </w:rPr>
              <w:t>(5)</w:t>
            </w:r>
          </w:p>
        </w:tc>
        <w:tc>
          <w:tcPr>
            <w:tcW w:w="440" w:type="dxa"/>
            <w:vAlign w:val="bottom"/>
          </w:tcPr>
          <w:p>
            <w:pPr>
              <w:spacing w:after="0"/>
              <w:rPr>
                <w:sz w:val="18"/>
                <w:szCs w:val="18"/>
                <w:color w:val="auto"/>
              </w:rPr>
            </w:pPr>
          </w:p>
        </w:tc>
        <w:tc>
          <w:tcPr>
            <w:tcW w:w="1340" w:type="dxa"/>
            <w:vAlign w:val="bottom"/>
          </w:tcPr>
          <w:p>
            <w:pPr>
              <w:ind w:left="102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3"/>
        </w:trPr>
        <w:tc>
          <w:tcPr>
            <w:tcW w:w="5660" w:type="dxa"/>
            <w:vAlign w:val="bottom"/>
          </w:tcPr>
          <w:p>
            <w:pPr>
              <w:spacing w:after="0"/>
              <w:rPr>
                <w:sz w:val="20"/>
                <w:szCs w:val="20"/>
                <w:color w:val="auto"/>
              </w:rPr>
            </w:pPr>
            <w:r>
              <w:rPr>
                <w:rFonts w:ascii="Arial" w:cs="Arial" w:eastAsia="Arial" w:hAnsi="Arial"/>
                <w:sz w:val="16"/>
                <w:szCs w:val="16"/>
                <w:color w:val="auto"/>
              </w:rPr>
              <w:t>Share-based compensation expense</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20" w:type="dxa"/>
            <w:vAlign w:val="bottom"/>
          </w:tcPr>
          <w:p>
            <w:pPr>
              <w:jc w:val="right"/>
              <w:ind w:right="82"/>
              <w:spacing w:after="0"/>
              <w:rPr>
                <w:sz w:val="20"/>
                <w:szCs w:val="20"/>
                <w:color w:val="auto"/>
              </w:rPr>
            </w:pPr>
            <w:r>
              <w:rPr>
                <w:rFonts w:ascii="Arial" w:cs="Arial" w:eastAsia="Arial" w:hAnsi="Arial"/>
                <w:sz w:val="16"/>
                <w:szCs w:val="16"/>
                <w:color w:val="auto"/>
              </w:rPr>
              <w:t>30</w:t>
            </w:r>
          </w:p>
        </w:tc>
        <w:tc>
          <w:tcPr>
            <w:tcW w:w="440" w:type="dxa"/>
            <w:vAlign w:val="bottom"/>
          </w:tcPr>
          <w:p>
            <w:pPr>
              <w:spacing w:after="0"/>
              <w:rPr>
                <w:sz w:val="18"/>
                <w:szCs w:val="18"/>
                <w:color w:val="auto"/>
              </w:rPr>
            </w:pPr>
          </w:p>
        </w:tc>
        <w:tc>
          <w:tcPr>
            <w:tcW w:w="1340" w:type="dxa"/>
            <w:vAlign w:val="bottom"/>
          </w:tcPr>
          <w:p>
            <w:pPr>
              <w:ind w:left="102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3"/>
        </w:trPr>
        <w:tc>
          <w:tcPr>
            <w:tcW w:w="5660" w:type="dxa"/>
            <w:vAlign w:val="bottom"/>
          </w:tcPr>
          <w:p>
            <w:pPr>
              <w:spacing w:after="0"/>
              <w:rPr>
                <w:sz w:val="20"/>
                <w:szCs w:val="20"/>
                <w:color w:val="auto"/>
              </w:rPr>
            </w:pPr>
            <w:r>
              <w:rPr>
                <w:rFonts w:ascii="Arial" w:cs="Arial" w:eastAsia="Arial" w:hAnsi="Arial"/>
                <w:sz w:val="16"/>
                <w:szCs w:val="16"/>
                <w:color w:val="auto"/>
              </w:rPr>
              <w:t>Common stock dividends declared</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20" w:type="dxa"/>
            <w:vAlign w:val="bottom"/>
          </w:tcPr>
          <w:p>
            <w:pPr>
              <w:jc w:val="right"/>
              <w:ind w:right="82"/>
              <w:spacing w:after="0"/>
              <w:rPr>
                <w:sz w:val="20"/>
                <w:szCs w:val="20"/>
                <w:color w:val="auto"/>
              </w:rPr>
            </w:pPr>
            <w:r>
              <w:rPr>
                <w:rFonts w:ascii="Arial" w:cs="Arial" w:eastAsia="Arial" w:hAnsi="Arial"/>
                <w:sz w:val="16"/>
                <w:szCs w:val="16"/>
                <w:color w:val="auto"/>
              </w:rPr>
              <w:t>(460)</w:t>
            </w:r>
          </w:p>
        </w:tc>
        <w:tc>
          <w:tcPr>
            <w:tcW w:w="440" w:type="dxa"/>
            <w:vAlign w:val="bottom"/>
          </w:tcPr>
          <w:p>
            <w:pPr>
              <w:spacing w:after="0"/>
              <w:rPr>
                <w:sz w:val="18"/>
                <w:szCs w:val="18"/>
                <w:color w:val="auto"/>
              </w:rPr>
            </w:pPr>
          </w:p>
        </w:tc>
        <w:tc>
          <w:tcPr>
            <w:tcW w:w="1340" w:type="dxa"/>
            <w:vAlign w:val="bottom"/>
          </w:tcPr>
          <w:p>
            <w:pPr>
              <w:ind w:left="102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(460)</w:t>
            </w:r>
          </w:p>
        </w:tc>
      </w:tr>
      <w:tr>
        <w:trPr>
          <w:trHeight w:val="213"/>
        </w:trPr>
        <w:tc>
          <w:tcPr>
            <w:tcW w:w="5660" w:type="dxa"/>
            <w:vAlign w:val="bottom"/>
          </w:tcPr>
          <w:p>
            <w:pPr>
              <w:spacing w:after="0"/>
              <w:rPr>
                <w:sz w:val="20"/>
                <w:szCs w:val="20"/>
                <w:color w:val="auto"/>
              </w:rPr>
            </w:pPr>
            <w:r>
              <w:rPr>
                <w:rFonts w:ascii="Arial" w:cs="Arial" w:eastAsia="Arial" w:hAnsi="Arial"/>
                <w:sz w:val="16"/>
                <w:szCs w:val="16"/>
                <w:color w:val="auto"/>
              </w:rPr>
              <w:t>Issuance of common stock</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20" w:type="dxa"/>
            <w:vAlign w:val="bottom"/>
          </w:tcPr>
          <w:p>
            <w:pPr>
              <w:jc w:val="right"/>
              <w:ind w:right="82"/>
              <w:spacing w:after="0"/>
              <w:rPr>
                <w:sz w:val="20"/>
                <w:szCs w:val="20"/>
                <w:color w:val="auto"/>
              </w:rPr>
            </w:pPr>
            <w:r>
              <w:rPr>
                <w:rFonts w:ascii="Arial" w:cs="Arial" w:eastAsia="Arial" w:hAnsi="Arial"/>
                <w:sz w:val="16"/>
                <w:szCs w:val="16"/>
                <w:color w:val="auto"/>
              </w:rPr>
              <w:t>57</w:t>
            </w:r>
          </w:p>
        </w:tc>
        <w:tc>
          <w:tcPr>
            <w:tcW w:w="440" w:type="dxa"/>
            <w:vAlign w:val="bottom"/>
          </w:tcPr>
          <w:p>
            <w:pPr>
              <w:spacing w:after="0"/>
              <w:rPr>
                <w:sz w:val="18"/>
                <w:szCs w:val="18"/>
                <w:color w:val="auto"/>
              </w:rPr>
            </w:pPr>
          </w:p>
        </w:tc>
        <w:tc>
          <w:tcPr>
            <w:tcW w:w="1340" w:type="dxa"/>
            <w:vAlign w:val="bottom"/>
          </w:tcPr>
          <w:p>
            <w:pPr>
              <w:ind w:left="102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213"/>
        </w:trPr>
        <w:tc>
          <w:tcPr>
            <w:tcW w:w="5660" w:type="dxa"/>
            <w:vAlign w:val="bottom"/>
          </w:tcPr>
          <w:p>
            <w:pPr>
              <w:spacing w:after="0"/>
              <w:rPr>
                <w:sz w:val="20"/>
                <w:szCs w:val="20"/>
                <w:color w:val="auto"/>
              </w:rPr>
            </w:pPr>
            <w:r>
              <w:rPr>
                <w:rFonts w:ascii="Arial" w:cs="Arial" w:eastAsia="Arial" w:hAnsi="Arial"/>
                <w:sz w:val="16"/>
                <w:szCs w:val="16"/>
                <w:color w:val="auto"/>
              </w:rPr>
              <w:t>Repurchase of common stock</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20" w:type="dxa"/>
            <w:vAlign w:val="bottom"/>
          </w:tcPr>
          <w:p>
            <w:pPr>
              <w:jc w:val="right"/>
              <w:ind w:right="82"/>
              <w:spacing w:after="0"/>
              <w:rPr>
                <w:sz w:val="20"/>
                <w:szCs w:val="20"/>
                <w:color w:val="auto"/>
              </w:rPr>
            </w:pPr>
            <w:r>
              <w:rPr>
                <w:rFonts w:ascii="Arial" w:cs="Arial" w:eastAsia="Arial" w:hAnsi="Arial"/>
                <w:sz w:val="16"/>
                <w:szCs w:val="16"/>
                <w:color w:val="auto"/>
              </w:rPr>
              <w:t>(45)</w:t>
            </w:r>
          </w:p>
        </w:tc>
        <w:tc>
          <w:tcPr>
            <w:tcW w:w="440" w:type="dxa"/>
            <w:vAlign w:val="bottom"/>
          </w:tcPr>
          <w:p>
            <w:pPr>
              <w:spacing w:after="0"/>
              <w:rPr>
                <w:sz w:val="18"/>
                <w:szCs w:val="18"/>
                <w:color w:val="auto"/>
              </w:rPr>
            </w:pPr>
          </w:p>
        </w:tc>
        <w:tc>
          <w:tcPr>
            <w:tcW w:w="1340" w:type="dxa"/>
            <w:vAlign w:val="bottom"/>
          </w:tcPr>
          <w:p>
            <w:pPr>
              <w:ind w:left="102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213"/>
        </w:trPr>
        <w:tc>
          <w:tcPr>
            <w:tcW w:w="5660" w:type="dxa"/>
            <w:vAlign w:val="bottom"/>
          </w:tcPr>
          <w:p>
            <w:pPr>
              <w:spacing w:after="0"/>
              <w:rPr>
                <w:sz w:val="20"/>
                <w:szCs w:val="20"/>
                <w:color w:val="auto"/>
              </w:rPr>
            </w:pPr>
            <w:r>
              <w:rPr>
                <w:rFonts w:ascii="Arial" w:cs="Arial" w:eastAsia="Arial" w:hAnsi="Arial"/>
                <w:sz w:val="16"/>
                <w:szCs w:val="16"/>
                <w:color w:val="auto"/>
              </w:rPr>
              <w:t>Tax benefit related to share-based compensation</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20" w:type="dxa"/>
            <w:vAlign w:val="bottom"/>
          </w:tcPr>
          <w:p>
            <w:pPr>
              <w:jc w:val="right"/>
              <w:ind w:right="82"/>
              <w:spacing w:after="0"/>
              <w:rPr>
                <w:sz w:val="20"/>
                <w:szCs w:val="20"/>
                <w:color w:val="auto"/>
              </w:rPr>
            </w:pPr>
            <w:r>
              <w:rPr>
                <w:rFonts w:ascii="Arial" w:cs="Arial" w:eastAsia="Arial" w:hAnsi="Arial"/>
                <w:sz w:val="16"/>
                <w:szCs w:val="16"/>
                <w:color w:val="auto"/>
              </w:rPr>
              <w:t>30</w:t>
            </w:r>
          </w:p>
        </w:tc>
        <w:tc>
          <w:tcPr>
            <w:tcW w:w="440" w:type="dxa"/>
            <w:vAlign w:val="bottom"/>
          </w:tcPr>
          <w:p>
            <w:pPr>
              <w:spacing w:after="0"/>
              <w:rPr>
                <w:sz w:val="18"/>
                <w:szCs w:val="18"/>
                <w:color w:val="auto"/>
              </w:rPr>
            </w:pPr>
          </w:p>
        </w:tc>
        <w:tc>
          <w:tcPr>
            <w:tcW w:w="1340" w:type="dxa"/>
            <w:vAlign w:val="bottom"/>
          </w:tcPr>
          <w:p>
            <w:pPr>
              <w:ind w:left="102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3"/>
        </w:trPr>
        <w:tc>
          <w:tcPr>
            <w:tcW w:w="5660" w:type="dxa"/>
            <w:vAlign w:val="bottom"/>
          </w:tcPr>
          <w:p>
            <w:pPr>
              <w:spacing w:after="0"/>
              <w:rPr>
                <w:sz w:val="20"/>
                <w:szCs w:val="20"/>
                <w:color w:val="auto"/>
              </w:rPr>
            </w:pPr>
            <w:r>
              <w:rPr>
                <w:rFonts w:ascii="Arial" w:cs="Arial" w:eastAsia="Arial" w:hAnsi="Arial"/>
                <w:sz w:val="16"/>
                <w:szCs w:val="16"/>
                <w:color w:val="auto"/>
              </w:rPr>
              <w:t>Sale of noncontrolling interests, net of offering costs</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20" w:type="dxa"/>
            <w:vAlign w:val="bottom"/>
          </w:tcPr>
          <w:p>
            <w:pPr>
              <w:jc w:val="right"/>
              <w:ind w:right="82"/>
              <w:spacing w:after="0"/>
              <w:rPr>
                <w:sz w:val="20"/>
                <w:szCs w:val="20"/>
                <w:color w:val="auto"/>
              </w:rPr>
            </w:pPr>
            <w:r>
              <w:rPr>
                <w:rFonts w:ascii="Arial" w:cs="Arial" w:eastAsia="Arial" w:hAnsi="Arial"/>
                <w:sz w:val="16"/>
                <w:szCs w:val="16"/>
                <w:color w:val="auto"/>
              </w:rPr>
              <w:t>135</w:t>
            </w:r>
          </w:p>
        </w:tc>
        <w:tc>
          <w:tcPr>
            <w:tcW w:w="4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439</w:t>
            </w:r>
          </w:p>
        </w:tc>
        <w:tc>
          <w:tcPr>
            <w:tcW w:w="8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574</w:t>
            </w:r>
          </w:p>
        </w:tc>
      </w:tr>
      <w:tr>
        <w:trPr>
          <w:trHeight w:val="213"/>
        </w:trPr>
        <w:tc>
          <w:tcPr>
            <w:tcW w:w="5660" w:type="dxa"/>
            <w:vAlign w:val="bottom"/>
          </w:tcPr>
          <w:p>
            <w:pPr>
              <w:spacing w:after="0"/>
              <w:rPr>
                <w:sz w:val="20"/>
                <w:szCs w:val="20"/>
                <w:color w:val="auto"/>
              </w:rPr>
            </w:pPr>
            <w:r>
              <w:rPr>
                <w:rFonts w:ascii="Arial" w:cs="Arial" w:eastAsia="Arial" w:hAnsi="Arial"/>
                <w:sz w:val="16"/>
                <w:szCs w:val="16"/>
                <w:color w:val="auto"/>
              </w:rPr>
              <w:t>Distributions to noncontrolling interests</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20" w:type="dxa"/>
            <w:vAlign w:val="bottom"/>
          </w:tcPr>
          <w:p>
            <w:pPr>
              <w:jc w:val="right"/>
              <w:ind w:right="222"/>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(28)</w:t>
            </w:r>
          </w:p>
        </w:tc>
        <w:tc>
          <w:tcPr>
            <w:tcW w:w="8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04"/>
        </w:trPr>
        <w:tc>
          <w:tcPr>
            <w:tcW w:w="5660" w:type="dxa"/>
            <w:vAlign w:val="bottom"/>
          </w:tcPr>
          <w:p>
            <w:pPr>
              <w:spacing w:after="0"/>
              <w:rPr>
                <w:sz w:val="20"/>
                <w:szCs w:val="20"/>
                <w:color w:val="auto"/>
              </w:rPr>
            </w:pPr>
            <w:r>
              <w:rPr>
                <w:rFonts w:ascii="Arial" w:cs="Arial" w:eastAsia="Arial" w:hAnsi="Arial"/>
                <w:sz w:val="16"/>
                <w:szCs w:val="16"/>
                <w:color w:val="auto"/>
              </w:rPr>
              <w:t>Call premium on preferred stock of subsidiary</w:t>
            </w:r>
          </w:p>
        </w:tc>
        <w:tc>
          <w:tcPr>
            <w:tcW w:w="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(3)</w:t>
            </w:r>
          </w:p>
        </w:tc>
        <w:tc>
          <w:tcPr>
            <w:tcW w:w="4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173"/>
        </w:trPr>
        <w:tc>
          <w:tcPr>
            <w:tcW w:w="5660" w:type="dxa"/>
            <w:vAlign w:val="bottom"/>
            <w:tcBorders>
              <w:bottom w:val="single" w:sz="8" w:color="auto"/>
            </w:tcBorders>
          </w:tcPr>
          <w:p>
            <w:pPr>
              <w:spacing w:after="0" w:line="166" w:lineRule="exact"/>
              <w:rPr>
                <w:sz w:val="20"/>
                <w:szCs w:val="20"/>
                <w:color w:val="auto"/>
              </w:rPr>
            </w:pPr>
            <w:r>
              <w:rPr>
                <w:rFonts w:ascii="Arial" w:cs="Arial" w:eastAsia="Arial" w:hAnsi="Arial"/>
                <w:sz w:val="16"/>
                <w:szCs w:val="16"/>
                <w:color w:val="auto"/>
              </w:rPr>
              <w:t>Balance at September 30, 2013</w:t>
            </w:r>
          </w:p>
        </w:tc>
        <w:tc>
          <w:tcPr>
            <w:tcW w:w="600" w:type="dxa"/>
            <w:vAlign w:val="bottom"/>
            <w:tcBorders>
              <w:bottom w:val="single" w:sz="8" w:color="auto"/>
            </w:tcBorders>
            <w:gridSpan w:val="2"/>
          </w:tcPr>
          <w:p>
            <w:pPr>
              <w:jc w:val="right"/>
              <w:ind w:right="120"/>
              <w:spacing w:after="0" w:line="166" w:lineRule="exact"/>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ind w:right="82"/>
              <w:spacing w:after="0" w:line="166" w:lineRule="exact"/>
              <w:rPr>
                <w:sz w:val="20"/>
                <w:szCs w:val="20"/>
                <w:color w:val="auto"/>
              </w:rPr>
            </w:pPr>
            <w:r>
              <w:rPr>
                <w:rFonts w:ascii="Arial" w:cs="Arial" w:eastAsia="Arial" w:hAnsi="Arial"/>
                <w:sz w:val="16"/>
                <w:szCs w:val="16"/>
                <w:color w:val="auto"/>
              </w:rPr>
              <w:t>10,909</w:t>
            </w:r>
          </w:p>
        </w:tc>
        <w:tc>
          <w:tcPr>
            <w:tcW w:w="440" w:type="dxa"/>
            <w:vAlign w:val="bottom"/>
            <w:tcBorders>
              <w:bottom w:val="single" w:sz="8" w:color="auto"/>
            </w:tcBorders>
          </w:tcPr>
          <w:p>
            <w:pPr>
              <w:jc w:val="right"/>
              <w:ind w:right="120"/>
              <w:spacing w:after="0" w:line="166" w:lineRule="exact"/>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845</w:t>
            </w:r>
          </w:p>
        </w:tc>
        <w:tc>
          <w:tcPr>
            <w:tcW w:w="840" w:type="dxa"/>
            <w:vAlign w:val="bottom"/>
            <w:tcBorders>
              <w:bottom w:val="single" w:sz="8" w:color="auto"/>
            </w:tcBorders>
          </w:tcPr>
          <w:p>
            <w:pPr>
              <w:jc w:val="right"/>
              <w:ind w:right="402"/>
              <w:spacing w:after="0" w:line="166"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11,754</w:t>
            </w:r>
          </w:p>
        </w:tc>
      </w:tr>
      <w:tr>
        <w:trPr>
          <w:trHeight w:val="718"/>
        </w:trPr>
        <w:tc>
          <w:tcPr>
            <w:tcW w:w="5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157"/>
        </w:trPr>
        <w:tc>
          <w:tcPr>
            <w:tcW w:w="5660" w:type="dxa"/>
            <w:vAlign w:val="bottom"/>
            <w:shd w:val="clear" w:color="auto" w:fill="C0C0C0"/>
          </w:tcPr>
          <w:p>
            <w:pPr>
              <w:spacing w:after="0" w:line="157" w:lineRule="exact"/>
              <w:rPr>
                <w:sz w:val="20"/>
                <w:szCs w:val="20"/>
                <w:color w:val="auto"/>
              </w:rPr>
            </w:pPr>
            <w:r>
              <w:rPr>
                <w:rFonts w:ascii="Arial" w:cs="Arial" w:eastAsia="Arial" w:hAnsi="Arial"/>
                <w:sz w:val="16"/>
                <w:szCs w:val="16"/>
                <w:b w:val="1"/>
                <w:bCs w:val="1"/>
                <w:color w:val="auto"/>
              </w:rPr>
              <w:t>SHAREHOLDER'S EQUITY AND NONCONTROLLING INTEREST ― SDG&amp;E</w:t>
            </w:r>
          </w:p>
        </w:tc>
        <w:tc>
          <w:tcPr>
            <w:tcW w:w="80" w:type="dxa"/>
            <w:vAlign w:val="bottom"/>
            <w:shd w:val="clear" w:color="auto" w:fill="C0C0C0"/>
          </w:tcPr>
          <w:p>
            <w:pPr>
              <w:spacing w:after="0"/>
              <w:rPr>
                <w:sz w:val="13"/>
                <w:szCs w:val="13"/>
                <w:color w:val="auto"/>
              </w:rPr>
            </w:pPr>
          </w:p>
        </w:tc>
        <w:tc>
          <w:tcPr>
            <w:tcW w:w="520" w:type="dxa"/>
            <w:vAlign w:val="bottom"/>
            <w:shd w:val="clear" w:color="auto" w:fill="C0C0C0"/>
          </w:tcPr>
          <w:p>
            <w:pPr>
              <w:spacing w:after="0"/>
              <w:rPr>
                <w:sz w:val="13"/>
                <w:szCs w:val="13"/>
                <w:color w:val="auto"/>
              </w:rPr>
            </w:pPr>
          </w:p>
        </w:tc>
        <w:tc>
          <w:tcPr>
            <w:tcW w:w="1620" w:type="dxa"/>
            <w:vAlign w:val="bottom"/>
            <w:shd w:val="clear" w:color="auto" w:fill="C0C0C0"/>
          </w:tcPr>
          <w:p>
            <w:pPr>
              <w:spacing w:after="0"/>
              <w:rPr>
                <w:sz w:val="13"/>
                <w:szCs w:val="13"/>
                <w:color w:val="auto"/>
              </w:rPr>
            </w:pPr>
          </w:p>
        </w:tc>
        <w:tc>
          <w:tcPr>
            <w:tcW w:w="440" w:type="dxa"/>
            <w:vAlign w:val="bottom"/>
            <w:shd w:val="clear" w:color="auto" w:fill="C0C0C0"/>
          </w:tcPr>
          <w:p>
            <w:pPr>
              <w:spacing w:after="0"/>
              <w:rPr>
                <w:sz w:val="13"/>
                <w:szCs w:val="13"/>
                <w:color w:val="auto"/>
              </w:rPr>
            </w:pPr>
          </w:p>
        </w:tc>
        <w:tc>
          <w:tcPr>
            <w:tcW w:w="1340" w:type="dxa"/>
            <w:vAlign w:val="bottom"/>
            <w:shd w:val="clear" w:color="auto" w:fill="C0C0C0"/>
          </w:tcPr>
          <w:p>
            <w:pPr>
              <w:spacing w:after="0"/>
              <w:rPr>
                <w:sz w:val="13"/>
                <w:szCs w:val="13"/>
                <w:color w:val="auto"/>
              </w:rPr>
            </w:pPr>
          </w:p>
        </w:tc>
        <w:tc>
          <w:tcPr>
            <w:tcW w:w="840" w:type="dxa"/>
            <w:vAlign w:val="bottom"/>
            <w:shd w:val="clear" w:color="auto" w:fill="C0C0C0"/>
          </w:tcPr>
          <w:p>
            <w:pPr>
              <w:spacing w:after="0"/>
              <w:rPr>
                <w:sz w:val="13"/>
                <w:szCs w:val="13"/>
                <w:color w:val="auto"/>
              </w:rPr>
            </w:pPr>
          </w:p>
        </w:tc>
        <w:tc>
          <w:tcPr>
            <w:tcW w:w="920" w:type="dxa"/>
            <w:vAlign w:val="bottom"/>
            <w:shd w:val="clear" w:color="auto" w:fill="C0C0C0"/>
          </w:tcPr>
          <w:p>
            <w:pPr>
              <w:spacing w:after="0"/>
              <w:rPr>
                <w:sz w:val="13"/>
                <w:szCs w:val="13"/>
                <w:color w:val="auto"/>
              </w:rPr>
            </w:pPr>
          </w:p>
        </w:tc>
      </w:tr>
      <w:tr>
        <w:trPr>
          <w:trHeight w:val="169"/>
        </w:trPr>
        <w:tc>
          <w:tcPr>
            <w:tcW w:w="5660" w:type="dxa"/>
            <w:vAlign w:val="bottom"/>
            <w:shd w:val="clear" w:color="auto" w:fill="C0C0C0"/>
          </w:tcPr>
          <w:p>
            <w:pPr>
              <w:spacing w:after="0"/>
              <w:rPr>
                <w:sz w:val="20"/>
                <w:szCs w:val="20"/>
                <w:color w:val="auto"/>
              </w:rPr>
            </w:pPr>
            <w:r>
              <w:rPr>
                <w:rFonts w:ascii="Arial" w:cs="Arial" w:eastAsia="Arial" w:hAnsi="Arial"/>
                <w:sz w:val="14"/>
                <w:szCs w:val="14"/>
                <w:i w:val="1"/>
                <w:iCs w:val="1"/>
                <w:color w:val="auto"/>
              </w:rPr>
              <w:t>(Dollars in millions)</w:t>
            </w:r>
          </w:p>
        </w:tc>
        <w:tc>
          <w:tcPr>
            <w:tcW w:w="80" w:type="dxa"/>
            <w:vAlign w:val="bottom"/>
            <w:shd w:val="clear" w:color="auto" w:fill="C0C0C0"/>
          </w:tcPr>
          <w:p>
            <w:pPr>
              <w:spacing w:after="0"/>
              <w:rPr>
                <w:sz w:val="14"/>
                <w:szCs w:val="14"/>
                <w:color w:val="auto"/>
              </w:rPr>
            </w:pPr>
          </w:p>
        </w:tc>
        <w:tc>
          <w:tcPr>
            <w:tcW w:w="520" w:type="dxa"/>
            <w:vAlign w:val="bottom"/>
            <w:shd w:val="clear" w:color="auto" w:fill="C0C0C0"/>
          </w:tcPr>
          <w:p>
            <w:pPr>
              <w:spacing w:after="0"/>
              <w:rPr>
                <w:sz w:val="14"/>
                <w:szCs w:val="14"/>
                <w:color w:val="auto"/>
              </w:rPr>
            </w:pPr>
          </w:p>
        </w:tc>
        <w:tc>
          <w:tcPr>
            <w:tcW w:w="1620" w:type="dxa"/>
            <w:vAlign w:val="bottom"/>
            <w:shd w:val="clear" w:color="auto" w:fill="C0C0C0"/>
          </w:tcPr>
          <w:p>
            <w:pPr>
              <w:spacing w:after="0"/>
              <w:rPr>
                <w:sz w:val="14"/>
                <w:szCs w:val="14"/>
                <w:color w:val="auto"/>
              </w:rPr>
            </w:pPr>
          </w:p>
        </w:tc>
        <w:tc>
          <w:tcPr>
            <w:tcW w:w="440" w:type="dxa"/>
            <w:vAlign w:val="bottom"/>
            <w:shd w:val="clear" w:color="auto" w:fill="C0C0C0"/>
          </w:tcPr>
          <w:p>
            <w:pPr>
              <w:spacing w:after="0"/>
              <w:rPr>
                <w:sz w:val="14"/>
                <w:szCs w:val="14"/>
                <w:color w:val="auto"/>
              </w:rPr>
            </w:pPr>
          </w:p>
        </w:tc>
        <w:tc>
          <w:tcPr>
            <w:tcW w:w="1340" w:type="dxa"/>
            <w:vAlign w:val="bottom"/>
            <w:shd w:val="clear" w:color="auto" w:fill="C0C0C0"/>
          </w:tcPr>
          <w:p>
            <w:pPr>
              <w:spacing w:after="0"/>
              <w:rPr>
                <w:sz w:val="14"/>
                <w:szCs w:val="14"/>
                <w:color w:val="auto"/>
              </w:rPr>
            </w:pPr>
          </w:p>
        </w:tc>
        <w:tc>
          <w:tcPr>
            <w:tcW w:w="840" w:type="dxa"/>
            <w:vAlign w:val="bottom"/>
            <w:shd w:val="clear" w:color="auto" w:fill="C0C0C0"/>
          </w:tcPr>
          <w:p>
            <w:pPr>
              <w:spacing w:after="0"/>
              <w:rPr>
                <w:sz w:val="14"/>
                <w:szCs w:val="14"/>
                <w:color w:val="auto"/>
              </w:rPr>
            </w:pPr>
          </w:p>
        </w:tc>
        <w:tc>
          <w:tcPr>
            <w:tcW w:w="920" w:type="dxa"/>
            <w:vAlign w:val="bottom"/>
            <w:shd w:val="clear" w:color="auto" w:fill="C0C0C0"/>
          </w:tcPr>
          <w:p>
            <w:pPr>
              <w:spacing w:after="0"/>
              <w:rPr>
                <w:sz w:val="14"/>
                <w:szCs w:val="14"/>
                <w:color w:val="auto"/>
              </w:rPr>
            </w:pPr>
          </w:p>
        </w:tc>
      </w:tr>
      <w:tr>
        <w:trPr>
          <w:trHeight w:val="228"/>
        </w:trPr>
        <w:tc>
          <w:tcPr>
            <w:tcW w:w="5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20" w:type="dxa"/>
            <w:vAlign w:val="bottom"/>
          </w:tcPr>
          <w:p>
            <w:pPr>
              <w:jc w:val="center"/>
              <w:ind w:right="282"/>
              <w:spacing w:after="0"/>
              <w:rPr>
                <w:sz w:val="20"/>
                <w:szCs w:val="20"/>
                <w:color w:val="auto"/>
              </w:rPr>
            </w:pPr>
            <w:r>
              <w:rPr>
                <w:rFonts w:ascii="Arial" w:cs="Arial" w:eastAsia="Arial" w:hAnsi="Arial"/>
                <w:sz w:val="14"/>
                <w:szCs w:val="14"/>
                <w:color w:val="auto"/>
              </w:rPr>
              <w:t>SDG&amp;E</w:t>
            </w:r>
          </w:p>
        </w:tc>
        <w:tc>
          <w:tcPr>
            <w:tcW w:w="440" w:type="dxa"/>
            <w:vAlign w:val="bottom"/>
          </w:tcPr>
          <w:p>
            <w:pPr>
              <w:spacing w:after="0"/>
              <w:rPr>
                <w:sz w:val="19"/>
                <w:szCs w:val="19"/>
                <w:color w:val="auto"/>
              </w:rPr>
            </w:pPr>
          </w:p>
        </w:tc>
        <w:tc>
          <w:tcPr>
            <w:tcW w:w="1340" w:type="dxa"/>
            <w:vAlign w:val="bottom"/>
          </w:tcPr>
          <w:p>
            <w:pPr>
              <w:jc w:val="center"/>
              <w:ind w:right="202"/>
              <w:spacing w:after="0"/>
              <w:rPr>
                <w:sz w:val="20"/>
                <w:szCs w:val="20"/>
                <w:color w:val="auto"/>
              </w:rPr>
            </w:pPr>
            <w:r>
              <w:rPr>
                <w:rFonts w:ascii="Arial" w:cs="Arial" w:eastAsia="Arial" w:hAnsi="Arial"/>
                <w:sz w:val="14"/>
                <w:szCs w:val="14"/>
                <w:color w:val="auto"/>
                <w:w w:val="98"/>
              </w:rPr>
              <w:t>Non-</w:t>
            </w:r>
          </w:p>
        </w:tc>
        <w:tc>
          <w:tcPr>
            <w:tcW w:w="8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13"/>
        </w:trPr>
        <w:tc>
          <w:tcPr>
            <w:tcW w:w="5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20" w:type="dxa"/>
            <w:vAlign w:val="bottom"/>
          </w:tcPr>
          <w:p>
            <w:pPr>
              <w:jc w:val="center"/>
              <w:ind w:right="262"/>
              <w:spacing w:after="0"/>
              <w:rPr>
                <w:sz w:val="20"/>
                <w:szCs w:val="20"/>
                <w:color w:val="auto"/>
              </w:rPr>
            </w:pPr>
            <w:r>
              <w:rPr>
                <w:rFonts w:ascii="Arial" w:cs="Arial" w:eastAsia="Arial" w:hAnsi="Arial"/>
                <w:sz w:val="14"/>
                <w:szCs w:val="14"/>
                <w:color w:val="auto"/>
              </w:rPr>
              <w:t>Shareholder’s</w:t>
            </w:r>
          </w:p>
        </w:tc>
        <w:tc>
          <w:tcPr>
            <w:tcW w:w="440" w:type="dxa"/>
            <w:vAlign w:val="bottom"/>
          </w:tcPr>
          <w:p>
            <w:pPr>
              <w:spacing w:after="0"/>
              <w:rPr>
                <w:sz w:val="18"/>
                <w:szCs w:val="18"/>
                <w:color w:val="auto"/>
              </w:rPr>
            </w:pPr>
          </w:p>
        </w:tc>
        <w:tc>
          <w:tcPr>
            <w:tcW w:w="1340" w:type="dxa"/>
            <w:vAlign w:val="bottom"/>
          </w:tcPr>
          <w:p>
            <w:pPr>
              <w:jc w:val="center"/>
              <w:ind w:right="222"/>
              <w:spacing w:after="0"/>
              <w:rPr>
                <w:sz w:val="20"/>
                <w:szCs w:val="20"/>
                <w:color w:val="auto"/>
              </w:rPr>
            </w:pPr>
            <w:r>
              <w:rPr>
                <w:rFonts w:ascii="Arial" w:cs="Arial" w:eastAsia="Arial" w:hAnsi="Arial"/>
                <w:sz w:val="14"/>
                <w:szCs w:val="14"/>
                <w:color w:val="auto"/>
              </w:rPr>
              <w:t>controlling</w:t>
            </w:r>
          </w:p>
        </w:tc>
        <w:tc>
          <w:tcPr>
            <w:tcW w:w="840" w:type="dxa"/>
            <w:vAlign w:val="bottom"/>
          </w:tcPr>
          <w:p>
            <w:pPr>
              <w:spacing w:after="0"/>
              <w:rPr>
                <w:sz w:val="18"/>
                <w:szCs w:val="18"/>
                <w:color w:val="auto"/>
              </w:rPr>
            </w:pPr>
          </w:p>
        </w:tc>
        <w:tc>
          <w:tcPr>
            <w:tcW w:w="920" w:type="dxa"/>
            <w:vAlign w:val="bottom"/>
          </w:tcPr>
          <w:p>
            <w:pPr>
              <w:jc w:val="center"/>
              <w:ind w:right="381"/>
              <w:spacing w:after="0"/>
              <w:rPr>
                <w:sz w:val="20"/>
                <w:szCs w:val="20"/>
                <w:color w:val="auto"/>
              </w:rPr>
            </w:pPr>
            <w:r>
              <w:rPr>
                <w:rFonts w:ascii="Arial" w:cs="Arial" w:eastAsia="Arial" w:hAnsi="Arial"/>
                <w:sz w:val="14"/>
                <w:szCs w:val="14"/>
                <w:color w:val="auto"/>
                <w:w w:val="96"/>
              </w:rPr>
              <w:t>Total</w:t>
            </w:r>
          </w:p>
        </w:tc>
      </w:tr>
      <w:tr>
        <w:trPr>
          <w:trHeight w:val="197"/>
        </w:trPr>
        <w:tc>
          <w:tcPr>
            <w:tcW w:w="56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center"/>
              <w:ind w:right="262"/>
              <w:spacing w:after="0"/>
              <w:rPr>
                <w:sz w:val="20"/>
                <w:szCs w:val="20"/>
                <w:color w:val="auto"/>
              </w:rPr>
            </w:pPr>
            <w:r>
              <w:rPr>
                <w:rFonts w:ascii="Arial" w:cs="Arial" w:eastAsia="Arial" w:hAnsi="Arial"/>
                <w:sz w:val="14"/>
                <w:szCs w:val="14"/>
                <w:color w:val="auto"/>
              </w:rPr>
              <w:t>Equity</w:t>
            </w:r>
          </w:p>
        </w:tc>
        <w:tc>
          <w:tcPr>
            <w:tcW w:w="4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color w:val="auto"/>
              </w:rPr>
              <w:t>Interest</w:t>
            </w:r>
          </w:p>
        </w:tc>
        <w:tc>
          <w:tcPr>
            <w:tcW w:w="8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401"/>
              <w:spacing w:after="0"/>
              <w:rPr>
                <w:sz w:val="20"/>
                <w:szCs w:val="20"/>
                <w:color w:val="auto"/>
              </w:rPr>
            </w:pPr>
            <w:r>
              <w:rPr>
                <w:rFonts w:ascii="Arial" w:cs="Arial" w:eastAsia="Arial" w:hAnsi="Arial"/>
                <w:sz w:val="14"/>
                <w:szCs w:val="14"/>
                <w:color w:val="auto"/>
              </w:rPr>
              <w:t>Equity</w:t>
            </w:r>
          </w:p>
        </w:tc>
      </w:tr>
      <w:tr>
        <w:trPr>
          <w:trHeight w:val="186"/>
        </w:trPr>
        <w:tc>
          <w:tcPr>
            <w:tcW w:w="5660" w:type="dxa"/>
            <w:vAlign w:val="bottom"/>
          </w:tcPr>
          <w:p>
            <w:pPr>
              <w:spacing w:after="0"/>
              <w:rPr>
                <w:sz w:val="20"/>
                <w:szCs w:val="20"/>
                <w:color w:val="auto"/>
              </w:rPr>
            </w:pPr>
            <w:r>
              <w:rPr>
                <w:rFonts w:ascii="Arial" w:cs="Arial" w:eastAsia="Arial" w:hAnsi="Arial"/>
                <w:sz w:val="16"/>
                <w:szCs w:val="16"/>
                <w:color w:val="auto"/>
              </w:rPr>
              <w:t>Balance at December 31, 2013</w:t>
            </w: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142"/>
              <w:spacing w:after="0"/>
              <w:rPr>
                <w:sz w:val="20"/>
                <w:szCs w:val="20"/>
                <w:color w:val="auto"/>
              </w:rPr>
            </w:pPr>
            <w:r>
              <w:rPr>
                <w:rFonts w:ascii="Arial" w:cs="Arial" w:eastAsia="Arial" w:hAnsi="Arial"/>
                <w:sz w:val="16"/>
                <w:szCs w:val="16"/>
                <w:color w:val="auto"/>
              </w:rPr>
              <w:t>4,628</w:t>
            </w:r>
          </w:p>
        </w:tc>
        <w:tc>
          <w:tcPr>
            <w:tcW w:w="44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340" w:type="dxa"/>
            <w:vAlign w:val="bottom"/>
          </w:tcPr>
          <w:p>
            <w:pPr>
              <w:ind w:left="1120"/>
              <w:spacing w:after="0"/>
              <w:rPr>
                <w:sz w:val="20"/>
                <w:szCs w:val="20"/>
                <w:color w:val="auto"/>
              </w:rPr>
            </w:pPr>
            <w:r>
              <w:rPr>
                <w:rFonts w:ascii="Arial" w:cs="Arial" w:eastAsia="Arial" w:hAnsi="Arial"/>
                <w:sz w:val="16"/>
                <w:szCs w:val="16"/>
                <w:color w:val="auto"/>
              </w:rPr>
              <w:t>91</w:t>
            </w:r>
          </w:p>
        </w:tc>
        <w:tc>
          <w:tcPr>
            <w:tcW w:w="840" w:type="dxa"/>
            <w:vAlign w:val="bottom"/>
          </w:tcPr>
          <w:p>
            <w:pPr>
              <w:jc w:val="right"/>
              <w:ind w:right="402"/>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4,719</w:t>
            </w:r>
          </w:p>
        </w:tc>
      </w:tr>
      <w:tr>
        <w:trPr>
          <w:trHeight w:val="201"/>
        </w:trPr>
        <w:tc>
          <w:tcPr>
            <w:tcW w:w="5660" w:type="dxa"/>
            <w:vAlign w:val="bottom"/>
          </w:tcPr>
          <w:p>
            <w:pPr>
              <w:spacing w:after="0"/>
              <w:rPr>
                <w:sz w:val="20"/>
                <w:szCs w:val="20"/>
                <w:color w:val="auto"/>
              </w:rPr>
            </w:pPr>
            <w:r>
              <w:rPr>
                <w:rFonts w:ascii="Arial" w:cs="Arial" w:eastAsia="Arial" w:hAnsi="Arial"/>
                <w:sz w:val="16"/>
                <w:szCs w:val="16"/>
                <w:color w:val="auto"/>
              </w:rPr>
              <w:t>Comprehensive income</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20" w:type="dxa"/>
            <w:vAlign w:val="bottom"/>
          </w:tcPr>
          <w:p>
            <w:pPr>
              <w:jc w:val="right"/>
              <w:ind w:right="142"/>
              <w:spacing w:after="0"/>
              <w:rPr>
                <w:sz w:val="20"/>
                <w:szCs w:val="20"/>
                <w:color w:val="auto"/>
              </w:rPr>
            </w:pPr>
            <w:r>
              <w:rPr>
                <w:rFonts w:ascii="Arial" w:cs="Arial" w:eastAsia="Arial" w:hAnsi="Arial"/>
                <w:sz w:val="16"/>
                <w:szCs w:val="16"/>
                <w:color w:val="auto"/>
              </w:rPr>
              <w:t>381</w:t>
            </w:r>
          </w:p>
        </w:tc>
        <w:tc>
          <w:tcPr>
            <w:tcW w:w="440" w:type="dxa"/>
            <w:vAlign w:val="bottom"/>
          </w:tcPr>
          <w:p>
            <w:pPr>
              <w:spacing w:after="0"/>
              <w:rPr>
                <w:sz w:val="17"/>
                <w:szCs w:val="17"/>
                <w:color w:val="auto"/>
              </w:rPr>
            </w:pPr>
          </w:p>
        </w:tc>
        <w:tc>
          <w:tcPr>
            <w:tcW w:w="1340" w:type="dxa"/>
            <w:vAlign w:val="bottom"/>
          </w:tcPr>
          <w:p>
            <w:pPr>
              <w:ind w:left="1120"/>
              <w:spacing w:after="0"/>
              <w:rPr>
                <w:sz w:val="20"/>
                <w:szCs w:val="20"/>
                <w:color w:val="auto"/>
              </w:rPr>
            </w:pPr>
            <w:r>
              <w:rPr>
                <w:rFonts w:ascii="Arial" w:cs="Arial" w:eastAsia="Arial" w:hAnsi="Arial"/>
                <w:sz w:val="16"/>
                <w:szCs w:val="16"/>
                <w:color w:val="auto"/>
              </w:rPr>
              <w:t>23</w:t>
            </w:r>
          </w:p>
        </w:tc>
        <w:tc>
          <w:tcPr>
            <w:tcW w:w="8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404</w:t>
            </w:r>
          </w:p>
        </w:tc>
      </w:tr>
      <w:tr>
        <w:trPr>
          <w:trHeight w:val="204"/>
        </w:trPr>
        <w:tc>
          <w:tcPr>
            <w:tcW w:w="5660" w:type="dxa"/>
            <w:vAlign w:val="bottom"/>
          </w:tcPr>
          <w:p>
            <w:pPr>
              <w:spacing w:after="0"/>
              <w:rPr>
                <w:sz w:val="20"/>
                <w:szCs w:val="20"/>
                <w:color w:val="auto"/>
              </w:rPr>
            </w:pPr>
            <w:r>
              <w:rPr>
                <w:rFonts w:ascii="Arial" w:cs="Arial" w:eastAsia="Arial" w:hAnsi="Arial"/>
                <w:sz w:val="16"/>
                <w:szCs w:val="16"/>
                <w:color w:val="auto"/>
              </w:rPr>
              <w:t>Distributions to noncontrolling interest</w:t>
            </w:r>
          </w:p>
        </w:tc>
        <w:tc>
          <w:tcPr>
            <w:tcW w:w="8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(37)</w:t>
            </w:r>
          </w:p>
        </w:tc>
        <w:tc>
          <w:tcPr>
            <w:tcW w:w="8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r>
      <w:tr>
        <w:trPr>
          <w:trHeight w:val="173"/>
        </w:trPr>
        <w:tc>
          <w:tcPr>
            <w:tcW w:w="5660" w:type="dxa"/>
            <w:vAlign w:val="bottom"/>
            <w:tcBorders>
              <w:bottom w:val="single" w:sz="8" w:color="auto"/>
            </w:tcBorders>
          </w:tcPr>
          <w:p>
            <w:pPr>
              <w:spacing w:after="0" w:line="166" w:lineRule="exact"/>
              <w:rPr>
                <w:sz w:val="20"/>
                <w:szCs w:val="20"/>
                <w:color w:val="auto"/>
              </w:rPr>
            </w:pPr>
            <w:r>
              <w:rPr>
                <w:rFonts w:ascii="Arial" w:cs="Arial" w:eastAsia="Arial" w:hAnsi="Arial"/>
                <w:sz w:val="16"/>
                <w:szCs w:val="16"/>
                <w:color w:val="auto"/>
              </w:rPr>
              <w:t>Balance at September 30, 2014</w:t>
            </w: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40"/>
              <w:spacing w:after="0" w:line="166" w:lineRule="exact"/>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ind w:right="142"/>
              <w:spacing w:after="0" w:line="166" w:lineRule="exact"/>
              <w:rPr>
                <w:sz w:val="20"/>
                <w:szCs w:val="20"/>
                <w:color w:val="auto"/>
              </w:rPr>
            </w:pPr>
            <w:r>
              <w:rPr>
                <w:rFonts w:ascii="Arial" w:cs="Arial" w:eastAsia="Arial" w:hAnsi="Arial"/>
                <w:sz w:val="16"/>
                <w:szCs w:val="16"/>
                <w:color w:val="auto"/>
              </w:rPr>
              <w:t>5,009</w:t>
            </w:r>
          </w:p>
        </w:tc>
        <w:tc>
          <w:tcPr>
            <w:tcW w:w="440" w:type="dxa"/>
            <w:vAlign w:val="bottom"/>
            <w:tcBorders>
              <w:bottom w:val="single" w:sz="8" w:color="auto"/>
            </w:tcBorders>
          </w:tcPr>
          <w:p>
            <w:pPr>
              <w:jc w:val="right"/>
              <w:ind w:right="160"/>
              <w:spacing w:after="0" w:line="166" w:lineRule="exact"/>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ind w:left="1120"/>
              <w:spacing w:after="0" w:line="166" w:lineRule="exact"/>
              <w:rPr>
                <w:sz w:val="20"/>
                <w:szCs w:val="20"/>
                <w:color w:val="auto"/>
              </w:rPr>
            </w:pPr>
            <w:r>
              <w:rPr>
                <w:rFonts w:ascii="Arial" w:cs="Arial" w:eastAsia="Arial" w:hAnsi="Arial"/>
                <w:sz w:val="16"/>
                <w:szCs w:val="16"/>
                <w:color w:val="auto"/>
              </w:rPr>
              <w:t>77</w:t>
            </w:r>
          </w:p>
        </w:tc>
        <w:tc>
          <w:tcPr>
            <w:tcW w:w="840" w:type="dxa"/>
            <w:vAlign w:val="bottom"/>
            <w:tcBorders>
              <w:bottom w:val="single" w:sz="8" w:color="auto"/>
            </w:tcBorders>
          </w:tcPr>
          <w:p>
            <w:pPr>
              <w:jc w:val="right"/>
              <w:ind w:right="402"/>
              <w:spacing w:after="0" w:line="166"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5,086</w:t>
            </w:r>
          </w:p>
        </w:tc>
      </w:tr>
      <w:tr>
        <w:trPr>
          <w:trHeight w:val="192"/>
        </w:trPr>
        <w:tc>
          <w:tcPr>
            <w:tcW w:w="5660" w:type="dxa"/>
            <w:vAlign w:val="bottom"/>
          </w:tcPr>
          <w:p>
            <w:pPr>
              <w:spacing w:after="0"/>
              <w:rPr>
                <w:sz w:val="20"/>
                <w:szCs w:val="20"/>
                <w:color w:val="auto"/>
              </w:rPr>
            </w:pPr>
            <w:r>
              <w:rPr>
                <w:rFonts w:ascii="Arial" w:cs="Arial" w:eastAsia="Arial" w:hAnsi="Arial"/>
                <w:sz w:val="16"/>
                <w:szCs w:val="16"/>
                <w:color w:val="auto"/>
              </w:rPr>
              <w:t>Balance at December 31, 2012</w:t>
            </w: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142"/>
              <w:spacing w:after="0"/>
              <w:rPr>
                <w:sz w:val="20"/>
                <w:szCs w:val="20"/>
                <w:color w:val="auto"/>
              </w:rPr>
            </w:pPr>
            <w:r>
              <w:rPr>
                <w:rFonts w:ascii="Arial" w:cs="Arial" w:eastAsia="Arial" w:hAnsi="Arial"/>
                <w:sz w:val="16"/>
                <w:szCs w:val="16"/>
                <w:color w:val="auto"/>
              </w:rPr>
              <w:t>4,222</w:t>
            </w:r>
          </w:p>
        </w:tc>
        <w:tc>
          <w:tcPr>
            <w:tcW w:w="44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340" w:type="dxa"/>
            <w:vAlign w:val="bottom"/>
          </w:tcPr>
          <w:p>
            <w:pPr>
              <w:ind w:left="1120"/>
              <w:spacing w:after="0"/>
              <w:rPr>
                <w:sz w:val="20"/>
                <w:szCs w:val="20"/>
                <w:color w:val="auto"/>
              </w:rPr>
            </w:pPr>
            <w:r>
              <w:rPr>
                <w:rFonts w:ascii="Arial" w:cs="Arial" w:eastAsia="Arial" w:hAnsi="Arial"/>
                <w:sz w:val="16"/>
                <w:szCs w:val="16"/>
                <w:color w:val="auto"/>
              </w:rPr>
              <w:t>76</w:t>
            </w:r>
          </w:p>
        </w:tc>
        <w:tc>
          <w:tcPr>
            <w:tcW w:w="840" w:type="dxa"/>
            <w:vAlign w:val="bottom"/>
          </w:tcPr>
          <w:p>
            <w:pPr>
              <w:jc w:val="right"/>
              <w:ind w:right="402"/>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4,298</w:t>
            </w:r>
          </w:p>
        </w:tc>
      </w:tr>
      <w:tr>
        <w:trPr>
          <w:trHeight w:val="201"/>
        </w:trPr>
        <w:tc>
          <w:tcPr>
            <w:tcW w:w="5660" w:type="dxa"/>
            <w:vAlign w:val="bottom"/>
          </w:tcPr>
          <w:p>
            <w:pPr>
              <w:spacing w:after="0"/>
              <w:rPr>
                <w:sz w:val="20"/>
                <w:szCs w:val="20"/>
                <w:color w:val="auto"/>
              </w:rPr>
            </w:pPr>
            <w:r>
              <w:rPr>
                <w:rFonts w:ascii="Arial" w:cs="Arial" w:eastAsia="Arial" w:hAnsi="Arial"/>
                <w:sz w:val="16"/>
                <w:szCs w:val="16"/>
                <w:color w:val="auto"/>
              </w:rPr>
              <w:t>Comprehensive income</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20" w:type="dxa"/>
            <w:vAlign w:val="bottom"/>
          </w:tcPr>
          <w:p>
            <w:pPr>
              <w:jc w:val="right"/>
              <w:ind w:right="142"/>
              <w:spacing w:after="0"/>
              <w:rPr>
                <w:sz w:val="20"/>
                <w:szCs w:val="20"/>
                <w:color w:val="auto"/>
              </w:rPr>
            </w:pPr>
            <w:r>
              <w:rPr>
                <w:rFonts w:ascii="Arial" w:cs="Arial" w:eastAsia="Arial" w:hAnsi="Arial"/>
                <w:sz w:val="16"/>
                <w:szCs w:val="16"/>
                <w:color w:val="auto"/>
              </w:rPr>
              <w:t>294</w:t>
            </w:r>
          </w:p>
        </w:tc>
        <w:tc>
          <w:tcPr>
            <w:tcW w:w="440" w:type="dxa"/>
            <w:vAlign w:val="bottom"/>
          </w:tcPr>
          <w:p>
            <w:pPr>
              <w:spacing w:after="0"/>
              <w:rPr>
                <w:sz w:val="17"/>
                <w:szCs w:val="17"/>
                <w:color w:val="auto"/>
              </w:rPr>
            </w:pPr>
          </w:p>
        </w:tc>
        <w:tc>
          <w:tcPr>
            <w:tcW w:w="1340" w:type="dxa"/>
            <w:vAlign w:val="bottom"/>
          </w:tcPr>
          <w:p>
            <w:pPr>
              <w:ind w:left="1120"/>
              <w:spacing w:after="0"/>
              <w:rPr>
                <w:sz w:val="20"/>
                <w:szCs w:val="20"/>
                <w:color w:val="auto"/>
              </w:rPr>
            </w:pPr>
            <w:r>
              <w:rPr>
                <w:rFonts w:ascii="Arial" w:cs="Arial" w:eastAsia="Arial" w:hAnsi="Arial"/>
                <w:sz w:val="16"/>
                <w:szCs w:val="16"/>
                <w:color w:val="auto"/>
              </w:rPr>
              <w:t>15</w:t>
            </w:r>
          </w:p>
        </w:tc>
        <w:tc>
          <w:tcPr>
            <w:tcW w:w="8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309</w:t>
            </w:r>
          </w:p>
        </w:tc>
      </w:tr>
      <w:tr>
        <w:trPr>
          <w:trHeight w:val="213"/>
        </w:trPr>
        <w:tc>
          <w:tcPr>
            <w:tcW w:w="5660" w:type="dxa"/>
            <w:vAlign w:val="bottom"/>
          </w:tcPr>
          <w:p>
            <w:pPr>
              <w:spacing w:after="0"/>
              <w:rPr>
                <w:sz w:val="20"/>
                <w:szCs w:val="20"/>
                <w:color w:val="auto"/>
              </w:rPr>
            </w:pPr>
            <w:r>
              <w:rPr>
                <w:rFonts w:ascii="Arial" w:cs="Arial" w:eastAsia="Arial" w:hAnsi="Arial"/>
                <w:sz w:val="16"/>
                <w:szCs w:val="16"/>
                <w:color w:val="auto"/>
              </w:rPr>
              <w:t>Preferred stock dividends declared</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20" w:type="dxa"/>
            <w:vAlign w:val="bottom"/>
          </w:tcPr>
          <w:p>
            <w:pPr>
              <w:jc w:val="right"/>
              <w:ind w:right="142"/>
              <w:spacing w:after="0"/>
              <w:rPr>
                <w:sz w:val="20"/>
                <w:szCs w:val="20"/>
                <w:color w:val="auto"/>
              </w:rPr>
            </w:pPr>
            <w:r>
              <w:rPr>
                <w:rFonts w:ascii="Arial" w:cs="Arial" w:eastAsia="Arial" w:hAnsi="Arial"/>
                <w:sz w:val="16"/>
                <w:szCs w:val="16"/>
                <w:color w:val="auto"/>
              </w:rPr>
              <w:t>(4)</w:t>
            </w:r>
          </w:p>
        </w:tc>
        <w:tc>
          <w:tcPr>
            <w:tcW w:w="440" w:type="dxa"/>
            <w:vAlign w:val="bottom"/>
          </w:tcPr>
          <w:p>
            <w:pPr>
              <w:spacing w:after="0"/>
              <w:rPr>
                <w:sz w:val="18"/>
                <w:szCs w:val="18"/>
                <w:color w:val="auto"/>
              </w:rPr>
            </w:pPr>
          </w:p>
        </w:tc>
        <w:tc>
          <w:tcPr>
            <w:tcW w:w="1340" w:type="dxa"/>
            <w:vAlign w:val="bottom"/>
          </w:tcPr>
          <w:p>
            <w:pPr>
              <w:ind w:left="100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3"/>
        </w:trPr>
        <w:tc>
          <w:tcPr>
            <w:tcW w:w="5660" w:type="dxa"/>
            <w:vAlign w:val="bottom"/>
          </w:tcPr>
          <w:p>
            <w:pPr>
              <w:spacing w:after="0"/>
              <w:rPr>
                <w:sz w:val="20"/>
                <w:szCs w:val="20"/>
                <w:color w:val="auto"/>
              </w:rPr>
            </w:pPr>
            <w:r>
              <w:rPr>
                <w:rFonts w:ascii="Arial" w:cs="Arial" w:eastAsia="Arial" w:hAnsi="Arial"/>
                <w:sz w:val="16"/>
                <w:szCs w:val="16"/>
                <w:color w:val="auto"/>
              </w:rPr>
              <w:t>Distributions to noncontrolling interest</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20" w:type="dxa"/>
            <w:vAlign w:val="bottom"/>
          </w:tcPr>
          <w:p>
            <w:pPr>
              <w:jc w:val="right"/>
              <w:ind w:right="282"/>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340" w:type="dxa"/>
            <w:vAlign w:val="bottom"/>
          </w:tcPr>
          <w:p>
            <w:pPr>
              <w:ind w:left="1020"/>
              <w:spacing w:after="0"/>
              <w:rPr>
                <w:sz w:val="20"/>
                <w:szCs w:val="20"/>
                <w:color w:val="auto"/>
              </w:rPr>
            </w:pPr>
            <w:r>
              <w:rPr>
                <w:rFonts w:ascii="Arial" w:cs="Arial" w:eastAsia="Arial" w:hAnsi="Arial"/>
                <w:sz w:val="16"/>
                <w:szCs w:val="16"/>
                <w:color w:val="auto"/>
              </w:rPr>
              <w:t>(12)</w:t>
            </w:r>
          </w:p>
        </w:tc>
        <w:tc>
          <w:tcPr>
            <w:tcW w:w="8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04"/>
        </w:trPr>
        <w:tc>
          <w:tcPr>
            <w:tcW w:w="5660" w:type="dxa"/>
            <w:vAlign w:val="bottom"/>
          </w:tcPr>
          <w:p>
            <w:pPr>
              <w:spacing w:after="0"/>
              <w:rPr>
                <w:sz w:val="20"/>
                <w:szCs w:val="20"/>
                <w:color w:val="auto"/>
              </w:rPr>
            </w:pPr>
            <w:r>
              <w:rPr>
                <w:rFonts w:ascii="Arial" w:cs="Arial" w:eastAsia="Arial" w:hAnsi="Arial"/>
                <w:sz w:val="16"/>
                <w:szCs w:val="16"/>
                <w:color w:val="auto"/>
              </w:rPr>
              <w:t>Call premium on preferred stock</w:t>
            </w:r>
          </w:p>
        </w:tc>
        <w:tc>
          <w:tcPr>
            <w:tcW w:w="8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(3)</w:t>
            </w:r>
          </w:p>
        </w:tc>
        <w:tc>
          <w:tcPr>
            <w:tcW w:w="4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ind w:left="100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173"/>
        </w:trPr>
        <w:tc>
          <w:tcPr>
            <w:tcW w:w="5660" w:type="dxa"/>
            <w:vAlign w:val="bottom"/>
            <w:tcBorders>
              <w:bottom w:val="single" w:sz="8" w:color="auto"/>
            </w:tcBorders>
          </w:tcPr>
          <w:p>
            <w:pPr>
              <w:spacing w:after="0" w:line="166" w:lineRule="exact"/>
              <w:rPr>
                <w:sz w:val="20"/>
                <w:szCs w:val="20"/>
                <w:color w:val="auto"/>
              </w:rPr>
            </w:pPr>
            <w:r>
              <w:rPr>
                <w:rFonts w:ascii="Arial" w:cs="Arial" w:eastAsia="Arial" w:hAnsi="Arial"/>
                <w:sz w:val="16"/>
                <w:szCs w:val="16"/>
                <w:color w:val="auto"/>
              </w:rPr>
              <w:t>Balance at September 30, 2013</w:t>
            </w: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40"/>
              <w:spacing w:after="0" w:line="166" w:lineRule="exact"/>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ind w:right="142"/>
              <w:spacing w:after="0" w:line="166" w:lineRule="exact"/>
              <w:rPr>
                <w:sz w:val="20"/>
                <w:szCs w:val="20"/>
                <w:color w:val="auto"/>
              </w:rPr>
            </w:pPr>
            <w:r>
              <w:rPr>
                <w:rFonts w:ascii="Arial" w:cs="Arial" w:eastAsia="Arial" w:hAnsi="Arial"/>
                <w:sz w:val="16"/>
                <w:szCs w:val="16"/>
                <w:color w:val="auto"/>
              </w:rPr>
              <w:t>4,509</w:t>
            </w:r>
          </w:p>
        </w:tc>
        <w:tc>
          <w:tcPr>
            <w:tcW w:w="440" w:type="dxa"/>
            <w:vAlign w:val="bottom"/>
            <w:tcBorders>
              <w:bottom w:val="single" w:sz="8" w:color="auto"/>
            </w:tcBorders>
          </w:tcPr>
          <w:p>
            <w:pPr>
              <w:jc w:val="right"/>
              <w:ind w:right="160"/>
              <w:spacing w:after="0" w:line="166" w:lineRule="exact"/>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ind w:left="1120"/>
              <w:spacing w:after="0" w:line="166" w:lineRule="exact"/>
              <w:rPr>
                <w:sz w:val="20"/>
                <w:szCs w:val="20"/>
                <w:color w:val="auto"/>
              </w:rPr>
            </w:pPr>
            <w:r>
              <w:rPr>
                <w:rFonts w:ascii="Arial" w:cs="Arial" w:eastAsia="Arial" w:hAnsi="Arial"/>
                <w:sz w:val="16"/>
                <w:szCs w:val="16"/>
                <w:color w:val="auto"/>
              </w:rPr>
              <w:t>79</w:t>
            </w:r>
          </w:p>
        </w:tc>
        <w:tc>
          <w:tcPr>
            <w:tcW w:w="840" w:type="dxa"/>
            <w:vAlign w:val="bottom"/>
            <w:tcBorders>
              <w:bottom w:val="single" w:sz="8" w:color="auto"/>
            </w:tcBorders>
          </w:tcPr>
          <w:p>
            <w:pPr>
              <w:jc w:val="right"/>
              <w:ind w:right="402"/>
              <w:spacing w:after="0" w:line="166"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4,588</w:t>
            </w:r>
          </w:p>
        </w:tc>
      </w:tr>
      <w:tr>
        <w:trPr>
          <w:trHeight w:val="478"/>
        </w:trPr>
        <w:tc>
          <w:tcPr>
            <w:tcW w:w="5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157"/>
        </w:trPr>
        <w:tc>
          <w:tcPr>
            <w:tcW w:w="5660" w:type="dxa"/>
            <w:vAlign w:val="bottom"/>
            <w:shd w:val="clear" w:color="auto" w:fill="C0C0C0"/>
          </w:tcPr>
          <w:p>
            <w:pPr>
              <w:spacing w:after="0" w:line="157" w:lineRule="exact"/>
              <w:rPr>
                <w:sz w:val="20"/>
                <w:szCs w:val="20"/>
                <w:color w:val="auto"/>
              </w:rPr>
            </w:pPr>
            <w:r>
              <w:rPr>
                <w:rFonts w:ascii="Arial" w:cs="Arial" w:eastAsia="Arial" w:hAnsi="Arial"/>
                <w:sz w:val="16"/>
                <w:szCs w:val="16"/>
                <w:b w:val="1"/>
                <w:bCs w:val="1"/>
                <w:color w:val="auto"/>
              </w:rPr>
              <w:t>SHAREHOLDERS' EQUITY ― SOCALGAS</w:t>
            </w:r>
          </w:p>
        </w:tc>
        <w:tc>
          <w:tcPr>
            <w:tcW w:w="80" w:type="dxa"/>
            <w:vAlign w:val="bottom"/>
            <w:shd w:val="clear" w:color="auto" w:fill="C0C0C0"/>
          </w:tcPr>
          <w:p>
            <w:pPr>
              <w:spacing w:after="0"/>
              <w:rPr>
                <w:sz w:val="13"/>
                <w:szCs w:val="13"/>
                <w:color w:val="auto"/>
              </w:rPr>
            </w:pPr>
          </w:p>
        </w:tc>
        <w:tc>
          <w:tcPr>
            <w:tcW w:w="520" w:type="dxa"/>
            <w:vAlign w:val="bottom"/>
            <w:shd w:val="clear" w:color="auto" w:fill="C0C0C0"/>
          </w:tcPr>
          <w:p>
            <w:pPr>
              <w:spacing w:after="0"/>
              <w:rPr>
                <w:sz w:val="13"/>
                <w:szCs w:val="13"/>
                <w:color w:val="auto"/>
              </w:rPr>
            </w:pPr>
          </w:p>
        </w:tc>
        <w:tc>
          <w:tcPr>
            <w:tcW w:w="1620" w:type="dxa"/>
            <w:vAlign w:val="bottom"/>
            <w:shd w:val="clear" w:color="auto" w:fill="C0C0C0"/>
          </w:tcPr>
          <w:p>
            <w:pPr>
              <w:spacing w:after="0"/>
              <w:rPr>
                <w:sz w:val="13"/>
                <w:szCs w:val="13"/>
                <w:color w:val="auto"/>
              </w:rPr>
            </w:pPr>
          </w:p>
        </w:tc>
        <w:tc>
          <w:tcPr>
            <w:tcW w:w="440" w:type="dxa"/>
            <w:vAlign w:val="bottom"/>
            <w:shd w:val="clear" w:color="auto" w:fill="C0C0C0"/>
          </w:tcPr>
          <w:p>
            <w:pPr>
              <w:spacing w:after="0"/>
              <w:rPr>
                <w:sz w:val="13"/>
                <w:szCs w:val="13"/>
                <w:color w:val="auto"/>
              </w:rPr>
            </w:pPr>
          </w:p>
        </w:tc>
        <w:tc>
          <w:tcPr>
            <w:tcW w:w="1340" w:type="dxa"/>
            <w:vAlign w:val="bottom"/>
            <w:shd w:val="clear" w:color="auto" w:fill="C0C0C0"/>
          </w:tcPr>
          <w:p>
            <w:pPr>
              <w:spacing w:after="0"/>
              <w:rPr>
                <w:sz w:val="13"/>
                <w:szCs w:val="13"/>
                <w:color w:val="auto"/>
              </w:rPr>
            </w:pPr>
          </w:p>
        </w:tc>
        <w:tc>
          <w:tcPr>
            <w:tcW w:w="840" w:type="dxa"/>
            <w:vAlign w:val="bottom"/>
            <w:shd w:val="clear" w:color="auto" w:fill="C0C0C0"/>
          </w:tcPr>
          <w:p>
            <w:pPr>
              <w:spacing w:after="0"/>
              <w:rPr>
                <w:sz w:val="13"/>
                <w:szCs w:val="13"/>
                <w:color w:val="auto"/>
              </w:rPr>
            </w:pPr>
          </w:p>
        </w:tc>
        <w:tc>
          <w:tcPr>
            <w:tcW w:w="920" w:type="dxa"/>
            <w:vAlign w:val="bottom"/>
            <w:shd w:val="clear" w:color="auto" w:fill="C0C0C0"/>
          </w:tcPr>
          <w:p>
            <w:pPr>
              <w:spacing w:after="0"/>
              <w:rPr>
                <w:sz w:val="13"/>
                <w:szCs w:val="13"/>
                <w:color w:val="auto"/>
              </w:rPr>
            </w:pPr>
          </w:p>
        </w:tc>
      </w:tr>
      <w:tr>
        <w:trPr>
          <w:trHeight w:val="169"/>
        </w:trPr>
        <w:tc>
          <w:tcPr>
            <w:tcW w:w="5660" w:type="dxa"/>
            <w:vAlign w:val="bottom"/>
            <w:shd w:val="clear" w:color="auto" w:fill="C0C0C0"/>
          </w:tcPr>
          <w:p>
            <w:pPr>
              <w:spacing w:after="0"/>
              <w:rPr>
                <w:sz w:val="20"/>
                <w:szCs w:val="20"/>
                <w:color w:val="auto"/>
              </w:rPr>
            </w:pPr>
            <w:r>
              <w:rPr>
                <w:rFonts w:ascii="Arial" w:cs="Arial" w:eastAsia="Arial" w:hAnsi="Arial"/>
                <w:sz w:val="14"/>
                <w:szCs w:val="14"/>
                <w:i w:val="1"/>
                <w:iCs w:val="1"/>
                <w:color w:val="auto"/>
              </w:rPr>
              <w:t>(Dollars in millions)</w:t>
            </w:r>
          </w:p>
        </w:tc>
        <w:tc>
          <w:tcPr>
            <w:tcW w:w="80" w:type="dxa"/>
            <w:vAlign w:val="bottom"/>
            <w:shd w:val="clear" w:color="auto" w:fill="C0C0C0"/>
          </w:tcPr>
          <w:p>
            <w:pPr>
              <w:spacing w:after="0"/>
              <w:rPr>
                <w:sz w:val="14"/>
                <w:szCs w:val="14"/>
                <w:color w:val="auto"/>
              </w:rPr>
            </w:pPr>
          </w:p>
        </w:tc>
        <w:tc>
          <w:tcPr>
            <w:tcW w:w="520" w:type="dxa"/>
            <w:vAlign w:val="bottom"/>
            <w:shd w:val="clear" w:color="auto" w:fill="C0C0C0"/>
          </w:tcPr>
          <w:p>
            <w:pPr>
              <w:spacing w:after="0"/>
              <w:rPr>
                <w:sz w:val="14"/>
                <w:szCs w:val="14"/>
                <w:color w:val="auto"/>
              </w:rPr>
            </w:pPr>
          </w:p>
        </w:tc>
        <w:tc>
          <w:tcPr>
            <w:tcW w:w="1620" w:type="dxa"/>
            <w:vAlign w:val="bottom"/>
            <w:shd w:val="clear" w:color="auto" w:fill="C0C0C0"/>
          </w:tcPr>
          <w:p>
            <w:pPr>
              <w:spacing w:after="0"/>
              <w:rPr>
                <w:sz w:val="14"/>
                <w:szCs w:val="14"/>
                <w:color w:val="auto"/>
              </w:rPr>
            </w:pPr>
          </w:p>
        </w:tc>
        <w:tc>
          <w:tcPr>
            <w:tcW w:w="440" w:type="dxa"/>
            <w:vAlign w:val="bottom"/>
            <w:shd w:val="clear" w:color="auto" w:fill="C0C0C0"/>
          </w:tcPr>
          <w:p>
            <w:pPr>
              <w:spacing w:after="0"/>
              <w:rPr>
                <w:sz w:val="14"/>
                <w:szCs w:val="14"/>
                <w:color w:val="auto"/>
              </w:rPr>
            </w:pPr>
          </w:p>
        </w:tc>
        <w:tc>
          <w:tcPr>
            <w:tcW w:w="1340" w:type="dxa"/>
            <w:vAlign w:val="bottom"/>
            <w:shd w:val="clear" w:color="auto" w:fill="C0C0C0"/>
          </w:tcPr>
          <w:p>
            <w:pPr>
              <w:spacing w:after="0"/>
              <w:rPr>
                <w:sz w:val="14"/>
                <w:szCs w:val="14"/>
                <w:color w:val="auto"/>
              </w:rPr>
            </w:pPr>
          </w:p>
        </w:tc>
        <w:tc>
          <w:tcPr>
            <w:tcW w:w="840" w:type="dxa"/>
            <w:vAlign w:val="bottom"/>
            <w:shd w:val="clear" w:color="auto" w:fill="C0C0C0"/>
          </w:tcPr>
          <w:p>
            <w:pPr>
              <w:spacing w:after="0"/>
              <w:rPr>
                <w:sz w:val="14"/>
                <w:szCs w:val="14"/>
                <w:color w:val="auto"/>
              </w:rPr>
            </w:pPr>
          </w:p>
        </w:tc>
        <w:tc>
          <w:tcPr>
            <w:tcW w:w="920" w:type="dxa"/>
            <w:vAlign w:val="bottom"/>
            <w:shd w:val="clear" w:color="auto" w:fill="C0C0C0"/>
          </w:tcPr>
          <w:p>
            <w:pPr>
              <w:spacing w:after="0"/>
              <w:rPr>
                <w:sz w:val="14"/>
                <w:szCs w:val="14"/>
                <w:color w:val="auto"/>
              </w:rPr>
            </w:pPr>
          </w:p>
        </w:tc>
      </w:tr>
      <w:tr>
        <w:trPr>
          <w:trHeight w:val="228"/>
        </w:trPr>
        <w:tc>
          <w:tcPr>
            <w:tcW w:w="5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40" w:type="dxa"/>
            <w:vAlign w:val="bottom"/>
          </w:tcPr>
          <w:p>
            <w:pPr>
              <w:jc w:val="center"/>
              <w:ind w:right="42"/>
              <w:spacing w:after="0"/>
              <w:rPr>
                <w:sz w:val="20"/>
                <w:szCs w:val="20"/>
                <w:color w:val="auto"/>
              </w:rPr>
            </w:pPr>
            <w:r>
              <w:rPr>
                <w:rFonts w:ascii="Arial" w:cs="Arial" w:eastAsia="Arial" w:hAnsi="Arial"/>
                <w:sz w:val="14"/>
                <w:szCs w:val="14"/>
                <w:color w:val="auto"/>
              </w:rPr>
              <w:t>SoCalGas</w:t>
            </w:r>
          </w:p>
        </w:tc>
        <w:tc>
          <w:tcPr>
            <w:tcW w:w="920" w:type="dxa"/>
            <w:vAlign w:val="bottom"/>
          </w:tcPr>
          <w:p>
            <w:pPr>
              <w:spacing w:after="0"/>
              <w:rPr>
                <w:sz w:val="19"/>
                <w:szCs w:val="19"/>
                <w:color w:val="auto"/>
              </w:rPr>
            </w:pPr>
          </w:p>
        </w:tc>
      </w:tr>
      <w:tr>
        <w:trPr>
          <w:trHeight w:val="213"/>
        </w:trPr>
        <w:tc>
          <w:tcPr>
            <w:tcW w:w="5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80" w:type="dxa"/>
            <w:vAlign w:val="bottom"/>
            <w:gridSpan w:val="2"/>
          </w:tcPr>
          <w:p>
            <w:pPr>
              <w:jc w:val="center"/>
              <w:ind w:left="1142"/>
              <w:spacing w:after="0"/>
              <w:rPr>
                <w:sz w:val="20"/>
                <w:szCs w:val="20"/>
                <w:color w:val="auto"/>
              </w:rPr>
            </w:pPr>
            <w:r>
              <w:rPr>
                <w:rFonts w:ascii="Arial" w:cs="Arial" w:eastAsia="Arial" w:hAnsi="Arial"/>
                <w:sz w:val="14"/>
                <w:szCs w:val="14"/>
                <w:color w:val="auto"/>
              </w:rPr>
              <w:t>Shareholders'</w:t>
            </w:r>
          </w:p>
        </w:tc>
        <w:tc>
          <w:tcPr>
            <w:tcW w:w="920" w:type="dxa"/>
            <w:vAlign w:val="bottom"/>
          </w:tcPr>
          <w:p>
            <w:pPr>
              <w:spacing w:after="0"/>
              <w:rPr>
                <w:sz w:val="18"/>
                <w:szCs w:val="18"/>
                <w:color w:val="auto"/>
              </w:rPr>
            </w:pPr>
          </w:p>
        </w:tc>
      </w:tr>
      <w:tr>
        <w:trPr>
          <w:trHeight w:val="197"/>
        </w:trPr>
        <w:tc>
          <w:tcPr>
            <w:tcW w:w="56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color w:val="auto"/>
              </w:rPr>
              <w:t>Equity</w:t>
            </w:r>
          </w:p>
        </w:tc>
        <w:tc>
          <w:tcPr>
            <w:tcW w:w="920" w:type="dxa"/>
            <w:vAlign w:val="bottom"/>
            <w:tcBorders>
              <w:bottom w:val="single" w:sz="8" w:color="auto"/>
            </w:tcBorders>
          </w:tcPr>
          <w:p>
            <w:pPr>
              <w:spacing w:after="0"/>
              <w:rPr>
                <w:sz w:val="17"/>
                <w:szCs w:val="17"/>
                <w:color w:val="auto"/>
              </w:rPr>
            </w:pPr>
          </w:p>
        </w:tc>
      </w:tr>
      <w:tr>
        <w:trPr>
          <w:trHeight w:val="186"/>
        </w:trPr>
        <w:tc>
          <w:tcPr>
            <w:tcW w:w="5660" w:type="dxa"/>
            <w:vAlign w:val="bottom"/>
          </w:tcPr>
          <w:p>
            <w:pPr>
              <w:spacing w:after="0"/>
              <w:rPr>
                <w:sz w:val="20"/>
                <w:szCs w:val="20"/>
                <w:color w:val="auto"/>
              </w:rPr>
            </w:pPr>
            <w:r>
              <w:rPr>
                <w:rFonts w:ascii="Arial" w:cs="Arial" w:eastAsia="Arial" w:hAnsi="Arial"/>
                <w:sz w:val="16"/>
                <w:szCs w:val="16"/>
                <w:color w:val="auto"/>
              </w:rPr>
              <w:t>Balance at December 31, 2013</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tcPr>
          <w:p>
            <w:pPr>
              <w:ind w:left="20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2,549</w:t>
            </w:r>
          </w:p>
        </w:tc>
      </w:tr>
      <w:tr>
        <w:trPr>
          <w:trHeight w:val="201"/>
        </w:trPr>
        <w:tc>
          <w:tcPr>
            <w:tcW w:w="5660" w:type="dxa"/>
            <w:vAlign w:val="bottom"/>
          </w:tcPr>
          <w:p>
            <w:pPr>
              <w:spacing w:after="0"/>
              <w:rPr>
                <w:sz w:val="20"/>
                <w:szCs w:val="20"/>
                <w:color w:val="auto"/>
              </w:rPr>
            </w:pPr>
            <w:r>
              <w:rPr>
                <w:rFonts w:ascii="Arial" w:cs="Arial" w:eastAsia="Arial" w:hAnsi="Arial"/>
                <w:sz w:val="16"/>
                <w:szCs w:val="16"/>
                <w:color w:val="auto"/>
              </w:rPr>
              <w:t>Comprehensive income</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259</w:t>
            </w:r>
          </w:p>
        </w:tc>
      </w:tr>
      <w:tr>
        <w:trPr>
          <w:trHeight w:val="204"/>
        </w:trPr>
        <w:tc>
          <w:tcPr>
            <w:tcW w:w="5660" w:type="dxa"/>
            <w:vAlign w:val="bottom"/>
          </w:tcPr>
          <w:p>
            <w:pPr>
              <w:spacing w:after="0"/>
              <w:rPr>
                <w:sz w:val="20"/>
                <w:szCs w:val="20"/>
                <w:color w:val="auto"/>
              </w:rPr>
            </w:pPr>
            <w:r>
              <w:rPr>
                <w:rFonts w:ascii="Arial" w:cs="Arial" w:eastAsia="Arial" w:hAnsi="Arial"/>
                <w:sz w:val="16"/>
                <w:szCs w:val="16"/>
                <w:color w:val="auto"/>
              </w:rPr>
              <w:t>Preferred stock dividends declared</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173"/>
        </w:trPr>
        <w:tc>
          <w:tcPr>
            <w:tcW w:w="5660" w:type="dxa"/>
            <w:vAlign w:val="bottom"/>
            <w:tcBorders>
              <w:bottom w:val="single" w:sz="8" w:color="auto"/>
            </w:tcBorders>
          </w:tcPr>
          <w:p>
            <w:pPr>
              <w:spacing w:after="0" w:line="166" w:lineRule="exact"/>
              <w:rPr>
                <w:sz w:val="20"/>
                <w:szCs w:val="20"/>
                <w:color w:val="auto"/>
              </w:rPr>
            </w:pPr>
            <w:r>
              <w:rPr>
                <w:rFonts w:ascii="Arial" w:cs="Arial" w:eastAsia="Arial" w:hAnsi="Arial"/>
                <w:sz w:val="16"/>
                <w:szCs w:val="16"/>
                <w:color w:val="auto"/>
              </w:rPr>
              <w:t>Balance at September 30, 2014</w:t>
            </w: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ind w:left="200"/>
              <w:spacing w:after="0" w:line="166"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2,807</w:t>
            </w:r>
          </w:p>
        </w:tc>
      </w:tr>
      <w:tr>
        <w:trPr>
          <w:trHeight w:val="192"/>
        </w:trPr>
        <w:tc>
          <w:tcPr>
            <w:tcW w:w="5660" w:type="dxa"/>
            <w:vAlign w:val="bottom"/>
          </w:tcPr>
          <w:p>
            <w:pPr>
              <w:spacing w:after="0"/>
              <w:rPr>
                <w:sz w:val="20"/>
                <w:szCs w:val="20"/>
                <w:color w:val="auto"/>
              </w:rPr>
            </w:pPr>
            <w:r>
              <w:rPr>
                <w:rFonts w:ascii="Arial" w:cs="Arial" w:eastAsia="Arial" w:hAnsi="Arial"/>
                <w:sz w:val="16"/>
                <w:szCs w:val="16"/>
                <w:color w:val="auto"/>
              </w:rPr>
              <w:t>Balance at December 31, 2012</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tcPr>
          <w:p>
            <w:pPr>
              <w:ind w:left="20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2,235</w:t>
            </w:r>
          </w:p>
        </w:tc>
      </w:tr>
      <w:tr>
        <w:trPr>
          <w:trHeight w:val="201"/>
        </w:trPr>
        <w:tc>
          <w:tcPr>
            <w:tcW w:w="5660" w:type="dxa"/>
            <w:vAlign w:val="bottom"/>
          </w:tcPr>
          <w:p>
            <w:pPr>
              <w:spacing w:after="0"/>
              <w:rPr>
                <w:sz w:val="20"/>
                <w:szCs w:val="20"/>
                <w:color w:val="auto"/>
              </w:rPr>
            </w:pPr>
            <w:r>
              <w:rPr>
                <w:rFonts w:ascii="Arial" w:cs="Arial" w:eastAsia="Arial" w:hAnsi="Arial"/>
                <w:sz w:val="16"/>
                <w:szCs w:val="16"/>
                <w:color w:val="auto"/>
              </w:rPr>
              <w:t>Comprehensive income</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268</w:t>
            </w:r>
          </w:p>
        </w:tc>
      </w:tr>
      <w:tr>
        <w:trPr>
          <w:trHeight w:val="213"/>
        </w:trPr>
        <w:tc>
          <w:tcPr>
            <w:tcW w:w="5660" w:type="dxa"/>
            <w:vAlign w:val="bottom"/>
          </w:tcPr>
          <w:p>
            <w:pPr>
              <w:spacing w:after="0"/>
              <w:rPr>
                <w:sz w:val="20"/>
                <w:szCs w:val="20"/>
                <w:color w:val="auto"/>
              </w:rPr>
            </w:pPr>
            <w:r>
              <w:rPr>
                <w:rFonts w:ascii="Arial" w:cs="Arial" w:eastAsia="Arial" w:hAnsi="Arial"/>
                <w:sz w:val="16"/>
                <w:szCs w:val="16"/>
                <w:color w:val="auto"/>
              </w:rPr>
              <w:t>Preferred stock dividends declared</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04"/>
        </w:trPr>
        <w:tc>
          <w:tcPr>
            <w:tcW w:w="5660" w:type="dxa"/>
            <w:vAlign w:val="bottom"/>
          </w:tcPr>
          <w:p>
            <w:pPr>
              <w:spacing w:after="0"/>
              <w:rPr>
                <w:sz w:val="20"/>
                <w:szCs w:val="20"/>
                <w:color w:val="auto"/>
              </w:rPr>
            </w:pPr>
            <w:r>
              <w:rPr>
                <w:rFonts w:ascii="Arial" w:cs="Arial" w:eastAsia="Arial" w:hAnsi="Arial"/>
                <w:sz w:val="16"/>
                <w:szCs w:val="16"/>
                <w:color w:val="auto"/>
              </w:rPr>
              <w:t>Common stock dividends declared</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r>
      <w:tr>
        <w:trPr>
          <w:trHeight w:val="173"/>
        </w:trPr>
        <w:tc>
          <w:tcPr>
            <w:tcW w:w="5660" w:type="dxa"/>
            <w:vAlign w:val="bottom"/>
            <w:tcBorders>
              <w:bottom w:val="single" w:sz="8" w:color="auto"/>
            </w:tcBorders>
          </w:tcPr>
          <w:p>
            <w:pPr>
              <w:spacing w:after="0" w:line="166" w:lineRule="exact"/>
              <w:rPr>
                <w:sz w:val="20"/>
                <w:szCs w:val="20"/>
                <w:color w:val="auto"/>
              </w:rPr>
            </w:pPr>
            <w:r>
              <w:rPr>
                <w:rFonts w:ascii="Arial" w:cs="Arial" w:eastAsia="Arial" w:hAnsi="Arial"/>
                <w:sz w:val="16"/>
                <w:szCs w:val="16"/>
                <w:color w:val="auto"/>
              </w:rPr>
              <w:t>Balance at September 30, 2013</w:t>
            </w: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ind w:left="200"/>
              <w:spacing w:after="0" w:line="166"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2,452</w:t>
            </w:r>
          </w:p>
        </w:tc>
      </w:tr>
    </w:tbl>
    <w:p>
      <w:pPr>
        <w:spacing w:after="0" w:line="22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Ownership interests that are held by owners other than Sempra Energy and SDG&amp;E in subsidiaries or entities consolidated by them are accounted for and reported as noncontrolling interests. As a result, noncontrolling interests are reported as a separate component of equity on the Condensed Consolidated Balance Sheets. Earnings or losses attributable to noncontrolling interests are separately identified on the Condensed Consolidated Statements of Operations, and comprehensive income or loss attributable to noncontrolling interests is separately identified on the Condensed Consolidated Statements of Comprehensive Income.</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Sale of Noncontrolling Interests</w:t>
      </w:r>
    </w:p>
    <w:p>
      <w:pPr>
        <w:spacing w:after="0" w:line="21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the first quarter of 2013, a Sempra Energy subsidiary IEnova, completed a private offering in the U.S. and outside of Mexico and a concurrent public offering in Mexico of common stock. The aggregate shares of common stock sold in the offerings represent approximately 18.9 percent of IEnova’s outstanding ownership interest. IEnova is reported within the Sempra Mexico reportable segment.</w:t>
      </w:r>
    </w:p>
    <w:p>
      <w:pPr>
        <w:spacing w:after="0" w:line="188" w:lineRule="exact"/>
        <w:rPr>
          <w:sz w:val="20"/>
          <w:szCs w:val="20"/>
          <w:color w:val="auto"/>
        </w:rPr>
      </w:pPr>
    </w:p>
    <w:p>
      <w:pPr>
        <w:ind w:right="240"/>
        <w:spacing w:after="0" w:line="303" w:lineRule="auto"/>
        <w:rPr>
          <w:sz w:val="20"/>
          <w:szCs w:val="20"/>
          <w:color w:val="auto"/>
        </w:rPr>
      </w:pPr>
      <w:r>
        <w:rPr>
          <w:rFonts w:ascii="Arial" w:cs="Arial" w:eastAsia="Arial" w:hAnsi="Arial"/>
          <w:sz w:val="16"/>
          <w:szCs w:val="16"/>
          <w:color w:val="auto"/>
        </w:rPr>
        <w:t>The proceeds from the offerings, net of offering costs, were approximately $574 million in U.S. dollar equivalent. IEnova has used the net proceeds of the offerings primarily for general corporate purposes, and for the funding of its investments and ongoing expansion plans. Consistent with applicable accounting guidance, changes in noncontrolling interests that do not result in a change of control are accounted for as equity transactions. When there are changes in</w:t>
      </w:r>
    </w:p>
    <w:p>
      <w:pPr>
        <w:sectPr>
          <w:pgSz w:w="11900" w:h="16892" w:orient="portrait"/>
          <w:cols w:equalWidth="0" w:num="1">
            <w:col w:w="11420"/>
          </w:cols>
          <w:pgMar w:left="240" w:top="110" w:right="239" w:bottom="0" w:gutter="0" w:footer="0" w:header="0"/>
        </w:sectPr>
      </w:pPr>
    </w:p>
    <w:bookmarkStart w:id="25" w:name="page26"/>
    <w:bookmarkEnd w:id="25"/>
    <w:p>
      <w:pPr>
        <w:spacing w:after="0" w:line="28" w:lineRule="exact"/>
        <w:rPr>
          <w:sz w:val="20"/>
          <w:szCs w:val="20"/>
          <w:color w:val="auto"/>
        </w:rPr>
      </w:pPr>
    </w:p>
    <w:p>
      <w:pPr>
        <w:ind w:right="300"/>
        <w:spacing w:after="0" w:line="278" w:lineRule="auto"/>
        <w:rPr>
          <w:sz w:val="20"/>
          <w:szCs w:val="20"/>
          <w:color w:val="auto"/>
        </w:rPr>
      </w:pPr>
      <w:r>
        <w:rPr>
          <w:rFonts w:ascii="Arial" w:cs="Arial" w:eastAsia="Arial" w:hAnsi="Arial"/>
          <w:sz w:val="17"/>
          <w:szCs w:val="17"/>
          <w:color w:val="auto"/>
        </w:rPr>
        <w:t>noncontrolling interests of a subsidiary that do not result in a change of control, any difference between carrying value and fair value related to the change in ownership is recorded as an adjustment to shareholders’ equity. As a result of the offerings and overallotment options, we recorded an increase in Sempra Energy’s shareholders’ equity of $135 million in the first quarter of 2013 for the sale of IEnova shares to noncontrolling interests.</w:t>
      </w:r>
    </w:p>
    <w:p>
      <w:pPr>
        <w:spacing w:after="0" w:line="171"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IEnova is a separate legal entity comprised primarily of Sempra Energy’s operations in Mexico. IEnova is included within our Sempra Mexico reportable segment, but is not the same in its entirety as the reportable segment. In addition to the IEnova operating companies, the Sempra Mexico segment includes, among other things, certain holding companies and risk management activity. Also, IEnova’s financial results are reported in Mexico under International Financial Reporting Standards (IFRS), as required by the Mexican Stock Exchange (La Bolsa Mexicana de Valores, S.A.B. de C.V., or BMV) where the shares are traded under the symbol IENOVA.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We discuss the IEnova offerings in more detail in Note 1 of the Notes to Consolidated Financial Statements in the Annual Report.</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Preferred Stock</w:t>
      </w:r>
    </w:p>
    <w:p>
      <w:pPr>
        <w:spacing w:after="0" w:line="21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preferred stock of SoCalGas is presented at Sempra Energy as a noncontrolling interest. In 2013, SDG&amp;E had preferred stock outstanding until it was fully redeemed in October 2013. At Sempra Energy, the preferred stock dividends of both SDG&amp;E and SoCalGas are charges against income related to noncontrolling interests. We provide additional information concerning preferred stock in Note 11 of the Notes to Consolidated Financial Statements in the Annual Report.</w:t>
      </w:r>
    </w:p>
    <w:p>
      <w:pPr>
        <w:spacing w:after="0" w:line="190" w:lineRule="exact"/>
        <w:rPr>
          <w:sz w:val="20"/>
          <w:szCs w:val="20"/>
          <w:color w:val="auto"/>
        </w:rPr>
      </w:pPr>
    </w:p>
    <w:p>
      <w:pPr>
        <w:ind w:right="820"/>
        <w:spacing w:after="0" w:line="329" w:lineRule="auto"/>
        <w:rPr>
          <w:sz w:val="20"/>
          <w:szCs w:val="20"/>
          <w:color w:val="auto"/>
        </w:rPr>
      </w:pPr>
      <w:r>
        <w:rPr>
          <w:rFonts w:ascii="Arial" w:cs="Arial" w:eastAsia="Arial" w:hAnsi="Arial"/>
          <w:sz w:val="16"/>
          <w:szCs w:val="16"/>
          <w:color w:val="auto"/>
        </w:rPr>
        <w:t>At September 30, 2014 and December 31, 2013, we reported the following noncontrolling ownership interests held by others (not including preferred shareholders) recorded in Other Noncontrolling Interests in Total Equity on Sempra Energy’s Condensed Consolidated Balance Sheets:</w:t>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-104775</wp:posOffset>
            </wp:positionV>
            <wp:extent cx="7248525" cy="2533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8525" cy="25336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0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2700" w:type="dxa"/>
            <w:vAlign w:val="bottom"/>
            <w:vMerge w:val="restart"/>
          </w:tcPr>
          <w:p>
            <w:pPr>
              <w:jc w:val="center"/>
              <w:ind w:left="183"/>
              <w:spacing w:after="0"/>
              <w:rPr>
                <w:sz w:val="20"/>
                <w:szCs w:val="20"/>
                <w:color w:val="auto"/>
              </w:rPr>
            </w:pPr>
            <w:r>
              <w:rPr>
                <w:rFonts w:ascii="Arial" w:cs="Arial" w:eastAsia="Arial" w:hAnsi="Arial"/>
                <w:sz w:val="14"/>
                <w:szCs w:val="14"/>
                <w:color w:val="auto"/>
                <w:w w:val="99"/>
              </w:rPr>
              <w:t>Percent</w:t>
            </w:r>
          </w:p>
        </w:tc>
        <w:tc>
          <w:tcPr>
            <w:tcW w:w="6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270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800" w:type="dxa"/>
            <w:vAlign w:val="bottom"/>
          </w:tcPr>
          <w:p>
            <w:pPr>
              <w:spacing w:after="0"/>
              <w:rPr>
                <w:sz w:val="13"/>
                <w:szCs w:val="13"/>
                <w:color w:val="auto"/>
              </w:rPr>
            </w:pPr>
          </w:p>
        </w:tc>
        <w:tc>
          <w:tcPr>
            <w:tcW w:w="2700" w:type="dxa"/>
            <w:vAlign w:val="bottom"/>
          </w:tcPr>
          <w:p>
            <w:pPr>
              <w:jc w:val="center"/>
              <w:ind w:left="183"/>
              <w:spacing w:after="0" w:line="159" w:lineRule="exact"/>
              <w:rPr>
                <w:sz w:val="20"/>
                <w:szCs w:val="20"/>
                <w:color w:val="auto"/>
              </w:rPr>
            </w:pPr>
            <w:r>
              <w:rPr>
                <w:rFonts w:ascii="Arial" w:cs="Arial" w:eastAsia="Arial" w:hAnsi="Arial"/>
                <w:sz w:val="14"/>
                <w:szCs w:val="14"/>
                <w:color w:val="auto"/>
              </w:rPr>
              <w:t>Ownership Held</w:t>
            </w:r>
          </w:p>
        </w:tc>
        <w:tc>
          <w:tcPr>
            <w:tcW w:w="6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80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tcPr>
          <w:p>
            <w:pPr>
              <w:jc w:val="center"/>
              <w:ind w:left="163"/>
              <w:spacing w:after="0" w:line="155" w:lineRule="exact"/>
              <w:rPr>
                <w:sz w:val="20"/>
                <w:szCs w:val="20"/>
                <w:color w:val="auto"/>
              </w:rPr>
            </w:pPr>
            <w:r>
              <w:rPr>
                <w:rFonts w:ascii="Arial" w:cs="Arial" w:eastAsia="Arial" w:hAnsi="Arial"/>
                <w:sz w:val="14"/>
                <w:szCs w:val="14"/>
                <w:color w:val="auto"/>
              </w:rPr>
              <w:t>by Others</w:t>
            </w:r>
          </w:p>
        </w:tc>
        <w:tc>
          <w:tcPr>
            <w:tcW w:w="60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tcPr>
          <w:p>
            <w:pPr>
              <w:jc w:val="right"/>
              <w:ind w:right="461"/>
              <w:spacing w:after="0" w:line="155" w:lineRule="exact"/>
              <w:rPr>
                <w:sz w:val="20"/>
                <w:szCs w:val="20"/>
                <w:color w:val="auto"/>
              </w:rPr>
            </w:pPr>
            <w:r>
              <w:rPr>
                <w:rFonts w:ascii="Arial" w:cs="Arial" w:eastAsia="Arial" w:hAnsi="Arial"/>
                <w:sz w:val="14"/>
                <w:szCs w:val="14"/>
                <w:color w:val="auto"/>
              </w:rPr>
              <w:t>September 30, 2014</w:t>
            </w:r>
          </w:p>
        </w:tc>
        <w:tc>
          <w:tcPr>
            <w:tcW w:w="46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jc w:val="right"/>
              <w:ind w:right="321"/>
              <w:spacing w:after="0" w:line="155" w:lineRule="exact"/>
              <w:rPr>
                <w:sz w:val="20"/>
                <w:szCs w:val="20"/>
                <w:color w:val="auto"/>
              </w:rPr>
            </w:pPr>
            <w:r>
              <w:rPr>
                <w:rFonts w:ascii="Arial" w:cs="Arial" w:eastAsia="Arial" w:hAnsi="Arial"/>
                <w:sz w:val="14"/>
                <w:szCs w:val="14"/>
                <w:color w:val="auto"/>
              </w:rPr>
              <w:t>December 31, 2013</w:t>
            </w:r>
          </w:p>
        </w:tc>
        <w:tc>
          <w:tcPr>
            <w:tcW w:w="0" w:type="dxa"/>
            <w:vAlign w:val="bottom"/>
          </w:tcPr>
          <w:p>
            <w:pPr>
              <w:spacing w:after="0"/>
              <w:rPr>
                <w:sz w:val="1"/>
                <w:szCs w:val="1"/>
                <w:color w:val="auto"/>
              </w:rPr>
            </w:pPr>
          </w:p>
        </w:tc>
      </w:tr>
      <w:tr>
        <w:trPr>
          <w:trHeight w:val="194"/>
        </w:trPr>
        <w:tc>
          <w:tcPr>
            <w:tcW w:w="380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2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800" w:type="dxa"/>
            <w:vAlign w:val="bottom"/>
          </w:tcPr>
          <w:p>
            <w:pPr>
              <w:ind w:left="140"/>
              <w:spacing w:after="0"/>
              <w:rPr>
                <w:sz w:val="20"/>
                <w:szCs w:val="20"/>
                <w:color w:val="auto"/>
              </w:rPr>
            </w:pPr>
            <w:r>
              <w:rPr>
                <w:rFonts w:ascii="Arial" w:cs="Arial" w:eastAsia="Arial" w:hAnsi="Arial"/>
                <w:sz w:val="16"/>
                <w:szCs w:val="16"/>
                <w:color w:val="auto"/>
              </w:rPr>
              <w:t>Otay Mesa VIE</w:t>
            </w:r>
          </w:p>
        </w:tc>
        <w:tc>
          <w:tcPr>
            <w:tcW w:w="2700" w:type="dxa"/>
            <w:vAlign w:val="bottom"/>
          </w:tcPr>
          <w:p>
            <w:pPr>
              <w:jc w:val="right"/>
              <w:ind w:right="223"/>
              <w:spacing w:after="0"/>
              <w:rPr>
                <w:sz w:val="20"/>
                <w:szCs w:val="20"/>
                <w:color w:val="auto"/>
              </w:rPr>
            </w:pPr>
            <w:r>
              <w:rPr>
                <w:rFonts w:ascii="Arial" w:cs="Arial" w:eastAsia="Arial" w:hAnsi="Arial"/>
                <w:sz w:val="16"/>
                <w:szCs w:val="16"/>
                <w:color w:val="auto"/>
              </w:rPr>
              <w:t>100%</w:t>
            </w:r>
          </w:p>
        </w:tc>
        <w:tc>
          <w:tcPr>
            <w:tcW w:w="6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020" w:type="dxa"/>
            <w:vAlign w:val="bottom"/>
          </w:tcPr>
          <w:p>
            <w:pPr>
              <w:jc w:val="right"/>
              <w:ind w:right="81"/>
              <w:spacing w:after="0"/>
              <w:rPr>
                <w:sz w:val="20"/>
                <w:szCs w:val="20"/>
                <w:color w:val="auto"/>
              </w:rPr>
            </w:pPr>
            <w:r>
              <w:rPr>
                <w:rFonts w:ascii="Arial" w:cs="Arial" w:eastAsia="Arial" w:hAnsi="Arial"/>
                <w:sz w:val="16"/>
                <w:szCs w:val="16"/>
                <w:color w:val="auto"/>
              </w:rPr>
              <w:t>77</w:t>
            </w:r>
          </w:p>
        </w:tc>
        <w:tc>
          <w:tcPr>
            <w:tcW w:w="46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840" w:type="dxa"/>
            <w:vAlign w:val="bottom"/>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13"/>
        </w:trPr>
        <w:tc>
          <w:tcPr>
            <w:tcW w:w="3800" w:type="dxa"/>
            <w:vAlign w:val="bottom"/>
          </w:tcPr>
          <w:p>
            <w:pPr>
              <w:spacing w:after="0"/>
              <w:rPr>
                <w:sz w:val="20"/>
                <w:szCs w:val="20"/>
                <w:color w:val="auto"/>
              </w:rPr>
            </w:pPr>
            <w:r>
              <w:rPr>
                <w:rFonts w:ascii="Arial" w:cs="Arial" w:eastAsia="Arial" w:hAnsi="Arial"/>
                <w:sz w:val="16"/>
                <w:szCs w:val="16"/>
                <w:b w:val="1"/>
                <w:bCs w:val="1"/>
                <w:color w:val="auto"/>
              </w:rPr>
              <w:t>Sempra South American Utilities:</w:t>
            </w:r>
          </w:p>
        </w:tc>
        <w:tc>
          <w:tcPr>
            <w:tcW w:w="2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00" w:type="dxa"/>
            <w:vAlign w:val="bottom"/>
          </w:tcPr>
          <w:p>
            <w:pPr>
              <w:ind w:left="140"/>
              <w:spacing w:after="0"/>
              <w:rPr>
                <w:sz w:val="20"/>
                <w:szCs w:val="20"/>
                <w:color w:val="auto"/>
              </w:rPr>
            </w:pPr>
            <w:r>
              <w:rPr>
                <w:rFonts w:ascii="Arial" w:cs="Arial" w:eastAsia="Arial" w:hAnsi="Arial"/>
                <w:sz w:val="16"/>
                <w:szCs w:val="16"/>
                <w:color w:val="auto"/>
              </w:rPr>
              <w:t>Chilquinta Energía subsidiaries(1)</w:t>
            </w:r>
          </w:p>
        </w:tc>
        <w:tc>
          <w:tcPr>
            <w:tcW w:w="2700" w:type="dxa"/>
            <w:vAlign w:val="bottom"/>
          </w:tcPr>
          <w:p>
            <w:pPr>
              <w:jc w:val="right"/>
              <w:ind w:right="363"/>
              <w:spacing w:after="0"/>
              <w:rPr>
                <w:sz w:val="20"/>
                <w:szCs w:val="20"/>
                <w:color w:val="auto"/>
              </w:rPr>
            </w:pPr>
            <w:r>
              <w:rPr>
                <w:rFonts w:ascii="Arial" w:cs="Arial" w:eastAsia="Arial" w:hAnsi="Arial"/>
                <w:sz w:val="16"/>
                <w:szCs w:val="16"/>
                <w:color w:val="auto"/>
              </w:rPr>
              <w:t>23.6 – 43.4</w:t>
            </w:r>
          </w:p>
        </w:tc>
        <w:tc>
          <w:tcPr>
            <w:tcW w:w="600" w:type="dxa"/>
            <w:vAlign w:val="bottom"/>
          </w:tcPr>
          <w:p>
            <w:pPr>
              <w:spacing w:after="0"/>
              <w:rPr>
                <w:sz w:val="18"/>
                <w:szCs w:val="18"/>
                <w:color w:val="auto"/>
              </w:rPr>
            </w:pPr>
          </w:p>
        </w:tc>
        <w:tc>
          <w:tcPr>
            <w:tcW w:w="2020" w:type="dxa"/>
            <w:vAlign w:val="bottom"/>
          </w:tcPr>
          <w:p>
            <w:pPr>
              <w:jc w:val="right"/>
              <w:ind w:right="81"/>
              <w:spacing w:after="0"/>
              <w:rPr>
                <w:sz w:val="20"/>
                <w:szCs w:val="20"/>
                <w:color w:val="auto"/>
              </w:rPr>
            </w:pPr>
            <w:r>
              <w:rPr>
                <w:rFonts w:ascii="Arial" w:cs="Arial" w:eastAsia="Arial" w:hAnsi="Arial"/>
                <w:sz w:val="16"/>
                <w:szCs w:val="16"/>
                <w:color w:val="auto"/>
              </w:rPr>
              <w:t>23</w:t>
            </w:r>
          </w:p>
        </w:tc>
        <w:tc>
          <w:tcPr>
            <w:tcW w:w="4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3"/>
        </w:trPr>
        <w:tc>
          <w:tcPr>
            <w:tcW w:w="3800" w:type="dxa"/>
            <w:vAlign w:val="bottom"/>
          </w:tcPr>
          <w:p>
            <w:pPr>
              <w:ind w:left="140"/>
              <w:spacing w:after="0"/>
              <w:rPr>
                <w:sz w:val="20"/>
                <w:szCs w:val="20"/>
                <w:color w:val="auto"/>
              </w:rPr>
            </w:pPr>
            <w:r>
              <w:rPr>
                <w:rFonts w:ascii="Arial" w:cs="Arial" w:eastAsia="Arial" w:hAnsi="Arial"/>
                <w:sz w:val="16"/>
                <w:szCs w:val="16"/>
                <w:color w:val="auto"/>
              </w:rPr>
              <w:t>Luz del Sur</w:t>
            </w:r>
          </w:p>
        </w:tc>
        <w:tc>
          <w:tcPr>
            <w:tcW w:w="2700" w:type="dxa"/>
            <w:vAlign w:val="bottom"/>
          </w:tcPr>
          <w:p>
            <w:pPr>
              <w:jc w:val="right"/>
              <w:ind w:right="363"/>
              <w:spacing w:after="0"/>
              <w:rPr>
                <w:sz w:val="20"/>
                <w:szCs w:val="20"/>
                <w:color w:val="auto"/>
              </w:rPr>
            </w:pPr>
            <w:r>
              <w:rPr>
                <w:rFonts w:ascii="Arial" w:cs="Arial" w:eastAsia="Arial" w:hAnsi="Arial"/>
                <w:sz w:val="16"/>
                <w:szCs w:val="16"/>
                <w:color w:val="auto"/>
              </w:rPr>
              <w:t>20.2</w:t>
            </w:r>
          </w:p>
        </w:tc>
        <w:tc>
          <w:tcPr>
            <w:tcW w:w="600" w:type="dxa"/>
            <w:vAlign w:val="bottom"/>
          </w:tcPr>
          <w:p>
            <w:pPr>
              <w:spacing w:after="0"/>
              <w:rPr>
                <w:sz w:val="18"/>
                <w:szCs w:val="18"/>
                <w:color w:val="auto"/>
              </w:rPr>
            </w:pPr>
          </w:p>
        </w:tc>
        <w:tc>
          <w:tcPr>
            <w:tcW w:w="2020" w:type="dxa"/>
            <w:vAlign w:val="bottom"/>
          </w:tcPr>
          <w:p>
            <w:pPr>
              <w:jc w:val="right"/>
              <w:ind w:right="81"/>
              <w:spacing w:after="0"/>
              <w:rPr>
                <w:sz w:val="20"/>
                <w:szCs w:val="20"/>
                <w:color w:val="auto"/>
              </w:rPr>
            </w:pPr>
            <w:r>
              <w:rPr>
                <w:rFonts w:ascii="Arial" w:cs="Arial" w:eastAsia="Arial" w:hAnsi="Arial"/>
                <w:sz w:val="16"/>
                <w:szCs w:val="16"/>
                <w:color w:val="auto"/>
              </w:rPr>
              <w:t>219</w:t>
            </w:r>
          </w:p>
        </w:tc>
        <w:tc>
          <w:tcPr>
            <w:tcW w:w="4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213"/>
        </w:trPr>
        <w:tc>
          <w:tcPr>
            <w:tcW w:w="3800" w:type="dxa"/>
            <w:vAlign w:val="bottom"/>
          </w:tcPr>
          <w:p>
            <w:pPr>
              <w:ind w:left="140"/>
              <w:spacing w:after="0"/>
              <w:rPr>
                <w:sz w:val="20"/>
                <w:szCs w:val="20"/>
                <w:color w:val="auto"/>
              </w:rPr>
            </w:pPr>
            <w:r>
              <w:rPr>
                <w:rFonts w:ascii="Arial" w:cs="Arial" w:eastAsia="Arial" w:hAnsi="Arial"/>
                <w:sz w:val="16"/>
                <w:szCs w:val="16"/>
                <w:color w:val="auto"/>
              </w:rPr>
              <w:t>Tecsur</w:t>
            </w:r>
          </w:p>
        </w:tc>
        <w:tc>
          <w:tcPr>
            <w:tcW w:w="2700" w:type="dxa"/>
            <w:vAlign w:val="bottom"/>
          </w:tcPr>
          <w:p>
            <w:pPr>
              <w:jc w:val="right"/>
              <w:ind w:right="363"/>
              <w:spacing w:after="0"/>
              <w:rPr>
                <w:sz w:val="20"/>
                <w:szCs w:val="20"/>
                <w:color w:val="auto"/>
              </w:rPr>
            </w:pPr>
            <w:r>
              <w:rPr>
                <w:rFonts w:ascii="Arial" w:cs="Arial" w:eastAsia="Arial" w:hAnsi="Arial"/>
                <w:sz w:val="16"/>
                <w:szCs w:val="16"/>
                <w:color w:val="auto"/>
              </w:rPr>
              <w:t>9.8</w:t>
            </w:r>
          </w:p>
        </w:tc>
        <w:tc>
          <w:tcPr>
            <w:tcW w:w="600" w:type="dxa"/>
            <w:vAlign w:val="bottom"/>
          </w:tcPr>
          <w:p>
            <w:pPr>
              <w:spacing w:after="0"/>
              <w:rPr>
                <w:sz w:val="18"/>
                <w:szCs w:val="18"/>
                <w:color w:val="auto"/>
              </w:rPr>
            </w:pPr>
          </w:p>
        </w:tc>
        <w:tc>
          <w:tcPr>
            <w:tcW w:w="2020" w:type="dxa"/>
            <w:vAlign w:val="bottom"/>
          </w:tcPr>
          <w:p>
            <w:pPr>
              <w:jc w:val="right"/>
              <w:ind w:right="81"/>
              <w:spacing w:after="0"/>
              <w:rPr>
                <w:sz w:val="20"/>
                <w:szCs w:val="20"/>
                <w:color w:val="auto"/>
              </w:rPr>
            </w:pPr>
            <w:r>
              <w:rPr>
                <w:rFonts w:ascii="Arial" w:cs="Arial" w:eastAsia="Arial" w:hAnsi="Arial"/>
                <w:sz w:val="16"/>
                <w:szCs w:val="16"/>
                <w:color w:val="auto"/>
              </w:rPr>
              <w:t>3</w:t>
            </w:r>
          </w:p>
        </w:tc>
        <w:tc>
          <w:tcPr>
            <w:tcW w:w="4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3"/>
        </w:trPr>
        <w:tc>
          <w:tcPr>
            <w:tcW w:w="3800" w:type="dxa"/>
            <w:vAlign w:val="bottom"/>
          </w:tcPr>
          <w:p>
            <w:pPr>
              <w:spacing w:after="0"/>
              <w:rPr>
                <w:sz w:val="20"/>
                <w:szCs w:val="20"/>
                <w:color w:val="auto"/>
              </w:rPr>
            </w:pPr>
            <w:r>
              <w:rPr>
                <w:rFonts w:ascii="Arial" w:cs="Arial" w:eastAsia="Arial" w:hAnsi="Arial"/>
                <w:sz w:val="16"/>
                <w:szCs w:val="16"/>
                <w:b w:val="1"/>
                <w:bCs w:val="1"/>
                <w:color w:val="auto"/>
              </w:rPr>
              <w:t>Sempra Mexico:</w:t>
            </w:r>
          </w:p>
        </w:tc>
        <w:tc>
          <w:tcPr>
            <w:tcW w:w="2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00" w:type="dxa"/>
            <w:vAlign w:val="bottom"/>
          </w:tcPr>
          <w:p>
            <w:pPr>
              <w:ind w:left="140"/>
              <w:spacing w:after="0"/>
              <w:rPr>
                <w:sz w:val="20"/>
                <w:szCs w:val="20"/>
                <w:color w:val="auto"/>
              </w:rPr>
            </w:pPr>
            <w:r>
              <w:rPr>
                <w:rFonts w:ascii="Arial" w:cs="Arial" w:eastAsia="Arial" w:hAnsi="Arial"/>
                <w:sz w:val="16"/>
                <w:szCs w:val="16"/>
                <w:color w:val="auto"/>
              </w:rPr>
              <w:t>IEnova</w:t>
            </w:r>
          </w:p>
        </w:tc>
        <w:tc>
          <w:tcPr>
            <w:tcW w:w="2700" w:type="dxa"/>
            <w:vAlign w:val="bottom"/>
          </w:tcPr>
          <w:p>
            <w:pPr>
              <w:jc w:val="right"/>
              <w:ind w:right="363"/>
              <w:spacing w:after="0"/>
              <w:rPr>
                <w:sz w:val="20"/>
                <w:szCs w:val="20"/>
                <w:color w:val="auto"/>
              </w:rPr>
            </w:pPr>
            <w:r>
              <w:rPr>
                <w:rFonts w:ascii="Arial" w:cs="Arial" w:eastAsia="Arial" w:hAnsi="Arial"/>
                <w:sz w:val="16"/>
                <w:szCs w:val="16"/>
                <w:color w:val="auto"/>
              </w:rPr>
              <w:t>18.9</w:t>
            </w:r>
          </w:p>
        </w:tc>
        <w:tc>
          <w:tcPr>
            <w:tcW w:w="600" w:type="dxa"/>
            <w:vAlign w:val="bottom"/>
          </w:tcPr>
          <w:p>
            <w:pPr>
              <w:spacing w:after="0"/>
              <w:rPr>
                <w:sz w:val="18"/>
                <w:szCs w:val="18"/>
                <w:color w:val="auto"/>
              </w:rPr>
            </w:pPr>
          </w:p>
        </w:tc>
        <w:tc>
          <w:tcPr>
            <w:tcW w:w="2020" w:type="dxa"/>
            <w:vAlign w:val="bottom"/>
          </w:tcPr>
          <w:p>
            <w:pPr>
              <w:jc w:val="right"/>
              <w:ind w:right="81"/>
              <w:spacing w:after="0"/>
              <w:rPr>
                <w:sz w:val="20"/>
                <w:szCs w:val="20"/>
                <w:color w:val="auto"/>
              </w:rPr>
            </w:pPr>
            <w:r>
              <w:rPr>
                <w:rFonts w:ascii="Arial" w:cs="Arial" w:eastAsia="Arial" w:hAnsi="Arial"/>
                <w:sz w:val="16"/>
                <w:szCs w:val="16"/>
                <w:color w:val="auto"/>
              </w:rPr>
              <w:t>444</w:t>
            </w:r>
          </w:p>
        </w:tc>
        <w:tc>
          <w:tcPr>
            <w:tcW w:w="4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442</w:t>
            </w:r>
          </w:p>
        </w:tc>
        <w:tc>
          <w:tcPr>
            <w:tcW w:w="0" w:type="dxa"/>
            <w:vAlign w:val="bottom"/>
          </w:tcPr>
          <w:p>
            <w:pPr>
              <w:spacing w:after="0"/>
              <w:rPr>
                <w:sz w:val="1"/>
                <w:szCs w:val="1"/>
                <w:color w:val="auto"/>
              </w:rPr>
            </w:pPr>
          </w:p>
        </w:tc>
      </w:tr>
      <w:tr>
        <w:trPr>
          <w:trHeight w:val="213"/>
        </w:trPr>
        <w:tc>
          <w:tcPr>
            <w:tcW w:w="3800" w:type="dxa"/>
            <w:vAlign w:val="bottom"/>
          </w:tcPr>
          <w:p>
            <w:pPr>
              <w:spacing w:after="0"/>
              <w:rPr>
                <w:sz w:val="20"/>
                <w:szCs w:val="20"/>
                <w:color w:val="auto"/>
              </w:rPr>
            </w:pPr>
            <w:r>
              <w:rPr>
                <w:rFonts w:ascii="Arial" w:cs="Arial" w:eastAsia="Arial" w:hAnsi="Arial"/>
                <w:sz w:val="16"/>
                <w:szCs w:val="16"/>
                <w:b w:val="1"/>
                <w:bCs w:val="1"/>
                <w:color w:val="auto"/>
              </w:rPr>
              <w:t>Sempra Natural Gas:</w:t>
            </w:r>
          </w:p>
        </w:tc>
        <w:tc>
          <w:tcPr>
            <w:tcW w:w="2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00" w:type="dxa"/>
            <w:vAlign w:val="bottom"/>
          </w:tcPr>
          <w:p>
            <w:pPr>
              <w:ind w:left="140"/>
              <w:spacing w:after="0"/>
              <w:rPr>
                <w:sz w:val="20"/>
                <w:szCs w:val="20"/>
                <w:color w:val="auto"/>
              </w:rPr>
            </w:pPr>
            <w:r>
              <w:rPr>
                <w:rFonts w:ascii="Arial" w:cs="Arial" w:eastAsia="Arial" w:hAnsi="Arial"/>
                <w:sz w:val="16"/>
                <w:szCs w:val="16"/>
                <w:color w:val="auto"/>
              </w:rPr>
              <w:t>Bay Gas Storage, Ltd.</w:t>
            </w:r>
          </w:p>
        </w:tc>
        <w:tc>
          <w:tcPr>
            <w:tcW w:w="2700" w:type="dxa"/>
            <w:vAlign w:val="bottom"/>
          </w:tcPr>
          <w:p>
            <w:pPr>
              <w:jc w:val="right"/>
              <w:ind w:right="363"/>
              <w:spacing w:after="0"/>
              <w:rPr>
                <w:sz w:val="20"/>
                <w:szCs w:val="20"/>
                <w:color w:val="auto"/>
              </w:rPr>
            </w:pPr>
            <w:r>
              <w:rPr>
                <w:rFonts w:ascii="Arial" w:cs="Arial" w:eastAsia="Arial" w:hAnsi="Arial"/>
                <w:sz w:val="16"/>
                <w:szCs w:val="16"/>
                <w:color w:val="auto"/>
              </w:rPr>
              <w:t>9.1</w:t>
            </w:r>
          </w:p>
        </w:tc>
        <w:tc>
          <w:tcPr>
            <w:tcW w:w="600" w:type="dxa"/>
            <w:vAlign w:val="bottom"/>
          </w:tcPr>
          <w:p>
            <w:pPr>
              <w:spacing w:after="0"/>
              <w:rPr>
                <w:sz w:val="18"/>
                <w:szCs w:val="18"/>
                <w:color w:val="auto"/>
              </w:rPr>
            </w:pPr>
          </w:p>
        </w:tc>
        <w:tc>
          <w:tcPr>
            <w:tcW w:w="2020" w:type="dxa"/>
            <w:vAlign w:val="bottom"/>
          </w:tcPr>
          <w:p>
            <w:pPr>
              <w:jc w:val="right"/>
              <w:ind w:right="81"/>
              <w:spacing w:after="0"/>
              <w:rPr>
                <w:sz w:val="20"/>
                <w:szCs w:val="20"/>
                <w:color w:val="auto"/>
              </w:rPr>
            </w:pPr>
            <w:r>
              <w:rPr>
                <w:rFonts w:ascii="Arial" w:cs="Arial" w:eastAsia="Arial" w:hAnsi="Arial"/>
                <w:sz w:val="16"/>
                <w:szCs w:val="16"/>
                <w:color w:val="auto"/>
              </w:rPr>
              <w:t>23</w:t>
            </w:r>
          </w:p>
        </w:tc>
        <w:tc>
          <w:tcPr>
            <w:tcW w:w="4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3"/>
        </w:trPr>
        <w:tc>
          <w:tcPr>
            <w:tcW w:w="3800" w:type="dxa"/>
            <w:vAlign w:val="bottom"/>
          </w:tcPr>
          <w:p>
            <w:pPr>
              <w:ind w:left="140"/>
              <w:spacing w:after="0"/>
              <w:rPr>
                <w:sz w:val="20"/>
                <w:szCs w:val="20"/>
                <w:color w:val="auto"/>
              </w:rPr>
            </w:pPr>
            <w:r>
              <w:rPr>
                <w:rFonts w:ascii="Arial" w:cs="Arial" w:eastAsia="Arial" w:hAnsi="Arial"/>
                <w:sz w:val="16"/>
                <w:szCs w:val="16"/>
                <w:color w:val="auto"/>
              </w:rPr>
              <w:t>Liberty Gas Storage, LLC</w:t>
            </w:r>
          </w:p>
        </w:tc>
        <w:tc>
          <w:tcPr>
            <w:tcW w:w="2700" w:type="dxa"/>
            <w:vAlign w:val="bottom"/>
          </w:tcPr>
          <w:p>
            <w:pPr>
              <w:jc w:val="right"/>
              <w:ind w:right="363"/>
              <w:spacing w:after="0"/>
              <w:rPr>
                <w:sz w:val="20"/>
                <w:szCs w:val="20"/>
                <w:color w:val="auto"/>
              </w:rPr>
            </w:pPr>
            <w:r>
              <w:rPr>
                <w:rFonts w:ascii="Arial" w:cs="Arial" w:eastAsia="Arial" w:hAnsi="Arial"/>
                <w:sz w:val="16"/>
                <w:szCs w:val="16"/>
                <w:color w:val="auto"/>
              </w:rPr>
              <w:t>25.0</w:t>
            </w:r>
          </w:p>
        </w:tc>
        <w:tc>
          <w:tcPr>
            <w:tcW w:w="600" w:type="dxa"/>
            <w:vAlign w:val="bottom"/>
          </w:tcPr>
          <w:p>
            <w:pPr>
              <w:spacing w:after="0"/>
              <w:rPr>
                <w:sz w:val="18"/>
                <w:szCs w:val="18"/>
                <w:color w:val="auto"/>
              </w:rPr>
            </w:pPr>
          </w:p>
        </w:tc>
        <w:tc>
          <w:tcPr>
            <w:tcW w:w="2020" w:type="dxa"/>
            <w:vAlign w:val="bottom"/>
          </w:tcPr>
          <w:p>
            <w:pPr>
              <w:jc w:val="right"/>
              <w:ind w:right="81"/>
              <w:spacing w:after="0"/>
              <w:rPr>
                <w:sz w:val="20"/>
                <w:szCs w:val="20"/>
                <w:color w:val="auto"/>
              </w:rPr>
            </w:pPr>
            <w:r>
              <w:rPr>
                <w:rFonts w:ascii="Arial" w:cs="Arial" w:eastAsia="Arial" w:hAnsi="Arial"/>
                <w:sz w:val="16"/>
                <w:szCs w:val="16"/>
                <w:color w:val="auto"/>
              </w:rPr>
              <w:t>14</w:t>
            </w:r>
          </w:p>
        </w:tc>
        <w:tc>
          <w:tcPr>
            <w:tcW w:w="4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4"/>
        </w:trPr>
        <w:tc>
          <w:tcPr>
            <w:tcW w:w="3800" w:type="dxa"/>
            <w:vAlign w:val="bottom"/>
          </w:tcPr>
          <w:p>
            <w:pPr>
              <w:ind w:left="140"/>
              <w:spacing w:after="0"/>
              <w:rPr>
                <w:sz w:val="20"/>
                <w:szCs w:val="20"/>
                <w:color w:val="auto"/>
              </w:rPr>
            </w:pPr>
            <w:r>
              <w:rPr>
                <w:rFonts w:ascii="Arial" w:cs="Arial" w:eastAsia="Arial" w:hAnsi="Arial"/>
                <w:sz w:val="16"/>
                <w:szCs w:val="16"/>
                <w:color w:val="auto"/>
              </w:rPr>
              <w:t>Southern Gas Transmission Company</w:t>
            </w:r>
          </w:p>
        </w:tc>
        <w:tc>
          <w:tcPr>
            <w:tcW w:w="2700" w:type="dxa"/>
            <w:vAlign w:val="bottom"/>
          </w:tcPr>
          <w:p>
            <w:pPr>
              <w:jc w:val="right"/>
              <w:ind w:right="363"/>
              <w:spacing w:after="0"/>
              <w:rPr>
                <w:sz w:val="20"/>
                <w:szCs w:val="20"/>
                <w:color w:val="auto"/>
              </w:rPr>
            </w:pPr>
            <w:r>
              <w:rPr>
                <w:rFonts w:ascii="Arial" w:cs="Arial" w:eastAsia="Arial" w:hAnsi="Arial"/>
                <w:sz w:val="16"/>
                <w:szCs w:val="16"/>
                <w:color w:val="auto"/>
              </w:rPr>
              <w:t>49.0</w:t>
            </w:r>
          </w:p>
        </w:tc>
        <w:tc>
          <w:tcPr>
            <w:tcW w:w="60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w:t>
            </w:r>
          </w:p>
        </w:tc>
        <w:tc>
          <w:tcPr>
            <w:tcW w:w="4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4"/>
        </w:trPr>
        <w:tc>
          <w:tcPr>
            <w:tcW w:w="3800" w:type="dxa"/>
            <w:vAlign w:val="bottom"/>
          </w:tcPr>
          <w:p>
            <w:pPr>
              <w:ind w:left="260"/>
              <w:spacing w:after="0"/>
              <w:rPr>
                <w:sz w:val="20"/>
                <w:szCs w:val="20"/>
                <w:color w:val="auto"/>
              </w:rPr>
            </w:pPr>
            <w:r>
              <w:rPr>
                <w:rFonts w:ascii="Arial" w:cs="Arial" w:eastAsia="Arial" w:hAnsi="Arial"/>
                <w:sz w:val="16"/>
                <w:szCs w:val="16"/>
                <w:color w:val="auto"/>
              </w:rPr>
              <w:t>Total Sempra Energy</w:t>
            </w:r>
          </w:p>
        </w:tc>
        <w:tc>
          <w:tcPr>
            <w:tcW w:w="2700" w:type="dxa"/>
            <w:vAlign w:val="bottom"/>
          </w:tcPr>
          <w:p>
            <w:pPr>
              <w:spacing w:after="0"/>
              <w:rPr>
                <w:sz w:val="18"/>
                <w:szCs w:val="18"/>
                <w:color w:val="auto"/>
              </w:rPr>
            </w:pPr>
          </w:p>
        </w:tc>
        <w:tc>
          <w:tcPr>
            <w:tcW w:w="6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020" w:type="dxa"/>
            <w:vAlign w:val="bottom"/>
          </w:tcPr>
          <w:p>
            <w:pPr>
              <w:jc w:val="right"/>
              <w:ind w:right="81"/>
              <w:spacing w:after="0"/>
              <w:rPr>
                <w:sz w:val="20"/>
                <w:szCs w:val="20"/>
                <w:color w:val="auto"/>
              </w:rPr>
            </w:pPr>
            <w:r>
              <w:rPr>
                <w:rFonts w:ascii="Arial" w:cs="Arial" w:eastAsia="Arial" w:hAnsi="Arial"/>
                <w:sz w:val="16"/>
                <w:szCs w:val="16"/>
                <w:color w:val="auto"/>
              </w:rPr>
              <w:t>804</w:t>
            </w:r>
          </w:p>
        </w:tc>
        <w:tc>
          <w:tcPr>
            <w:tcW w:w="46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840" w:type="dxa"/>
            <w:vAlign w:val="bottom"/>
          </w:tcPr>
          <w:p>
            <w:pPr>
              <w:jc w:val="right"/>
              <w:spacing w:after="0"/>
              <w:rPr>
                <w:sz w:val="20"/>
                <w:szCs w:val="20"/>
                <w:color w:val="auto"/>
              </w:rPr>
            </w:pPr>
            <w:r>
              <w:rPr>
                <w:rFonts w:ascii="Arial" w:cs="Arial" w:eastAsia="Arial" w:hAnsi="Arial"/>
                <w:sz w:val="16"/>
                <w:szCs w:val="16"/>
                <w:color w:val="auto"/>
              </w:rPr>
              <w:t>822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72485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ind w:left="440" w:right="140" w:hanging="434"/>
        <w:spacing w:after="0" w:line="266" w:lineRule="auto"/>
        <w:tabs>
          <w:tab w:leader="none" w:pos="440" w:val="left"/>
        </w:tabs>
        <w:numPr>
          <w:ilvl w:val="0"/>
          <w:numId w:val="20"/>
        </w:numPr>
        <w:rPr>
          <w:rFonts w:ascii="Arial" w:cs="Arial" w:eastAsia="Arial" w:hAnsi="Arial"/>
          <w:sz w:val="14"/>
          <w:szCs w:val="14"/>
          <w:i w:val="1"/>
          <w:iCs w:val="1"/>
          <w:color w:val="auto"/>
        </w:rPr>
      </w:pPr>
      <w:r>
        <w:rPr>
          <w:rFonts w:ascii="Arial" w:cs="Arial" w:eastAsia="Arial" w:hAnsi="Arial"/>
          <w:sz w:val="14"/>
          <w:szCs w:val="14"/>
          <w:i w:val="1"/>
          <w:iCs w:val="1"/>
          <w:color w:val="auto"/>
        </w:rPr>
        <w:t>Chilquinta Energía has four subsidiaries with noncontrolling interests held by others. Percentage range reflects the highest and lowest ownership percentages amongst these subsidiaries.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AFFILIATES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Due from Unconsolidated Affiliates – Sempra Energy Consolidated</w:t>
      </w:r>
    </w:p>
    <w:p>
      <w:pPr>
        <w:spacing w:after="0" w:line="211"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color w:val="auto"/>
        </w:rPr>
        <w:t>Sempra South American Utilities has a U.S. dollar-denominated loan to Eletrans S.A. to provide project financing for the construction of transmission lines. Eletrans S.A. is an affiliate of Chilquinta Energía that we discuss in Note 4 of the Notes to Consolidated Financial Statements in the Annual Report. At September 30, 2014 and December 31, 2013, the principal balance outstanding was $39 million and $14 million, plus $1 million and a negligible amount of accumulated interest outstanding, respectively, at a fixed interest rate of 4 percent.</w:t>
      </w:r>
    </w:p>
    <w:p>
      <w:pPr>
        <w:spacing w:after="0" w:line="19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the third quarter of 2014, Sempra Mexico made two four-year, U.S. dollar-denominated loans to an affiliate of Sempra Mexico’s joint venture with PEMEX to finance the Los Ramones Norte pipeline project. At September 30, 2014, these loans have principal balances outstanding aggregating $71 million plus $1 million of accumulated interest. These loans accrue interest at a variable rate based on a 30-day LIBOR plus 450 basis points (4.66 percent at September 30, 2014).</w:t>
      </w:r>
    </w:p>
    <w:p>
      <w:pPr>
        <w:spacing w:after="0" w:line="190"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As we discuss in Note 3, in July 2014, Sempra Mexico sold a 50-percent interest in the first phase of the Energía Sierra Juárez wind project. Upon deconsolidation, the newly formed joint venture repaid a portion, in the amount of $18 million, of a previous intercompany loan from Sempra Mexico to Energía Sierra Juárez. The joint venture assumed the obligation to Sempra Mexico for the remainder of the loan, which has a principal balance outstanding at September 30, 2014 of $20 million plus $1 million of accumulated interest. This loan accrues interest at a variable rate based on a 30-day LIBOR plus 637.5 basis points (6.53 percent at September 30, 2014).</w:t>
      </w:r>
    </w:p>
    <w:p>
      <w:pPr>
        <w:spacing w:after="0" w:line="193" w:lineRule="exact"/>
        <w:rPr>
          <w:sz w:val="20"/>
          <w:szCs w:val="20"/>
          <w:color w:val="auto"/>
        </w:rPr>
      </w:pPr>
    </w:p>
    <w:p>
      <w:pPr>
        <w:ind w:right="560"/>
        <w:spacing w:after="0" w:line="266" w:lineRule="auto"/>
        <w:rPr>
          <w:sz w:val="20"/>
          <w:szCs w:val="20"/>
          <w:color w:val="auto"/>
        </w:rPr>
      </w:pPr>
      <w:r>
        <w:rPr>
          <w:rFonts w:ascii="Arial" w:cs="Arial" w:eastAsia="Arial" w:hAnsi="Arial"/>
          <w:sz w:val="18"/>
          <w:szCs w:val="18"/>
          <w:color w:val="auto"/>
        </w:rPr>
        <w:t>At September 30, 2014 and December 31, 2013, Sempra Energy had $3 million and $4 million, respectively, in accounts receivable from various Sempra Renewables joint venture investments.</w:t>
      </w:r>
    </w:p>
    <w:p>
      <w:pPr>
        <w:spacing w:after="0" w:line="38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Service Agreements</w:t>
      </w:r>
    </w:p>
    <w:p>
      <w:pPr>
        <w:spacing w:after="0" w:line="21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Sempra Energy, SDG&amp;E and SoCalGas provide certain services to each other and are charged an allocable share of the cost of such services. Also, from time-to-time, SDG&amp;E and SoCalGas may loan surplus cash to Sempra Energy at interest rates based on one-month commercial paper rates. Amounts due to/from affiliates are as follows:</w:t>
      </w:r>
    </w:p>
    <w:p>
      <w:pPr>
        <w:sectPr>
          <w:pgSz w:w="11900" w:h="16867" w:orient="portrait"/>
          <w:cols w:equalWidth="0" w:num="1">
            <w:col w:w="11420"/>
          </w:cols>
          <w:pgMar w:left="240" w:top="127" w:right="239" w:bottom="0" w:gutter="0" w:footer="0" w:header="0"/>
        </w:sect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AMOUNTS DUE TO AND FROM AFFILIATES AT SDG&amp;E AND SOCALGAS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-97155</wp:posOffset>
            </wp:positionV>
            <wp:extent cx="7248525" cy="1193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8525" cy="119380"/>
                    </a:xfrm>
                    <a:prstGeom prst="rect">
                      <a:avLst/>
                    </a:prstGeom>
                    <a:noFill/>
                  </pic:spPr>
                </pic:pic>
              </a:graphicData>
            </a:graphic>
          </wp:anchor>
        </w:drawing>
      </w:r>
    </w:p>
    <w:p>
      <w:pPr>
        <w:sectPr>
          <w:pgSz w:w="11900" w:h="16867" w:orient="portrait"/>
          <w:cols w:equalWidth="0" w:num="1">
            <w:col w:w="11420"/>
          </w:cols>
          <w:pgMar w:left="240" w:top="127" w:right="239" w:bottom="0" w:gutter="0" w:footer="0" w:header="0"/>
          <w:type w:val="continuous"/>
        </w:sectPr>
      </w:pPr>
    </w:p>
    <w:bookmarkStart w:id="26" w:name="page27"/>
    <w:bookmarkEnd w:id="26"/>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shd w:val="clear" w:color="auto" w:fill="C0C0C0"/>
          </w:tcPr>
          <w:p>
            <w:pPr>
              <w:spacing w:after="0"/>
              <w:rPr>
                <w:sz w:val="20"/>
                <w:szCs w:val="20"/>
                <w:color w:val="auto"/>
              </w:rPr>
            </w:pPr>
            <w:r>
              <w:rPr>
                <w:rFonts w:ascii="Arial" w:cs="Arial" w:eastAsia="Arial" w:hAnsi="Arial"/>
                <w:sz w:val="14"/>
                <w:szCs w:val="14"/>
                <w:i w:val="1"/>
                <w:iCs w:val="1"/>
                <w:color w:val="auto"/>
              </w:rPr>
              <w:t>(Dollars in millions)</w:t>
            </w:r>
          </w:p>
        </w:tc>
        <w:tc>
          <w:tcPr>
            <w:tcW w:w="1400" w:type="dxa"/>
            <w:vAlign w:val="bottom"/>
            <w:shd w:val="clear" w:color="auto" w:fill="C0C0C0"/>
          </w:tcPr>
          <w:p>
            <w:pPr>
              <w:spacing w:after="0"/>
              <w:rPr>
                <w:sz w:val="14"/>
                <w:szCs w:val="14"/>
                <w:color w:val="auto"/>
              </w:rPr>
            </w:pPr>
          </w:p>
        </w:tc>
        <w:tc>
          <w:tcPr>
            <w:tcW w:w="540" w:type="dxa"/>
            <w:vAlign w:val="bottom"/>
            <w:shd w:val="clear" w:color="auto" w:fill="C0C0C0"/>
          </w:tcPr>
          <w:p>
            <w:pPr>
              <w:spacing w:after="0"/>
              <w:rPr>
                <w:sz w:val="14"/>
                <w:szCs w:val="14"/>
                <w:color w:val="auto"/>
              </w:rPr>
            </w:pPr>
          </w:p>
        </w:tc>
        <w:tc>
          <w:tcPr>
            <w:tcW w:w="1400" w:type="dxa"/>
            <w:vAlign w:val="bottom"/>
            <w:shd w:val="clear" w:color="auto" w:fill="C0C0C0"/>
          </w:tcPr>
          <w:p>
            <w:pPr>
              <w:spacing w:after="0"/>
              <w:rPr>
                <w:sz w:val="14"/>
                <w:szCs w:val="14"/>
                <w:color w:val="auto"/>
              </w:rPr>
            </w:pPr>
          </w:p>
        </w:tc>
        <w:tc>
          <w:tcPr>
            <w:tcW w:w="240" w:type="dxa"/>
            <w:vAlign w:val="bottom"/>
            <w:shd w:val="clear" w:color="auto" w:fill="C0C0C0"/>
          </w:tcPr>
          <w:p>
            <w:pPr>
              <w:spacing w:after="0"/>
              <w:rPr>
                <w:sz w:val="14"/>
                <w:szCs w:val="14"/>
                <w:color w:val="auto"/>
              </w:rPr>
            </w:pPr>
          </w:p>
        </w:tc>
      </w:tr>
      <w:tr>
        <w:trPr>
          <w:trHeight w:val="228"/>
        </w:trPr>
        <w:tc>
          <w:tcPr>
            <w:tcW w:w="7840" w:type="dxa"/>
            <w:vAlign w:val="bottom"/>
          </w:tcPr>
          <w:p>
            <w:pPr>
              <w:spacing w:after="0"/>
              <w:rPr>
                <w:sz w:val="19"/>
                <w:szCs w:val="19"/>
                <w:color w:val="auto"/>
              </w:rPr>
            </w:pPr>
          </w:p>
        </w:tc>
        <w:tc>
          <w:tcPr>
            <w:tcW w:w="1400" w:type="dxa"/>
            <w:vAlign w:val="bottom"/>
          </w:tcPr>
          <w:p>
            <w:pPr>
              <w:ind w:left="340"/>
              <w:spacing w:after="0"/>
              <w:rPr>
                <w:sz w:val="20"/>
                <w:szCs w:val="20"/>
                <w:color w:val="auto"/>
              </w:rPr>
            </w:pPr>
            <w:r>
              <w:rPr>
                <w:rFonts w:ascii="Arial" w:cs="Arial" w:eastAsia="Arial" w:hAnsi="Arial"/>
                <w:sz w:val="14"/>
                <w:szCs w:val="14"/>
                <w:color w:val="auto"/>
              </w:rPr>
              <w:t>September 30,</w:t>
            </w:r>
          </w:p>
        </w:tc>
        <w:tc>
          <w:tcPr>
            <w:tcW w:w="540" w:type="dxa"/>
            <w:vAlign w:val="bottom"/>
          </w:tcPr>
          <w:p>
            <w:pPr>
              <w:spacing w:after="0"/>
              <w:rPr>
                <w:sz w:val="19"/>
                <w:szCs w:val="19"/>
                <w:color w:val="auto"/>
              </w:rPr>
            </w:pPr>
          </w:p>
        </w:tc>
        <w:tc>
          <w:tcPr>
            <w:tcW w:w="1400" w:type="dxa"/>
            <w:vAlign w:val="bottom"/>
          </w:tcPr>
          <w:p>
            <w:pPr>
              <w:jc w:val="center"/>
              <w:ind w:left="146"/>
              <w:spacing w:after="0"/>
              <w:rPr>
                <w:sz w:val="20"/>
                <w:szCs w:val="20"/>
                <w:color w:val="auto"/>
              </w:rPr>
            </w:pPr>
            <w:r>
              <w:rPr>
                <w:rFonts w:ascii="Arial" w:cs="Arial" w:eastAsia="Arial" w:hAnsi="Arial"/>
                <w:sz w:val="14"/>
                <w:szCs w:val="14"/>
                <w:color w:val="auto"/>
              </w:rPr>
              <w:t>December 31,</w:t>
            </w:r>
          </w:p>
        </w:tc>
        <w:tc>
          <w:tcPr>
            <w:tcW w:w="240" w:type="dxa"/>
            <w:vAlign w:val="bottom"/>
          </w:tcPr>
          <w:p>
            <w:pPr>
              <w:spacing w:after="0"/>
              <w:rPr>
                <w:sz w:val="19"/>
                <w:szCs w:val="19"/>
                <w:color w:val="auto"/>
              </w:rPr>
            </w:pPr>
          </w:p>
        </w:tc>
      </w:tr>
      <w:tr>
        <w:trPr>
          <w:trHeight w:val="197"/>
        </w:trPr>
        <w:tc>
          <w:tcPr>
            <w:tcW w:w="78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66"/>
              <w:spacing w:after="0"/>
              <w:rPr>
                <w:sz w:val="20"/>
                <w:szCs w:val="20"/>
                <w:color w:val="auto"/>
              </w:rPr>
            </w:pPr>
            <w:r>
              <w:rPr>
                <w:rFonts w:ascii="Arial" w:cs="Arial" w:eastAsia="Arial" w:hAnsi="Arial"/>
                <w:sz w:val="14"/>
                <w:szCs w:val="14"/>
                <w:color w:val="auto"/>
              </w:rPr>
              <w:t>2014</w:t>
            </w:r>
          </w:p>
        </w:tc>
        <w:tc>
          <w:tcPr>
            <w:tcW w:w="5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66"/>
              <w:spacing w:after="0"/>
              <w:rPr>
                <w:sz w:val="20"/>
                <w:szCs w:val="20"/>
                <w:color w:val="auto"/>
              </w:rPr>
            </w:pPr>
            <w:r>
              <w:rPr>
                <w:rFonts w:ascii="Arial" w:cs="Arial" w:eastAsia="Arial" w:hAnsi="Arial"/>
                <w:sz w:val="14"/>
                <w:szCs w:val="14"/>
                <w:color w:val="auto"/>
              </w:rPr>
              <w:t>2013</w:t>
            </w:r>
          </w:p>
        </w:tc>
        <w:tc>
          <w:tcPr>
            <w:tcW w:w="240" w:type="dxa"/>
            <w:vAlign w:val="bottom"/>
            <w:tcBorders>
              <w:bottom w:val="single" w:sz="8" w:color="auto"/>
            </w:tcBorders>
          </w:tcPr>
          <w:p>
            <w:pPr>
              <w:spacing w:after="0"/>
              <w:rPr>
                <w:sz w:val="17"/>
                <w:szCs w:val="17"/>
                <w:color w:val="auto"/>
              </w:rPr>
            </w:pPr>
          </w:p>
        </w:tc>
      </w:tr>
      <w:tr>
        <w:trPr>
          <w:trHeight w:val="214"/>
        </w:trPr>
        <w:tc>
          <w:tcPr>
            <w:tcW w:w="784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1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3"/>
        </w:trPr>
        <w:tc>
          <w:tcPr>
            <w:tcW w:w="7840" w:type="dxa"/>
            <w:vAlign w:val="bottom"/>
          </w:tcPr>
          <w:p>
            <w:pPr>
              <w:spacing w:after="0"/>
              <w:rPr>
                <w:sz w:val="20"/>
                <w:szCs w:val="20"/>
                <w:color w:val="auto"/>
              </w:rPr>
            </w:pPr>
            <w:r>
              <w:rPr>
                <w:rFonts w:ascii="Arial" w:cs="Arial" w:eastAsia="Arial" w:hAnsi="Arial"/>
                <w:sz w:val="16"/>
                <w:szCs w:val="16"/>
                <w:color w:val="auto"/>
              </w:rPr>
              <w:t>Current:</w:t>
            </w:r>
          </w:p>
        </w:tc>
        <w:tc>
          <w:tcPr>
            <w:tcW w:w="1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1"/>
        </w:trPr>
        <w:tc>
          <w:tcPr>
            <w:tcW w:w="7840" w:type="dxa"/>
            <w:vAlign w:val="bottom"/>
          </w:tcPr>
          <w:p>
            <w:pPr>
              <w:ind w:left="180"/>
              <w:spacing w:after="0"/>
              <w:rPr>
                <w:sz w:val="20"/>
                <w:szCs w:val="20"/>
                <w:color w:val="auto"/>
              </w:rPr>
            </w:pPr>
            <w:r>
              <w:rPr>
                <w:rFonts w:ascii="Arial" w:cs="Arial" w:eastAsia="Arial" w:hAnsi="Arial"/>
                <w:sz w:val="16"/>
                <w:szCs w:val="16"/>
                <w:color w:val="auto"/>
              </w:rPr>
              <w:t>Due from various affiliates</w:t>
            </w:r>
          </w:p>
        </w:tc>
        <w:tc>
          <w:tcPr>
            <w:tcW w:w="140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1</w:t>
            </w:r>
          </w:p>
        </w:tc>
        <w:tc>
          <w:tcPr>
            <w:tcW w:w="1400" w:type="dxa"/>
            <w:vAlign w:val="bottom"/>
            <w:tcBorders>
              <w:bottom w:val="single" w:sz="8" w:color="auto"/>
            </w:tcBorders>
          </w:tcPr>
          <w:p>
            <w:pPr>
              <w:jc w:val="right"/>
              <w:ind w:right="906"/>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bl>
    <w:p>
      <w:pPr>
        <w:spacing w:after="0" w:line="200" w:lineRule="exact"/>
        <w:rPr>
          <w:sz w:val="20"/>
          <w:szCs w:val="20"/>
          <w:color w:val="auto"/>
        </w:rPr>
      </w:pPr>
    </w:p>
    <w:p>
      <w:pPr>
        <w:sectPr>
          <w:pgSz w:w="11900" w:h="16918" w:orient="portrait"/>
          <w:cols w:equalWidth="0" w:num="1">
            <w:col w:w="11420"/>
          </w:cols>
          <w:pgMar w:left="240" w:top="138" w:right="239" w:bottom="0" w:gutter="0" w:footer="0" w:header="0"/>
        </w:sect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Due to Sempra Energy</w:t>
      </w:r>
    </w:p>
    <w:p>
      <w:pPr>
        <w:spacing w:after="0" w:line="2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Due to SoCalGas</w:t>
      </w:r>
    </w:p>
    <w:p>
      <w:pPr>
        <w:spacing w:after="0" w:line="42" w:lineRule="exact"/>
        <w:rPr>
          <w:sz w:val="20"/>
          <w:szCs w:val="20"/>
          <w:color w:val="auto"/>
        </w:rPr>
      </w:pPr>
    </w:p>
    <w:p>
      <w:pPr>
        <w:ind w:left="180"/>
        <w:spacing w:after="0"/>
        <w:rPr>
          <w:sz w:val="20"/>
          <w:szCs w:val="20"/>
          <w:color w:val="auto"/>
        </w:rPr>
      </w:pPr>
      <w:r>
        <w:rPr>
          <w:rFonts w:ascii="Arial" w:cs="Arial" w:eastAsia="Arial" w:hAnsi="Arial"/>
          <w:sz w:val="15"/>
          <w:szCs w:val="15"/>
          <w:color w:val="auto"/>
        </w:rPr>
        <w:t>Due to various affiliates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88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40"/>
              <w:spacing w:after="0"/>
              <w:rPr>
                <w:sz w:val="20"/>
                <w:szCs w:val="20"/>
                <w:color w:val="auto"/>
              </w:rPr>
            </w:pPr>
            <w:r>
              <w:rPr>
                <w:rFonts w:ascii="Arial" w:cs="Arial" w:eastAsia="Arial" w:hAnsi="Arial"/>
                <w:sz w:val="16"/>
                <w:szCs w:val="16"/>
                <w:color w:val="auto"/>
              </w:rPr>
              <w:t>27</w:t>
            </w:r>
          </w:p>
        </w:tc>
        <w:tc>
          <w:tcPr>
            <w:tcW w:w="880" w:type="dxa"/>
            <w:vAlign w:val="bottom"/>
          </w:tcPr>
          <w:p>
            <w:pPr>
              <w:jc w:val="right"/>
              <w:ind w:right="38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13"/>
        </w:trPr>
        <w:tc>
          <w:tcPr>
            <w:tcW w:w="880" w:type="dxa"/>
            <w:vAlign w:val="bottom"/>
          </w:tcPr>
          <w:p>
            <w:pPr>
              <w:spacing w:after="0"/>
              <w:rPr>
                <w:sz w:val="18"/>
                <w:szCs w:val="18"/>
                <w:color w:val="auto"/>
              </w:rPr>
            </w:pPr>
          </w:p>
        </w:tc>
        <w:tc>
          <w:tcPr>
            <w:tcW w:w="1060" w:type="dxa"/>
            <w:vAlign w:val="bottom"/>
          </w:tcPr>
          <w:p>
            <w:pPr>
              <w:jc w:val="right"/>
              <w:ind w:right="240"/>
              <w:spacing w:after="0"/>
              <w:rPr>
                <w:sz w:val="20"/>
                <w:szCs w:val="20"/>
                <w:color w:val="auto"/>
              </w:rPr>
            </w:pPr>
            <w:r>
              <w:rPr>
                <w:rFonts w:ascii="Arial" w:cs="Arial" w:eastAsia="Arial" w:hAnsi="Arial"/>
                <w:sz w:val="16"/>
                <w:szCs w:val="16"/>
                <w:color w:val="auto"/>
              </w:rPr>
              <w:t>9</w:t>
            </w:r>
          </w:p>
        </w:tc>
        <w:tc>
          <w:tcPr>
            <w:tcW w:w="880" w:type="dxa"/>
            <w:vAlign w:val="bottom"/>
          </w:tcPr>
          <w:p>
            <w:pPr>
              <w:spacing w:after="0"/>
              <w:rPr>
                <w:sz w:val="18"/>
                <w:szCs w:val="18"/>
                <w:color w:val="auto"/>
              </w:rPr>
            </w:pP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w:t>
            </w:r>
          </w:p>
        </w:tc>
      </w:tr>
      <w:tr>
        <w:trPr>
          <w:trHeight w:val="204"/>
        </w:trPr>
        <w:tc>
          <w:tcPr>
            <w:tcW w:w="8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r>
      <w:tr>
        <w:trPr>
          <w:trHeight w:val="212"/>
        </w:trPr>
        <w:tc>
          <w:tcPr>
            <w:tcW w:w="88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36</w:t>
            </w:r>
          </w:p>
        </w:tc>
        <w:tc>
          <w:tcPr>
            <w:tcW w:w="88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r>
    </w:tbl>
    <w:p>
      <w:pPr>
        <w:spacing w:after="0" w:line="200" w:lineRule="exact"/>
        <w:rPr>
          <w:sz w:val="20"/>
          <w:szCs w:val="20"/>
          <w:color w:val="auto"/>
        </w:rPr>
      </w:pPr>
    </w:p>
    <w:p>
      <w:pPr>
        <w:sectPr>
          <w:pgSz w:w="11900" w:h="16918" w:orient="portrait"/>
          <w:cols w:equalWidth="0" w:num="2">
            <w:col w:w="7120" w:space="720"/>
            <w:col w:w="3580"/>
          </w:cols>
          <w:pgMar w:left="240" w:top="138" w:right="239" w:bottom="0" w:gutter="0" w:footer="0" w:header="0"/>
          <w:type w:val="continuous"/>
        </w:sectPr>
      </w:pP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8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Income taxes due from Sempra Energy(1)</w:t>
            </w:r>
          </w:p>
        </w:tc>
        <w:tc>
          <w:tcPr>
            <w:tcW w:w="88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27</w:t>
            </w:r>
          </w:p>
        </w:tc>
        <w:tc>
          <w:tcPr>
            <w:tcW w:w="88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r>
      <w:tr>
        <w:trPr>
          <w:trHeight w:val="221"/>
        </w:trPr>
        <w:tc>
          <w:tcPr>
            <w:tcW w:w="7840" w:type="dxa"/>
            <w:vAlign w:val="bottom"/>
          </w:tcPr>
          <w:p>
            <w:pPr>
              <w:spacing w:after="0"/>
              <w:rPr>
                <w:sz w:val="20"/>
                <w:szCs w:val="20"/>
                <w:color w:val="auto"/>
              </w:rPr>
            </w:pPr>
            <w:r>
              <w:rPr>
                <w:rFonts w:ascii="Arial" w:cs="Arial" w:eastAsia="Arial" w:hAnsi="Arial"/>
                <w:sz w:val="16"/>
                <w:szCs w:val="16"/>
                <w:b w:val="1"/>
                <w:bCs w:val="1"/>
                <w:color w:val="auto"/>
              </w:rPr>
              <w:t>SoCalGas:</w:t>
            </w:r>
          </w:p>
        </w:tc>
        <w:tc>
          <w:tcPr>
            <w:tcW w:w="8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13"/>
        </w:trPr>
        <w:tc>
          <w:tcPr>
            <w:tcW w:w="7840" w:type="dxa"/>
            <w:vAlign w:val="bottom"/>
          </w:tcPr>
          <w:p>
            <w:pPr>
              <w:spacing w:after="0"/>
              <w:rPr>
                <w:sz w:val="20"/>
                <w:szCs w:val="20"/>
                <w:color w:val="auto"/>
              </w:rPr>
            </w:pPr>
            <w:r>
              <w:rPr>
                <w:rFonts w:ascii="Arial" w:cs="Arial" w:eastAsia="Arial" w:hAnsi="Arial"/>
                <w:sz w:val="16"/>
                <w:szCs w:val="16"/>
                <w:color w:val="auto"/>
              </w:rPr>
              <w:t>Current:</w:t>
            </w:r>
          </w:p>
        </w:tc>
        <w:tc>
          <w:tcPr>
            <w:tcW w:w="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3"/>
        </w:trPr>
        <w:tc>
          <w:tcPr>
            <w:tcW w:w="7840" w:type="dxa"/>
            <w:vAlign w:val="bottom"/>
          </w:tcPr>
          <w:p>
            <w:pPr>
              <w:ind w:left="180"/>
              <w:spacing w:after="0"/>
              <w:rPr>
                <w:sz w:val="20"/>
                <w:szCs w:val="20"/>
                <w:color w:val="auto"/>
              </w:rPr>
            </w:pPr>
            <w:r>
              <w:rPr>
                <w:rFonts w:ascii="Arial" w:cs="Arial" w:eastAsia="Arial" w:hAnsi="Arial"/>
                <w:sz w:val="16"/>
                <w:szCs w:val="16"/>
                <w:color w:val="auto"/>
              </w:rPr>
              <w:t>Due from Sempra Energy(2)</w:t>
            </w:r>
          </w:p>
        </w:tc>
        <w:tc>
          <w:tcPr>
            <w:tcW w:w="88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40"/>
              <w:spacing w:after="0"/>
              <w:rPr>
                <w:sz w:val="20"/>
                <w:szCs w:val="20"/>
                <w:color w:val="auto"/>
              </w:rPr>
            </w:pPr>
            <w:r>
              <w:rPr>
                <w:rFonts w:ascii="Arial" w:cs="Arial" w:eastAsia="Arial" w:hAnsi="Arial"/>
                <w:sz w:val="16"/>
                <w:szCs w:val="16"/>
                <w:color w:val="auto"/>
              </w:rPr>
              <w:t>265</w:t>
            </w:r>
          </w:p>
        </w:tc>
        <w:tc>
          <w:tcPr>
            <w:tcW w:w="880" w:type="dxa"/>
            <w:vAlign w:val="bottom"/>
          </w:tcPr>
          <w:p>
            <w:pPr>
              <w:jc w:val="right"/>
              <w:ind w:right="38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w:t>
            </w:r>
          </w:p>
        </w:tc>
      </w:tr>
      <w:tr>
        <w:trPr>
          <w:trHeight w:val="213"/>
        </w:trPr>
        <w:tc>
          <w:tcPr>
            <w:tcW w:w="7840" w:type="dxa"/>
            <w:vAlign w:val="bottom"/>
          </w:tcPr>
          <w:p>
            <w:pPr>
              <w:ind w:left="180"/>
              <w:spacing w:after="0"/>
              <w:rPr>
                <w:sz w:val="20"/>
                <w:szCs w:val="20"/>
                <w:color w:val="auto"/>
              </w:rPr>
            </w:pPr>
            <w:r>
              <w:rPr>
                <w:rFonts w:ascii="Arial" w:cs="Arial" w:eastAsia="Arial" w:hAnsi="Arial"/>
                <w:sz w:val="16"/>
                <w:szCs w:val="16"/>
                <w:color w:val="auto"/>
              </w:rPr>
              <w:t>Due from SDG&amp;E</w:t>
            </w:r>
          </w:p>
        </w:tc>
        <w:tc>
          <w:tcPr>
            <w:tcW w:w="880" w:type="dxa"/>
            <w:vAlign w:val="bottom"/>
          </w:tcPr>
          <w:p>
            <w:pPr>
              <w:spacing w:after="0"/>
              <w:rPr>
                <w:sz w:val="18"/>
                <w:szCs w:val="18"/>
                <w:color w:val="auto"/>
              </w:rPr>
            </w:pPr>
          </w:p>
        </w:tc>
        <w:tc>
          <w:tcPr>
            <w:tcW w:w="1060" w:type="dxa"/>
            <w:vAlign w:val="bottom"/>
          </w:tcPr>
          <w:p>
            <w:pPr>
              <w:jc w:val="right"/>
              <w:ind w:right="240"/>
              <w:spacing w:after="0"/>
              <w:rPr>
                <w:sz w:val="20"/>
                <w:szCs w:val="20"/>
                <w:color w:val="auto"/>
              </w:rPr>
            </w:pPr>
            <w:r>
              <w:rPr>
                <w:rFonts w:ascii="Arial" w:cs="Arial" w:eastAsia="Arial" w:hAnsi="Arial"/>
                <w:sz w:val="16"/>
                <w:szCs w:val="16"/>
                <w:color w:val="auto"/>
              </w:rPr>
              <w:t>9</w:t>
            </w:r>
          </w:p>
        </w:tc>
        <w:tc>
          <w:tcPr>
            <w:tcW w:w="880" w:type="dxa"/>
            <w:vAlign w:val="bottom"/>
          </w:tcPr>
          <w:p>
            <w:pPr>
              <w:spacing w:after="0"/>
              <w:rPr>
                <w:sz w:val="18"/>
                <w:szCs w:val="18"/>
                <w:color w:val="auto"/>
              </w:rPr>
            </w:pP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w:t>
            </w:r>
          </w:p>
        </w:tc>
      </w:tr>
      <w:tr>
        <w:trPr>
          <w:trHeight w:val="204"/>
        </w:trPr>
        <w:tc>
          <w:tcPr>
            <w:tcW w:w="7840" w:type="dxa"/>
            <w:vAlign w:val="bottom"/>
          </w:tcPr>
          <w:p>
            <w:pPr>
              <w:ind w:left="180"/>
              <w:spacing w:after="0"/>
              <w:rPr>
                <w:sz w:val="20"/>
                <w:szCs w:val="20"/>
                <w:color w:val="auto"/>
              </w:rPr>
            </w:pPr>
            <w:r>
              <w:rPr>
                <w:rFonts w:ascii="Arial" w:cs="Arial" w:eastAsia="Arial" w:hAnsi="Arial"/>
                <w:sz w:val="16"/>
                <w:szCs w:val="16"/>
                <w:color w:val="auto"/>
              </w:rPr>
              <w:t>Due from various affiliates</w:t>
            </w:r>
          </w:p>
        </w:tc>
        <w:tc>
          <w:tcPr>
            <w:tcW w:w="8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r>
      <w:tr>
        <w:trPr>
          <w:trHeight w:val="212"/>
        </w:trPr>
        <w:tc>
          <w:tcPr>
            <w:tcW w:w="7840" w:type="dxa"/>
            <w:vAlign w:val="bottom"/>
          </w:tcPr>
          <w:p>
            <w:pPr>
              <w:spacing w:after="0"/>
              <w:rPr>
                <w:sz w:val="18"/>
                <w:szCs w:val="18"/>
                <w:color w:val="auto"/>
              </w:rPr>
            </w:pPr>
          </w:p>
        </w:tc>
        <w:tc>
          <w:tcPr>
            <w:tcW w:w="88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274</w:t>
            </w:r>
          </w:p>
        </w:tc>
        <w:tc>
          <w:tcPr>
            <w:tcW w:w="88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r>
      <w:tr>
        <w:trPr>
          <w:trHeight w:val="644"/>
        </w:trPr>
        <w:tc>
          <w:tcPr>
            <w:tcW w:w="7840" w:type="dxa"/>
            <w:vAlign w:val="bottom"/>
          </w:tcPr>
          <w:p>
            <w:pPr>
              <w:ind w:left="180"/>
              <w:spacing w:after="0"/>
              <w:rPr>
                <w:sz w:val="20"/>
                <w:szCs w:val="20"/>
                <w:color w:val="auto"/>
              </w:rPr>
            </w:pPr>
            <w:r>
              <w:rPr>
                <w:rFonts w:ascii="Arial" w:cs="Arial" w:eastAsia="Arial" w:hAnsi="Arial"/>
                <w:sz w:val="16"/>
                <w:szCs w:val="16"/>
                <w:color w:val="auto"/>
              </w:rPr>
              <w:t>Due to Sempra Energy</w:t>
            </w:r>
          </w:p>
        </w:tc>
        <w:tc>
          <w:tcPr>
            <w:tcW w:w="88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r>
      <w:tr>
        <w:trPr>
          <w:trHeight w:val="646"/>
        </w:trPr>
        <w:tc>
          <w:tcPr>
            <w:tcW w:w="7840" w:type="dxa"/>
            <w:vAlign w:val="bottom"/>
          </w:tcPr>
          <w:p>
            <w:pPr>
              <w:spacing w:after="0"/>
              <w:rPr>
                <w:sz w:val="20"/>
                <w:szCs w:val="20"/>
                <w:color w:val="auto"/>
              </w:rPr>
            </w:pPr>
            <w:r>
              <w:rPr>
                <w:rFonts w:ascii="Arial" w:cs="Arial" w:eastAsia="Arial" w:hAnsi="Arial"/>
                <w:sz w:val="16"/>
                <w:szCs w:val="16"/>
                <w:color w:val="auto"/>
              </w:rPr>
              <w:t>Income taxes due from Sempra Energy(1)</w:t>
            </w:r>
          </w:p>
        </w:tc>
        <w:tc>
          <w:tcPr>
            <w:tcW w:w="88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40"/>
              <w:spacing w:after="0"/>
              <w:rPr>
                <w:sz w:val="20"/>
                <w:szCs w:val="20"/>
                <w:color w:val="auto"/>
              </w:rPr>
            </w:pPr>
            <w:r>
              <w:rPr>
                <w:rFonts w:ascii="Arial" w:cs="Arial" w:eastAsia="Arial" w:hAnsi="Arial"/>
                <w:sz w:val="16"/>
                <w:szCs w:val="16"/>
                <w:color w:val="auto"/>
              </w:rPr>
              <w:t>21</w:t>
            </w:r>
          </w:p>
        </w:tc>
        <w:tc>
          <w:tcPr>
            <w:tcW w:w="880" w:type="dxa"/>
            <w:vAlign w:val="bottom"/>
          </w:tcPr>
          <w:p>
            <w:pPr>
              <w:jc w:val="right"/>
              <w:ind w:right="38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724852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8525" cy="17145"/>
                    </a:xfrm>
                    <a:prstGeom prst="rect">
                      <a:avLst/>
                    </a:prstGeom>
                    <a:noFill/>
                  </pic:spPr>
                </pic:pic>
              </a:graphicData>
            </a:graphic>
          </wp:anchor>
        </w:drawing>
      </w:r>
    </w:p>
    <w:p>
      <w:pPr>
        <w:ind w:left="440" w:hanging="434"/>
        <w:spacing w:after="0" w:line="248" w:lineRule="auto"/>
        <w:tabs>
          <w:tab w:leader="none" w:pos="440" w:val="left"/>
        </w:tabs>
        <w:numPr>
          <w:ilvl w:val="0"/>
          <w:numId w:val="21"/>
        </w:numPr>
        <w:rPr>
          <w:rFonts w:ascii="Arial" w:cs="Arial" w:eastAsia="Arial" w:hAnsi="Arial"/>
          <w:sz w:val="14"/>
          <w:szCs w:val="14"/>
          <w:i w:val="1"/>
          <w:iCs w:val="1"/>
          <w:color w:val="auto"/>
        </w:rPr>
      </w:pPr>
      <w:r>
        <w:rPr>
          <w:rFonts w:ascii="Arial" w:cs="Arial" w:eastAsia="Arial" w:hAnsi="Arial"/>
          <w:sz w:val="14"/>
          <w:szCs w:val="14"/>
          <w:i w:val="1"/>
          <w:iCs w:val="1"/>
          <w:color w:val="auto"/>
        </w:rPr>
        <w:t>SDG&amp;E and SoCalGas are included in the consolidated income tax return of Sempra Energy and are allocated income tax expense from Sempra Energy in an amount equal to that which would result from the companies’ having always filed separate returns.</w:t>
      </w:r>
    </w:p>
    <w:p>
      <w:pPr>
        <w:ind w:left="440" w:hanging="434"/>
        <w:spacing w:after="0"/>
        <w:tabs>
          <w:tab w:leader="none" w:pos="440" w:val="left"/>
        </w:tabs>
        <w:numPr>
          <w:ilvl w:val="0"/>
          <w:numId w:val="21"/>
        </w:numPr>
        <w:rPr>
          <w:rFonts w:ascii="Arial" w:cs="Arial" w:eastAsia="Arial" w:hAnsi="Arial"/>
          <w:sz w:val="14"/>
          <w:szCs w:val="14"/>
          <w:i w:val="1"/>
          <w:iCs w:val="1"/>
          <w:color w:val="auto"/>
        </w:rPr>
      </w:pPr>
      <w:r>
        <w:rPr>
          <w:rFonts w:ascii="Arial" w:cs="Arial" w:eastAsia="Arial" w:hAnsi="Arial"/>
          <w:sz w:val="14"/>
          <w:szCs w:val="14"/>
          <w:i w:val="1"/>
          <w:iCs w:val="1"/>
          <w:color w:val="auto"/>
        </w:rPr>
        <w:t>Net receivable includes a loan to Sempra Energy of $281 million at September 30, 2014 at an interest rate of 0.08 percent.</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Revenues from unconsolidated affiliates at SDG&amp;E and SoCalGas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298450</wp:posOffset>
            </wp:positionV>
            <wp:extent cx="7248525" cy="2787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8525" cy="27876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REVENUES FROM UNCONSOLIDATED AFFILIATES AT SDG&amp;E AND SOCALGAS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06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1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shd w:val="clear" w:color="auto" w:fill="C0C0C0"/>
          </w:tcPr>
          <w:p>
            <w:pPr>
              <w:spacing w:after="0"/>
              <w:rPr>
                <w:sz w:val="16"/>
                <w:szCs w:val="16"/>
                <w:color w:val="auto"/>
              </w:rPr>
            </w:pPr>
          </w:p>
        </w:tc>
        <w:tc>
          <w:tcPr>
            <w:tcW w:w="300" w:type="dxa"/>
            <w:vAlign w:val="bottom"/>
            <w:shd w:val="clear" w:color="auto" w:fill="C0C0C0"/>
          </w:tcPr>
          <w:p>
            <w:pPr>
              <w:spacing w:after="0"/>
              <w:rPr>
                <w:sz w:val="16"/>
                <w:szCs w:val="16"/>
                <w:color w:val="auto"/>
              </w:rPr>
            </w:pPr>
          </w:p>
        </w:tc>
        <w:tc>
          <w:tcPr>
            <w:tcW w:w="1280" w:type="dxa"/>
            <w:vAlign w:val="bottom"/>
            <w:shd w:val="clear" w:color="auto" w:fill="C0C0C0"/>
          </w:tcPr>
          <w:p>
            <w:pPr>
              <w:spacing w:after="0"/>
              <w:rPr>
                <w:sz w:val="16"/>
                <w:szCs w:val="16"/>
                <w:color w:val="auto"/>
              </w:rPr>
            </w:pPr>
          </w:p>
        </w:tc>
        <w:tc>
          <w:tcPr>
            <w:tcW w:w="460" w:type="dxa"/>
            <w:vAlign w:val="bottom"/>
            <w:shd w:val="clear" w:color="auto" w:fill="C0C0C0"/>
          </w:tcPr>
          <w:p>
            <w:pPr>
              <w:spacing w:after="0"/>
              <w:rPr>
                <w:sz w:val="16"/>
                <w:szCs w:val="16"/>
                <w:color w:val="auto"/>
              </w:rPr>
            </w:pPr>
          </w:p>
        </w:tc>
        <w:tc>
          <w:tcPr>
            <w:tcW w:w="1000" w:type="dxa"/>
            <w:vAlign w:val="bottom"/>
            <w:shd w:val="clear" w:color="auto" w:fill="C0C0C0"/>
          </w:tcPr>
          <w:p>
            <w:pPr>
              <w:spacing w:after="0"/>
              <w:rPr>
                <w:sz w:val="16"/>
                <w:szCs w:val="16"/>
                <w:color w:val="auto"/>
              </w:rPr>
            </w:pPr>
          </w:p>
        </w:tc>
        <w:tc>
          <w:tcPr>
            <w:tcW w:w="20" w:type="dxa"/>
            <w:vAlign w:val="bottom"/>
          </w:tcPr>
          <w:p>
            <w:pPr>
              <w:spacing w:after="0"/>
              <w:rPr>
                <w:sz w:val="16"/>
                <w:szCs w:val="16"/>
                <w:color w:val="auto"/>
              </w:rPr>
            </w:pPr>
          </w:p>
        </w:tc>
      </w:tr>
      <w:tr>
        <w:trPr>
          <w:trHeight w:val="199"/>
        </w:trPr>
        <w:tc>
          <w:tcPr>
            <w:tcW w:w="5060" w:type="dxa"/>
            <w:vAlign w:val="bottom"/>
          </w:tcPr>
          <w:p>
            <w:pPr>
              <w:spacing w:after="0"/>
              <w:rPr>
                <w:sz w:val="17"/>
                <w:szCs w:val="17"/>
                <w:color w:val="auto"/>
              </w:rPr>
            </w:pPr>
          </w:p>
        </w:tc>
        <w:tc>
          <w:tcPr>
            <w:tcW w:w="2860" w:type="dxa"/>
            <w:vAlign w:val="bottom"/>
            <w:gridSpan w:val="3"/>
          </w:tcPr>
          <w:p>
            <w:pPr>
              <w:jc w:val="right"/>
              <w:ind w:right="65"/>
              <w:spacing w:after="0"/>
              <w:rPr>
                <w:sz w:val="20"/>
                <w:szCs w:val="20"/>
                <w:color w:val="auto"/>
              </w:rPr>
            </w:pPr>
            <w:r>
              <w:rPr>
                <w:rFonts w:ascii="Arial" w:cs="Arial" w:eastAsia="Arial" w:hAnsi="Arial"/>
                <w:sz w:val="14"/>
                <w:szCs w:val="14"/>
                <w:color w:val="auto"/>
              </w:rPr>
              <w:t>Three months ended September 30,</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60" w:type="dxa"/>
            <w:vAlign w:val="bottom"/>
            <w:gridSpan w:val="4"/>
          </w:tcPr>
          <w:p>
            <w:pPr>
              <w:jc w:val="right"/>
              <w:ind w:right="520"/>
              <w:spacing w:after="0"/>
              <w:rPr>
                <w:sz w:val="20"/>
                <w:szCs w:val="20"/>
                <w:color w:val="auto"/>
              </w:rPr>
            </w:pPr>
            <w:r>
              <w:rPr>
                <w:rFonts w:ascii="Arial" w:cs="Arial" w:eastAsia="Arial" w:hAnsi="Arial"/>
                <w:sz w:val="14"/>
                <w:szCs w:val="14"/>
                <w:color w:val="auto"/>
              </w:rPr>
              <w:t>Nine months ended September 30,</w:t>
            </w:r>
          </w:p>
        </w:tc>
      </w:tr>
      <w:tr>
        <w:trPr>
          <w:trHeight w:val="206"/>
        </w:trPr>
        <w:tc>
          <w:tcPr>
            <w:tcW w:w="5060" w:type="dxa"/>
            <w:vAlign w:val="bottom"/>
            <w:tcBorders>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146"/>
              <w:spacing w:after="0"/>
              <w:rPr>
                <w:sz w:val="20"/>
                <w:szCs w:val="20"/>
                <w:color w:val="auto"/>
              </w:rPr>
            </w:pPr>
            <w:r>
              <w:rPr>
                <w:rFonts w:ascii="Arial" w:cs="Arial" w:eastAsia="Arial" w:hAnsi="Arial"/>
                <w:sz w:val="14"/>
                <w:szCs w:val="14"/>
                <w:color w:val="auto"/>
              </w:rPr>
              <w:t>2014</w:t>
            </w:r>
          </w:p>
        </w:tc>
        <w:tc>
          <w:tcPr>
            <w:tcW w:w="5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4"/>
                <w:szCs w:val="14"/>
                <w:color w:val="auto"/>
              </w:rPr>
              <w:t>2013</w:t>
            </w:r>
          </w:p>
        </w:tc>
        <w:tc>
          <w:tcPr>
            <w:tcW w:w="32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705"/>
              <w:spacing w:after="0"/>
              <w:rPr>
                <w:sz w:val="20"/>
                <w:szCs w:val="20"/>
                <w:color w:val="auto"/>
              </w:rPr>
            </w:pPr>
            <w:r>
              <w:rPr>
                <w:rFonts w:ascii="Arial" w:cs="Arial" w:eastAsia="Arial" w:hAnsi="Arial"/>
                <w:sz w:val="14"/>
                <w:szCs w:val="14"/>
                <w:color w:val="auto"/>
              </w:rPr>
              <w:t>2014</w:t>
            </w:r>
          </w:p>
        </w:tc>
        <w:tc>
          <w:tcPr>
            <w:tcW w:w="4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83"/>
              <w:spacing w:after="0"/>
              <w:rPr>
                <w:sz w:val="20"/>
                <w:szCs w:val="20"/>
                <w:color w:val="auto"/>
              </w:rPr>
            </w:pPr>
            <w:r>
              <w:rPr>
                <w:rFonts w:ascii="Arial" w:cs="Arial" w:eastAsia="Arial" w:hAnsi="Arial"/>
                <w:sz w:val="14"/>
                <w:szCs w:val="14"/>
                <w:color w:val="auto"/>
              </w:rPr>
              <w:t>2013</w:t>
            </w:r>
          </w:p>
        </w:tc>
        <w:tc>
          <w:tcPr>
            <w:tcW w:w="20" w:type="dxa"/>
            <w:vAlign w:val="bottom"/>
          </w:tcPr>
          <w:p>
            <w:pPr>
              <w:spacing w:after="0"/>
              <w:rPr>
                <w:sz w:val="17"/>
                <w:szCs w:val="17"/>
                <w:color w:val="auto"/>
              </w:rPr>
            </w:pPr>
          </w:p>
        </w:tc>
      </w:tr>
      <w:tr>
        <w:trPr>
          <w:trHeight w:val="186"/>
        </w:trPr>
        <w:tc>
          <w:tcPr>
            <w:tcW w:w="5060" w:type="dxa"/>
            <w:vAlign w:val="bottom"/>
          </w:tcPr>
          <w:p>
            <w:pPr>
              <w:spacing w:after="0"/>
              <w:rPr>
                <w:sz w:val="20"/>
                <w:szCs w:val="20"/>
                <w:color w:val="auto"/>
              </w:rPr>
            </w:pPr>
            <w:r>
              <w:rPr>
                <w:rFonts w:ascii="Arial" w:cs="Arial" w:eastAsia="Arial" w:hAnsi="Arial"/>
                <w:sz w:val="16"/>
                <w:szCs w:val="16"/>
                <w:color w:val="auto"/>
              </w:rPr>
              <w:t>SDG&amp;E</w:t>
            </w:r>
          </w:p>
        </w:tc>
        <w:tc>
          <w:tcPr>
            <w:tcW w:w="1180" w:type="dxa"/>
            <w:vAlign w:val="bottom"/>
          </w:tcPr>
          <w:p>
            <w:pPr>
              <w:jc w:val="right"/>
              <w:ind w:right="706"/>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60"/>
              <w:spacing w:after="0"/>
              <w:rPr>
                <w:sz w:val="20"/>
                <w:szCs w:val="20"/>
                <w:color w:val="auto"/>
              </w:rPr>
            </w:pPr>
            <w:r>
              <w:rPr>
                <w:rFonts w:ascii="Arial" w:cs="Arial" w:eastAsia="Arial" w:hAnsi="Arial"/>
                <w:sz w:val="16"/>
                <w:szCs w:val="16"/>
                <w:color w:val="auto"/>
              </w:rPr>
              <w:t>2</w:t>
            </w:r>
          </w:p>
        </w:tc>
        <w:tc>
          <w:tcPr>
            <w:tcW w:w="1120" w:type="dxa"/>
            <w:vAlign w:val="bottom"/>
          </w:tcPr>
          <w:p>
            <w:pPr>
              <w:jc w:val="right"/>
              <w:ind w:right="805"/>
              <w:spacing w:after="0"/>
              <w:rPr>
                <w:sz w:val="20"/>
                <w:szCs w:val="20"/>
                <w:color w:val="auto"/>
              </w:rPr>
            </w:pPr>
            <w:r>
              <w:rPr>
                <w:rFonts w:ascii="Arial" w:cs="Arial" w:eastAsia="Arial" w:hAnsi="Arial"/>
                <w:sz w:val="16"/>
                <w:szCs w:val="16"/>
                <w:color w:val="auto"/>
              </w:rPr>
              <w:t>$</w:t>
            </w:r>
          </w:p>
        </w:tc>
        <w:tc>
          <w:tcPr>
            <w:tcW w:w="460" w:type="dxa"/>
            <w:vAlign w:val="bottom"/>
            <w:gridSpan w:val="2"/>
          </w:tcPr>
          <w:p>
            <w:pPr>
              <w:jc w:val="right"/>
              <w:ind w:right="140"/>
              <w:spacing w:after="0"/>
              <w:rPr>
                <w:sz w:val="20"/>
                <w:szCs w:val="20"/>
                <w:color w:val="auto"/>
              </w:rPr>
            </w:pPr>
            <w:r>
              <w:rPr>
                <w:rFonts w:ascii="Arial" w:cs="Arial" w:eastAsia="Arial" w:hAnsi="Arial"/>
                <w:sz w:val="16"/>
                <w:szCs w:val="16"/>
                <w:color w:val="auto"/>
              </w:rPr>
              <w:t>3</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65"/>
              <w:spacing w:after="0"/>
              <w:rPr>
                <w:sz w:val="20"/>
                <w:szCs w:val="20"/>
                <w:color w:val="auto"/>
              </w:rPr>
            </w:pPr>
            <w:r>
              <w:rPr>
                <w:rFonts w:ascii="Arial" w:cs="Arial" w:eastAsia="Arial" w:hAnsi="Arial"/>
                <w:sz w:val="16"/>
                <w:szCs w:val="16"/>
                <w:color w:val="auto"/>
              </w:rPr>
              <w:t>8</w:t>
            </w:r>
          </w:p>
        </w:tc>
        <w:tc>
          <w:tcPr>
            <w:tcW w:w="46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8</w:t>
            </w:r>
          </w:p>
        </w:tc>
        <w:tc>
          <w:tcPr>
            <w:tcW w:w="20" w:type="dxa"/>
            <w:vAlign w:val="bottom"/>
          </w:tcPr>
          <w:p>
            <w:pPr>
              <w:spacing w:after="0"/>
              <w:rPr>
                <w:sz w:val="16"/>
                <w:szCs w:val="16"/>
                <w:color w:val="auto"/>
              </w:rPr>
            </w:pPr>
          </w:p>
        </w:tc>
      </w:tr>
      <w:tr>
        <w:trPr>
          <w:trHeight w:val="200"/>
        </w:trPr>
        <w:tc>
          <w:tcPr>
            <w:tcW w:w="506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SoCalGas</w:t>
            </w:r>
          </w:p>
        </w:tc>
        <w:tc>
          <w:tcPr>
            <w:tcW w:w="1180" w:type="dxa"/>
            <w:vAlign w:val="bottom"/>
            <w:tcBorders>
              <w:bottom w:val="single" w:sz="8" w:color="C0C0C0"/>
            </w:tcBorders>
          </w:tcPr>
          <w:p>
            <w:pPr>
              <w:spacing w:after="0"/>
              <w:rPr>
                <w:sz w:val="17"/>
                <w:szCs w:val="17"/>
                <w:color w:val="auto"/>
              </w:rPr>
            </w:pPr>
          </w:p>
        </w:tc>
        <w:tc>
          <w:tcPr>
            <w:tcW w:w="560" w:type="dxa"/>
            <w:vAlign w:val="bottom"/>
            <w:tcBorders>
              <w:bottom w:val="single" w:sz="8" w:color="C0C0C0"/>
            </w:tcBorders>
          </w:tcPr>
          <w:p>
            <w:pPr>
              <w:jc w:val="right"/>
              <w:ind w:right="60"/>
              <w:spacing w:after="0"/>
              <w:rPr>
                <w:sz w:val="20"/>
                <w:szCs w:val="20"/>
                <w:color w:val="auto"/>
              </w:rPr>
            </w:pPr>
            <w:r>
              <w:rPr>
                <w:rFonts w:ascii="Arial" w:cs="Arial" w:eastAsia="Arial" w:hAnsi="Arial"/>
                <w:sz w:val="16"/>
                <w:szCs w:val="16"/>
                <w:color w:val="auto"/>
              </w:rPr>
              <w:t>17</w:t>
            </w:r>
          </w:p>
        </w:tc>
        <w:tc>
          <w:tcPr>
            <w:tcW w:w="1120" w:type="dxa"/>
            <w:vAlign w:val="bottom"/>
            <w:tcBorders>
              <w:bottom w:val="single" w:sz="8" w:color="C0C0C0"/>
            </w:tcBorders>
          </w:tcPr>
          <w:p>
            <w:pPr>
              <w:spacing w:after="0"/>
              <w:rPr>
                <w:sz w:val="17"/>
                <w:szCs w:val="17"/>
                <w:color w:val="auto"/>
              </w:rPr>
            </w:pPr>
          </w:p>
        </w:tc>
        <w:tc>
          <w:tcPr>
            <w:tcW w:w="460" w:type="dxa"/>
            <w:vAlign w:val="bottom"/>
            <w:tcBorders>
              <w:bottom w:val="single" w:sz="8" w:color="C0C0C0"/>
            </w:tcBorders>
            <w:gridSpan w:val="2"/>
          </w:tcPr>
          <w:p>
            <w:pPr>
              <w:jc w:val="right"/>
              <w:ind w:right="140"/>
              <w:spacing w:after="0"/>
              <w:rPr>
                <w:sz w:val="20"/>
                <w:szCs w:val="20"/>
                <w:color w:val="auto"/>
              </w:rPr>
            </w:pPr>
            <w:r>
              <w:rPr>
                <w:rFonts w:ascii="Arial" w:cs="Arial" w:eastAsia="Arial" w:hAnsi="Arial"/>
                <w:sz w:val="16"/>
                <w:szCs w:val="16"/>
                <w:color w:val="auto"/>
              </w:rPr>
              <w:t>17</w:t>
            </w:r>
          </w:p>
        </w:tc>
        <w:tc>
          <w:tcPr>
            <w:tcW w:w="300" w:type="dxa"/>
            <w:vAlign w:val="bottom"/>
            <w:tcBorders>
              <w:bottom w:val="single" w:sz="8" w:color="C0C0C0"/>
            </w:tcBorders>
          </w:tcPr>
          <w:p>
            <w:pPr>
              <w:spacing w:after="0"/>
              <w:rPr>
                <w:sz w:val="17"/>
                <w:szCs w:val="17"/>
                <w:color w:val="auto"/>
              </w:rPr>
            </w:pPr>
          </w:p>
        </w:tc>
        <w:tc>
          <w:tcPr>
            <w:tcW w:w="1280" w:type="dxa"/>
            <w:vAlign w:val="bottom"/>
            <w:tcBorders>
              <w:bottom w:val="single" w:sz="8" w:color="C0C0C0"/>
            </w:tcBorders>
          </w:tcPr>
          <w:p>
            <w:pPr>
              <w:jc w:val="right"/>
              <w:ind w:right="65"/>
              <w:spacing w:after="0"/>
              <w:rPr>
                <w:sz w:val="20"/>
                <w:szCs w:val="20"/>
                <w:color w:val="auto"/>
              </w:rPr>
            </w:pPr>
            <w:r>
              <w:rPr>
                <w:rFonts w:ascii="Arial" w:cs="Arial" w:eastAsia="Arial" w:hAnsi="Arial"/>
                <w:sz w:val="16"/>
                <w:szCs w:val="16"/>
                <w:color w:val="auto"/>
              </w:rPr>
              <w:t>51</w:t>
            </w:r>
          </w:p>
        </w:tc>
        <w:tc>
          <w:tcPr>
            <w:tcW w:w="460" w:type="dxa"/>
            <w:vAlign w:val="bottom"/>
            <w:tcBorders>
              <w:bottom w:val="single" w:sz="8" w:color="C0C0C0"/>
            </w:tcBorders>
          </w:tcPr>
          <w:p>
            <w:pPr>
              <w:spacing w:after="0"/>
              <w:rPr>
                <w:sz w:val="17"/>
                <w:szCs w:val="17"/>
                <w:color w:val="auto"/>
              </w:rPr>
            </w:pPr>
          </w:p>
        </w:tc>
        <w:tc>
          <w:tcPr>
            <w:tcW w:w="1020" w:type="dxa"/>
            <w:vAlign w:val="bottom"/>
            <w:tcBorders>
              <w:bottom w:val="single" w:sz="8" w:color="C0C0C0"/>
            </w:tcBorders>
            <w:gridSpan w:val="2"/>
          </w:tcPr>
          <w:p>
            <w:pPr>
              <w:jc w:val="right"/>
              <w:ind w:right="20"/>
              <w:spacing w:after="0"/>
              <w:rPr>
                <w:sz w:val="20"/>
                <w:szCs w:val="20"/>
                <w:color w:val="auto"/>
              </w:rPr>
            </w:pPr>
            <w:r>
              <w:rPr>
                <w:rFonts w:ascii="Arial" w:cs="Arial" w:eastAsia="Arial" w:hAnsi="Arial"/>
                <w:sz w:val="16"/>
                <w:szCs w:val="16"/>
                <w:color w:val="auto"/>
              </w:rPr>
              <w:t>48</w:t>
            </w: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Income, Net on the Condensed Consolidated Statements of Operations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298450</wp:posOffset>
            </wp:positionV>
            <wp:extent cx="7248525" cy="2787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8525" cy="27876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INCOME, NET</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30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shd w:val="clear" w:color="auto" w:fill="C0C0C0"/>
          </w:tcPr>
          <w:p>
            <w:pPr>
              <w:spacing w:after="0"/>
              <w:rPr>
                <w:sz w:val="16"/>
                <w:szCs w:val="16"/>
                <w:color w:val="auto"/>
              </w:rPr>
            </w:pPr>
          </w:p>
        </w:tc>
        <w:tc>
          <w:tcPr>
            <w:tcW w:w="540" w:type="dxa"/>
            <w:vAlign w:val="bottom"/>
            <w:shd w:val="clear" w:color="auto" w:fill="C0C0C0"/>
          </w:tcPr>
          <w:p>
            <w:pPr>
              <w:spacing w:after="0"/>
              <w:rPr>
                <w:sz w:val="16"/>
                <w:szCs w:val="16"/>
                <w:color w:val="auto"/>
              </w:rPr>
            </w:pPr>
          </w:p>
        </w:tc>
        <w:tc>
          <w:tcPr>
            <w:tcW w:w="740" w:type="dxa"/>
            <w:vAlign w:val="bottom"/>
            <w:shd w:val="clear" w:color="auto" w:fill="C0C0C0"/>
          </w:tcPr>
          <w:p>
            <w:pPr>
              <w:spacing w:after="0"/>
              <w:rPr>
                <w:sz w:val="16"/>
                <w:szCs w:val="16"/>
                <w:color w:val="auto"/>
              </w:rPr>
            </w:pPr>
          </w:p>
        </w:tc>
        <w:tc>
          <w:tcPr>
            <w:tcW w:w="240" w:type="dxa"/>
            <w:vAlign w:val="bottom"/>
            <w:shd w:val="clear" w:color="auto" w:fill="C0C0C0"/>
          </w:tcPr>
          <w:p>
            <w:pPr>
              <w:spacing w:after="0"/>
              <w:rPr>
                <w:sz w:val="16"/>
                <w:szCs w:val="16"/>
                <w:color w:val="auto"/>
              </w:rPr>
            </w:pPr>
          </w:p>
        </w:tc>
        <w:tc>
          <w:tcPr>
            <w:tcW w:w="1040" w:type="dxa"/>
            <w:vAlign w:val="bottom"/>
            <w:shd w:val="clear" w:color="auto" w:fill="C0C0C0"/>
          </w:tcPr>
          <w:p>
            <w:pPr>
              <w:spacing w:after="0"/>
              <w:rPr>
                <w:sz w:val="16"/>
                <w:szCs w:val="16"/>
                <w:color w:val="auto"/>
              </w:rPr>
            </w:pPr>
          </w:p>
        </w:tc>
        <w:tc>
          <w:tcPr>
            <w:tcW w:w="520" w:type="dxa"/>
            <w:vAlign w:val="bottom"/>
            <w:shd w:val="clear" w:color="auto" w:fill="C0C0C0"/>
          </w:tcPr>
          <w:p>
            <w:pPr>
              <w:spacing w:after="0"/>
              <w:rPr>
                <w:sz w:val="16"/>
                <w:szCs w:val="16"/>
                <w:color w:val="auto"/>
              </w:rPr>
            </w:pPr>
          </w:p>
        </w:tc>
        <w:tc>
          <w:tcPr>
            <w:tcW w:w="640" w:type="dxa"/>
            <w:vAlign w:val="bottom"/>
            <w:shd w:val="clear" w:color="auto" w:fill="C0C0C0"/>
          </w:tcPr>
          <w:p>
            <w:pPr>
              <w:spacing w:after="0"/>
              <w:rPr>
                <w:sz w:val="16"/>
                <w:szCs w:val="16"/>
                <w:color w:val="auto"/>
              </w:rPr>
            </w:pPr>
          </w:p>
        </w:tc>
      </w:tr>
      <w:tr>
        <w:trPr>
          <w:trHeight w:val="228"/>
        </w:trPr>
        <w:tc>
          <w:tcPr>
            <w:tcW w:w="6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color w:val="auto"/>
              </w:rPr>
              <w:t>Three months ended</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Nine months ended</w:t>
            </w:r>
          </w:p>
        </w:tc>
        <w:tc>
          <w:tcPr>
            <w:tcW w:w="640" w:type="dxa"/>
            <w:vAlign w:val="bottom"/>
          </w:tcPr>
          <w:p>
            <w:pPr>
              <w:spacing w:after="0"/>
              <w:rPr>
                <w:sz w:val="19"/>
                <w:szCs w:val="19"/>
                <w:color w:val="auto"/>
              </w:rPr>
            </w:pPr>
          </w:p>
        </w:tc>
      </w:tr>
      <w:tr>
        <w:trPr>
          <w:trHeight w:val="184"/>
        </w:trPr>
        <w:tc>
          <w:tcPr>
            <w:tcW w:w="63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color w:val="auto"/>
              </w:rPr>
              <w:t>September 30,</w:t>
            </w:r>
          </w:p>
        </w:tc>
        <w:tc>
          <w:tcPr>
            <w:tcW w:w="7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September 30,</w:t>
            </w:r>
          </w:p>
        </w:tc>
        <w:tc>
          <w:tcPr>
            <w:tcW w:w="640" w:type="dxa"/>
            <w:vAlign w:val="bottom"/>
            <w:tcBorders>
              <w:bottom w:val="single" w:sz="8" w:color="auto"/>
            </w:tcBorders>
          </w:tcPr>
          <w:p>
            <w:pPr>
              <w:spacing w:after="0"/>
              <w:rPr>
                <w:sz w:val="15"/>
                <w:szCs w:val="15"/>
                <w:color w:val="auto"/>
              </w:rPr>
            </w:pPr>
          </w:p>
        </w:tc>
      </w:tr>
      <w:tr>
        <w:trPr>
          <w:trHeight w:val="206"/>
        </w:trPr>
        <w:tc>
          <w:tcPr>
            <w:tcW w:w="63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color w:val="auto"/>
              </w:rPr>
              <w:t>2014</w:t>
            </w: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color w:val="auto"/>
                <w:w w:val="89"/>
              </w:rPr>
              <w:t>2013</w:t>
            </w: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color w:val="auto"/>
              </w:rPr>
              <w:t>2014</w:t>
            </w:r>
          </w:p>
        </w:tc>
        <w:tc>
          <w:tcPr>
            <w:tcW w:w="5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color w:val="auto"/>
              </w:rPr>
              <w:t>2013</w:t>
            </w:r>
          </w:p>
        </w:tc>
      </w:tr>
      <w:tr>
        <w:trPr>
          <w:trHeight w:val="194"/>
        </w:trPr>
        <w:tc>
          <w:tcPr>
            <w:tcW w:w="6300" w:type="dxa"/>
            <w:vAlign w:val="bottom"/>
          </w:tcPr>
          <w:p>
            <w:pPr>
              <w:spacing w:after="0"/>
              <w:rPr>
                <w:sz w:val="20"/>
                <w:szCs w:val="20"/>
                <w:color w:val="auto"/>
              </w:rPr>
            </w:pPr>
            <w:r>
              <w:rPr>
                <w:rFonts w:ascii="Arial" w:cs="Arial" w:eastAsia="Arial" w:hAnsi="Arial"/>
                <w:sz w:val="16"/>
                <w:szCs w:val="16"/>
                <w:b w:val="1"/>
                <w:bCs w:val="1"/>
                <w:color w:val="auto"/>
              </w:rPr>
              <w:t>Sempra Energy Consolidated:</w:t>
            </w: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2"/>
        </w:trPr>
        <w:tc>
          <w:tcPr>
            <w:tcW w:w="6300" w:type="dxa"/>
            <w:vAlign w:val="bottom"/>
          </w:tcPr>
          <w:p>
            <w:pPr>
              <w:spacing w:after="0"/>
              <w:rPr>
                <w:sz w:val="20"/>
                <w:szCs w:val="20"/>
                <w:color w:val="auto"/>
              </w:rPr>
            </w:pPr>
            <w:r>
              <w:rPr>
                <w:rFonts w:ascii="Arial" w:cs="Arial" w:eastAsia="Arial" w:hAnsi="Arial"/>
                <w:sz w:val="16"/>
                <w:szCs w:val="16"/>
                <w:color w:val="auto"/>
              </w:rPr>
              <w:t>Allowance for equity funds used during construction</w:t>
            </w:r>
          </w:p>
        </w:tc>
        <w:tc>
          <w:tcPr>
            <w:tcW w:w="5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28</w:t>
            </w:r>
          </w:p>
        </w:tc>
        <w:tc>
          <w:tcPr>
            <w:tcW w:w="54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61"/>
              <w:spacing w:after="0"/>
              <w:rPr>
                <w:sz w:val="20"/>
                <w:szCs w:val="20"/>
                <w:color w:val="auto"/>
              </w:rPr>
            </w:pPr>
            <w:r>
              <w:rPr>
                <w:rFonts w:ascii="Arial" w:cs="Arial" w:eastAsia="Arial" w:hAnsi="Arial"/>
                <w:sz w:val="16"/>
                <w:szCs w:val="16"/>
                <w:color w:val="auto"/>
              </w:rPr>
              <w:t>14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62"/>
              <w:spacing w:after="0"/>
              <w:rPr>
                <w:sz w:val="20"/>
                <w:szCs w:val="20"/>
                <w:color w:val="auto"/>
              </w:rPr>
            </w:pPr>
            <w:r>
              <w:rPr>
                <w:rFonts w:ascii="Arial" w:cs="Arial" w:eastAsia="Arial" w:hAnsi="Arial"/>
                <w:sz w:val="16"/>
                <w:szCs w:val="16"/>
                <w:color w:val="auto"/>
              </w:rPr>
              <w:t>77</w:t>
            </w:r>
          </w:p>
        </w:tc>
        <w:tc>
          <w:tcPr>
            <w:tcW w:w="52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13"/>
        </w:trPr>
        <w:tc>
          <w:tcPr>
            <w:tcW w:w="6300" w:type="dxa"/>
            <w:vAlign w:val="bottom"/>
          </w:tcPr>
          <w:p>
            <w:pPr>
              <w:spacing w:after="0"/>
              <w:rPr>
                <w:sz w:val="20"/>
                <w:szCs w:val="20"/>
                <w:color w:val="auto"/>
              </w:rPr>
            </w:pPr>
            <w:r>
              <w:rPr>
                <w:rFonts w:ascii="Arial" w:cs="Arial" w:eastAsia="Arial" w:hAnsi="Arial"/>
                <w:sz w:val="16"/>
                <w:szCs w:val="16"/>
                <w:color w:val="auto"/>
              </w:rPr>
              <w:t>Investment (losses) gains(1)</w:t>
            </w: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jc w:val="right"/>
              <w:ind w:right="61"/>
              <w:spacing w:after="0"/>
              <w:rPr>
                <w:sz w:val="20"/>
                <w:szCs w:val="20"/>
                <w:color w:val="auto"/>
              </w:rPr>
            </w:pPr>
            <w:r>
              <w:rPr>
                <w:rFonts w:ascii="Arial" w:cs="Arial" w:eastAsia="Arial" w:hAnsi="Arial"/>
                <w:sz w:val="16"/>
                <w:szCs w:val="16"/>
                <w:color w:val="auto"/>
              </w:rPr>
              <w:t>(6)</w:t>
            </w:r>
          </w:p>
        </w:tc>
        <w:tc>
          <w:tcPr>
            <w:tcW w:w="240" w:type="dxa"/>
            <w:vAlign w:val="bottom"/>
          </w:tcPr>
          <w:p>
            <w:pPr>
              <w:spacing w:after="0"/>
              <w:rPr>
                <w:sz w:val="18"/>
                <w:szCs w:val="18"/>
                <w:color w:val="auto"/>
              </w:rPr>
            </w:pPr>
          </w:p>
        </w:tc>
        <w:tc>
          <w:tcPr>
            <w:tcW w:w="1040" w:type="dxa"/>
            <w:vAlign w:val="bottom"/>
          </w:tcPr>
          <w:p>
            <w:pPr>
              <w:jc w:val="right"/>
              <w:ind w:right="62"/>
              <w:spacing w:after="0"/>
              <w:rPr>
                <w:sz w:val="20"/>
                <w:szCs w:val="20"/>
                <w:color w:val="auto"/>
              </w:rPr>
            </w:pPr>
            <w:r>
              <w:rPr>
                <w:rFonts w:ascii="Arial" w:cs="Arial" w:eastAsia="Arial" w:hAnsi="Arial"/>
                <w:sz w:val="16"/>
                <w:szCs w:val="16"/>
                <w:color w:val="auto"/>
              </w:rPr>
              <w:t>20</w:t>
            </w:r>
          </w:p>
        </w:tc>
        <w:tc>
          <w:tcPr>
            <w:tcW w:w="5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13"/>
        </w:trPr>
        <w:tc>
          <w:tcPr>
            <w:tcW w:w="6300" w:type="dxa"/>
            <w:vAlign w:val="bottom"/>
          </w:tcPr>
          <w:p>
            <w:pPr>
              <w:spacing w:after="0"/>
              <w:rPr>
                <w:sz w:val="20"/>
                <w:szCs w:val="20"/>
                <w:color w:val="auto"/>
              </w:rPr>
            </w:pPr>
            <w:r>
              <w:rPr>
                <w:rFonts w:ascii="Arial" w:cs="Arial" w:eastAsia="Arial" w:hAnsi="Arial"/>
                <w:sz w:val="16"/>
                <w:szCs w:val="16"/>
                <w:color w:val="auto"/>
              </w:rPr>
              <w:t>(Losses) gains on interest rate and foreign exchange instruments, net</w:t>
            </w: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jc w:val="right"/>
              <w:ind w:right="61"/>
              <w:spacing w:after="0"/>
              <w:rPr>
                <w:sz w:val="20"/>
                <w:szCs w:val="20"/>
                <w:color w:val="auto"/>
              </w:rPr>
            </w:pPr>
            <w:r>
              <w:rPr>
                <w:rFonts w:ascii="Arial" w:cs="Arial" w:eastAsia="Arial" w:hAnsi="Arial"/>
                <w:sz w:val="16"/>
                <w:szCs w:val="16"/>
                <w:color w:val="auto"/>
              </w:rPr>
              <w:t>4</w:t>
            </w:r>
          </w:p>
        </w:tc>
        <w:tc>
          <w:tcPr>
            <w:tcW w:w="240" w:type="dxa"/>
            <w:vAlign w:val="bottom"/>
          </w:tcPr>
          <w:p>
            <w:pPr>
              <w:spacing w:after="0"/>
              <w:rPr>
                <w:sz w:val="18"/>
                <w:szCs w:val="18"/>
                <w:color w:val="auto"/>
              </w:rPr>
            </w:pPr>
          </w:p>
        </w:tc>
        <w:tc>
          <w:tcPr>
            <w:tcW w:w="1040" w:type="dxa"/>
            <w:vAlign w:val="bottom"/>
          </w:tcPr>
          <w:p>
            <w:pPr>
              <w:jc w:val="right"/>
              <w:ind w:right="62"/>
              <w:spacing w:after="0"/>
              <w:rPr>
                <w:sz w:val="20"/>
                <w:szCs w:val="20"/>
                <w:color w:val="auto"/>
              </w:rPr>
            </w:pPr>
            <w:r>
              <w:rPr>
                <w:rFonts w:ascii="Arial" w:cs="Arial" w:eastAsia="Arial" w:hAnsi="Arial"/>
                <w:sz w:val="16"/>
                <w:szCs w:val="16"/>
                <w:color w:val="auto"/>
              </w:rPr>
              <w:t>3</w:t>
            </w:r>
          </w:p>
        </w:tc>
        <w:tc>
          <w:tcPr>
            <w:tcW w:w="5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13"/>
        </w:trPr>
        <w:tc>
          <w:tcPr>
            <w:tcW w:w="6300" w:type="dxa"/>
            <w:vAlign w:val="bottom"/>
          </w:tcPr>
          <w:p>
            <w:pPr>
              <w:spacing w:after="0"/>
              <w:rPr>
                <w:sz w:val="20"/>
                <w:szCs w:val="20"/>
                <w:color w:val="auto"/>
              </w:rPr>
            </w:pPr>
            <w:r>
              <w:rPr>
                <w:rFonts w:ascii="Arial" w:cs="Arial" w:eastAsia="Arial" w:hAnsi="Arial"/>
                <w:sz w:val="16"/>
                <w:szCs w:val="16"/>
                <w:color w:val="auto"/>
              </w:rPr>
              <w:t>Regulatory interest, net(2)</w:t>
            </w:r>
          </w:p>
        </w:tc>
        <w:tc>
          <w:tcPr>
            <w:tcW w:w="5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2</w:t>
            </w:r>
          </w:p>
        </w:tc>
        <w:tc>
          <w:tcPr>
            <w:tcW w:w="540" w:type="dxa"/>
            <w:vAlign w:val="bottom"/>
          </w:tcPr>
          <w:p>
            <w:pPr>
              <w:spacing w:after="0"/>
              <w:rPr>
                <w:sz w:val="18"/>
                <w:szCs w:val="18"/>
                <w:color w:val="auto"/>
              </w:rPr>
            </w:pPr>
          </w:p>
        </w:tc>
        <w:tc>
          <w:tcPr>
            <w:tcW w:w="740" w:type="dxa"/>
            <w:vAlign w:val="bottom"/>
          </w:tcPr>
          <w:p>
            <w:pPr>
              <w:jc w:val="right"/>
              <w:ind w:right="61"/>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8"/>
                <w:szCs w:val="18"/>
                <w:color w:val="auto"/>
              </w:rPr>
            </w:pPr>
          </w:p>
        </w:tc>
        <w:tc>
          <w:tcPr>
            <w:tcW w:w="1040" w:type="dxa"/>
            <w:vAlign w:val="bottom"/>
          </w:tcPr>
          <w:p>
            <w:pPr>
              <w:jc w:val="right"/>
              <w:ind w:right="62"/>
              <w:spacing w:after="0"/>
              <w:rPr>
                <w:sz w:val="20"/>
                <w:szCs w:val="20"/>
                <w:color w:val="auto"/>
              </w:rPr>
            </w:pPr>
            <w:r>
              <w:rPr>
                <w:rFonts w:ascii="Arial" w:cs="Arial" w:eastAsia="Arial" w:hAnsi="Arial"/>
                <w:sz w:val="16"/>
                <w:szCs w:val="16"/>
                <w:color w:val="auto"/>
              </w:rPr>
              <w:t>5</w:t>
            </w:r>
          </w:p>
        </w:tc>
        <w:tc>
          <w:tcPr>
            <w:tcW w:w="5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04"/>
        </w:trPr>
        <w:tc>
          <w:tcPr>
            <w:tcW w:w="6300" w:type="dxa"/>
            <w:vAlign w:val="bottom"/>
          </w:tcPr>
          <w:p>
            <w:pPr>
              <w:spacing w:after="0"/>
              <w:rPr>
                <w:sz w:val="20"/>
                <w:szCs w:val="20"/>
                <w:color w:val="auto"/>
              </w:rPr>
            </w:pPr>
            <w:r>
              <w:rPr>
                <w:rFonts w:ascii="Arial" w:cs="Arial" w:eastAsia="Arial" w:hAnsi="Arial"/>
                <w:sz w:val="16"/>
                <w:szCs w:val="16"/>
                <w:color w:val="auto"/>
              </w:rPr>
              <w:t>Sundry, net</w:t>
            </w: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8</w:t>
            </w:r>
          </w:p>
        </w:tc>
        <w:tc>
          <w:tcPr>
            <w:tcW w:w="5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3</w:t>
            </w: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13</w:t>
            </w:r>
          </w:p>
        </w:tc>
        <w:tc>
          <w:tcPr>
            <w:tcW w:w="5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173"/>
        </w:trPr>
        <w:tc>
          <w:tcPr>
            <w:tcW w:w="6300" w:type="dxa"/>
            <w:vAlign w:val="bottom"/>
            <w:tcBorders>
              <w:bottom w:val="single" w:sz="8" w:color="auto"/>
            </w:tcBorders>
          </w:tcPr>
          <w:p>
            <w:pPr>
              <w:ind w:left="140"/>
              <w:spacing w:after="0" w:line="166" w:lineRule="exact"/>
              <w:rPr>
                <w:sz w:val="20"/>
                <w:szCs w:val="20"/>
                <w:color w:val="auto"/>
              </w:rPr>
            </w:pPr>
            <w:r>
              <w:rPr>
                <w:rFonts w:ascii="Arial" w:cs="Arial" w:eastAsia="Arial" w:hAnsi="Arial"/>
                <w:sz w:val="16"/>
                <w:szCs w:val="16"/>
                <w:color w:val="auto"/>
              </w:rPr>
              <w:t>Total</w:t>
            </w:r>
          </w:p>
        </w:tc>
        <w:tc>
          <w:tcPr>
            <w:tcW w:w="500" w:type="dxa"/>
            <w:vAlign w:val="bottom"/>
            <w:tcBorders>
              <w:bottom w:val="single" w:sz="8" w:color="auto"/>
            </w:tcBorders>
          </w:tcPr>
          <w:p>
            <w:pPr>
              <w:jc w:val="right"/>
              <w:ind w:right="40"/>
              <w:spacing w:after="0" w:line="166"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gridSpan w:val="2"/>
          </w:tcPr>
          <w:p>
            <w:pPr>
              <w:jc w:val="right"/>
              <w:ind w:right="140"/>
              <w:spacing w:after="0" w:line="166" w:lineRule="exact"/>
              <w:rPr>
                <w:sz w:val="20"/>
                <w:szCs w:val="20"/>
                <w:color w:val="auto"/>
              </w:rPr>
            </w:pPr>
            <w:r>
              <w:rPr>
                <w:rFonts w:ascii="Arial" w:cs="Arial" w:eastAsia="Arial" w:hAnsi="Arial"/>
                <w:sz w:val="16"/>
                <w:szCs w:val="16"/>
                <w:color w:val="auto"/>
              </w:rPr>
              <w:t>29</w:t>
            </w:r>
          </w:p>
        </w:tc>
        <w:tc>
          <w:tcPr>
            <w:tcW w:w="540" w:type="dxa"/>
            <w:vAlign w:val="bottom"/>
            <w:tcBorders>
              <w:bottom w:val="single" w:sz="8" w:color="auto"/>
            </w:tcBorders>
          </w:tcPr>
          <w:p>
            <w:pPr>
              <w:jc w:val="right"/>
              <w:ind w:right="220"/>
              <w:spacing w:after="0" w:line="166" w:lineRule="exact"/>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61"/>
              <w:spacing w:after="0" w:line="166" w:lineRule="exact"/>
              <w:rPr>
                <w:sz w:val="20"/>
                <w:szCs w:val="20"/>
                <w:color w:val="auto"/>
              </w:rPr>
            </w:pPr>
            <w:r>
              <w:rPr>
                <w:rFonts w:ascii="Arial" w:cs="Arial" w:eastAsia="Arial" w:hAnsi="Arial"/>
                <w:sz w:val="16"/>
                <w:szCs w:val="16"/>
                <w:color w:val="auto"/>
              </w:rPr>
              <w:t>16</w:t>
            </w:r>
          </w:p>
        </w:tc>
        <w:tc>
          <w:tcPr>
            <w:tcW w:w="24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62"/>
              <w:spacing w:after="0" w:line="166" w:lineRule="exact"/>
              <w:rPr>
                <w:sz w:val="20"/>
                <w:szCs w:val="20"/>
                <w:color w:val="auto"/>
              </w:rPr>
            </w:pPr>
            <w:r>
              <w:rPr>
                <w:rFonts w:ascii="Arial" w:cs="Arial" w:eastAsia="Arial" w:hAnsi="Arial"/>
                <w:sz w:val="16"/>
                <w:szCs w:val="16"/>
                <w:color w:val="auto"/>
              </w:rPr>
              <w:t>118</w:t>
            </w:r>
          </w:p>
        </w:tc>
        <w:tc>
          <w:tcPr>
            <w:tcW w:w="520" w:type="dxa"/>
            <w:vAlign w:val="bottom"/>
            <w:tcBorders>
              <w:bottom w:val="single" w:sz="8" w:color="auto"/>
            </w:tcBorders>
          </w:tcPr>
          <w:p>
            <w:pPr>
              <w:jc w:val="right"/>
              <w:ind w:right="200"/>
              <w:spacing w:after="0" w:line="166" w:lineRule="exact"/>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79</w:t>
            </w:r>
          </w:p>
        </w:tc>
      </w:tr>
      <w:tr>
        <w:trPr>
          <w:trHeight w:val="201"/>
        </w:trPr>
        <w:tc>
          <w:tcPr>
            <w:tcW w:w="630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192"/>
        </w:trPr>
        <w:tc>
          <w:tcPr>
            <w:tcW w:w="6300" w:type="dxa"/>
            <w:vAlign w:val="bottom"/>
          </w:tcPr>
          <w:p>
            <w:pPr>
              <w:spacing w:after="0"/>
              <w:rPr>
                <w:sz w:val="20"/>
                <w:szCs w:val="20"/>
                <w:color w:val="auto"/>
              </w:rPr>
            </w:pPr>
            <w:r>
              <w:rPr>
                <w:rFonts w:ascii="Arial" w:cs="Arial" w:eastAsia="Arial" w:hAnsi="Arial"/>
                <w:sz w:val="16"/>
                <w:szCs w:val="16"/>
                <w:color w:val="auto"/>
              </w:rPr>
              <w:t>Allowance for equity funds used during construction</w:t>
            </w:r>
          </w:p>
        </w:tc>
        <w:tc>
          <w:tcPr>
            <w:tcW w:w="5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8</w:t>
            </w:r>
          </w:p>
        </w:tc>
        <w:tc>
          <w:tcPr>
            <w:tcW w:w="54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61"/>
              <w:spacing w:after="0"/>
              <w:rPr>
                <w:sz w:val="20"/>
                <w:szCs w:val="20"/>
                <w:color w:val="auto"/>
              </w:rPr>
            </w:pPr>
            <w:r>
              <w:rPr>
                <w:rFonts w:ascii="Arial" w:cs="Arial" w:eastAsia="Arial" w:hAnsi="Arial"/>
                <w:sz w:val="16"/>
                <w:szCs w:val="16"/>
                <w:color w:val="auto"/>
              </w:rPr>
              <w:t>10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62"/>
              <w:spacing w:after="0"/>
              <w:rPr>
                <w:sz w:val="20"/>
                <w:szCs w:val="20"/>
                <w:color w:val="auto"/>
              </w:rPr>
            </w:pPr>
            <w:r>
              <w:rPr>
                <w:rFonts w:ascii="Arial" w:cs="Arial" w:eastAsia="Arial" w:hAnsi="Arial"/>
                <w:sz w:val="16"/>
                <w:szCs w:val="16"/>
                <w:color w:val="auto"/>
              </w:rPr>
              <w:t>26</w:t>
            </w:r>
          </w:p>
        </w:tc>
        <w:tc>
          <w:tcPr>
            <w:tcW w:w="52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3"/>
        </w:trPr>
        <w:tc>
          <w:tcPr>
            <w:tcW w:w="6300" w:type="dxa"/>
            <w:vAlign w:val="bottom"/>
          </w:tcPr>
          <w:p>
            <w:pPr>
              <w:spacing w:after="0"/>
              <w:rPr>
                <w:sz w:val="20"/>
                <w:szCs w:val="20"/>
                <w:color w:val="auto"/>
              </w:rPr>
            </w:pPr>
            <w:r>
              <w:rPr>
                <w:rFonts w:ascii="Arial" w:cs="Arial" w:eastAsia="Arial" w:hAnsi="Arial"/>
                <w:sz w:val="16"/>
                <w:szCs w:val="16"/>
                <w:color w:val="auto"/>
              </w:rPr>
              <w:t>Regulatory interest, net(2)</w:t>
            </w:r>
          </w:p>
        </w:tc>
        <w:tc>
          <w:tcPr>
            <w:tcW w:w="5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2</w:t>
            </w:r>
          </w:p>
        </w:tc>
        <w:tc>
          <w:tcPr>
            <w:tcW w:w="540" w:type="dxa"/>
            <w:vAlign w:val="bottom"/>
          </w:tcPr>
          <w:p>
            <w:pPr>
              <w:spacing w:after="0"/>
              <w:rPr>
                <w:sz w:val="18"/>
                <w:szCs w:val="18"/>
                <w:color w:val="auto"/>
              </w:rPr>
            </w:pPr>
          </w:p>
        </w:tc>
        <w:tc>
          <w:tcPr>
            <w:tcW w:w="740" w:type="dxa"/>
            <w:vAlign w:val="bottom"/>
          </w:tcPr>
          <w:p>
            <w:pPr>
              <w:jc w:val="right"/>
              <w:ind w:right="61"/>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8"/>
                <w:szCs w:val="18"/>
                <w:color w:val="auto"/>
              </w:rPr>
            </w:pPr>
          </w:p>
        </w:tc>
        <w:tc>
          <w:tcPr>
            <w:tcW w:w="1040" w:type="dxa"/>
            <w:vAlign w:val="bottom"/>
          </w:tcPr>
          <w:p>
            <w:pPr>
              <w:jc w:val="right"/>
              <w:ind w:right="62"/>
              <w:spacing w:after="0"/>
              <w:rPr>
                <w:sz w:val="20"/>
                <w:szCs w:val="20"/>
                <w:color w:val="auto"/>
              </w:rPr>
            </w:pPr>
            <w:r>
              <w:rPr>
                <w:rFonts w:ascii="Arial" w:cs="Arial" w:eastAsia="Arial" w:hAnsi="Arial"/>
                <w:sz w:val="16"/>
                <w:szCs w:val="16"/>
                <w:color w:val="auto"/>
              </w:rPr>
              <w:t>5</w:t>
            </w:r>
          </w:p>
        </w:tc>
        <w:tc>
          <w:tcPr>
            <w:tcW w:w="5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04"/>
        </w:trPr>
        <w:tc>
          <w:tcPr>
            <w:tcW w:w="6300" w:type="dxa"/>
            <w:vAlign w:val="bottom"/>
          </w:tcPr>
          <w:p>
            <w:pPr>
              <w:spacing w:after="0"/>
              <w:rPr>
                <w:sz w:val="20"/>
                <w:szCs w:val="20"/>
                <w:color w:val="auto"/>
              </w:rPr>
            </w:pPr>
            <w:r>
              <w:rPr>
                <w:rFonts w:ascii="Arial" w:cs="Arial" w:eastAsia="Arial" w:hAnsi="Arial"/>
                <w:sz w:val="16"/>
                <w:szCs w:val="16"/>
                <w:color w:val="auto"/>
              </w:rPr>
              <w:t>Sundry, net</w:t>
            </w:r>
          </w:p>
        </w:tc>
        <w:tc>
          <w:tcPr>
            <w:tcW w:w="5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w:t>
            </w: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(2)</w:t>
            </w:r>
          </w:p>
        </w:tc>
        <w:tc>
          <w:tcPr>
            <w:tcW w:w="5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173"/>
        </w:trPr>
        <w:tc>
          <w:tcPr>
            <w:tcW w:w="6300" w:type="dxa"/>
            <w:vAlign w:val="bottom"/>
            <w:tcBorders>
              <w:bottom w:val="single" w:sz="8" w:color="auto"/>
            </w:tcBorders>
          </w:tcPr>
          <w:p>
            <w:pPr>
              <w:ind w:left="140"/>
              <w:spacing w:after="0" w:line="166" w:lineRule="exact"/>
              <w:rPr>
                <w:sz w:val="20"/>
                <w:szCs w:val="20"/>
                <w:color w:val="auto"/>
              </w:rPr>
            </w:pPr>
            <w:r>
              <w:rPr>
                <w:rFonts w:ascii="Arial" w:cs="Arial" w:eastAsia="Arial" w:hAnsi="Arial"/>
                <w:sz w:val="16"/>
                <w:szCs w:val="16"/>
                <w:color w:val="auto"/>
              </w:rPr>
              <w:t>Total</w:t>
            </w:r>
          </w:p>
        </w:tc>
        <w:tc>
          <w:tcPr>
            <w:tcW w:w="500" w:type="dxa"/>
            <w:vAlign w:val="bottom"/>
            <w:tcBorders>
              <w:bottom w:val="single" w:sz="8" w:color="auto"/>
            </w:tcBorders>
          </w:tcPr>
          <w:p>
            <w:pPr>
              <w:jc w:val="right"/>
              <w:ind w:right="40"/>
              <w:spacing w:after="0" w:line="166"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gridSpan w:val="2"/>
          </w:tcPr>
          <w:p>
            <w:pPr>
              <w:jc w:val="right"/>
              <w:ind w:right="140"/>
              <w:spacing w:after="0" w:line="166" w:lineRule="exact"/>
              <w:rPr>
                <w:sz w:val="20"/>
                <w:szCs w:val="20"/>
                <w:color w:val="auto"/>
              </w:rPr>
            </w:pPr>
            <w:r>
              <w:rPr>
                <w:rFonts w:ascii="Arial" w:cs="Arial" w:eastAsia="Arial" w:hAnsi="Arial"/>
                <w:sz w:val="16"/>
                <w:szCs w:val="16"/>
                <w:color w:val="auto"/>
              </w:rPr>
              <w:t>9</w:t>
            </w:r>
          </w:p>
        </w:tc>
        <w:tc>
          <w:tcPr>
            <w:tcW w:w="540" w:type="dxa"/>
            <w:vAlign w:val="bottom"/>
            <w:tcBorders>
              <w:bottom w:val="single" w:sz="8" w:color="auto"/>
            </w:tcBorders>
          </w:tcPr>
          <w:p>
            <w:pPr>
              <w:jc w:val="right"/>
              <w:ind w:right="220"/>
              <w:spacing w:after="0" w:line="166" w:lineRule="exact"/>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61"/>
              <w:spacing w:after="0" w:line="166" w:lineRule="exact"/>
              <w:rPr>
                <w:sz w:val="20"/>
                <w:szCs w:val="20"/>
                <w:color w:val="auto"/>
              </w:rPr>
            </w:pPr>
            <w:r>
              <w:rPr>
                <w:rFonts w:ascii="Arial" w:cs="Arial" w:eastAsia="Arial" w:hAnsi="Arial"/>
                <w:sz w:val="16"/>
                <w:szCs w:val="16"/>
                <w:color w:val="auto"/>
              </w:rPr>
              <w:t>10</w:t>
            </w:r>
          </w:p>
        </w:tc>
        <w:tc>
          <w:tcPr>
            <w:tcW w:w="24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62"/>
              <w:spacing w:after="0" w:line="166" w:lineRule="exact"/>
              <w:rPr>
                <w:sz w:val="20"/>
                <w:szCs w:val="20"/>
                <w:color w:val="auto"/>
              </w:rPr>
            </w:pPr>
            <w:r>
              <w:rPr>
                <w:rFonts w:ascii="Arial" w:cs="Arial" w:eastAsia="Arial" w:hAnsi="Arial"/>
                <w:sz w:val="16"/>
                <w:szCs w:val="16"/>
                <w:color w:val="auto"/>
              </w:rPr>
              <w:t>29</w:t>
            </w:r>
          </w:p>
        </w:tc>
        <w:tc>
          <w:tcPr>
            <w:tcW w:w="520" w:type="dxa"/>
            <w:vAlign w:val="bottom"/>
            <w:tcBorders>
              <w:bottom w:val="single" w:sz="8" w:color="auto"/>
            </w:tcBorders>
          </w:tcPr>
          <w:p>
            <w:pPr>
              <w:jc w:val="right"/>
              <w:ind w:right="200"/>
              <w:spacing w:after="0" w:line="166" w:lineRule="exact"/>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30</w:t>
            </w:r>
          </w:p>
        </w:tc>
      </w:tr>
      <w:tr>
        <w:trPr>
          <w:trHeight w:val="201"/>
        </w:trPr>
        <w:tc>
          <w:tcPr>
            <w:tcW w:w="6300" w:type="dxa"/>
            <w:vAlign w:val="bottom"/>
          </w:tcPr>
          <w:p>
            <w:pPr>
              <w:spacing w:after="0"/>
              <w:rPr>
                <w:sz w:val="20"/>
                <w:szCs w:val="20"/>
                <w:color w:val="auto"/>
              </w:rPr>
            </w:pPr>
            <w:r>
              <w:rPr>
                <w:rFonts w:ascii="Arial" w:cs="Arial" w:eastAsia="Arial" w:hAnsi="Arial"/>
                <w:sz w:val="16"/>
                <w:szCs w:val="16"/>
                <w:b w:val="1"/>
                <w:bCs w:val="1"/>
                <w:color w:val="auto"/>
              </w:rPr>
              <w:t>SoCalGas:</w:t>
            </w: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192"/>
        </w:trPr>
        <w:tc>
          <w:tcPr>
            <w:tcW w:w="6300" w:type="dxa"/>
            <w:vAlign w:val="bottom"/>
          </w:tcPr>
          <w:p>
            <w:pPr>
              <w:spacing w:after="0"/>
              <w:rPr>
                <w:sz w:val="20"/>
                <w:szCs w:val="20"/>
                <w:color w:val="auto"/>
              </w:rPr>
            </w:pPr>
            <w:r>
              <w:rPr>
                <w:rFonts w:ascii="Arial" w:cs="Arial" w:eastAsia="Arial" w:hAnsi="Arial"/>
                <w:sz w:val="16"/>
                <w:szCs w:val="16"/>
                <w:color w:val="auto"/>
              </w:rPr>
              <w:t>Allowance for equity funds used during construction</w:t>
            </w:r>
          </w:p>
        </w:tc>
        <w:tc>
          <w:tcPr>
            <w:tcW w:w="5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7</w:t>
            </w:r>
          </w:p>
        </w:tc>
        <w:tc>
          <w:tcPr>
            <w:tcW w:w="54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61"/>
              <w:spacing w:after="0"/>
              <w:rPr>
                <w:sz w:val="20"/>
                <w:szCs w:val="20"/>
                <w:color w:val="auto"/>
              </w:rPr>
            </w:pPr>
            <w:r>
              <w:rPr>
                <w:rFonts w:ascii="Arial" w:cs="Arial" w:eastAsia="Arial" w:hAnsi="Arial"/>
                <w:sz w:val="16"/>
                <w:szCs w:val="16"/>
                <w:color w:val="auto"/>
              </w:rPr>
              <w:t>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62"/>
              <w:spacing w:after="0"/>
              <w:rPr>
                <w:sz w:val="20"/>
                <w:szCs w:val="20"/>
                <w:color w:val="auto"/>
              </w:rPr>
            </w:pPr>
            <w:r>
              <w:rPr>
                <w:rFonts w:ascii="Arial" w:cs="Arial" w:eastAsia="Arial" w:hAnsi="Arial"/>
                <w:sz w:val="16"/>
                <w:szCs w:val="16"/>
                <w:color w:val="auto"/>
              </w:rPr>
              <w:t>18</w:t>
            </w:r>
          </w:p>
        </w:tc>
        <w:tc>
          <w:tcPr>
            <w:tcW w:w="52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04"/>
        </w:trPr>
        <w:tc>
          <w:tcPr>
            <w:tcW w:w="6300" w:type="dxa"/>
            <w:vAlign w:val="bottom"/>
          </w:tcPr>
          <w:p>
            <w:pPr>
              <w:spacing w:after="0"/>
              <w:rPr>
                <w:sz w:val="20"/>
                <w:szCs w:val="20"/>
                <w:color w:val="auto"/>
              </w:rPr>
            </w:pPr>
            <w:r>
              <w:rPr>
                <w:rFonts w:ascii="Arial" w:cs="Arial" w:eastAsia="Arial" w:hAnsi="Arial"/>
                <w:sz w:val="16"/>
                <w:szCs w:val="16"/>
                <w:color w:val="auto"/>
              </w:rPr>
              <w:t>Sundry, net</w:t>
            </w:r>
          </w:p>
        </w:tc>
        <w:tc>
          <w:tcPr>
            <w:tcW w:w="5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(2)</w:t>
            </w: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(5)</w:t>
            </w:r>
          </w:p>
        </w:tc>
        <w:tc>
          <w:tcPr>
            <w:tcW w:w="5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173"/>
        </w:trPr>
        <w:tc>
          <w:tcPr>
            <w:tcW w:w="6300" w:type="dxa"/>
            <w:vAlign w:val="bottom"/>
            <w:tcBorders>
              <w:bottom w:val="single" w:sz="8" w:color="auto"/>
            </w:tcBorders>
          </w:tcPr>
          <w:p>
            <w:pPr>
              <w:ind w:left="140"/>
              <w:spacing w:after="0" w:line="166" w:lineRule="exact"/>
              <w:rPr>
                <w:sz w:val="20"/>
                <w:szCs w:val="20"/>
                <w:color w:val="auto"/>
              </w:rPr>
            </w:pPr>
            <w:r>
              <w:rPr>
                <w:rFonts w:ascii="Arial" w:cs="Arial" w:eastAsia="Arial" w:hAnsi="Arial"/>
                <w:sz w:val="16"/>
                <w:szCs w:val="16"/>
                <w:color w:val="auto"/>
              </w:rPr>
              <w:t>Total</w:t>
            </w:r>
          </w:p>
        </w:tc>
        <w:tc>
          <w:tcPr>
            <w:tcW w:w="500" w:type="dxa"/>
            <w:vAlign w:val="bottom"/>
            <w:tcBorders>
              <w:bottom w:val="single" w:sz="8" w:color="auto"/>
            </w:tcBorders>
          </w:tcPr>
          <w:p>
            <w:pPr>
              <w:jc w:val="right"/>
              <w:ind w:right="40"/>
              <w:spacing w:after="0" w:line="166"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gridSpan w:val="2"/>
          </w:tcPr>
          <w:p>
            <w:pPr>
              <w:jc w:val="right"/>
              <w:ind w:right="140"/>
              <w:spacing w:after="0" w:line="166" w:lineRule="exact"/>
              <w:rPr>
                <w:sz w:val="20"/>
                <w:szCs w:val="20"/>
                <w:color w:val="auto"/>
              </w:rPr>
            </w:pPr>
            <w:r>
              <w:rPr>
                <w:rFonts w:ascii="Arial" w:cs="Arial" w:eastAsia="Arial" w:hAnsi="Arial"/>
                <w:sz w:val="16"/>
                <w:szCs w:val="16"/>
                <w:color w:val="auto"/>
              </w:rPr>
              <w:t>6</w:t>
            </w:r>
          </w:p>
        </w:tc>
        <w:tc>
          <w:tcPr>
            <w:tcW w:w="540" w:type="dxa"/>
            <w:vAlign w:val="bottom"/>
            <w:tcBorders>
              <w:bottom w:val="single" w:sz="8" w:color="auto"/>
            </w:tcBorders>
          </w:tcPr>
          <w:p>
            <w:pPr>
              <w:jc w:val="right"/>
              <w:ind w:right="220"/>
              <w:spacing w:after="0" w:line="166" w:lineRule="exact"/>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61"/>
              <w:spacing w:after="0" w:line="166" w:lineRule="exact"/>
              <w:rPr>
                <w:sz w:val="20"/>
                <w:szCs w:val="20"/>
                <w:color w:val="auto"/>
              </w:rPr>
            </w:pPr>
            <w:r>
              <w:rPr>
                <w:rFonts w:ascii="Arial" w:cs="Arial" w:eastAsia="Arial" w:hAnsi="Arial"/>
                <w:sz w:val="16"/>
                <w:szCs w:val="16"/>
                <w:color w:val="auto"/>
              </w:rPr>
              <w:t>2</w:t>
            </w:r>
          </w:p>
        </w:tc>
        <w:tc>
          <w:tcPr>
            <w:tcW w:w="24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62"/>
              <w:spacing w:after="0" w:line="166" w:lineRule="exact"/>
              <w:rPr>
                <w:sz w:val="20"/>
                <w:szCs w:val="20"/>
                <w:color w:val="auto"/>
              </w:rPr>
            </w:pPr>
            <w:r>
              <w:rPr>
                <w:rFonts w:ascii="Arial" w:cs="Arial" w:eastAsia="Arial" w:hAnsi="Arial"/>
                <w:sz w:val="16"/>
                <w:szCs w:val="16"/>
                <w:color w:val="auto"/>
              </w:rPr>
              <w:t>13</w:t>
            </w:r>
          </w:p>
        </w:tc>
        <w:tc>
          <w:tcPr>
            <w:tcW w:w="520" w:type="dxa"/>
            <w:vAlign w:val="bottom"/>
            <w:tcBorders>
              <w:bottom w:val="single" w:sz="8" w:color="auto"/>
            </w:tcBorders>
          </w:tcPr>
          <w:p>
            <w:pPr>
              <w:jc w:val="right"/>
              <w:ind w:right="200"/>
              <w:spacing w:after="0" w:line="166" w:lineRule="exact"/>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9</w:t>
            </w:r>
          </w:p>
        </w:tc>
      </w:tr>
    </w:tbl>
    <w:p>
      <w:pPr>
        <w:ind w:left="520" w:right="320" w:hanging="514"/>
        <w:spacing w:after="0" w:line="241" w:lineRule="auto"/>
        <w:tabs>
          <w:tab w:leader="none" w:pos="520" w:val="left"/>
        </w:tabs>
        <w:numPr>
          <w:ilvl w:val="0"/>
          <w:numId w:val="22"/>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investment (losses) gains on dedicated assets in support of our executive retirement and deferred compensation plans. These amounts are partially offset by corresponding changes in compensation expense related to the plans.</w:t>
      </w:r>
    </w:p>
    <w:p>
      <w:pPr>
        <w:ind w:left="520" w:hanging="514"/>
        <w:spacing w:after="0"/>
        <w:tabs>
          <w:tab w:leader="none" w:pos="520" w:val="left"/>
        </w:tabs>
        <w:numPr>
          <w:ilvl w:val="0"/>
          <w:numId w:val="22"/>
        </w:numPr>
        <w:rPr>
          <w:rFonts w:ascii="Arial" w:cs="Arial" w:eastAsia="Arial" w:hAnsi="Arial"/>
          <w:sz w:val="14"/>
          <w:szCs w:val="14"/>
          <w:i w:val="1"/>
          <w:iCs w:val="1"/>
          <w:color w:val="auto"/>
        </w:rPr>
      </w:pPr>
      <w:r>
        <w:rPr>
          <w:rFonts w:ascii="Arial" w:cs="Arial" w:eastAsia="Arial" w:hAnsi="Arial"/>
          <w:sz w:val="14"/>
          <w:szCs w:val="14"/>
          <w:i w:val="1"/>
          <w:iCs w:val="1"/>
          <w:color w:val="auto"/>
        </w:rPr>
        <w:t>Interest on regulatory balancing accounts.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 EXPENSE AND EFFECTIVE INCOME TAX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-104775</wp:posOffset>
            </wp:positionV>
            <wp:extent cx="7248525" cy="2197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8525" cy="21971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ind w:left="6040"/>
        <w:spacing w:after="0"/>
        <w:tabs>
          <w:tab w:leader="none" w:pos="10040" w:val="left"/>
        </w:tabs>
        <w:rPr>
          <w:sz w:val="20"/>
          <w:szCs w:val="20"/>
          <w:color w:val="auto"/>
        </w:rPr>
      </w:pPr>
      <w:r>
        <w:rPr>
          <w:rFonts w:ascii="Arial" w:cs="Arial" w:eastAsia="Arial" w:hAnsi="Arial"/>
          <w:sz w:val="14"/>
          <w:szCs w:val="14"/>
          <w:color w:val="auto"/>
        </w:rPr>
        <w:t>Effective</w:t>
      </w:r>
      <w:r>
        <w:rPr>
          <w:sz w:val="20"/>
          <w:szCs w:val="20"/>
          <w:color w:val="auto"/>
        </w:rPr>
        <w:tab/>
      </w:r>
      <w:r>
        <w:rPr>
          <w:rFonts w:ascii="Arial" w:cs="Arial" w:eastAsia="Arial" w:hAnsi="Arial"/>
          <w:sz w:val="14"/>
          <w:szCs w:val="14"/>
          <w:color w:val="auto"/>
        </w:rPr>
        <w:t>Effective</w:t>
      </w:r>
    </w:p>
    <w:p>
      <w:pPr>
        <w:sectPr>
          <w:pgSz w:w="11900" w:h="16918" w:orient="portrait"/>
          <w:cols w:equalWidth="0" w:num="1">
            <w:col w:w="11420"/>
          </w:cols>
          <w:pgMar w:left="240" w:top="138" w:right="239" w:bottom="0" w:gutter="0" w:footer="0" w:header="0"/>
          <w:type w:val="continuous"/>
        </w:sectPr>
      </w:pPr>
    </w:p>
    <w:bookmarkStart w:id="27" w:name="page28"/>
    <w:bookmarkEnd w:id="27"/>
    <w:tbl>
      <w:tblPr>
        <w:tblLayout w:type="fixed"/>
        <w:tblInd w:w="0" w:type="dxa"/>
        <w:tblCellMar>
          <w:top w:w="0" w:type="dxa"/>
          <w:left w:w="0" w:type="dxa"/>
          <w:bottom w:w="0" w:type="dxa"/>
          <w:right w:w="0" w:type="dxa"/>
        </w:tblCellMar>
      </w:tblPr>
      <w:tr>
        <w:trPr>
          <w:trHeight w:val="170"/>
        </w:trPr>
        <w:tc>
          <w:tcPr>
            <w:tcW w:w="340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Income Tax</w:t>
            </w:r>
          </w:p>
        </w:tc>
        <w:tc>
          <w:tcPr>
            <w:tcW w:w="1860" w:type="dxa"/>
            <w:vAlign w:val="bottom"/>
          </w:tcPr>
          <w:p>
            <w:pPr>
              <w:jc w:val="right"/>
              <w:ind w:right="125"/>
              <w:spacing w:after="0"/>
              <w:rPr>
                <w:sz w:val="20"/>
                <w:szCs w:val="20"/>
                <w:color w:val="auto"/>
              </w:rPr>
            </w:pPr>
            <w:r>
              <w:rPr>
                <w:rFonts w:ascii="Arial" w:cs="Arial" w:eastAsia="Arial" w:hAnsi="Arial"/>
                <w:sz w:val="14"/>
                <w:szCs w:val="14"/>
                <w:color w:val="auto"/>
              </w:rPr>
              <w:t>Income</w:t>
            </w:r>
          </w:p>
        </w:tc>
        <w:tc>
          <w:tcPr>
            <w:tcW w:w="6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Income Tax</w:t>
            </w:r>
          </w:p>
        </w:tc>
        <w:tc>
          <w:tcPr>
            <w:tcW w:w="420" w:type="dxa"/>
            <w:vAlign w:val="bottom"/>
          </w:tcPr>
          <w:p>
            <w:pPr>
              <w:spacing w:after="0"/>
              <w:rPr>
                <w:sz w:val="14"/>
                <w:szCs w:val="14"/>
                <w:color w:val="auto"/>
              </w:rPr>
            </w:pPr>
          </w:p>
        </w:tc>
        <w:tc>
          <w:tcPr>
            <w:tcW w:w="2100" w:type="dxa"/>
            <w:vAlign w:val="bottom"/>
          </w:tcPr>
          <w:p>
            <w:pPr>
              <w:ind w:left="800"/>
              <w:spacing w:after="0"/>
              <w:rPr>
                <w:sz w:val="20"/>
                <w:szCs w:val="20"/>
                <w:color w:val="auto"/>
              </w:rPr>
            </w:pPr>
            <w:r>
              <w:rPr>
                <w:rFonts w:ascii="Arial" w:cs="Arial" w:eastAsia="Arial" w:hAnsi="Arial"/>
                <w:sz w:val="14"/>
                <w:szCs w:val="14"/>
                <w:color w:val="auto"/>
              </w:rPr>
              <w:t>Income</w:t>
            </w:r>
          </w:p>
        </w:tc>
      </w:tr>
      <w:tr>
        <w:trPr>
          <w:trHeight w:val="197"/>
        </w:trPr>
        <w:tc>
          <w:tcPr>
            <w:tcW w:w="3400" w:type="dxa"/>
            <w:vAlign w:val="bottom"/>
          </w:tcPr>
          <w:p>
            <w:pPr>
              <w:spacing w:after="0"/>
              <w:rPr>
                <w:sz w:val="17"/>
                <w:szCs w:val="17"/>
                <w:color w:val="auto"/>
              </w:rPr>
            </w:pPr>
          </w:p>
        </w:tc>
        <w:tc>
          <w:tcPr>
            <w:tcW w:w="1500" w:type="dxa"/>
            <w:vAlign w:val="bottom"/>
            <w:tcBorders>
              <w:bottom w:val="single" w:sz="8" w:color="auto"/>
            </w:tcBorders>
          </w:tcPr>
          <w:p>
            <w:pPr>
              <w:jc w:val="right"/>
              <w:ind w:right="85"/>
              <w:spacing w:after="0"/>
              <w:rPr>
                <w:sz w:val="20"/>
                <w:szCs w:val="20"/>
                <w:color w:val="auto"/>
              </w:rPr>
            </w:pPr>
            <w:r>
              <w:rPr>
                <w:rFonts w:ascii="Arial" w:cs="Arial" w:eastAsia="Arial" w:hAnsi="Arial"/>
                <w:sz w:val="14"/>
                <w:szCs w:val="14"/>
                <w:color w:val="auto"/>
              </w:rPr>
              <w:t>Expense</w:t>
            </w:r>
          </w:p>
        </w:tc>
        <w:tc>
          <w:tcPr>
            <w:tcW w:w="1860" w:type="dxa"/>
            <w:vAlign w:val="bottom"/>
            <w:tcBorders>
              <w:bottom w:val="single" w:sz="8" w:color="auto"/>
            </w:tcBorders>
          </w:tcPr>
          <w:p>
            <w:pPr>
              <w:jc w:val="right"/>
              <w:ind w:right="85"/>
              <w:spacing w:after="0"/>
              <w:rPr>
                <w:sz w:val="20"/>
                <w:szCs w:val="20"/>
                <w:color w:val="auto"/>
              </w:rPr>
            </w:pPr>
            <w:r>
              <w:rPr>
                <w:rFonts w:ascii="Arial" w:cs="Arial" w:eastAsia="Arial" w:hAnsi="Arial"/>
                <w:sz w:val="14"/>
                <w:szCs w:val="14"/>
                <w:color w:val="auto"/>
              </w:rPr>
              <w:t>Tax Rate</w:t>
            </w:r>
          </w:p>
        </w:tc>
        <w:tc>
          <w:tcPr>
            <w:tcW w:w="6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85"/>
              <w:spacing w:after="0"/>
              <w:rPr>
                <w:sz w:val="20"/>
                <w:szCs w:val="20"/>
                <w:color w:val="auto"/>
              </w:rPr>
            </w:pPr>
            <w:r>
              <w:rPr>
                <w:rFonts w:ascii="Arial" w:cs="Arial" w:eastAsia="Arial" w:hAnsi="Arial"/>
                <w:sz w:val="14"/>
                <w:szCs w:val="14"/>
                <w:color w:val="auto"/>
              </w:rPr>
              <w:t>Expense</w:t>
            </w:r>
          </w:p>
        </w:tc>
        <w:tc>
          <w:tcPr>
            <w:tcW w:w="42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ind w:left="720"/>
              <w:spacing w:after="0"/>
              <w:rPr>
                <w:sz w:val="20"/>
                <w:szCs w:val="20"/>
                <w:color w:val="auto"/>
              </w:rPr>
            </w:pPr>
            <w:r>
              <w:rPr>
                <w:rFonts w:ascii="Arial" w:cs="Arial" w:eastAsia="Arial" w:hAnsi="Arial"/>
                <w:sz w:val="14"/>
                <w:szCs w:val="14"/>
                <w:color w:val="auto"/>
              </w:rPr>
              <w:t>Tax Rate</w:t>
            </w:r>
          </w:p>
        </w:tc>
      </w:tr>
      <w:tr>
        <w:trPr>
          <w:trHeight w:val="206"/>
        </w:trPr>
        <w:tc>
          <w:tcPr>
            <w:tcW w:w="3400" w:type="dxa"/>
            <w:vAlign w:val="bottom"/>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4000" w:type="dxa"/>
            <w:vAlign w:val="bottom"/>
            <w:tcBorders>
              <w:bottom w:val="single" w:sz="8" w:color="auto"/>
            </w:tcBorders>
            <w:gridSpan w:val="3"/>
          </w:tcPr>
          <w:p>
            <w:pPr>
              <w:jc w:val="right"/>
              <w:ind w:right="125"/>
              <w:spacing w:after="0"/>
              <w:rPr>
                <w:sz w:val="20"/>
                <w:szCs w:val="20"/>
                <w:color w:val="auto"/>
              </w:rPr>
            </w:pPr>
            <w:r>
              <w:rPr>
                <w:rFonts w:ascii="Arial" w:cs="Arial" w:eastAsia="Arial" w:hAnsi="Arial"/>
                <w:sz w:val="14"/>
                <w:szCs w:val="14"/>
                <w:color w:val="auto"/>
              </w:rPr>
              <w:t>Three months ended September 30,</w:t>
            </w:r>
          </w:p>
        </w:tc>
        <w:tc>
          <w:tcPr>
            <w:tcW w:w="42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r>
      <w:tr>
        <w:trPr>
          <w:trHeight w:val="206"/>
        </w:trPr>
        <w:tc>
          <w:tcPr>
            <w:tcW w:w="34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ind w:right="825"/>
              <w:spacing w:after="0"/>
              <w:rPr>
                <w:sz w:val="20"/>
                <w:szCs w:val="20"/>
                <w:color w:val="auto"/>
              </w:rPr>
            </w:pPr>
            <w:r>
              <w:rPr>
                <w:rFonts w:ascii="Arial" w:cs="Arial" w:eastAsia="Arial" w:hAnsi="Arial"/>
                <w:sz w:val="14"/>
                <w:szCs w:val="14"/>
                <w:color w:val="auto"/>
              </w:rPr>
              <w:t>2014</w:t>
            </w:r>
          </w:p>
        </w:tc>
        <w:tc>
          <w:tcPr>
            <w:tcW w:w="6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2013</w:t>
            </w:r>
          </w:p>
        </w:tc>
      </w:tr>
      <w:tr>
        <w:trPr>
          <w:trHeight w:val="214"/>
        </w:trPr>
        <w:tc>
          <w:tcPr>
            <w:tcW w:w="3400" w:type="dxa"/>
            <w:vAlign w:val="bottom"/>
          </w:tcPr>
          <w:p>
            <w:pPr>
              <w:spacing w:after="0"/>
              <w:rPr>
                <w:sz w:val="20"/>
                <w:szCs w:val="20"/>
                <w:color w:val="auto"/>
              </w:rPr>
            </w:pPr>
            <w:r>
              <w:rPr>
                <w:rFonts w:ascii="Arial" w:cs="Arial" w:eastAsia="Arial" w:hAnsi="Arial"/>
                <w:sz w:val="16"/>
                <w:szCs w:val="16"/>
                <w:color w:val="auto"/>
              </w:rPr>
              <w:t>Sempra Energy Consolidated</w:t>
            </w:r>
          </w:p>
        </w:tc>
        <w:tc>
          <w:tcPr>
            <w:tcW w:w="1500" w:type="dxa"/>
            <w:vAlign w:val="bottom"/>
          </w:tcPr>
          <w:p>
            <w:pPr>
              <w:jc w:val="right"/>
              <w:ind w:right="1125"/>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1445"/>
              <w:spacing w:after="0"/>
              <w:rPr>
                <w:sz w:val="20"/>
                <w:szCs w:val="20"/>
                <w:color w:val="auto"/>
              </w:rPr>
            </w:pPr>
            <w:r>
              <w:rPr>
                <w:rFonts w:ascii="Arial" w:cs="Arial" w:eastAsia="Arial" w:hAnsi="Arial"/>
                <w:sz w:val="16"/>
                <w:szCs w:val="16"/>
                <w:color w:val="auto"/>
              </w:rPr>
              <w:t>71</w:t>
            </w:r>
          </w:p>
        </w:tc>
        <w:tc>
          <w:tcPr>
            <w:tcW w:w="660" w:type="dxa"/>
            <w:vAlign w:val="bottom"/>
          </w:tcPr>
          <w:p>
            <w:pPr>
              <w:ind w:left="160"/>
              <w:spacing w:after="0"/>
              <w:rPr>
                <w:sz w:val="20"/>
                <w:szCs w:val="20"/>
                <w:color w:val="auto"/>
              </w:rPr>
            </w:pPr>
            <w:r>
              <w:rPr>
                <w:rFonts w:ascii="Arial" w:cs="Arial" w:eastAsia="Arial" w:hAnsi="Arial"/>
                <w:sz w:val="16"/>
                <w:szCs w:val="16"/>
                <w:color w:val="auto"/>
              </w:rPr>
              <w:t>16%</w:t>
            </w:r>
          </w:p>
        </w:tc>
        <w:tc>
          <w:tcPr>
            <w:tcW w:w="1480" w:type="dxa"/>
            <w:vAlign w:val="bottom"/>
          </w:tcPr>
          <w:p>
            <w:pPr>
              <w:jc w:val="right"/>
              <w:ind w:right="1125"/>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117</w:t>
            </w:r>
          </w:p>
        </w:tc>
        <w:tc>
          <w:tcPr>
            <w:tcW w:w="2100" w:type="dxa"/>
            <w:vAlign w:val="bottom"/>
          </w:tcPr>
          <w:p>
            <w:pPr>
              <w:ind w:left="1600"/>
              <w:spacing w:after="0"/>
              <w:rPr>
                <w:sz w:val="20"/>
                <w:szCs w:val="20"/>
                <w:color w:val="auto"/>
              </w:rPr>
            </w:pPr>
            <w:r>
              <w:rPr>
                <w:rFonts w:ascii="Arial" w:cs="Arial" w:eastAsia="Arial" w:hAnsi="Arial"/>
                <w:sz w:val="16"/>
                <w:szCs w:val="16"/>
                <w:color w:val="auto"/>
              </w:rPr>
              <w:t>27%</w:t>
            </w:r>
          </w:p>
        </w:tc>
      </w:tr>
      <w:tr>
        <w:trPr>
          <w:trHeight w:val="213"/>
        </w:trPr>
        <w:tc>
          <w:tcPr>
            <w:tcW w:w="3400" w:type="dxa"/>
            <w:vAlign w:val="bottom"/>
          </w:tcPr>
          <w:p>
            <w:pPr>
              <w:spacing w:after="0"/>
              <w:rPr>
                <w:sz w:val="20"/>
                <w:szCs w:val="20"/>
                <w:color w:val="auto"/>
              </w:rPr>
            </w:pPr>
            <w:r>
              <w:rPr>
                <w:rFonts w:ascii="Arial" w:cs="Arial" w:eastAsia="Arial" w:hAnsi="Arial"/>
                <w:sz w:val="16"/>
                <w:szCs w:val="16"/>
                <w:color w:val="auto"/>
              </w:rPr>
              <w:t>SDG&amp;E</w:t>
            </w:r>
          </w:p>
        </w:tc>
        <w:tc>
          <w:tcPr>
            <w:tcW w:w="1500" w:type="dxa"/>
            <w:vAlign w:val="bottom"/>
          </w:tcPr>
          <w:p>
            <w:pPr>
              <w:spacing w:after="0"/>
              <w:rPr>
                <w:sz w:val="18"/>
                <w:szCs w:val="18"/>
                <w:color w:val="auto"/>
              </w:rPr>
            </w:pPr>
          </w:p>
        </w:tc>
        <w:tc>
          <w:tcPr>
            <w:tcW w:w="1860" w:type="dxa"/>
            <w:vAlign w:val="bottom"/>
          </w:tcPr>
          <w:p>
            <w:pPr>
              <w:jc w:val="right"/>
              <w:ind w:right="1445"/>
              <w:spacing w:after="0"/>
              <w:rPr>
                <w:sz w:val="20"/>
                <w:szCs w:val="20"/>
                <w:color w:val="auto"/>
              </w:rPr>
            </w:pPr>
            <w:r>
              <w:rPr>
                <w:rFonts w:ascii="Arial" w:cs="Arial" w:eastAsia="Arial" w:hAnsi="Arial"/>
                <w:sz w:val="16"/>
                <w:szCs w:val="16"/>
                <w:color w:val="auto"/>
              </w:rPr>
              <w:t>65</w:t>
            </w:r>
          </w:p>
        </w:tc>
        <w:tc>
          <w:tcPr>
            <w:tcW w:w="660" w:type="dxa"/>
            <w:vAlign w:val="bottom"/>
          </w:tcPr>
          <w:p>
            <w:pPr>
              <w:ind w:left="160"/>
              <w:spacing w:after="0"/>
              <w:rPr>
                <w:sz w:val="20"/>
                <w:szCs w:val="20"/>
                <w:color w:val="auto"/>
              </w:rPr>
            </w:pPr>
            <w:r>
              <w:rPr>
                <w:rFonts w:ascii="Arial" w:cs="Arial" w:eastAsia="Arial" w:hAnsi="Arial"/>
                <w:sz w:val="16"/>
                <w:szCs w:val="16"/>
                <w:color w:val="auto"/>
              </w:rPr>
              <w:t>28</w:t>
            </w:r>
          </w:p>
        </w:tc>
        <w:tc>
          <w:tcPr>
            <w:tcW w:w="14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84</w:t>
            </w:r>
          </w:p>
        </w:tc>
        <w:tc>
          <w:tcPr>
            <w:tcW w:w="2100" w:type="dxa"/>
            <w:vAlign w:val="bottom"/>
          </w:tcPr>
          <w:p>
            <w:pPr>
              <w:ind w:left="1600"/>
              <w:spacing w:after="0"/>
              <w:rPr>
                <w:sz w:val="20"/>
                <w:szCs w:val="20"/>
                <w:color w:val="auto"/>
              </w:rPr>
            </w:pPr>
            <w:r>
              <w:rPr>
                <w:rFonts w:ascii="Arial" w:cs="Arial" w:eastAsia="Arial" w:hAnsi="Arial"/>
                <w:sz w:val="16"/>
                <w:szCs w:val="16"/>
                <w:color w:val="auto"/>
              </w:rPr>
              <w:t>38</w:t>
            </w:r>
          </w:p>
        </w:tc>
      </w:tr>
      <w:tr>
        <w:trPr>
          <w:trHeight w:val="211"/>
        </w:trPr>
        <w:tc>
          <w:tcPr>
            <w:tcW w:w="3400" w:type="dxa"/>
            <w:vAlign w:val="bottom"/>
            <w:tcBorders>
              <w:bottom w:val="single" w:sz="8" w:color="ACACAC"/>
            </w:tcBorders>
          </w:tcPr>
          <w:p>
            <w:pPr>
              <w:spacing w:after="0"/>
              <w:rPr>
                <w:sz w:val="20"/>
                <w:szCs w:val="20"/>
                <w:color w:val="auto"/>
              </w:rPr>
            </w:pPr>
            <w:r>
              <w:rPr>
                <w:rFonts w:ascii="Arial" w:cs="Arial" w:eastAsia="Arial" w:hAnsi="Arial"/>
                <w:sz w:val="16"/>
                <w:szCs w:val="16"/>
                <w:color w:val="auto"/>
              </w:rPr>
              <w:t>SoCalGas</w:t>
            </w:r>
          </w:p>
        </w:tc>
        <w:tc>
          <w:tcPr>
            <w:tcW w:w="1500" w:type="dxa"/>
            <w:vAlign w:val="bottom"/>
            <w:tcBorders>
              <w:bottom w:val="single" w:sz="8" w:color="ACACAC"/>
            </w:tcBorders>
          </w:tcPr>
          <w:p>
            <w:pPr>
              <w:spacing w:after="0"/>
              <w:rPr>
                <w:sz w:val="18"/>
                <w:szCs w:val="18"/>
                <w:color w:val="auto"/>
              </w:rPr>
            </w:pPr>
          </w:p>
        </w:tc>
        <w:tc>
          <w:tcPr>
            <w:tcW w:w="1860" w:type="dxa"/>
            <w:vAlign w:val="bottom"/>
            <w:tcBorders>
              <w:bottom w:val="single" w:sz="8" w:color="ACACAC"/>
            </w:tcBorders>
          </w:tcPr>
          <w:p>
            <w:pPr>
              <w:jc w:val="right"/>
              <w:ind w:right="1445"/>
              <w:spacing w:after="0"/>
              <w:rPr>
                <w:sz w:val="20"/>
                <w:szCs w:val="20"/>
                <w:color w:val="auto"/>
              </w:rPr>
            </w:pPr>
            <w:r>
              <w:rPr>
                <w:rFonts w:ascii="Arial" w:cs="Arial" w:eastAsia="Arial" w:hAnsi="Arial"/>
                <w:sz w:val="16"/>
                <w:szCs w:val="16"/>
                <w:color w:val="auto"/>
              </w:rPr>
              <w:t>44</w:t>
            </w:r>
          </w:p>
        </w:tc>
        <w:tc>
          <w:tcPr>
            <w:tcW w:w="660" w:type="dxa"/>
            <w:vAlign w:val="bottom"/>
            <w:tcBorders>
              <w:bottom w:val="single" w:sz="8" w:color="ACACAC"/>
            </w:tcBorders>
          </w:tcPr>
          <w:p>
            <w:pPr>
              <w:ind w:left="160"/>
              <w:spacing w:after="0"/>
              <w:rPr>
                <w:sz w:val="20"/>
                <w:szCs w:val="20"/>
                <w:color w:val="auto"/>
              </w:rPr>
            </w:pPr>
            <w:r>
              <w:rPr>
                <w:rFonts w:ascii="Arial" w:cs="Arial" w:eastAsia="Arial" w:hAnsi="Arial"/>
                <w:sz w:val="16"/>
                <w:szCs w:val="16"/>
                <w:color w:val="auto"/>
              </w:rPr>
              <w:t>31</w:t>
            </w:r>
          </w:p>
        </w:tc>
        <w:tc>
          <w:tcPr>
            <w:tcW w:w="1480" w:type="dxa"/>
            <w:vAlign w:val="bottom"/>
            <w:tcBorders>
              <w:bottom w:val="single" w:sz="8" w:color="ACACAC"/>
            </w:tcBorders>
          </w:tcPr>
          <w:p>
            <w:pPr>
              <w:spacing w:after="0"/>
              <w:rPr>
                <w:sz w:val="18"/>
                <w:szCs w:val="18"/>
                <w:color w:val="auto"/>
              </w:rPr>
            </w:pPr>
          </w:p>
        </w:tc>
        <w:tc>
          <w:tcPr>
            <w:tcW w:w="42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38</w:t>
            </w:r>
          </w:p>
        </w:tc>
        <w:tc>
          <w:tcPr>
            <w:tcW w:w="2100" w:type="dxa"/>
            <w:vAlign w:val="bottom"/>
            <w:tcBorders>
              <w:bottom w:val="single" w:sz="8" w:color="ACACAC"/>
            </w:tcBorders>
          </w:tcPr>
          <w:p>
            <w:pPr>
              <w:ind w:left="1600"/>
              <w:spacing w:after="0"/>
              <w:rPr>
                <w:sz w:val="20"/>
                <w:szCs w:val="20"/>
                <w:color w:val="auto"/>
              </w:rPr>
            </w:pPr>
            <w:r>
              <w:rPr>
                <w:rFonts w:ascii="Arial" w:cs="Arial" w:eastAsia="Arial" w:hAnsi="Arial"/>
                <w:sz w:val="16"/>
                <w:szCs w:val="16"/>
                <w:color w:val="auto"/>
              </w:rPr>
              <w:t>27</w:t>
            </w:r>
          </w:p>
        </w:tc>
      </w:tr>
      <w:tr>
        <w:trPr>
          <w:trHeight w:val="213"/>
        </w:trPr>
        <w:tc>
          <w:tcPr>
            <w:tcW w:w="3400" w:type="dxa"/>
            <w:vAlign w:val="bottom"/>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4000" w:type="dxa"/>
            <w:vAlign w:val="bottom"/>
            <w:tcBorders>
              <w:bottom w:val="single" w:sz="8" w:color="auto"/>
            </w:tcBorders>
            <w:gridSpan w:val="3"/>
          </w:tcPr>
          <w:p>
            <w:pPr>
              <w:jc w:val="right"/>
              <w:ind w:right="165"/>
              <w:spacing w:after="0"/>
              <w:rPr>
                <w:sz w:val="20"/>
                <w:szCs w:val="20"/>
                <w:color w:val="auto"/>
              </w:rPr>
            </w:pPr>
            <w:r>
              <w:rPr>
                <w:rFonts w:ascii="Arial" w:cs="Arial" w:eastAsia="Arial" w:hAnsi="Arial"/>
                <w:sz w:val="14"/>
                <w:szCs w:val="14"/>
                <w:color w:val="auto"/>
              </w:rPr>
              <w:t>Nine months ended September 30,</w:t>
            </w:r>
          </w:p>
        </w:tc>
        <w:tc>
          <w:tcPr>
            <w:tcW w:w="42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r>
      <w:tr>
        <w:trPr>
          <w:trHeight w:val="206"/>
        </w:trPr>
        <w:tc>
          <w:tcPr>
            <w:tcW w:w="34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ind w:right="825"/>
              <w:spacing w:after="0"/>
              <w:rPr>
                <w:sz w:val="20"/>
                <w:szCs w:val="20"/>
                <w:color w:val="auto"/>
              </w:rPr>
            </w:pPr>
            <w:r>
              <w:rPr>
                <w:rFonts w:ascii="Arial" w:cs="Arial" w:eastAsia="Arial" w:hAnsi="Arial"/>
                <w:sz w:val="14"/>
                <w:szCs w:val="14"/>
                <w:color w:val="auto"/>
              </w:rPr>
              <w:t>2014</w:t>
            </w:r>
          </w:p>
        </w:tc>
        <w:tc>
          <w:tcPr>
            <w:tcW w:w="6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2013</w:t>
            </w:r>
          </w:p>
        </w:tc>
      </w:tr>
      <w:tr>
        <w:trPr>
          <w:trHeight w:val="214"/>
        </w:trPr>
        <w:tc>
          <w:tcPr>
            <w:tcW w:w="3400" w:type="dxa"/>
            <w:vAlign w:val="bottom"/>
          </w:tcPr>
          <w:p>
            <w:pPr>
              <w:spacing w:after="0"/>
              <w:rPr>
                <w:sz w:val="20"/>
                <w:szCs w:val="20"/>
                <w:color w:val="auto"/>
              </w:rPr>
            </w:pPr>
            <w:r>
              <w:rPr>
                <w:rFonts w:ascii="Arial" w:cs="Arial" w:eastAsia="Arial" w:hAnsi="Arial"/>
                <w:sz w:val="16"/>
                <w:szCs w:val="16"/>
                <w:color w:val="auto"/>
              </w:rPr>
              <w:t>Sempra Energy Consolidated</w:t>
            </w:r>
          </w:p>
        </w:tc>
        <w:tc>
          <w:tcPr>
            <w:tcW w:w="1500" w:type="dxa"/>
            <w:vAlign w:val="bottom"/>
          </w:tcPr>
          <w:p>
            <w:pPr>
              <w:jc w:val="right"/>
              <w:ind w:right="1125"/>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1445"/>
              <w:spacing w:after="0"/>
              <w:rPr>
                <w:sz w:val="20"/>
                <w:szCs w:val="20"/>
                <w:color w:val="auto"/>
              </w:rPr>
            </w:pPr>
            <w:r>
              <w:rPr>
                <w:rFonts w:ascii="Arial" w:cs="Arial" w:eastAsia="Arial" w:hAnsi="Arial"/>
                <w:sz w:val="16"/>
                <w:szCs w:val="16"/>
                <w:color w:val="auto"/>
              </w:rPr>
              <w:t>291</w:t>
            </w:r>
          </w:p>
        </w:tc>
        <w:tc>
          <w:tcPr>
            <w:tcW w:w="660" w:type="dxa"/>
            <w:vAlign w:val="bottom"/>
          </w:tcPr>
          <w:p>
            <w:pPr>
              <w:ind w:left="160"/>
              <w:spacing w:after="0"/>
              <w:rPr>
                <w:sz w:val="20"/>
                <w:szCs w:val="20"/>
                <w:color w:val="auto"/>
              </w:rPr>
            </w:pPr>
            <w:r>
              <w:rPr>
                <w:rFonts w:ascii="Arial" w:cs="Arial" w:eastAsia="Arial" w:hAnsi="Arial"/>
                <w:sz w:val="16"/>
                <w:szCs w:val="16"/>
                <w:color w:val="auto"/>
              </w:rPr>
              <w:t>24%</w:t>
            </w:r>
          </w:p>
        </w:tc>
        <w:tc>
          <w:tcPr>
            <w:tcW w:w="1480" w:type="dxa"/>
            <w:vAlign w:val="bottom"/>
          </w:tcPr>
          <w:p>
            <w:pPr>
              <w:jc w:val="right"/>
              <w:ind w:right="1125"/>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327</w:t>
            </w:r>
          </w:p>
        </w:tc>
        <w:tc>
          <w:tcPr>
            <w:tcW w:w="2100" w:type="dxa"/>
            <w:vAlign w:val="bottom"/>
          </w:tcPr>
          <w:p>
            <w:pPr>
              <w:ind w:left="1600"/>
              <w:spacing w:after="0"/>
              <w:rPr>
                <w:sz w:val="20"/>
                <w:szCs w:val="20"/>
                <w:color w:val="auto"/>
              </w:rPr>
            </w:pPr>
            <w:r>
              <w:rPr>
                <w:rFonts w:ascii="Arial" w:cs="Arial" w:eastAsia="Arial" w:hAnsi="Arial"/>
                <w:sz w:val="16"/>
                <w:szCs w:val="16"/>
                <w:color w:val="auto"/>
              </w:rPr>
              <w:t>30%</w:t>
            </w:r>
          </w:p>
        </w:tc>
      </w:tr>
      <w:tr>
        <w:trPr>
          <w:trHeight w:val="213"/>
        </w:trPr>
        <w:tc>
          <w:tcPr>
            <w:tcW w:w="3400" w:type="dxa"/>
            <w:vAlign w:val="bottom"/>
          </w:tcPr>
          <w:p>
            <w:pPr>
              <w:spacing w:after="0"/>
              <w:rPr>
                <w:sz w:val="20"/>
                <w:szCs w:val="20"/>
                <w:color w:val="auto"/>
              </w:rPr>
            </w:pPr>
            <w:r>
              <w:rPr>
                <w:rFonts w:ascii="Arial" w:cs="Arial" w:eastAsia="Arial" w:hAnsi="Arial"/>
                <w:sz w:val="16"/>
                <w:szCs w:val="16"/>
                <w:color w:val="auto"/>
              </w:rPr>
              <w:t>SDG&amp;E</w:t>
            </w:r>
          </w:p>
        </w:tc>
        <w:tc>
          <w:tcPr>
            <w:tcW w:w="1500" w:type="dxa"/>
            <w:vAlign w:val="bottom"/>
          </w:tcPr>
          <w:p>
            <w:pPr>
              <w:spacing w:after="0"/>
              <w:rPr>
                <w:sz w:val="18"/>
                <w:szCs w:val="18"/>
                <w:color w:val="auto"/>
              </w:rPr>
            </w:pPr>
          </w:p>
        </w:tc>
        <w:tc>
          <w:tcPr>
            <w:tcW w:w="1860" w:type="dxa"/>
            <w:vAlign w:val="bottom"/>
          </w:tcPr>
          <w:p>
            <w:pPr>
              <w:jc w:val="right"/>
              <w:ind w:right="1445"/>
              <w:spacing w:after="0"/>
              <w:rPr>
                <w:sz w:val="20"/>
                <w:szCs w:val="20"/>
                <w:color w:val="auto"/>
              </w:rPr>
            </w:pPr>
            <w:r>
              <w:rPr>
                <w:rFonts w:ascii="Arial" w:cs="Arial" w:eastAsia="Arial" w:hAnsi="Arial"/>
                <w:sz w:val="16"/>
                <w:szCs w:val="16"/>
                <w:color w:val="auto"/>
              </w:rPr>
              <w:t>217</w:t>
            </w:r>
          </w:p>
        </w:tc>
        <w:tc>
          <w:tcPr>
            <w:tcW w:w="660" w:type="dxa"/>
            <w:vAlign w:val="bottom"/>
          </w:tcPr>
          <w:p>
            <w:pPr>
              <w:ind w:left="160"/>
              <w:spacing w:after="0"/>
              <w:rPr>
                <w:sz w:val="20"/>
                <w:szCs w:val="20"/>
                <w:color w:val="auto"/>
              </w:rPr>
            </w:pPr>
            <w:r>
              <w:rPr>
                <w:rFonts w:ascii="Arial" w:cs="Arial" w:eastAsia="Arial" w:hAnsi="Arial"/>
                <w:sz w:val="16"/>
                <w:szCs w:val="16"/>
                <w:color w:val="auto"/>
              </w:rPr>
              <w:t>35</w:t>
            </w:r>
          </w:p>
        </w:tc>
        <w:tc>
          <w:tcPr>
            <w:tcW w:w="14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147</w:t>
            </w:r>
          </w:p>
        </w:tc>
        <w:tc>
          <w:tcPr>
            <w:tcW w:w="2100" w:type="dxa"/>
            <w:vAlign w:val="bottom"/>
          </w:tcPr>
          <w:p>
            <w:pPr>
              <w:ind w:left="1600"/>
              <w:spacing w:after="0"/>
              <w:rPr>
                <w:sz w:val="20"/>
                <w:szCs w:val="20"/>
                <w:color w:val="auto"/>
              </w:rPr>
            </w:pPr>
            <w:r>
              <w:rPr>
                <w:rFonts w:ascii="Arial" w:cs="Arial" w:eastAsia="Arial" w:hAnsi="Arial"/>
                <w:sz w:val="16"/>
                <w:szCs w:val="16"/>
                <w:color w:val="auto"/>
              </w:rPr>
              <w:t>33</w:t>
            </w:r>
          </w:p>
        </w:tc>
      </w:tr>
      <w:tr>
        <w:trPr>
          <w:trHeight w:val="211"/>
        </w:trPr>
        <w:tc>
          <w:tcPr>
            <w:tcW w:w="3400" w:type="dxa"/>
            <w:vAlign w:val="bottom"/>
            <w:tcBorders>
              <w:bottom w:val="single" w:sz="8" w:color="ACACAC"/>
            </w:tcBorders>
          </w:tcPr>
          <w:p>
            <w:pPr>
              <w:spacing w:after="0"/>
              <w:rPr>
                <w:sz w:val="20"/>
                <w:szCs w:val="20"/>
                <w:color w:val="auto"/>
              </w:rPr>
            </w:pPr>
            <w:r>
              <w:rPr>
                <w:rFonts w:ascii="Arial" w:cs="Arial" w:eastAsia="Arial" w:hAnsi="Arial"/>
                <w:sz w:val="16"/>
                <w:szCs w:val="16"/>
                <w:color w:val="auto"/>
              </w:rPr>
              <w:t>SoCalGas</w:t>
            </w:r>
          </w:p>
        </w:tc>
        <w:tc>
          <w:tcPr>
            <w:tcW w:w="1500" w:type="dxa"/>
            <w:vAlign w:val="bottom"/>
            <w:tcBorders>
              <w:bottom w:val="single" w:sz="8" w:color="ACACAC"/>
            </w:tcBorders>
          </w:tcPr>
          <w:p>
            <w:pPr>
              <w:spacing w:after="0"/>
              <w:rPr>
                <w:sz w:val="18"/>
                <w:szCs w:val="18"/>
                <w:color w:val="auto"/>
              </w:rPr>
            </w:pPr>
          </w:p>
        </w:tc>
        <w:tc>
          <w:tcPr>
            <w:tcW w:w="1860" w:type="dxa"/>
            <w:vAlign w:val="bottom"/>
            <w:tcBorders>
              <w:bottom w:val="single" w:sz="8" w:color="ACACAC"/>
            </w:tcBorders>
          </w:tcPr>
          <w:p>
            <w:pPr>
              <w:jc w:val="right"/>
              <w:ind w:right="1445"/>
              <w:spacing w:after="0"/>
              <w:rPr>
                <w:sz w:val="20"/>
                <w:szCs w:val="20"/>
                <w:color w:val="auto"/>
              </w:rPr>
            </w:pPr>
            <w:r>
              <w:rPr>
                <w:rFonts w:ascii="Arial" w:cs="Arial" w:eastAsia="Arial" w:hAnsi="Arial"/>
                <w:sz w:val="16"/>
                <w:szCs w:val="16"/>
                <w:color w:val="auto"/>
              </w:rPr>
              <w:t>110</w:t>
            </w:r>
          </w:p>
        </w:tc>
        <w:tc>
          <w:tcPr>
            <w:tcW w:w="660" w:type="dxa"/>
            <w:vAlign w:val="bottom"/>
            <w:tcBorders>
              <w:bottom w:val="single" w:sz="8" w:color="ACACAC"/>
            </w:tcBorders>
          </w:tcPr>
          <w:p>
            <w:pPr>
              <w:ind w:left="160"/>
              <w:spacing w:after="0"/>
              <w:rPr>
                <w:sz w:val="20"/>
                <w:szCs w:val="20"/>
                <w:color w:val="auto"/>
              </w:rPr>
            </w:pPr>
            <w:r>
              <w:rPr>
                <w:rFonts w:ascii="Arial" w:cs="Arial" w:eastAsia="Arial" w:hAnsi="Arial"/>
                <w:sz w:val="16"/>
                <w:szCs w:val="16"/>
                <w:color w:val="auto"/>
              </w:rPr>
              <w:t>30</w:t>
            </w:r>
          </w:p>
        </w:tc>
        <w:tc>
          <w:tcPr>
            <w:tcW w:w="1480" w:type="dxa"/>
            <w:vAlign w:val="bottom"/>
            <w:tcBorders>
              <w:bottom w:val="single" w:sz="8" w:color="ACACAC"/>
            </w:tcBorders>
          </w:tcPr>
          <w:p>
            <w:pPr>
              <w:spacing w:after="0"/>
              <w:rPr>
                <w:sz w:val="18"/>
                <w:szCs w:val="18"/>
                <w:color w:val="auto"/>
              </w:rPr>
            </w:pPr>
          </w:p>
        </w:tc>
        <w:tc>
          <w:tcPr>
            <w:tcW w:w="42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107</w:t>
            </w:r>
          </w:p>
        </w:tc>
        <w:tc>
          <w:tcPr>
            <w:tcW w:w="2100" w:type="dxa"/>
            <w:vAlign w:val="bottom"/>
            <w:tcBorders>
              <w:bottom w:val="single" w:sz="8" w:color="ACACAC"/>
            </w:tcBorders>
          </w:tcPr>
          <w:p>
            <w:pPr>
              <w:ind w:left="1600"/>
              <w:spacing w:after="0"/>
              <w:rPr>
                <w:sz w:val="20"/>
                <w:szCs w:val="20"/>
                <w:color w:val="auto"/>
              </w:rPr>
            </w:pPr>
            <w:r>
              <w:rPr>
                <w:rFonts w:ascii="Arial" w:cs="Arial" w:eastAsia="Arial" w:hAnsi="Arial"/>
                <w:sz w:val="16"/>
                <w:szCs w:val="16"/>
                <w:color w:val="auto"/>
              </w:rPr>
              <w:t>29</w:t>
            </w:r>
          </w:p>
        </w:tc>
      </w:tr>
    </w:tbl>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Changes in Income Tax Expense and Effective Income Tax Rates</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Sempra Energy Consolidated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decrease in income tax expense in the three months ended September 30, 2014 was mainly due to a lower effective tax rate, primarily from:</w:t>
      </w:r>
    </w:p>
    <w:p>
      <w:pPr>
        <w:spacing w:after="0" w:line="230" w:lineRule="exact"/>
        <w:rPr>
          <w:sz w:val="20"/>
          <w:szCs w:val="20"/>
          <w:color w:val="auto"/>
        </w:rPr>
      </w:pPr>
    </w:p>
    <w:p>
      <w:pPr>
        <w:ind w:left="320" w:hanging="172"/>
        <w:spacing w:after="0" w:line="266" w:lineRule="auto"/>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$25 million tax benefit due to the release in 2014 of Louisiana valuation allowance against a deferred tax asset associated with Cameron LNG developments;</w:t>
      </w:r>
    </w:p>
    <w:p>
      <w:pPr>
        <w:spacing w:after="0" w:line="205" w:lineRule="exact"/>
        <w:rPr>
          <w:rFonts w:ascii="Arial" w:cs="Arial" w:eastAsia="Arial" w:hAnsi="Arial"/>
          <w:sz w:val="18"/>
          <w:szCs w:val="18"/>
          <w:color w:val="auto"/>
        </w:rPr>
      </w:pPr>
    </w:p>
    <w:p>
      <w:pPr>
        <w:ind w:left="320" w:hanging="17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higher income tax benefit from Mexican currency translation and inflation adjustments; and</w:t>
      </w:r>
    </w:p>
    <w:p>
      <w:pPr>
        <w:spacing w:after="0" w:line="238" w:lineRule="exact"/>
        <w:rPr>
          <w:rFonts w:ascii="Arial" w:cs="Arial" w:eastAsia="Arial" w:hAnsi="Arial"/>
          <w:sz w:val="18"/>
          <w:szCs w:val="18"/>
          <w:color w:val="auto"/>
        </w:rPr>
      </w:pPr>
    </w:p>
    <w:p>
      <w:pPr>
        <w:ind w:left="320" w:hanging="17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favorable adjustments to prior years’ income tax items in 2014; </w:t>
      </w:r>
      <w:r>
        <w:rPr>
          <w:rFonts w:ascii="Arial" w:cs="Arial" w:eastAsia="Arial" w:hAnsi="Arial"/>
          <w:sz w:val="18"/>
          <w:szCs w:val="18"/>
          <w:b w:val="1"/>
          <w:bCs w:val="1"/>
          <w:color w:val="auto"/>
        </w:rPr>
        <w:t>offset by</w:t>
      </w:r>
    </w:p>
    <w:p>
      <w:pPr>
        <w:spacing w:after="0" w:line="250" w:lineRule="exact"/>
        <w:rPr>
          <w:rFonts w:ascii="Arial" w:cs="Arial" w:eastAsia="Arial" w:hAnsi="Arial"/>
          <w:sz w:val="18"/>
          <w:szCs w:val="18"/>
          <w:color w:val="auto"/>
        </w:rPr>
      </w:pPr>
    </w:p>
    <w:p>
      <w:pPr>
        <w:ind w:left="320" w:hanging="17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$8 million U.S. tax on the repatriation of a portion of current year earnings from certain non-U.S. subsidiaries in Mexico and Peru.</w:t>
      </w:r>
    </w:p>
    <w:p>
      <w:pPr>
        <w:spacing w:after="0" w:line="24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the first nine months of 2014, the decrease in income tax expense was due to a lower effective tax rate, offset by higher pretax income. Pretax income in 2013 included the loss from the early retirement of San Onofre Nuclear Generating Station (SONGS), offset by the favorable impact of the retroactive application of the 2012 GRC in 2013. The lower effective income tax rate was primarily due to:</w:t>
      </w:r>
    </w:p>
    <w:p>
      <w:pPr>
        <w:spacing w:after="0" w:line="188" w:lineRule="exact"/>
        <w:rPr>
          <w:sz w:val="20"/>
          <w:szCs w:val="20"/>
          <w:color w:val="auto"/>
        </w:rPr>
      </w:pPr>
    </w:p>
    <w:p>
      <w:pPr>
        <w:ind w:left="320" w:hanging="172"/>
        <w:spacing w:after="0" w:line="266" w:lineRule="auto"/>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$63 million income tax expense in 2013 resulting from a corporate reorganization in connection with the IEnova stock offerings. We discuss the stock offerings above in “Shareholders’ Equity and Noncontrolling Interests – Sale of Noncontrolling Interests;” and</w:t>
      </w:r>
    </w:p>
    <w:p>
      <w:pPr>
        <w:spacing w:after="0" w:line="205" w:lineRule="exact"/>
        <w:rPr>
          <w:rFonts w:ascii="Arial" w:cs="Arial" w:eastAsia="Arial" w:hAnsi="Arial"/>
          <w:sz w:val="18"/>
          <w:szCs w:val="18"/>
          <w:color w:val="auto"/>
        </w:rPr>
      </w:pPr>
    </w:p>
    <w:p>
      <w:pPr>
        <w:ind w:left="320" w:hanging="172"/>
        <w:spacing w:after="0" w:line="266" w:lineRule="auto"/>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$25 million tax benefit due to the release in 2014 of Louisiana valuation allowance against a deferred tax asset associated with Cameron LNG developments; </w:t>
      </w:r>
      <w:r>
        <w:rPr>
          <w:rFonts w:ascii="Arial" w:cs="Arial" w:eastAsia="Arial" w:hAnsi="Arial"/>
          <w:sz w:val="18"/>
          <w:szCs w:val="18"/>
          <w:b w:val="1"/>
          <w:bCs w:val="1"/>
          <w:color w:val="auto"/>
        </w:rPr>
        <w:t>offset by</w:t>
      </w:r>
    </w:p>
    <w:p>
      <w:pPr>
        <w:spacing w:after="0" w:line="205" w:lineRule="exact"/>
        <w:rPr>
          <w:rFonts w:ascii="Arial" w:cs="Arial" w:eastAsia="Arial" w:hAnsi="Arial"/>
          <w:sz w:val="18"/>
          <w:szCs w:val="18"/>
          <w:color w:val="auto"/>
        </w:rPr>
      </w:pPr>
    </w:p>
    <w:p>
      <w:pPr>
        <w:ind w:left="320" w:hanging="17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$32 million U.S. tax on the repatriation of a portion of current year earnings from certain non-U.S. subsidiaries in Mexico and Peru; and</w:t>
      </w:r>
    </w:p>
    <w:p>
      <w:pPr>
        <w:spacing w:after="0" w:line="244" w:lineRule="exact"/>
        <w:rPr>
          <w:rFonts w:ascii="Arial" w:cs="Arial" w:eastAsia="Arial" w:hAnsi="Arial"/>
          <w:sz w:val="18"/>
          <w:szCs w:val="18"/>
          <w:color w:val="auto"/>
        </w:rPr>
      </w:pPr>
    </w:p>
    <w:p>
      <w:pPr>
        <w:jc w:val="both"/>
        <w:ind w:left="320" w:hanging="172"/>
        <w:spacing w:after="0" w:line="256" w:lineRule="auto"/>
        <w:tabs>
          <w:tab w:leader="none" w:pos="32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a $17 million charge to reduce certain tax regulatory assets attributed to SDG&amp;E’s investment in SONGS that may no longer be recoverable from customers in rates pursuant to the proposed settlement agreement to resolve the California Public Utilities Commission’s (CPUC) Order Instituting Investigation (OII) into the SONGS outage that we discuss in Note 9.</w:t>
      </w:r>
    </w:p>
    <w:p>
      <w:pPr>
        <w:spacing w:after="0" w:line="215" w:lineRule="exact"/>
        <w:rPr>
          <w:sz w:val="20"/>
          <w:szCs w:val="20"/>
          <w:color w:val="auto"/>
        </w:rPr>
      </w:pPr>
    </w:p>
    <w:p>
      <w:pPr>
        <w:ind w:right="160"/>
        <w:spacing w:after="0" w:line="278" w:lineRule="auto"/>
        <w:rPr>
          <w:sz w:val="20"/>
          <w:szCs w:val="20"/>
          <w:color w:val="auto"/>
        </w:rPr>
      </w:pPr>
      <w:r>
        <w:rPr>
          <w:rFonts w:ascii="Arial" w:cs="Arial" w:eastAsia="Arial" w:hAnsi="Arial"/>
          <w:sz w:val="17"/>
          <w:szCs w:val="17"/>
          <w:color w:val="auto"/>
        </w:rPr>
        <w:t>Sempra Energy, SDG&amp;E and SoCalGas record income taxes for interim periods utilizing a forecasted effective tax rate anticipated for the full year, as required by U.S. GAAP. The income tax effect of items that can be reliably forecasted are factored into the forecasted effective tax rate and their impact is recognized proportionately over the year. The forecasted items, anticipated on a full year basis, may include, among others:</w:t>
      </w:r>
    </w:p>
    <w:p>
      <w:pPr>
        <w:spacing w:after="0" w:line="171" w:lineRule="exact"/>
        <w:rPr>
          <w:sz w:val="20"/>
          <w:szCs w:val="20"/>
          <w:color w:val="auto"/>
        </w:rPr>
      </w:pPr>
    </w:p>
    <w:p>
      <w:pPr>
        <w:ind w:left="320" w:hanging="17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self-developed software expenditures</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repairs to certain utility plant fixed assets</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renewable energy income tax credits</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deferred income tax benefits related to renewable energy projects</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exclusions from taxable income of the equity portion of AFUDC</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depreciation on a certain portion of utility plant assets</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U.S. tax on repatriation of current year earnings from non-U.S. subsidiaries</w:t>
      </w:r>
    </w:p>
    <w:p>
      <w:pPr>
        <w:spacing w:after="0" w:line="245" w:lineRule="exact"/>
        <w:rPr>
          <w:sz w:val="20"/>
          <w:szCs w:val="20"/>
          <w:color w:val="auto"/>
        </w:rPr>
      </w:pPr>
    </w:p>
    <w:p>
      <w:pPr>
        <w:jc w:val="both"/>
        <w:ind w:right="200"/>
        <w:spacing w:after="0" w:line="278" w:lineRule="auto"/>
        <w:rPr>
          <w:sz w:val="20"/>
          <w:szCs w:val="20"/>
          <w:color w:val="auto"/>
        </w:rPr>
      </w:pPr>
      <w:r>
        <w:rPr>
          <w:rFonts w:ascii="Arial" w:cs="Arial" w:eastAsia="Arial" w:hAnsi="Arial"/>
          <w:sz w:val="17"/>
          <w:szCs w:val="17"/>
          <w:color w:val="auto"/>
        </w:rPr>
        <w:t>Items that cannot be reliably forecasted (e.g., adjustments related to prior years’ income tax items, remeasurement of deferred tax asset valuation allowances, Mexican currency translation and inflation adjustments, and deferred income tax benefit associated with the impairment of a book investment) are recorded in the interim period in which they actually occur, which can result in variability to income tax expense.</w:t>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SDG&amp;E</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decrease in SDG&amp;E’s income tax expense in the three months ended September 30, 2014 was mainly due to a lower effective tax rate, primarily from:</w:t>
      </w:r>
    </w:p>
    <w:p>
      <w:pPr>
        <w:spacing w:after="0" w:line="241" w:lineRule="exact"/>
        <w:rPr>
          <w:sz w:val="20"/>
          <w:szCs w:val="20"/>
          <w:color w:val="auto"/>
        </w:rPr>
      </w:pPr>
    </w:p>
    <w:p>
      <w:pPr>
        <w:ind w:left="320" w:hanging="17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favorable adjustments to prior years’ income tax items in 2014 compared to unfavorable adjustments in 2013; and</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lower unfavorable impact on our effective tax rate in 2014 from the reversal through book depreciation of previously recognized tax benefits for a certain</w:t>
      </w:r>
    </w:p>
    <w:p>
      <w:pPr>
        <w:sectPr>
          <w:pgSz w:w="11900" w:h="16838" w:orient="portrait"/>
          <w:cols w:equalWidth="0" w:num="1">
            <w:col w:w="11420"/>
          </w:cols>
          <w:pgMar w:left="240" w:top="410" w:right="239" w:bottom="0" w:gutter="0" w:footer="0" w:header="0"/>
        </w:sectPr>
      </w:pPr>
    </w:p>
    <w:bookmarkStart w:id="28" w:name="page29"/>
    <w:bookmarkEnd w:id="28"/>
    <w:p>
      <w:pPr>
        <w:ind w:left="320"/>
        <w:spacing w:after="0"/>
        <w:rPr>
          <w:sz w:val="20"/>
          <w:szCs w:val="20"/>
          <w:color w:val="auto"/>
        </w:rPr>
      </w:pPr>
      <w:r>
        <w:rPr>
          <w:rFonts w:ascii="Arial" w:cs="Arial" w:eastAsia="Arial" w:hAnsi="Arial"/>
          <w:sz w:val="18"/>
          <w:szCs w:val="18"/>
          <w:color w:val="auto"/>
        </w:rPr>
        <w:t xml:space="preserve">portion of utility fixed assets; </w:t>
      </w:r>
      <w:r>
        <w:rPr>
          <w:rFonts w:ascii="Arial" w:cs="Arial" w:eastAsia="Arial" w:hAnsi="Arial"/>
          <w:sz w:val="18"/>
          <w:szCs w:val="18"/>
          <w:b w:val="1"/>
          <w:bCs w:val="1"/>
          <w:color w:val="auto"/>
        </w:rPr>
        <w:t>offset by</w:t>
      </w:r>
    </w:p>
    <w:p>
      <w:pPr>
        <w:spacing w:after="0" w:line="251" w:lineRule="exact"/>
        <w:rPr>
          <w:sz w:val="20"/>
          <w:szCs w:val="20"/>
          <w:color w:val="auto"/>
        </w:rPr>
      </w:pPr>
    </w:p>
    <w:p>
      <w:pPr>
        <w:ind w:left="320" w:hanging="172"/>
        <w:spacing w:after="0"/>
        <w:tabs>
          <w:tab w:leader="none" w:pos="32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lower deductions for self-developed software expenditures.</w:t>
      </w:r>
    </w:p>
    <w:p>
      <w:pPr>
        <w:spacing w:after="0" w:line="24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increase in SDG&amp;E’s income tax expense in the nine months ended September 30, 2014 was due to higher pretax income and a higher effective tax rate. Pretax income in 2013 included the loss from the early retirement of SONGS, offset by the favorable impact of the retroactive application of the 2012 GRC in 2013. The higher effective tax rate was primarily due to:</w:t>
      </w:r>
    </w:p>
    <w:p>
      <w:pPr>
        <w:spacing w:after="0" w:line="188" w:lineRule="exact"/>
        <w:rPr>
          <w:sz w:val="20"/>
          <w:szCs w:val="20"/>
          <w:color w:val="auto"/>
        </w:rPr>
      </w:pPr>
    </w:p>
    <w:p>
      <w:pPr>
        <w:ind w:left="320" w:hanging="17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$17 million charge to reduce certain tax regulatory assets attributed to SDG&amp;E’s investment in SONGS discussed in Note 9;</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lower exclusions from taxable income of the equity portion of AFUDC; and</w:t>
      </w:r>
    </w:p>
    <w:p>
      <w:pPr>
        <w:spacing w:after="0" w:line="238" w:lineRule="exact"/>
        <w:rPr>
          <w:rFonts w:ascii="Arial" w:cs="Arial" w:eastAsia="Arial" w:hAnsi="Arial"/>
          <w:sz w:val="18"/>
          <w:szCs w:val="18"/>
          <w:color w:val="auto"/>
        </w:rPr>
      </w:pPr>
    </w:p>
    <w:p>
      <w:pPr>
        <w:ind w:left="320" w:hanging="17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lower deductions for self-developed software expenditures; </w:t>
      </w:r>
      <w:r>
        <w:rPr>
          <w:rFonts w:ascii="Arial" w:cs="Arial" w:eastAsia="Arial" w:hAnsi="Arial"/>
          <w:sz w:val="18"/>
          <w:szCs w:val="18"/>
          <w:b w:val="1"/>
          <w:bCs w:val="1"/>
          <w:color w:val="auto"/>
        </w:rPr>
        <w:t>offset by</w:t>
      </w:r>
    </w:p>
    <w:p>
      <w:pPr>
        <w:spacing w:after="0" w:line="250" w:lineRule="exact"/>
        <w:rPr>
          <w:rFonts w:ascii="Arial" w:cs="Arial" w:eastAsia="Arial" w:hAnsi="Arial"/>
          <w:sz w:val="18"/>
          <w:szCs w:val="18"/>
          <w:color w:val="auto"/>
        </w:rPr>
      </w:pPr>
    </w:p>
    <w:p>
      <w:pPr>
        <w:ind w:left="320" w:hanging="17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favorable adjustments to prior years’ income tax items in 2014 compared to unfavorable adjustments in 2013.</w:t>
      </w:r>
    </w:p>
    <w:p>
      <w:pPr>
        <w:spacing w:after="0" w:line="245" w:lineRule="exact"/>
        <w:rPr>
          <w:sz w:val="20"/>
          <w:szCs w:val="20"/>
          <w:color w:val="auto"/>
        </w:rPr>
      </w:pPr>
    </w:p>
    <w:p>
      <w:pPr>
        <w:jc w:val="both"/>
        <w:ind w:right="20"/>
        <w:spacing w:after="0" w:line="278" w:lineRule="auto"/>
        <w:rPr>
          <w:sz w:val="20"/>
          <w:szCs w:val="20"/>
          <w:color w:val="auto"/>
        </w:rPr>
      </w:pPr>
      <w:r>
        <w:rPr>
          <w:rFonts w:ascii="Arial" w:cs="Arial" w:eastAsia="Arial" w:hAnsi="Arial"/>
          <w:sz w:val="17"/>
          <w:szCs w:val="17"/>
          <w:color w:val="auto"/>
        </w:rPr>
        <w:t>The results for Sempra Energy Consolidated and SDG&amp;E include Otay Mesa VIE, which is not included in Sempra Energy’s federal or state income tax returns but is consolidated for financial statement purposes, and therefore, Sempra Energy Consolidated’s and SDG&amp;E’s effective income tax rates are impacted by the VIE’s stand-alone effective income tax rate. We discuss Otay Mesa VIE above in “Variable Interest Entities.”</w:t>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SoCalGas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SoCalGas’ income tax expense in the three months ended September 30, 2014 was mainly due to a higher effective tax rate, primarily from:</w:t>
      </w:r>
    </w:p>
    <w:p>
      <w:pPr>
        <w:spacing w:after="0" w:line="241" w:lineRule="exact"/>
        <w:rPr>
          <w:sz w:val="20"/>
          <w:szCs w:val="20"/>
          <w:color w:val="auto"/>
        </w:rPr>
      </w:pPr>
    </w:p>
    <w:p>
      <w:pPr>
        <w:ind w:left="320" w:hanging="172"/>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favorable adjustments to prior years’ income tax items in 2013; and</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lower deductions for self-developed software expenditures.</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SoCalGas’ income tax expense in the nine months ended September 30, 2014 was mainly due to a higher effective tax rate, primarily from:</w:t>
      </w:r>
    </w:p>
    <w:p>
      <w:pPr>
        <w:spacing w:after="0" w:line="235" w:lineRule="exact"/>
        <w:rPr>
          <w:sz w:val="20"/>
          <w:szCs w:val="20"/>
          <w:color w:val="auto"/>
        </w:rPr>
      </w:pPr>
    </w:p>
    <w:p>
      <w:pPr>
        <w:ind w:left="320" w:hanging="17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favorable adjustments to prior years’ income tax items in 2013; </w:t>
      </w:r>
      <w:r>
        <w:rPr>
          <w:rFonts w:ascii="Arial" w:cs="Arial" w:eastAsia="Arial" w:hAnsi="Arial"/>
          <w:sz w:val="18"/>
          <w:szCs w:val="18"/>
          <w:b w:val="1"/>
          <w:bCs w:val="1"/>
          <w:color w:val="auto"/>
        </w:rPr>
        <w:t>offset by</w:t>
      </w:r>
    </w:p>
    <w:p>
      <w:pPr>
        <w:spacing w:after="0" w:line="250" w:lineRule="exact"/>
        <w:rPr>
          <w:rFonts w:ascii="Arial" w:cs="Arial" w:eastAsia="Arial" w:hAnsi="Arial"/>
          <w:sz w:val="18"/>
          <w:szCs w:val="18"/>
          <w:color w:val="auto"/>
        </w:rPr>
      </w:pPr>
    </w:p>
    <w:p>
      <w:pPr>
        <w:ind w:left="320" w:hanging="17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higher deductions for certain repairs expenditures that are capitalized for financial statement purposes.</w:t>
      </w:r>
    </w:p>
    <w:p>
      <w:pPr>
        <w:spacing w:after="0" w:line="245"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For SDG&amp;E and SoCalGas, the CPUC requires flow-through rate-making treatment for the current income tax benefit or expense arising from certain property-related and other temporary differences between the treatment for financial reporting and income tax, which will reverse over time. Under the regulatory accounting treatment required for these flow-through temporary differences, deferred income tax assets and liabilities are not recorded to deferred income tax expense, but rather to a regulatory asset or liability, which impacts the current effective income tax rate. As a result, changes in the relative size of these items compared to pretax income, from period to period, can cause variations in the effective income tax rate. The following items are subject to flow-through treatment:</w:t>
      </w:r>
    </w:p>
    <w:p>
      <w:pPr>
        <w:spacing w:after="0" w:line="195" w:lineRule="exact"/>
        <w:rPr>
          <w:sz w:val="20"/>
          <w:szCs w:val="20"/>
          <w:color w:val="auto"/>
        </w:rPr>
      </w:pPr>
    </w:p>
    <w:p>
      <w:pPr>
        <w:ind w:left="320" w:hanging="17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repairs expenditures related to a certain portion of utility plant fixed assets</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equity portion of AFUDC</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portion of the cost of removal of utility plant assets</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self-developed software expenditures</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depreciation on a certain portion of utility plant fixed assets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AFUDC related to equity recorded for regulated construction projects at Sempra Mexico has similar flow-through treatment.</w:t>
      </w:r>
    </w:p>
    <w:p>
      <w:pPr>
        <w:spacing w:after="0" w:line="218"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color w:val="auto"/>
        </w:rPr>
        <w:t>We provide additional information about our accounting for income taxes in Notes 1 and 6 of the Notes to Consolidated Financial Statements in the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459105</wp:posOffset>
            </wp:positionV>
            <wp:extent cx="72656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5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color w:val="auto"/>
        </w:rPr>
        <w:t>NOTE 6. DEBT AND CREDIT FACILITIES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LINES OF CREDIT</w:t>
      </w:r>
    </w:p>
    <w:p>
      <w:pPr>
        <w:spacing w:after="0" w:line="229"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At September 30, 2014, Sempra Energy Consolidated had an aggregate of $4.1 billion in three primary committed lines of credit for Sempra Energy, Sempra Global and the California Utilities to provide liquidity and to support commercial paper, the major components of which we detail below. Available unused credit on these lines at September 30, 2014 was $2.8 billion. Some of Sempra Energy’s subsidiaries, primarily our foreign operations, have additional general purpose credit facilities, aggregating $875 million at September 30, 2014. Available unused credit on these lines totaled $630 million at September 30, 2014.</w:t>
      </w:r>
    </w:p>
    <w:p>
      <w:pPr>
        <w:spacing w:after="0" w:line="37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Sempra Energy</w:t>
      </w:r>
    </w:p>
    <w:p>
      <w:pPr>
        <w:spacing w:after="0" w:line="211"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Sempra Energy has a $1.067 billion, five-year syndicated revolving credit agreement expiring in March 2017. Citibank, N.A. serves as administrative agent for the syndicate of 24 lenders. No single lender has greater than a 7-percent share.</w:t>
      </w:r>
    </w:p>
    <w:p>
      <w:pPr>
        <w:sectPr>
          <w:pgSz w:w="11900" w:h="16838" w:orient="portrait"/>
          <w:cols w:equalWidth="0" w:num="1">
            <w:col w:w="11340"/>
          </w:cols>
          <w:pgMar w:left="240" w:top="121" w:right="319" w:bottom="0" w:gutter="0" w:footer="0" w:header="0"/>
        </w:sectPr>
      </w:pPr>
    </w:p>
    <w:bookmarkStart w:id="29" w:name="page30"/>
    <w:bookmarkEnd w:id="29"/>
    <w:p>
      <w:pPr>
        <w:ind w:right="60"/>
        <w:spacing w:after="0" w:line="251" w:lineRule="auto"/>
        <w:rPr>
          <w:sz w:val="20"/>
          <w:szCs w:val="20"/>
          <w:color w:val="auto"/>
        </w:rPr>
      </w:pPr>
      <w:r>
        <w:rPr>
          <w:rFonts w:ascii="Arial" w:cs="Arial" w:eastAsia="Arial" w:hAnsi="Arial"/>
          <w:sz w:val="18"/>
          <w:szCs w:val="18"/>
          <w:color w:val="auto"/>
        </w:rPr>
        <w:t>Borrowings bear interest at benchmark rates plus a margin that varies with market index rates and Sempra Energy’s credit ratings. The facility requires Sempra Energy to maintain a ratio of total indebtedness to total capitalization (as defined in the agreement) of no more than 65 percent at the end of each quarter. At September 30, 2014 and December 31, 2013, Sempra Energy was in compliance with this and all other financial covenants under the credit facility. The facility also provides for issuance of up to $635 million of letters of credit on behalf of Sempra Energy with the amount of borrowings otherwise available under the facility reduced by the amount of outstanding letters of credit.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2014, Sempra Energy had no outstanding borrowings or letters of credit supported by the facility.</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Sempra Global</w:t>
      </w:r>
    </w:p>
    <w:p>
      <w:pPr>
        <w:spacing w:after="0" w:line="211"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color w:val="auto"/>
        </w:rPr>
        <w:t>Sempra Global has a $2.189 billion, five-year syndicated revolving credit agreement expiring in March 2017. Citibank, N.A. serves as administrative agent for the syndicate of 25 lenders. No single lender has greater than a 7-percent share.</w:t>
      </w:r>
    </w:p>
    <w:p>
      <w:pPr>
        <w:spacing w:after="0" w:line="179"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Sempra Energy guarantees Sempra Global’s obligations under the credit facility. Borrowings bear interest at benchmark rates plus a margin that varies with market index rates and Sempra Energy’s credit ratings. The facility requires Sempra Energy to maintain a ratio of total indebtedness to total capitalization (as defined in the agreement) of no more than 65 percent at the end of each quarter. At September 30, 2014 and December 31, 2013, Sempra Energy was in compliance with this and all other financial covenants under the credit facility.</w:t>
      </w:r>
    </w:p>
    <w:p>
      <w:pPr>
        <w:spacing w:after="0" w:line="190" w:lineRule="exact"/>
        <w:rPr>
          <w:sz w:val="20"/>
          <w:szCs w:val="20"/>
          <w:color w:val="auto"/>
        </w:rPr>
      </w:pPr>
    </w:p>
    <w:p>
      <w:pPr>
        <w:ind w:right="120"/>
        <w:spacing w:after="0" w:line="278" w:lineRule="auto"/>
        <w:rPr>
          <w:sz w:val="20"/>
          <w:szCs w:val="20"/>
          <w:color w:val="auto"/>
        </w:rPr>
      </w:pPr>
      <w:r>
        <w:rPr>
          <w:rFonts w:ascii="Arial" w:cs="Arial" w:eastAsia="Arial" w:hAnsi="Arial"/>
          <w:sz w:val="17"/>
          <w:szCs w:val="17"/>
          <w:color w:val="auto"/>
        </w:rPr>
        <w:t>At September 30, 2014, Sempra Global had $1.2 billion of commercial paper outstanding supported by the facility. At December 31, 2013, Sempra Global had $200 million of commercial paper outstanding classified as long-term debt based on management’s intent and ability to maintain this level of borrowing on a long-term basis either supported by this credit facility or by issuing long-term debt. This classification has no impact on cash flows.</w:t>
      </w:r>
    </w:p>
    <w:p>
      <w:pPr>
        <w:spacing w:after="0" w:line="37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California Utilities</w:t>
      </w:r>
    </w:p>
    <w:p>
      <w:pPr>
        <w:spacing w:after="0" w:line="211"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SDG&amp;E and SoCalGas have a combined $877 million, five-year syndicated revolving credit agreement expiring in March 2017. JPMorgan Chase Bank, N.A. serves as administrative agent for the syndicate of 24 lenders. No single lender has greater than a 7-percent share. The agreement permits each utility to individually borrow up to $658 million, subject to a combined limit of $877 million for both utilities. It also provides for the issuance of letters of credit on behalf of each utility subject to a combined letter of credit commitment of $300 million for both utilities. The amount of borrowings otherwise available under the facility is reduced by the amount of outstanding letters of credit.</w:t>
      </w:r>
    </w:p>
    <w:p>
      <w:pPr>
        <w:spacing w:after="0" w:line="19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Borrowings under the facility bear interest at benchmark rates plus a margin that varies with market index rates and the borrowing utility’s credit ratings. The agreement requires each utility to maintain a ratio of total indebtedness to total capitalization (as defined in the agreement) of no more than 65 percent at the end of each quarter. At September 30, 2014 and December 31, 2013, the California Utilities were in compliance with this and all other financial covenants under the credit facility.</w:t>
      </w:r>
    </w:p>
    <w:p>
      <w:pPr>
        <w:spacing w:after="0" w:line="190" w:lineRule="exact"/>
        <w:rPr>
          <w:sz w:val="20"/>
          <w:szCs w:val="20"/>
          <w:color w:val="auto"/>
        </w:rPr>
      </w:pPr>
    </w:p>
    <w:p>
      <w:pPr>
        <w:ind w:right="560"/>
        <w:spacing w:after="0" w:line="266" w:lineRule="auto"/>
        <w:rPr>
          <w:sz w:val="20"/>
          <w:szCs w:val="20"/>
          <w:color w:val="auto"/>
        </w:rPr>
      </w:pPr>
      <w:r>
        <w:rPr>
          <w:rFonts w:ascii="Arial" w:cs="Arial" w:eastAsia="Arial" w:hAnsi="Arial"/>
          <w:sz w:val="18"/>
          <w:szCs w:val="18"/>
          <w:color w:val="auto"/>
        </w:rPr>
        <w:t>Each utility’s obligations under the agreement are individual obligations, and a default by one utility would not constitute a default by the other utility or preclude borrowings by, or the issuance of letters of credit on behalf of, the other utility.</w:t>
      </w:r>
    </w:p>
    <w:p>
      <w:pPr>
        <w:spacing w:after="0" w:line="17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At September 30, 2014, SDG&amp;E had $100 million of commercial paper outstanding supported by the facility at an interest rate of 0.40 percent. SoCalGas had no outstanding borrowings supported by the facility. Available unused credit on the line at September 30, 2014 was $558 million at SDG&amp;E and $658 million at SoCalGas, subject to the combined limit on the facility of $877 million.</w:t>
      </w:r>
    </w:p>
    <w:p>
      <w:pPr>
        <w:spacing w:after="0" w:line="39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Sempra Mexico</w:t>
      </w:r>
    </w:p>
    <w:p>
      <w:pPr>
        <w:spacing w:after="0" w:line="211" w:lineRule="exact"/>
        <w:rPr>
          <w:sz w:val="20"/>
          <w:szCs w:val="20"/>
          <w:color w:val="auto"/>
        </w:rPr>
      </w:pPr>
    </w:p>
    <w:p>
      <w:pPr>
        <w:ind w:right="60"/>
        <w:spacing w:after="0" w:line="303" w:lineRule="auto"/>
        <w:rPr>
          <w:sz w:val="20"/>
          <w:szCs w:val="20"/>
          <w:color w:val="auto"/>
        </w:rPr>
      </w:pPr>
      <w:r>
        <w:rPr>
          <w:rFonts w:ascii="Arial" w:cs="Arial" w:eastAsia="Arial" w:hAnsi="Arial"/>
          <w:sz w:val="16"/>
          <w:szCs w:val="16"/>
          <w:color w:val="auto"/>
        </w:rPr>
        <w:t>In June 2014, IEnova entered into an agreement for a $200 million, U.S. dollar-denominated, three-year corporate revolving credit facility to finance working capital and for general corporate purposes. The lender is Banco Santander, (México), S.A., Institución de Banca Múltiple, Grupo Financiero Santander Mexico. At September 30, 2014, Mexico had $145 million of outstanding borrowings supported by the facility, and available unused credit on the line was $55 million.</w:t>
      </w:r>
    </w:p>
    <w:p>
      <w:pPr>
        <w:spacing w:after="0" w:line="15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August 2014, IEnova entered into an agreement for a $100 million, U.S. dollar-denominated, three-year corporate revolving credit facility to finance working capital and for general corporate purposes. The lender is Sumitomo Mitsui Banking Corporation. At September 30, 2014, Mexico had no outstanding borrowings supported by the facility.</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WEIGHTED AVERAGE INTEREST RATES</w:t>
      </w:r>
    </w:p>
    <w:p>
      <w:pPr>
        <w:spacing w:after="0" w:line="22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weighted average interest rates on the total short-term debt at Sempra Energy were 0.76 percent and 0.64 percent at September 30, 2014 and December 31, 2013, respectively. The weighted average interest rate on total short-term debt was 0.13 percent at both SDG&amp;E and SoCalGas at December 31, 2013. The weighted average interest rate at Sempra Energy at December 31, 2013 includes interest rates for the $200 million of the commercial paper borrowings supported by the Sempra Global credit facility classified as long-term, as we discuss above.</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22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Sempra Energy</w:t>
      </w:r>
    </w:p>
    <w:p>
      <w:pPr>
        <w:spacing w:after="0" w:line="211"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In June 2014, Sempra Energy publicly offered and sold $500 million of 3.55-percent, fixed-rate notes maturing in 2024. Sempra Energy used the proceeds from this offering for the repayment of commercial paper.</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SDG&amp;E</w:t>
      </w:r>
    </w:p>
    <w:p>
      <w:pPr>
        <w:spacing w:after="0" w:line="211"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color w:val="auto"/>
        </w:rPr>
        <w:t>In the second quarter of 2014, SDG&amp;E issued $100 million of commercial paper maturing in May 2015, which is supported by the California Utilities’ credit facility discussed above and has a weighted average interest rate of 0.40 percent at September 30, 2014.</w:t>
      </w:r>
    </w:p>
    <w:p>
      <w:pPr>
        <w:sectPr>
          <w:pgSz w:w="11900" w:h="16838" w:orient="portrait"/>
          <w:cols w:equalWidth="0" w:num="1">
            <w:col w:w="11380"/>
          </w:cols>
          <w:pgMar w:left="240" w:top="127" w:right="279" w:bottom="0" w:gutter="0" w:footer="0" w:header="0"/>
        </w:sectPr>
      </w:pP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SoCalGas</w:t>
      </w:r>
    </w:p>
    <w:p>
      <w:pPr>
        <w:sectPr>
          <w:pgSz w:w="11900" w:h="16838" w:orient="portrait"/>
          <w:cols w:equalWidth="0" w:num="1">
            <w:col w:w="11380"/>
          </w:cols>
          <w:pgMar w:left="240" w:top="127" w:right="279" w:bottom="0" w:gutter="0" w:footer="0" w:header="0"/>
          <w:type w:val="continuous"/>
        </w:sectPr>
      </w:pPr>
    </w:p>
    <w:bookmarkStart w:id="30" w:name="page31"/>
    <w:bookmarkEnd w:id="30"/>
    <w:p>
      <w:pPr>
        <w:ind w:right="100"/>
        <w:spacing w:after="0" w:line="266" w:lineRule="auto"/>
        <w:rPr>
          <w:sz w:val="20"/>
          <w:szCs w:val="20"/>
          <w:color w:val="auto"/>
        </w:rPr>
      </w:pPr>
      <w:r>
        <w:rPr>
          <w:rFonts w:ascii="Arial" w:cs="Arial" w:eastAsia="Arial" w:hAnsi="Arial"/>
          <w:sz w:val="18"/>
          <w:szCs w:val="18"/>
          <w:color w:val="auto"/>
        </w:rPr>
        <w:t>In September 2014, SoCalGas publicly offered and sold $500 million of 3.15-percent first mortgage bonds maturing in 2024. SoCalGas used the proceeds from this offering for the repayment of commercial paper and other general corporate purposes.</w:t>
      </w:r>
    </w:p>
    <w:p>
      <w:pPr>
        <w:spacing w:after="0" w:line="179"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In March 2014, SoCalGas publicly offered and sold $250 million of 4.45-percent first mortgage bonds maturing in 2044. SoCalGas used the proceeds from this offering for the repayment of its 5.5-percent first mortgage bonds that matured in March 2014.</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Sempra Mexico</w:t>
      </w:r>
    </w:p>
    <w:p>
      <w:pPr>
        <w:spacing w:after="0" w:line="211"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In June 2014, Energía Sierra Juárez entered into a $240 million loan to project finance the construction of the wind project. The variable rate loan is secured by the project and will convert to an 18-year term loan upon completion of the first phase of the project. To partially moderate its exposure to interest rate changes associated with the term loan, Energía Sierra Juárez entered into floating-to-fixed interest rate swaps for 90 percent of the loan amount, which will result in an effective fixed rate of 6.1 percent. The swap is effective on the conversion to a term loan. The remaining 10 percent of principal bears interest at rates varying with market rates (0.16 percent at September 30, 2014). The loan agreement also provides for a $31.7 million letter of credit facility. Energía Sierra Juárez also entered into a separate, Peso-denominated credit facility for up to $35 million U.S. dollar equivalent to fund the value added tax of the project. On June 12, 2014, Energía Sierra Juárez drew down $82 million of the construction loan. On July 16, 2014, this $82 million of long-term debt and the related swaps were deconsolidated upon the sale of a 50-percent interest in Energía Sierra Juárez, as we discuss in Note 3.</w:t>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Sempra Renewables</w:t>
      </w:r>
    </w:p>
    <w:p>
      <w:pPr>
        <w:spacing w:after="0" w:line="21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On March 6, 2014, Sempra Renewables entered into a $356 million construction loan to finance its Copper Mountain Solar 3 project. The loan is secured by the project and will convert to a 10-year term loan upon completion of the project. To partially moderate its exposure to interest rate changes, Copper Mountain Solar 3 entered into floating-to-fixed interest rate swaps for 75 percent of the loan amount, resulting in an effective fixed rate of 5.35 percent. The remaining 25 percent bears interest at rates varying with market rates (0.16 percent at September 30, 2014). In connection with the loan agreement, Copper Mountain Solar 3 may also utilize up to $72 million under a letter of credit facility, which may be used to meet project collateral requirements and debt service reserve requirements. On March 6, 2014, Copper Mountain Solar 3 drew down $97 million from the loan. On March 13, 2014, this $97 million of long-term debt and the related swaps were deconsolidated upon the sale of a 50-percent interest in Copper Mountain Solar 3, as we discuss in Note 3.</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discuss our fair value interest rate swaps and interest rate swaps to hedge cash flows in Note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483870</wp:posOffset>
            </wp:positionV>
            <wp:extent cx="72656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5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9"/>
          <w:szCs w:val="19"/>
          <w:color w:val="auto"/>
        </w:rPr>
        <w:t>NOTE 7. DERIVATIVE FINANCIAL INSTRUMENTS</w:t>
      </w:r>
    </w:p>
    <w:p>
      <w:pPr>
        <w:spacing w:after="0" w:line="198"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We use derivative instruments primarily to manage exposures arising in the normal course of business. Our principal exposures are commodity market risk and benchmark interest rate risk. We may also manage foreign exchange rate exposures using derivatives. Our use of derivatives for these risks is integrated into the economic management of our anticipated revenues, anticipated expenses, assets and liabilities. Derivatives may be effective in mitigating these risks (1) that could lead to declines in anticipated revenues or increases in anticipated expenses, or (2) that our asset values may fall or our liabilities increase. Accordingly, our derivative activity summarized below generally represents an impact that is intended to offset associated revenues, expenses, assets or liabilities that are not presented below.</w:t>
      </w:r>
    </w:p>
    <w:p>
      <w:pPr>
        <w:spacing w:after="0" w:line="19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We record all derivatives at fair value on the Condensed Consolidated Balance Sheets. We designate each derivative as (1) a cash flow hedge, (2) a fair value hedge, or (3) undesignated. Depending on the applicability of hedge accounting and, for the California Utilities and other operations subject to regulatory accounting, the requirement to pass impacts through to customers, the impact of derivative instruments may be offset in other comprehensive income (cash flow hedge), on the balance sheet (fair value hedges and regulatory offsets), or recognized in earnings. We classify cash flows from the settlements of derivative instruments as operating activities on the Condensed Consolidated Statements of Cash Flows.</w:t>
      </w:r>
    </w:p>
    <w:p>
      <w:pPr>
        <w:spacing w:after="0" w:line="180" w:lineRule="exact"/>
        <w:rPr>
          <w:sz w:val="20"/>
          <w:szCs w:val="20"/>
          <w:color w:val="auto"/>
        </w:rPr>
      </w:pPr>
    </w:p>
    <w:p>
      <w:pPr>
        <w:ind w:right="320"/>
        <w:spacing w:after="0" w:line="266" w:lineRule="auto"/>
        <w:rPr>
          <w:sz w:val="20"/>
          <w:szCs w:val="20"/>
          <w:color w:val="auto"/>
        </w:rPr>
      </w:pPr>
      <w:r>
        <w:rPr>
          <w:rFonts w:ascii="Arial" w:cs="Arial" w:eastAsia="Arial" w:hAnsi="Arial"/>
          <w:sz w:val="18"/>
          <w:szCs w:val="18"/>
          <w:color w:val="auto"/>
        </w:rPr>
        <w:t>In certain cases, we apply the normal purchase or sale exception to derivative accounting and have other commodity contracts that are not derivatives. These contracts are not recorded at fair value and are therefore excluded from the disclosures below.</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HEDGE ACCOUNTING</w:t>
      </w:r>
    </w:p>
    <w:p>
      <w:pPr>
        <w:spacing w:after="0" w:line="229"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We may designate a derivative as a cash flow hedging instrument if it effectively converts anticipated revenues or expenses to a fixed dollar amount. We may utilize cash flow hedge accounting for derivative commodity instruments, foreign currency instruments and interest rate instruments. Designating cash flow hedges is dependent on the business context in which the instrument is being used, the effectiveness of the instrument in offsetting the risk that a given future revenue or expense item may vary, and other criteria.</w:t>
      </w:r>
    </w:p>
    <w:p>
      <w:pPr>
        <w:spacing w:after="0" w:line="19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may designate an interest rate derivative as a fair value hedging instrument if it effectively converts our own debt from a fixed interest rate to a variable rate. The combination of the derivative and debt instrument results in fixing that portion of the fair value of the debt that is related to benchmark interest rates. Designating fair value hedges is dependent on the instrument being used, the effectiveness of the instrument in offsetting changes in the fair value of our debt instruments, and other criteria.</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 DERIVATIVES</w:t>
      </w:r>
    </w:p>
    <w:p>
      <w:pPr>
        <w:spacing w:after="0" w:line="22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market risk is primarily related to natural gas and electricity price volatility and the specific physical locations where we transact. We use energy derivatives to manage these risks. The use of energy derivatives in our various businesses depends on the particular energy market, and the operating and regulatory environments applicable to the business.</w:t>
      </w:r>
    </w:p>
    <w:p>
      <w:pPr>
        <w:spacing w:after="0" w:line="188" w:lineRule="exact"/>
        <w:rPr>
          <w:sz w:val="20"/>
          <w:szCs w:val="20"/>
          <w:color w:val="auto"/>
        </w:rPr>
      </w:pPr>
    </w:p>
    <w:p>
      <w:pPr>
        <w:jc w:val="both"/>
        <w:ind w:left="320" w:hanging="172"/>
        <w:spacing w:after="0" w:line="303" w:lineRule="auto"/>
        <w:tabs>
          <w:tab w:leader="none" w:pos="3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California Utilities use natural gas energy derivatives, for the benefit of customers, with the objective of managing price risk and basis risks, and lowering natural gas costs. These derivatives include fixed price natural gas positions, options, and basis risk instruments, which are either exchange-traded or over-the-counter financial instruments. This activity is governed by risk management and transacting activity plans that have been filed with and</w:t>
      </w:r>
    </w:p>
    <w:p>
      <w:pPr>
        <w:sectPr>
          <w:pgSz w:w="11900" w:h="16838" w:orient="portrait"/>
          <w:cols w:equalWidth="0" w:num="1">
            <w:col w:w="11420"/>
          </w:cols>
          <w:pgMar w:left="240" w:top="340" w:right="239" w:bottom="0" w:gutter="0" w:footer="0" w:header="0"/>
        </w:sectPr>
      </w:pPr>
    </w:p>
    <w:bookmarkStart w:id="31" w:name="page32"/>
    <w:bookmarkEnd w:id="31"/>
    <w:p>
      <w:pPr>
        <w:jc w:val="both"/>
        <w:ind w:left="320"/>
        <w:spacing w:after="0" w:line="256" w:lineRule="auto"/>
        <w:rPr>
          <w:sz w:val="20"/>
          <w:szCs w:val="20"/>
          <w:color w:val="auto"/>
        </w:rPr>
      </w:pPr>
      <w:r>
        <w:rPr>
          <w:rFonts w:ascii="Arial" w:cs="Arial" w:eastAsia="Arial" w:hAnsi="Arial"/>
          <w:sz w:val="18"/>
          <w:szCs w:val="18"/>
          <w:color w:val="auto"/>
        </w:rPr>
        <w:t>approved by the CPUC. Natural gas derivative activities are recorded as commodity costs that are offset by regulatory account balances and are recovered in rates. Net commodity cost impacts on the Condensed Consolidated Statements of Operations are reflected in Cost of Electric Fuel and Purchased Power or in Cost of Natural Gas.</w:t>
      </w:r>
    </w:p>
    <w:p>
      <w:pPr>
        <w:spacing w:after="0" w:line="215" w:lineRule="exact"/>
        <w:rPr>
          <w:sz w:val="20"/>
          <w:szCs w:val="20"/>
          <w:color w:val="auto"/>
        </w:rPr>
      </w:pPr>
    </w:p>
    <w:p>
      <w:pPr>
        <w:jc w:val="both"/>
        <w:ind w:left="320" w:hanging="172"/>
        <w:spacing w:after="0" w:line="253" w:lineRule="auto"/>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SDG&amp;E is allocated and may purchase congestion revenue rights (CRRs), which serve to reduce the regional electricity price volatility risk that may result from local transmission capacity constraints. Unrealized gains and losses do not impact earnings, as they are offset by regulatory account balances. Realized gains and losses associated with CRRs are recorded in Cost of Electric Fuel and Purchased Power, which is recoverable in rates, on the Condensed Consolidated Statements of Operations.</w:t>
      </w:r>
    </w:p>
    <w:p>
      <w:pPr>
        <w:spacing w:after="0" w:line="216" w:lineRule="exact"/>
        <w:rPr>
          <w:rFonts w:ascii="Arial" w:cs="Arial" w:eastAsia="Arial" w:hAnsi="Arial"/>
          <w:sz w:val="18"/>
          <w:szCs w:val="18"/>
          <w:color w:val="auto"/>
        </w:rPr>
      </w:pPr>
    </w:p>
    <w:p>
      <w:pPr>
        <w:jc w:val="both"/>
        <w:ind w:left="320" w:hanging="172"/>
        <w:spacing w:after="0" w:line="266" w:lineRule="auto"/>
        <w:tabs>
          <w:tab w:leader="none" w:pos="3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Sempra Mexico and Sempra Natural Gas may use natural gas and electricity derivatives, as appropriate, to optimize the earnings of their assets which support the following businesses: liquefied natural gas (LNG), natural gas transportation, power generation, and Sempra Natural Gas’ storage. Gains and losses associated with undesignated derivatives are recognized in Energy-Related Businesses Revenues or in Cost of Natural Gas, Electric Fuel and Purchased Power on the Condensed Consolidated Statements of Operations. Certain of these derivatives may also be designated as cash flow hedges. Sempra Mexico also uses natural gas energy derivatives with the objective of managing price risk and lowering natural gas prices at its Mexican distribution operations. These derivatives, which are recorded as commodity costs that are offset by regulatory account balances and recovered in rates, are recognized in Cost of Natural Gas on the Condensed Consolidated Statements of Operations.</w:t>
      </w:r>
    </w:p>
    <w:p>
      <w:pPr>
        <w:spacing w:after="0" w:line="211" w:lineRule="exact"/>
        <w:rPr>
          <w:rFonts w:ascii="Arial" w:cs="Arial" w:eastAsia="Arial" w:hAnsi="Arial"/>
          <w:sz w:val="17"/>
          <w:szCs w:val="17"/>
          <w:color w:val="auto"/>
        </w:rPr>
      </w:pPr>
    </w:p>
    <w:p>
      <w:pPr>
        <w:ind w:left="320" w:hanging="172"/>
        <w:spacing w:after="0" w:line="266" w:lineRule="auto"/>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From time to time, our various businesses, including the California Utilities, may use other energy derivatives to hedge exposures such as the price of vehicle fuel.</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We summarize net energy derivative volumes at September 30, 2014 and December 31, 2013 as follows: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ENERGY DERIVATIVE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-104775</wp:posOffset>
            </wp:positionV>
            <wp:extent cx="7248525" cy="2533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8525" cy="253365"/>
                    </a:xfrm>
                    <a:prstGeom prst="rect">
                      <a:avLst/>
                    </a:prstGeom>
                    <a:noFill/>
                  </pic:spPr>
                </pic:pic>
              </a:graphicData>
            </a:graphic>
          </wp:anchor>
        </w:drawing>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Segment and Commodity</w:t>
            </w:r>
          </w:p>
        </w:tc>
        <w:tc>
          <w:tcPr>
            <w:tcW w:w="4280" w:type="dxa"/>
            <w:vAlign w:val="bottom"/>
            <w:tcBorders>
              <w:bottom w:val="single" w:sz="8" w:color="auto"/>
            </w:tcBorders>
          </w:tcPr>
          <w:p>
            <w:pPr>
              <w:jc w:val="right"/>
              <w:ind w:right="882"/>
              <w:spacing w:after="0"/>
              <w:rPr>
                <w:sz w:val="20"/>
                <w:szCs w:val="20"/>
                <w:color w:val="auto"/>
              </w:rPr>
            </w:pPr>
            <w:r>
              <w:rPr>
                <w:rFonts w:ascii="Arial" w:cs="Arial" w:eastAsia="Arial" w:hAnsi="Arial"/>
                <w:sz w:val="14"/>
                <w:szCs w:val="14"/>
                <w:color w:val="auto"/>
              </w:rPr>
              <w:t>September 30, 2014</w:t>
            </w:r>
          </w:p>
        </w:tc>
        <w:tc>
          <w:tcPr>
            <w:tcW w:w="2900" w:type="dxa"/>
            <w:vAlign w:val="bottom"/>
            <w:tcBorders>
              <w:bottom w:val="single" w:sz="8" w:color="auto"/>
            </w:tcBorders>
          </w:tcPr>
          <w:p>
            <w:pPr>
              <w:jc w:val="right"/>
              <w:ind w:right="1242"/>
              <w:spacing w:after="0"/>
              <w:rPr>
                <w:sz w:val="20"/>
                <w:szCs w:val="20"/>
                <w:color w:val="auto"/>
              </w:rPr>
            </w:pPr>
            <w:r>
              <w:rPr>
                <w:rFonts w:ascii="Arial" w:cs="Arial" w:eastAsia="Arial" w:hAnsi="Arial"/>
                <w:sz w:val="14"/>
                <w:szCs w:val="14"/>
                <w:color w:val="auto"/>
              </w:rPr>
              <w:t>December 31, 2013</w:t>
            </w:r>
          </w:p>
        </w:tc>
      </w:tr>
      <w:tr>
        <w:trPr>
          <w:trHeight w:val="214"/>
        </w:trPr>
        <w:tc>
          <w:tcPr>
            <w:tcW w:w="4240" w:type="dxa"/>
            <w:vAlign w:val="bottom"/>
          </w:tcPr>
          <w:p>
            <w:pPr>
              <w:spacing w:after="0"/>
              <w:rPr>
                <w:sz w:val="20"/>
                <w:szCs w:val="20"/>
                <w:color w:val="auto"/>
              </w:rPr>
            </w:pPr>
            <w:r>
              <w:rPr>
                <w:rFonts w:ascii="Arial" w:cs="Arial" w:eastAsia="Arial" w:hAnsi="Arial"/>
                <w:sz w:val="16"/>
                <w:szCs w:val="16"/>
                <w:color w:val="auto"/>
              </w:rPr>
              <w:t>California Utilities:</w:t>
            </w:r>
          </w:p>
        </w:tc>
        <w:tc>
          <w:tcPr>
            <w:tcW w:w="4280" w:type="dxa"/>
            <w:vAlign w:val="bottom"/>
          </w:tcPr>
          <w:p>
            <w:pPr>
              <w:spacing w:after="0"/>
              <w:rPr>
                <w:sz w:val="18"/>
                <w:szCs w:val="18"/>
                <w:color w:val="auto"/>
              </w:rPr>
            </w:pPr>
          </w:p>
        </w:tc>
        <w:tc>
          <w:tcPr>
            <w:tcW w:w="2900" w:type="dxa"/>
            <w:vAlign w:val="bottom"/>
          </w:tcPr>
          <w:p>
            <w:pPr>
              <w:spacing w:after="0"/>
              <w:rPr>
                <w:sz w:val="18"/>
                <w:szCs w:val="18"/>
                <w:color w:val="auto"/>
              </w:rPr>
            </w:pPr>
          </w:p>
        </w:tc>
      </w:tr>
      <w:tr>
        <w:trPr>
          <w:trHeight w:val="193"/>
        </w:trPr>
        <w:tc>
          <w:tcPr>
            <w:tcW w:w="4240" w:type="dxa"/>
            <w:vAlign w:val="bottom"/>
          </w:tcPr>
          <w:p>
            <w:pPr>
              <w:ind w:left="180"/>
              <w:spacing w:after="0"/>
              <w:rPr>
                <w:sz w:val="20"/>
                <w:szCs w:val="20"/>
                <w:color w:val="auto"/>
              </w:rPr>
            </w:pPr>
            <w:r>
              <w:rPr>
                <w:rFonts w:ascii="Arial" w:cs="Arial" w:eastAsia="Arial" w:hAnsi="Arial"/>
                <w:sz w:val="16"/>
                <w:szCs w:val="16"/>
                <w:color w:val="auto"/>
              </w:rPr>
              <w:t>SDG&amp;E:</w:t>
            </w:r>
          </w:p>
        </w:tc>
        <w:tc>
          <w:tcPr>
            <w:tcW w:w="4280" w:type="dxa"/>
            <w:vAlign w:val="bottom"/>
          </w:tcPr>
          <w:p>
            <w:pPr>
              <w:spacing w:after="0"/>
              <w:rPr>
                <w:sz w:val="16"/>
                <w:szCs w:val="16"/>
                <w:color w:val="auto"/>
              </w:rPr>
            </w:pPr>
          </w:p>
        </w:tc>
        <w:tc>
          <w:tcPr>
            <w:tcW w:w="2900" w:type="dxa"/>
            <w:vAlign w:val="bottom"/>
          </w:tcPr>
          <w:p>
            <w:pPr>
              <w:spacing w:after="0"/>
              <w:rPr>
                <w:sz w:val="16"/>
                <w:szCs w:val="16"/>
                <w:color w:val="auto"/>
              </w:rPr>
            </w:pPr>
          </w:p>
        </w:tc>
      </w:tr>
      <w:tr>
        <w:trPr>
          <w:trHeight w:val="173"/>
        </w:trPr>
        <w:tc>
          <w:tcPr>
            <w:tcW w:w="4240" w:type="dxa"/>
            <w:vAlign w:val="bottom"/>
          </w:tcPr>
          <w:p>
            <w:pPr>
              <w:ind w:left="360"/>
              <w:spacing w:after="0" w:line="173" w:lineRule="exact"/>
              <w:rPr>
                <w:sz w:val="20"/>
                <w:szCs w:val="20"/>
                <w:color w:val="auto"/>
              </w:rPr>
            </w:pPr>
            <w:r>
              <w:rPr>
                <w:rFonts w:ascii="Arial" w:cs="Arial" w:eastAsia="Arial" w:hAnsi="Arial"/>
                <w:sz w:val="16"/>
                <w:szCs w:val="16"/>
                <w:color w:val="auto"/>
              </w:rPr>
              <w:t>Natural gas</w:t>
            </w:r>
          </w:p>
        </w:tc>
        <w:tc>
          <w:tcPr>
            <w:tcW w:w="4280" w:type="dxa"/>
            <w:vAlign w:val="bottom"/>
          </w:tcPr>
          <w:p>
            <w:pPr>
              <w:jc w:val="right"/>
              <w:ind w:right="242"/>
              <w:spacing w:after="0" w:line="173" w:lineRule="exact"/>
              <w:rPr>
                <w:sz w:val="20"/>
                <w:szCs w:val="20"/>
                <w:color w:val="auto"/>
              </w:rPr>
            </w:pPr>
            <w:r>
              <w:rPr>
                <w:rFonts w:ascii="Arial" w:cs="Arial" w:eastAsia="Arial" w:hAnsi="Arial"/>
                <w:sz w:val="16"/>
                <w:szCs w:val="16"/>
                <w:color w:val="auto"/>
              </w:rPr>
              <w:t>43 million MMBtu</w:t>
            </w:r>
          </w:p>
        </w:tc>
        <w:tc>
          <w:tcPr>
            <w:tcW w:w="2900" w:type="dxa"/>
            <w:vAlign w:val="bottom"/>
          </w:tcPr>
          <w:p>
            <w:pPr>
              <w:jc w:val="right"/>
              <w:ind w:right="402"/>
              <w:spacing w:after="0" w:line="173" w:lineRule="exact"/>
              <w:rPr>
                <w:sz w:val="20"/>
                <w:szCs w:val="20"/>
                <w:color w:val="auto"/>
              </w:rPr>
            </w:pPr>
            <w:r>
              <w:rPr>
                <w:rFonts w:ascii="Arial" w:cs="Arial" w:eastAsia="Arial" w:hAnsi="Arial"/>
                <w:sz w:val="16"/>
                <w:szCs w:val="16"/>
                <w:color w:val="auto"/>
              </w:rPr>
              <w:t>43 million MMBtu</w:t>
            </w:r>
            <w:r>
              <w:rPr>
                <w:rFonts w:ascii="Arial" w:cs="Arial" w:eastAsia="Arial" w:hAnsi="Arial"/>
                <w:sz w:val="14"/>
                <w:szCs w:val="14"/>
                <w:color w:val="auto"/>
              </w:rPr>
              <w:t>(1)</w:t>
            </w:r>
          </w:p>
        </w:tc>
      </w:tr>
      <w:tr>
        <w:trPr>
          <w:trHeight w:val="200"/>
        </w:trPr>
        <w:tc>
          <w:tcPr>
            <w:tcW w:w="4240" w:type="dxa"/>
            <w:vAlign w:val="bottom"/>
          </w:tcPr>
          <w:p>
            <w:pPr>
              <w:ind w:left="360"/>
              <w:spacing w:after="0"/>
              <w:rPr>
                <w:sz w:val="20"/>
                <w:szCs w:val="20"/>
                <w:color w:val="auto"/>
              </w:rPr>
            </w:pPr>
            <w:r>
              <w:rPr>
                <w:rFonts w:ascii="Arial" w:cs="Arial" w:eastAsia="Arial" w:hAnsi="Arial"/>
                <w:sz w:val="16"/>
                <w:szCs w:val="16"/>
                <w:color w:val="auto"/>
              </w:rPr>
              <w:t>Congestion revenue rights</w:t>
            </w:r>
          </w:p>
        </w:tc>
        <w:tc>
          <w:tcPr>
            <w:tcW w:w="4280" w:type="dxa"/>
            <w:vAlign w:val="bottom"/>
          </w:tcPr>
          <w:p>
            <w:pPr>
              <w:jc w:val="right"/>
              <w:ind w:right="242"/>
              <w:spacing w:after="0"/>
              <w:rPr>
                <w:sz w:val="20"/>
                <w:szCs w:val="20"/>
                <w:color w:val="auto"/>
              </w:rPr>
            </w:pPr>
            <w:r>
              <w:rPr>
                <w:rFonts w:ascii="Arial" w:cs="Arial" w:eastAsia="Arial" w:hAnsi="Arial"/>
                <w:sz w:val="16"/>
                <w:szCs w:val="16"/>
                <w:color w:val="auto"/>
              </w:rPr>
              <w:t>27 million MWh</w:t>
            </w:r>
          </w:p>
        </w:tc>
        <w:tc>
          <w:tcPr>
            <w:tcW w:w="2900" w:type="dxa"/>
            <w:vAlign w:val="bottom"/>
          </w:tcPr>
          <w:p>
            <w:pPr>
              <w:jc w:val="right"/>
              <w:ind w:right="402"/>
              <w:spacing w:after="0"/>
              <w:rPr>
                <w:sz w:val="20"/>
                <w:szCs w:val="20"/>
                <w:color w:val="auto"/>
              </w:rPr>
            </w:pPr>
            <w:r>
              <w:rPr>
                <w:rFonts w:ascii="Arial" w:cs="Arial" w:eastAsia="Arial" w:hAnsi="Arial"/>
                <w:sz w:val="16"/>
                <w:szCs w:val="16"/>
                <w:color w:val="auto"/>
              </w:rPr>
              <w:t>33 million MWh</w:t>
            </w:r>
            <w:r>
              <w:rPr>
                <w:rFonts w:ascii="Arial" w:cs="Arial" w:eastAsia="Arial" w:hAnsi="Arial"/>
                <w:sz w:val="14"/>
                <w:szCs w:val="14"/>
                <w:color w:val="auto"/>
              </w:rPr>
              <w:t>(2)</w:t>
            </w:r>
          </w:p>
        </w:tc>
      </w:tr>
      <w:tr>
        <w:trPr>
          <w:trHeight w:val="205"/>
        </w:trPr>
        <w:tc>
          <w:tcPr>
            <w:tcW w:w="4240" w:type="dxa"/>
            <w:vAlign w:val="bottom"/>
          </w:tcPr>
          <w:p>
            <w:pPr>
              <w:ind w:left="180"/>
              <w:spacing w:after="0"/>
              <w:rPr>
                <w:sz w:val="20"/>
                <w:szCs w:val="20"/>
                <w:color w:val="auto"/>
              </w:rPr>
            </w:pPr>
            <w:r>
              <w:rPr>
                <w:rFonts w:ascii="Arial" w:cs="Arial" w:eastAsia="Arial" w:hAnsi="Arial"/>
                <w:sz w:val="16"/>
                <w:szCs w:val="16"/>
                <w:color w:val="auto"/>
              </w:rPr>
              <w:t>SoCalGas - natural gas</w:t>
            </w:r>
          </w:p>
        </w:tc>
        <w:tc>
          <w:tcPr>
            <w:tcW w:w="4280" w:type="dxa"/>
            <w:vAlign w:val="bottom"/>
          </w:tcPr>
          <w:p>
            <w:pPr>
              <w:jc w:val="right"/>
              <w:ind w:right="382"/>
              <w:spacing w:after="0"/>
              <w:rPr>
                <w:sz w:val="20"/>
                <w:szCs w:val="20"/>
                <w:color w:val="auto"/>
              </w:rPr>
            </w:pPr>
            <w:r>
              <w:rPr>
                <w:rFonts w:ascii="Arial" w:cs="Arial" w:eastAsia="Arial" w:hAnsi="Arial"/>
                <w:sz w:val="16"/>
                <w:szCs w:val="16"/>
                <w:color w:val="auto"/>
              </w:rPr>
              <w:t>―</w:t>
            </w:r>
          </w:p>
        </w:tc>
        <w:tc>
          <w:tcPr>
            <w:tcW w:w="2900" w:type="dxa"/>
            <w:vAlign w:val="bottom"/>
          </w:tcPr>
          <w:p>
            <w:pPr>
              <w:jc w:val="right"/>
              <w:ind w:right="562"/>
              <w:spacing w:after="0"/>
              <w:rPr>
                <w:sz w:val="20"/>
                <w:szCs w:val="20"/>
                <w:color w:val="auto"/>
              </w:rPr>
            </w:pPr>
            <w:r>
              <w:rPr>
                <w:rFonts w:ascii="Arial" w:cs="Arial" w:eastAsia="Arial" w:hAnsi="Arial"/>
                <w:sz w:val="16"/>
                <w:szCs w:val="16"/>
                <w:color w:val="auto"/>
              </w:rPr>
              <w:t>2 million MMBtu</w:t>
            </w:r>
          </w:p>
        </w:tc>
      </w:tr>
      <w:tr>
        <w:trPr>
          <w:trHeight w:val="425"/>
        </w:trPr>
        <w:tc>
          <w:tcPr>
            <w:tcW w:w="4240" w:type="dxa"/>
            <w:vAlign w:val="bottom"/>
          </w:tcPr>
          <w:p>
            <w:pPr>
              <w:spacing w:after="0"/>
              <w:rPr>
                <w:sz w:val="20"/>
                <w:szCs w:val="20"/>
                <w:color w:val="auto"/>
              </w:rPr>
            </w:pPr>
            <w:r>
              <w:rPr>
                <w:rFonts w:ascii="Arial" w:cs="Arial" w:eastAsia="Arial" w:hAnsi="Arial"/>
                <w:sz w:val="16"/>
                <w:szCs w:val="16"/>
                <w:color w:val="auto"/>
              </w:rPr>
              <w:t>Energy-Related Businesses:</w:t>
            </w:r>
          </w:p>
        </w:tc>
        <w:tc>
          <w:tcPr>
            <w:tcW w:w="428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213"/>
        </w:trPr>
        <w:tc>
          <w:tcPr>
            <w:tcW w:w="4240" w:type="dxa"/>
            <w:vAlign w:val="bottom"/>
          </w:tcPr>
          <w:p>
            <w:pPr>
              <w:ind w:left="180"/>
              <w:spacing w:after="0"/>
              <w:rPr>
                <w:sz w:val="20"/>
                <w:szCs w:val="20"/>
                <w:color w:val="auto"/>
              </w:rPr>
            </w:pPr>
            <w:r>
              <w:rPr>
                <w:rFonts w:ascii="Arial" w:cs="Arial" w:eastAsia="Arial" w:hAnsi="Arial"/>
                <w:sz w:val="16"/>
                <w:szCs w:val="16"/>
                <w:color w:val="auto"/>
              </w:rPr>
              <w:t>Sempra Natural Gas:</w:t>
            </w:r>
          </w:p>
        </w:tc>
        <w:tc>
          <w:tcPr>
            <w:tcW w:w="4280" w:type="dxa"/>
            <w:vAlign w:val="bottom"/>
          </w:tcPr>
          <w:p>
            <w:pPr>
              <w:spacing w:after="0"/>
              <w:rPr>
                <w:sz w:val="18"/>
                <w:szCs w:val="18"/>
                <w:color w:val="auto"/>
              </w:rPr>
            </w:pPr>
          </w:p>
        </w:tc>
        <w:tc>
          <w:tcPr>
            <w:tcW w:w="2900" w:type="dxa"/>
            <w:vAlign w:val="bottom"/>
          </w:tcPr>
          <w:p>
            <w:pPr>
              <w:spacing w:after="0"/>
              <w:rPr>
                <w:sz w:val="18"/>
                <w:szCs w:val="18"/>
                <w:color w:val="auto"/>
              </w:rPr>
            </w:pPr>
          </w:p>
        </w:tc>
      </w:tr>
      <w:tr>
        <w:trPr>
          <w:trHeight w:val="213"/>
        </w:trPr>
        <w:tc>
          <w:tcPr>
            <w:tcW w:w="4240" w:type="dxa"/>
            <w:vAlign w:val="bottom"/>
          </w:tcPr>
          <w:p>
            <w:pPr>
              <w:ind w:left="360"/>
              <w:spacing w:after="0"/>
              <w:rPr>
                <w:sz w:val="20"/>
                <w:szCs w:val="20"/>
                <w:color w:val="auto"/>
              </w:rPr>
            </w:pPr>
            <w:r>
              <w:rPr>
                <w:rFonts w:ascii="Arial" w:cs="Arial" w:eastAsia="Arial" w:hAnsi="Arial"/>
                <w:sz w:val="16"/>
                <w:szCs w:val="16"/>
                <w:color w:val="auto"/>
              </w:rPr>
              <w:t>Electric power</w:t>
            </w:r>
          </w:p>
        </w:tc>
        <w:tc>
          <w:tcPr>
            <w:tcW w:w="4280" w:type="dxa"/>
            <w:vAlign w:val="bottom"/>
          </w:tcPr>
          <w:p>
            <w:pPr>
              <w:jc w:val="right"/>
              <w:ind w:right="382"/>
              <w:spacing w:after="0"/>
              <w:rPr>
                <w:sz w:val="20"/>
                <w:szCs w:val="20"/>
                <w:color w:val="auto"/>
              </w:rPr>
            </w:pPr>
            <w:r>
              <w:rPr>
                <w:rFonts w:ascii="Arial" w:cs="Arial" w:eastAsia="Arial" w:hAnsi="Arial"/>
                <w:sz w:val="16"/>
                <w:szCs w:val="16"/>
                <w:color w:val="auto"/>
              </w:rPr>
              <w:t>―</w:t>
            </w:r>
          </w:p>
        </w:tc>
        <w:tc>
          <w:tcPr>
            <w:tcW w:w="2900" w:type="dxa"/>
            <w:vAlign w:val="bottom"/>
          </w:tcPr>
          <w:p>
            <w:pPr>
              <w:jc w:val="right"/>
              <w:ind w:right="562"/>
              <w:spacing w:after="0"/>
              <w:rPr>
                <w:sz w:val="20"/>
                <w:szCs w:val="20"/>
                <w:color w:val="auto"/>
              </w:rPr>
            </w:pPr>
            <w:r>
              <w:rPr>
                <w:rFonts w:ascii="Arial" w:cs="Arial" w:eastAsia="Arial" w:hAnsi="Arial"/>
                <w:sz w:val="16"/>
                <w:szCs w:val="16"/>
                <w:color w:val="auto"/>
              </w:rPr>
              <w:t>1 million MWh</w:t>
            </w:r>
          </w:p>
        </w:tc>
      </w:tr>
      <w:tr>
        <w:trPr>
          <w:trHeight w:val="213"/>
        </w:trPr>
        <w:tc>
          <w:tcPr>
            <w:tcW w:w="4240" w:type="dxa"/>
            <w:vAlign w:val="bottom"/>
          </w:tcPr>
          <w:p>
            <w:pPr>
              <w:ind w:left="360"/>
              <w:spacing w:after="0"/>
              <w:rPr>
                <w:sz w:val="20"/>
                <w:szCs w:val="20"/>
                <w:color w:val="auto"/>
              </w:rPr>
            </w:pPr>
            <w:r>
              <w:rPr>
                <w:rFonts w:ascii="Arial" w:cs="Arial" w:eastAsia="Arial" w:hAnsi="Arial"/>
                <w:sz w:val="16"/>
                <w:szCs w:val="16"/>
                <w:color w:val="auto"/>
              </w:rPr>
              <w:t>Natural gas</w:t>
            </w:r>
          </w:p>
        </w:tc>
        <w:tc>
          <w:tcPr>
            <w:tcW w:w="4280" w:type="dxa"/>
            <w:vAlign w:val="bottom"/>
          </w:tcPr>
          <w:p>
            <w:pPr>
              <w:jc w:val="right"/>
              <w:ind w:right="242"/>
              <w:spacing w:after="0"/>
              <w:rPr>
                <w:sz w:val="20"/>
                <w:szCs w:val="20"/>
                <w:color w:val="auto"/>
              </w:rPr>
            </w:pPr>
            <w:r>
              <w:rPr>
                <w:rFonts w:ascii="Arial" w:cs="Arial" w:eastAsia="Arial" w:hAnsi="Arial"/>
                <w:sz w:val="16"/>
                <w:szCs w:val="16"/>
                <w:color w:val="auto"/>
              </w:rPr>
              <w:t>31 million MMBtu</w:t>
            </w:r>
          </w:p>
        </w:tc>
        <w:tc>
          <w:tcPr>
            <w:tcW w:w="2900" w:type="dxa"/>
            <w:vAlign w:val="bottom"/>
          </w:tcPr>
          <w:p>
            <w:pPr>
              <w:jc w:val="right"/>
              <w:ind w:right="562"/>
              <w:spacing w:after="0"/>
              <w:rPr>
                <w:sz w:val="20"/>
                <w:szCs w:val="20"/>
                <w:color w:val="auto"/>
              </w:rPr>
            </w:pPr>
            <w:r>
              <w:rPr>
                <w:rFonts w:ascii="Arial" w:cs="Arial" w:eastAsia="Arial" w:hAnsi="Arial"/>
                <w:sz w:val="16"/>
                <w:szCs w:val="16"/>
                <w:color w:val="auto"/>
              </w:rPr>
              <w:t>15 million MMBtu</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724852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8525" cy="17145"/>
                    </a:xfrm>
                    <a:prstGeom prst="rect">
                      <a:avLst/>
                    </a:prstGeom>
                    <a:noFill/>
                  </pic:spPr>
                </pic:pic>
              </a:graphicData>
            </a:graphic>
          </wp:anchor>
        </w:drawing>
      </w:r>
    </w:p>
    <w:p>
      <w:pPr>
        <w:ind w:left="640" w:hanging="634"/>
        <w:spacing w:after="0"/>
        <w:tabs>
          <w:tab w:leader="none" w:pos="640" w:val="left"/>
        </w:tabs>
        <w:numPr>
          <w:ilvl w:val="0"/>
          <w:numId w:val="34"/>
        </w:numPr>
        <w:rPr>
          <w:rFonts w:ascii="Arial" w:cs="Arial" w:eastAsia="Arial" w:hAnsi="Arial"/>
          <w:sz w:val="14"/>
          <w:szCs w:val="14"/>
          <w:i w:val="1"/>
          <w:iCs w:val="1"/>
          <w:color w:val="auto"/>
        </w:rPr>
      </w:pPr>
      <w:r>
        <w:rPr>
          <w:rFonts w:ascii="Arial" w:cs="Arial" w:eastAsia="Arial" w:hAnsi="Arial"/>
          <w:sz w:val="14"/>
          <w:szCs w:val="14"/>
          <w:i w:val="1"/>
          <w:iCs w:val="1"/>
          <w:color w:val="auto"/>
        </w:rPr>
        <w:t>Million British thermal units</w:t>
      </w:r>
    </w:p>
    <w:p>
      <w:pPr>
        <w:spacing w:after="0" w:line="12" w:lineRule="exact"/>
        <w:rPr>
          <w:rFonts w:ascii="Arial" w:cs="Arial" w:eastAsia="Arial" w:hAnsi="Arial"/>
          <w:sz w:val="14"/>
          <w:szCs w:val="14"/>
          <w:i w:val="1"/>
          <w:iCs w:val="1"/>
          <w:color w:val="auto"/>
        </w:rPr>
      </w:pPr>
    </w:p>
    <w:p>
      <w:pPr>
        <w:ind w:left="640" w:hanging="634"/>
        <w:spacing w:after="0"/>
        <w:tabs>
          <w:tab w:leader="none" w:pos="640" w:val="left"/>
        </w:tabs>
        <w:numPr>
          <w:ilvl w:val="0"/>
          <w:numId w:val="34"/>
        </w:numPr>
        <w:rPr>
          <w:rFonts w:ascii="Arial" w:cs="Arial" w:eastAsia="Arial" w:hAnsi="Arial"/>
          <w:sz w:val="14"/>
          <w:szCs w:val="14"/>
          <w:i w:val="1"/>
          <w:iCs w:val="1"/>
          <w:color w:val="auto"/>
        </w:rPr>
      </w:pPr>
      <w:r>
        <w:rPr>
          <w:rFonts w:ascii="Arial" w:cs="Arial" w:eastAsia="Arial" w:hAnsi="Arial"/>
          <w:sz w:val="14"/>
          <w:szCs w:val="14"/>
          <w:i w:val="1"/>
          <w:iCs w:val="1"/>
          <w:color w:val="auto"/>
        </w:rPr>
        <w:t>Megawatt hours</w:t>
      </w:r>
    </w:p>
    <w:p>
      <w:pPr>
        <w:spacing w:after="0" w:line="221"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color w:val="auto"/>
        </w:rPr>
        <w:t>In addition to the amounts noted above, we frequently use commodity derivatives to manage risks associated with the physical locations of our assets and other contractual obligations, such as natural gas purchases and sales.</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DERIVATIVES</w:t>
      </w:r>
    </w:p>
    <w:p>
      <w:pPr>
        <w:spacing w:after="0" w:line="229"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We are exposed to interest rates primarily as a result of our current and expected use of financing. We periodically enter into interest rate derivative agreements intended to moderate our exposure to interest rates and to lower our overall costs of borrowing. We utilize interest rate swaps typically designated as fair value hedges, as a means to achieve our targeted level of variable rate debt as a percent of total debt. In addition, we may utilize interest rate swaps, typically designated as cash flow hedges, to lock in interest rates on outstanding debt or in anticipation of future financings.</w:t>
      </w:r>
    </w:p>
    <w:p>
      <w:pPr>
        <w:spacing w:after="0" w:line="17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the first quarter of 2014, we entered into fixed-to-floating interest rate swaps on Sempra Energy debt that were designated as fair value hedges. We swapped $200 million 6.15-percent fixed-rate debt maturing in 2018, $200 million 9.8-percent fixed-rate debt maturing in 2019 and $100 million 2.875-percent fixed-rate debt maturing in 2022 to variable rate debt, resulting in initial effective interest rates of 3.80 percent, 6.01 percent and 2.37 percent, respectively. These swaps were terminated in July 2014.</w:t>
      </w:r>
    </w:p>
    <w:p>
      <w:pPr>
        <w:spacing w:after="0" w:line="1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Interest rate derivatives are utilized by the California Utilities as well as by other Sempra Energy subsidiaries. Although the California Utilities generally recover borrowing costs in rates over time, the use of interest rate derivatives is subject to certain regulatory constraints, and the impact of interest rate derivatives may not be recovered from customers as timely as described above with regard to natural gas derivatives. Interest rate derivatives are generally accounted for as hedges at the California Utilities, as well as at the rest of Sempra Energy’s subsidiaries. Separately, Otay Mesa VIE has entered into interest rate swap agreements to moderate its exposure to interest rate changes. This activity was designated as a cash flow hedge as of April 1, 2011.</w:t>
      </w:r>
    </w:p>
    <w:p>
      <w:pPr>
        <w:spacing w:after="0" w:line="164"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color w:val="auto"/>
        </w:rPr>
        <w:t>At September 30, 2014 and December 31, 2013, the net notional amounts of our interest rate derivatives, excluding the cross-currency swaps discussed below, were:</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-104775</wp:posOffset>
            </wp:positionV>
            <wp:extent cx="7248525" cy="2197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8525" cy="21971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September 30, 2014</w:t>
            </w:r>
          </w:p>
        </w:tc>
        <w:tc>
          <w:tcPr>
            <w:tcW w:w="13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December 31, 2013</w:t>
            </w:r>
          </w:p>
        </w:tc>
        <w:tc>
          <w:tcPr>
            <w:tcW w:w="1220" w:type="dxa"/>
            <w:vAlign w:val="bottom"/>
            <w:tcBorders>
              <w:bottom w:val="single" w:sz="8" w:color="auto"/>
            </w:tcBorders>
          </w:tcPr>
          <w:p>
            <w:pPr>
              <w:spacing w:after="0"/>
              <w:rPr>
                <w:sz w:val="14"/>
                <w:szCs w:val="14"/>
                <w:color w:val="auto"/>
              </w:rPr>
            </w:pPr>
          </w:p>
        </w:tc>
      </w:tr>
      <w:tr>
        <w:trPr>
          <w:trHeight w:val="206"/>
        </w:trPr>
        <w:tc>
          <w:tcPr>
            <w:tcW w:w="40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ind w:right="1024"/>
              <w:spacing w:after="0"/>
              <w:rPr>
                <w:sz w:val="20"/>
                <w:szCs w:val="20"/>
                <w:color w:val="auto"/>
              </w:rPr>
            </w:pPr>
            <w:r>
              <w:rPr>
                <w:rFonts w:ascii="Arial" w:cs="Arial" w:eastAsia="Arial" w:hAnsi="Arial"/>
                <w:sz w:val="14"/>
                <w:szCs w:val="14"/>
                <w:color w:val="auto"/>
              </w:rPr>
              <w:t>Notional Debt</w:t>
            </w:r>
          </w:p>
        </w:tc>
        <w:tc>
          <w:tcPr>
            <w:tcW w:w="1380" w:type="dxa"/>
            <w:vAlign w:val="bottom"/>
            <w:tcBorders>
              <w:bottom w:val="single" w:sz="8" w:color="auto"/>
            </w:tcBorders>
          </w:tcPr>
          <w:p>
            <w:pPr>
              <w:jc w:val="right"/>
              <w:ind w:right="682"/>
              <w:spacing w:after="0"/>
              <w:rPr>
                <w:sz w:val="20"/>
                <w:szCs w:val="20"/>
                <w:color w:val="auto"/>
              </w:rPr>
            </w:pPr>
            <w:r>
              <w:rPr>
                <w:rFonts w:ascii="Arial" w:cs="Arial" w:eastAsia="Arial" w:hAnsi="Arial"/>
                <w:sz w:val="14"/>
                <w:szCs w:val="14"/>
                <w:color w:val="auto"/>
                <w:w w:val="98"/>
              </w:rPr>
              <w:t>Maturities</w:t>
            </w:r>
          </w:p>
        </w:tc>
        <w:tc>
          <w:tcPr>
            <w:tcW w:w="32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ind w:right="1024"/>
              <w:spacing w:after="0"/>
              <w:rPr>
                <w:sz w:val="20"/>
                <w:szCs w:val="20"/>
                <w:color w:val="auto"/>
              </w:rPr>
            </w:pPr>
            <w:r>
              <w:rPr>
                <w:rFonts w:ascii="Arial" w:cs="Arial" w:eastAsia="Arial" w:hAnsi="Arial"/>
                <w:sz w:val="14"/>
                <w:szCs w:val="14"/>
                <w:color w:val="auto"/>
              </w:rPr>
              <w:t>Notional Debt</w:t>
            </w:r>
          </w:p>
        </w:tc>
        <w:tc>
          <w:tcPr>
            <w:tcW w:w="122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color w:val="auto"/>
              </w:rPr>
              <w:t>Maturities</w:t>
            </w:r>
          </w:p>
        </w:tc>
      </w:tr>
      <w:tr>
        <w:trPr>
          <w:trHeight w:val="194"/>
        </w:trPr>
        <w:tc>
          <w:tcPr>
            <w:tcW w:w="4020" w:type="dxa"/>
            <w:vAlign w:val="bottom"/>
          </w:tcPr>
          <w:p>
            <w:pPr>
              <w:spacing w:after="0"/>
              <w:rPr>
                <w:sz w:val="20"/>
                <w:szCs w:val="20"/>
                <w:color w:val="auto"/>
              </w:rPr>
            </w:pPr>
            <w:r>
              <w:rPr>
                <w:rFonts w:ascii="Arial" w:cs="Arial" w:eastAsia="Arial" w:hAnsi="Arial"/>
                <w:sz w:val="16"/>
                <w:szCs w:val="16"/>
                <w:color w:val="auto"/>
              </w:rPr>
              <w:t>Sempra Energy Consolidated:</w:t>
            </w:r>
          </w:p>
        </w:tc>
        <w:tc>
          <w:tcPr>
            <w:tcW w:w="5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2"/>
        </w:trPr>
        <w:tc>
          <w:tcPr>
            <w:tcW w:w="4020" w:type="dxa"/>
            <w:vAlign w:val="bottom"/>
          </w:tcPr>
          <w:p>
            <w:pPr>
              <w:ind w:left="180"/>
              <w:spacing w:after="0"/>
              <w:rPr>
                <w:sz w:val="20"/>
                <w:szCs w:val="20"/>
                <w:color w:val="auto"/>
              </w:rPr>
            </w:pPr>
            <w:r>
              <w:rPr>
                <w:rFonts w:ascii="Arial" w:cs="Arial" w:eastAsia="Arial" w:hAnsi="Arial"/>
                <w:sz w:val="16"/>
                <w:szCs w:val="16"/>
                <w:color w:val="auto"/>
              </w:rPr>
              <w:t>Cash flow hedges(1)</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980" w:type="dxa"/>
            <w:vAlign w:val="bottom"/>
          </w:tcPr>
          <w:p>
            <w:pPr>
              <w:jc w:val="right"/>
              <w:ind w:right="484"/>
              <w:spacing w:after="0"/>
              <w:rPr>
                <w:sz w:val="20"/>
                <w:szCs w:val="20"/>
                <w:color w:val="auto"/>
              </w:rPr>
            </w:pPr>
            <w:r>
              <w:rPr>
                <w:rFonts w:ascii="Arial" w:cs="Arial" w:eastAsia="Arial" w:hAnsi="Arial"/>
                <w:sz w:val="16"/>
                <w:szCs w:val="16"/>
                <w:color w:val="auto"/>
              </w:rPr>
              <w:t>404</w:t>
            </w:r>
          </w:p>
        </w:tc>
        <w:tc>
          <w:tcPr>
            <w:tcW w:w="1380" w:type="dxa"/>
            <w:vAlign w:val="bottom"/>
          </w:tcPr>
          <w:p>
            <w:pPr>
              <w:jc w:val="right"/>
              <w:ind w:right="102"/>
              <w:spacing w:after="0"/>
              <w:rPr>
                <w:sz w:val="20"/>
                <w:szCs w:val="20"/>
                <w:color w:val="auto"/>
              </w:rPr>
            </w:pPr>
            <w:r>
              <w:rPr>
                <w:rFonts w:ascii="Arial" w:cs="Arial" w:eastAsia="Arial" w:hAnsi="Arial"/>
                <w:sz w:val="16"/>
                <w:szCs w:val="16"/>
                <w:color w:val="auto"/>
              </w:rPr>
              <w:t>2014-2028</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2000" w:type="dxa"/>
            <w:vAlign w:val="bottom"/>
          </w:tcPr>
          <w:p>
            <w:pPr>
              <w:jc w:val="right"/>
              <w:ind w:right="504"/>
              <w:spacing w:after="0"/>
              <w:rPr>
                <w:sz w:val="20"/>
                <w:szCs w:val="20"/>
                <w:color w:val="auto"/>
              </w:rPr>
            </w:pPr>
            <w:r>
              <w:rPr>
                <w:rFonts w:ascii="Arial" w:cs="Arial" w:eastAsia="Arial" w:hAnsi="Arial"/>
                <w:sz w:val="16"/>
                <w:szCs w:val="16"/>
                <w:color w:val="auto"/>
              </w:rPr>
              <w:t>413</w:t>
            </w:r>
          </w:p>
        </w:tc>
        <w:tc>
          <w:tcPr>
            <w:tcW w:w="1220" w:type="dxa"/>
            <w:vAlign w:val="bottom"/>
          </w:tcPr>
          <w:p>
            <w:pPr>
              <w:jc w:val="right"/>
              <w:spacing w:after="0"/>
              <w:rPr>
                <w:sz w:val="20"/>
                <w:szCs w:val="20"/>
                <w:color w:val="auto"/>
              </w:rPr>
            </w:pPr>
            <w:r>
              <w:rPr>
                <w:rFonts w:ascii="Arial" w:cs="Arial" w:eastAsia="Arial" w:hAnsi="Arial"/>
                <w:sz w:val="16"/>
                <w:szCs w:val="16"/>
                <w:color w:val="auto"/>
              </w:rPr>
              <w:t>2014-2028</w:t>
            </w:r>
          </w:p>
        </w:tc>
      </w:tr>
      <w:tr>
        <w:trPr>
          <w:trHeight w:val="213"/>
        </w:trPr>
        <w:tc>
          <w:tcPr>
            <w:tcW w:w="4020" w:type="dxa"/>
            <w:vAlign w:val="bottom"/>
          </w:tcPr>
          <w:p>
            <w:pPr>
              <w:ind w:left="180"/>
              <w:spacing w:after="0"/>
              <w:rPr>
                <w:sz w:val="20"/>
                <w:szCs w:val="20"/>
                <w:color w:val="auto"/>
              </w:rPr>
            </w:pPr>
            <w:r>
              <w:rPr>
                <w:rFonts w:ascii="Arial" w:cs="Arial" w:eastAsia="Arial" w:hAnsi="Arial"/>
                <w:sz w:val="16"/>
                <w:szCs w:val="16"/>
                <w:color w:val="auto"/>
              </w:rPr>
              <w:t>Fair value hedges</w:t>
            </w:r>
          </w:p>
        </w:tc>
        <w:tc>
          <w:tcPr>
            <w:tcW w:w="500" w:type="dxa"/>
            <w:vAlign w:val="bottom"/>
          </w:tcPr>
          <w:p>
            <w:pPr>
              <w:spacing w:after="0"/>
              <w:rPr>
                <w:sz w:val="18"/>
                <w:szCs w:val="18"/>
                <w:color w:val="auto"/>
              </w:rPr>
            </w:pPr>
          </w:p>
        </w:tc>
        <w:tc>
          <w:tcPr>
            <w:tcW w:w="1980" w:type="dxa"/>
            <w:vAlign w:val="bottom"/>
          </w:tcPr>
          <w:p>
            <w:pPr>
              <w:jc w:val="right"/>
              <w:ind w:right="484"/>
              <w:spacing w:after="0"/>
              <w:rPr>
                <w:sz w:val="20"/>
                <w:szCs w:val="20"/>
                <w:color w:val="auto"/>
              </w:rPr>
            </w:pPr>
            <w:r>
              <w:rPr>
                <w:rFonts w:ascii="Arial" w:cs="Arial" w:eastAsia="Arial" w:hAnsi="Arial"/>
                <w:sz w:val="16"/>
                <w:szCs w:val="16"/>
                <w:color w:val="auto"/>
              </w:rPr>
              <w:t>300</w:t>
            </w:r>
          </w:p>
        </w:tc>
        <w:tc>
          <w:tcPr>
            <w:tcW w:w="1380" w:type="dxa"/>
            <w:vAlign w:val="bottom"/>
          </w:tcPr>
          <w:p>
            <w:pPr>
              <w:jc w:val="right"/>
              <w:ind w:right="102"/>
              <w:spacing w:after="0"/>
              <w:rPr>
                <w:sz w:val="20"/>
                <w:szCs w:val="20"/>
                <w:color w:val="auto"/>
              </w:rPr>
            </w:pPr>
            <w:r>
              <w:rPr>
                <w:rFonts w:ascii="Arial" w:cs="Arial" w:eastAsia="Arial" w:hAnsi="Arial"/>
                <w:sz w:val="16"/>
                <w:szCs w:val="16"/>
                <w:color w:val="auto"/>
              </w:rPr>
              <w:t>2016</w:t>
            </w:r>
          </w:p>
        </w:tc>
        <w:tc>
          <w:tcPr>
            <w:tcW w:w="320" w:type="dxa"/>
            <w:vAlign w:val="bottom"/>
          </w:tcPr>
          <w:p>
            <w:pPr>
              <w:spacing w:after="0"/>
              <w:rPr>
                <w:sz w:val="18"/>
                <w:szCs w:val="18"/>
                <w:color w:val="auto"/>
              </w:rPr>
            </w:pPr>
          </w:p>
        </w:tc>
        <w:tc>
          <w:tcPr>
            <w:tcW w:w="2000" w:type="dxa"/>
            <w:vAlign w:val="bottom"/>
          </w:tcPr>
          <w:p>
            <w:pPr>
              <w:jc w:val="right"/>
              <w:ind w:right="504"/>
              <w:spacing w:after="0"/>
              <w:rPr>
                <w:sz w:val="20"/>
                <w:szCs w:val="20"/>
                <w:color w:val="auto"/>
              </w:rPr>
            </w:pPr>
            <w:r>
              <w:rPr>
                <w:rFonts w:ascii="Arial" w:cs="Arial" w:eastAsia="Arial" w:hAnsi="Arial"/>
                <w:sz w:val="16"/>
                <w:szCs w:val="16"/>
                <w:color w:val="auto"/>
              </w:rPr>
              <w:t>300</w:t>
            </w:r>
          </w:p>
        </w:tc>
        <w:tc>
          <w:tcPr>
            <w:tcW w:w="1220" w:type="dxa"/>
            <w:vAlign w:val="bottom"/>
          </w:tcPr>
          <w:p>
            <w:pPr>
              <w:jc w:val="right"/>
              <w:spacing w:after="0"/>
              <w:rPr>
                <w:sz w:val="20"/>
                <w:szCs w:val="20"/>
                <w:color w:val="auto"/>
              </w:rPr>
            </w:pPr>
            <w:r>
              <w:rPr>
                <w:rFonts w:ascii="Arial" w:cs="Arial" w:eastAsia="Arial" w:hAnsi="Arial"/>
                <w:sz w:val="16"/>
                <w:szCs w:val="16"/>
                <w:color w:val="auto"/>
              </w:rPr>
              <w:t>2016</w:t>
            </w:r>
          </w:p>
        </w:tc>
      </w:tr>
      <w:tr>
        <w:trPr>
          <w:trHeight w:val="213"/>
        </w:trPr>
        <w:tc>
          <w:tcPr>
            <w:tcW w:w="4020" w:type="dxa"/>
            <w:vAlign w:val="bottom"/>
          </w:tcPr>
          <w:p>
            <w:pPr>
              <w:spacing w:after="0"/>
              <w:rPr>
                <w:sz w:val="20"/>
                <w:szCs w:val="20"/>
                <w:color w:val="auto"/>
              </w:rPr>
            </w:pPr>
            <w:r>
              <w:rPr>
                <w:rFonts w:ascii="Arial" w:cs="Arial" w:eastAsia="Arial" w:hAnsi="Arial"/>
                <w:sz w:val="16"/>
                <w:szCs w:val="16"/>
                <w:color w:val="auto"/>
              </w:rPr>
              <w:t>SDG&amp;E:</w:t>
            </w:r>
          </w:p>
        </w:tc>
        <w:tc>
          <w:tcPr>
            <w:tcW w:w="5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3"/>
        </w:trPr>
        <w:tc>
          <w:tcPr>
            <w:tcW w:w="4020" w:type="dxa"/>
            <w:vAlign w:val="bottom"/>
          </w:tcPr>
          <w:p>
            <w:pPr>
              <w:ind w:left="180"/>
              <w:spacing w:after="0"/>
              <w:rPr>
                <w:sz w:val="20"/>
                <w:szCs w:val="20"/>
                <w:color w:val="auto"/>
              </w:rPr>
            </w:pPr>
            <w:r>
              <w:rPr>
                <w:rFonts w:ascii="Arial" w:cs="Arial" w:eastAsia="Arial" w:hAnsi="Arial"/>
                <w:sz w:val="16"/>
                <w:szCs w:val="16"/>
                <w:color w:val="auto"/>
              </w:rPr>
              <w:t>Cash flow hedge(1)</w:t>
            </w:r>
          </w:p>
        </w:tc>
        <w:tc>
          <w:tcPr>
            <w:tcW w:w="500" w:type="dxa"/>
            <w:vAlign w:val="bottom"/>
          </w:tcPr>
          <w:p>
            <w:pPr>
              <w:spacing w:after="0"/>
              <w:rPr>
                <w:sz w:val="18"/>
                <w:szCs w:val="18"/>
                <w:color w:val="auto"/>
              </w:rPr>
            </w:pPr>
          </w:p>
        </w:tc>
        <w:tc>
          <w:tcPr>
            <w:tcW w:w="1980" w:type="dxa"/>
            <w:vAlign w:val="bottom"/>
          </w:tcPr>
          <w:p>
            <w:pPr>
              <w:jc w:val="right"/>
              <w:ind w:right="484"/>
              <w:spacing w:after="0"/>
              <w:rPr>
                <w:sz w:val="20"/>
                <w:szCs w:val="20"/>
                <w:color w:val="auto"/>
              </w:rPr>
            </w:pPr>
            <w:r>
              <w:rPr>
                <w:rFonts w:ascii="Arial" w:cs="Arial" w:eastAsia="Arial" w:hAnsi="Arial"/>
                <w:sz w:val="16"/>
                <w:szCs w:val="16"/>
                <w:color w:val="auto"/>
              </w:rPr>
              <w:t>327</w:t>
            </w:r>
          </w:p>
        </w:tc>
        <w:tc>
          <w:tcPr>
            <w:tcW w:w="1380" w:type="dxa"/>
            <w:vAlign w:val="bottom"/>
          </w:tcPr>
          <w:p>
            <w:pPr>
              <w:jc w:val="right"/>
              <w:ind w:right="102"/>
              <w:spacing w:after="0"/>
              <w:rPr>
                <w:sz w:val="20"/>
                <w:szCs w:val="20"/>
                <w:color w:val="auto"/>
              </w:rPr>
            </w:pPr>
            <w:r>
              <w:rPr>
                <w:rFonts w:ascii="Arial" w:cs="Arial" w:eastAsia="Arial" w:hAnsi="Arial"/>
                <w:sz w:val="16"/>
                <w:szCs w:val="16"/>
                <w:color w:val="auto"/>
              </w:rPr>
              <w:t>2019</w:t>
            </w:r>
          </w:p>
        </w:tc>
        <w:tc>
          <w:tcPr>
            <w:tcW w:w="320" w:type="dxa"/>
            <w:vAlign w:val="bottom"/>
          </w:tcPr>
          <w:p>
            <w:pPr>
              <w:spacing w:after="0"/>
              <w:rPr>
                <w:sz w:val="18"/>
                <w:szCs w:val="18"/>
                <w:color w:val="auto"/>
              </w:rPr>
            </w:pPr>
          </w:p>
        </w:tc>
        <w:tc>
          <w:tcPr>
            <w:tcW w:w="2000" w:type="dxa"/>
            <w:vAlign w:val="bottom"/>
          </w:tcPr>
          <w:p>
            <w:pPr>
              <w:jc w:val="right"/>
              <w:ind w:right="504"/>
              <w:spacing w:after="0"/>
              <w:rPr>
                <w:sz w:val="20"/>
                <w:szCs w:val="20"/>
                <w:color w:val="auto"/>
              </w:rPr>
            </w:pPr>
            <w:r>
              <w:rPr>
                <w:rFonts w:ascii="Arial" w:cs="Arial" w:eastAsia="Arial" w:hAnsi="Arial"/>
                <w:sz w:val="16"/>
                <w:szCs w:val="16"/>
                <w:color w:val="auto"/>
              </w:rPr>
              <w:t>335</w:t>
            </w:r>
          </w:p>
        </w:tc>
        <w:tc>
          <w:tcPr>
            <w:tcW w:w="1220" w:type="dxa"/>
            <w:vAlign w:val="bottom"/>
          </w:tcPr>
          <w:p>
            <w:pPr>
              <w:jc w:val="right"/>
              <w:spacing w:after="0"/>
              <w:rPr>
                <w:sz w:val="20"/>
                <w:szCs w:val="20"/>
                <w:color w:val="auto"/>
              </w:rPr>
            </w:pPr>
            <w:r>
              <w:rPr>
                <w:rFonts w:ascii="Arial" w:cs="Arial" w:eastAsia="Arial" w:hAnsi="Arial"/>
                <w:sz w:val="16"/>
                <w:szCs w:val="16"/>
                <w:color w:val="auto"/>
              </w:rPr>
              <w:t>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724852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8525" cy="17145"/>
                    </a:xfrm>
                    <a:prstGeom prst="rect">
                      <a:avLst/>
                    </a:prstGeom>
                    <a:noFill/>
                  </pic:spPr>
                </pic:pic>
              </a:graphicData>
            </a:graphic>
          </wp:anchor>
        </w:drawing>
      </w:r>
    </w:p>
    <w:p>
      <w:pPr>
        <w:ind w:left="640" w:hanging="634"/>
        <w:spacing w:after="0"/>
        <w:tabs>
          <w:tab w:leader="none" w:pos="640" w:val="left"/>
        </w:tabs>
        <w:numPr>
          <w:ilvl w:val="0"/>
          <w:numId w:val="35"/>
        </w:numPr>
        <w:rPr>
          <w:rFonts w:ascii="Arial" w:cs="Arial" w:eastAsia="Arial" w:hAnsi="Arial"/>
          <w:sz w:val="14"/>
          <w:szCs w:val="14"/>
          <w:i w:val="1"/>
          <w:iCs w:val="1"/>
          <w:color w:val="auto"/>
        </w:rPr>
      </w:pPr>
      <w:r>
        <w:rPr>
          <w:rFonts w:ascii="Arial" w:cs="Arial" w:eastAsia="Arial" w:hAnsi="Arial"/>
          <w:sz w:val="14"/>
          <w:szCs w:val="14"/>
          <w:i w:val="1"/>
          <w:iCs w:val="1"/>
          <w:color w:val="auto"/>
        </w:rPr>
        <w:t>Includes Otay Mesa VIE. All of SDG&amp;E’s interest rate derivatives relate to Otay Mesa VIE.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DERIVATIVES</w:t>
      </w:r>
    </w:p>
    <w:p>
      <w:pPr>
        <w:sectPr>
          <w:pgSz w:w="11900" w:h="16838" w:orient="portrait"/>
          <w:cols w:equalWidth="0" w:num="1">
            <w:col w:w="11420"/>
          </w:cols>
          <w:pgMar w:left="240" w:top="127" w:right="239" w:bottom="189" w:gutter="0" w:footer="0" w:header="0"/>
        </w:sectPr>
      </w:pPr>
    </w:p>
    <w:bookmarkStart w:id="32" w:name="page33"/>
    <w:bookmarkEnd w:id="32"/>
    <w:p>
      <w:pPr>
        <w:ind w:right="60"/>
        <w:spacing w:after="0" w:line="332" w:lineRule="auto"/>
        <w:rPr>
          <w:sz w:val="20"/>
          <w:szCs w:val="20"/>
          <w:color w:val="auto"/>
        </w:rPr>
      </w:pPr>
      <w:r>
        <w:rPr>
          <w:rFonts w:ascii="Arial" w:cs="Arial" w:eastAsia="Arial" w:hAnsi="Arial"/>
          <w:sz w:val="14"/>
          <w:szCs w:val="14"/>
          <w:color w:val="auto"/>
        </w:rPr>
        <w:t>We are exposed to exchange rate movements at our Mexican subsidiaries, which have U.S. dollar denominated cash balances, receivables and payables (monetary assets and liabilities) that give rise to Mexican currency exchange rate movements for Mexican income tax purposes. These subsidiaries also have deferred income tax assets and liabilities that are denominated in the Mexican peso, which must be translated into U.S. dollars for financial reporting purposes. From time to time, we may utilize short-term foreign currency derivatives at our subsidiaries and at the consolidated level as a means to manage the risk of exposure to significant fluctuations in our income tax expense from these impacts. We may also utilize cross-currency swaps to hedge exposure related to Mexican peso-denominated debt at our Mexican subsidiaries. On February 14, 2013, Sempra Mexico entered into cross-currency swap agreements, which were designated as cash flow hedges. We discuss the notional amount of the swaps in Note 5 of the Notes to Consolidated Financial Statements in the Annual Report.</w:t>
      </w:r>
    </w:p>
    <w:p>
      <w:pPr>
        <w:spacing w:after="0" w:line="14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addition, Sempra South American Utilities may utilize foreign currency derivatives at its subsidiaries and joint ventures as a means to manage foreign currency rate risk. We discuss such swaps at Chilquinta Energía’s Eletrans joint venture investment in Note 4 of the Notes to Consolidated Financial Statements in the Annual Report.</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PRESENTATION</w:t>
      </w:r>
    </w:p>
    <w:p>
      <w:pPr>
        <w:spacing w:after="0" w:line="229"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color w:val="auto"/>
        </w:rPr>
        <w:t>Each Condensed Consolidated Balance Sheet reflects the offsetting of net derivative positions and cash collateral with the same counterparty when a legal right of offset exists. The following tables provide the fair values of derivative instruments on the Condensed Consolidated Balance Sheets at September 30, 2014 and December 31, 2013, including the amount of cash collateral receivables that were not offset, as the cash collateral is in excess of liability positions.</w:t>
      </w:r>
    </w:p>
    <w:p>
      <w:pPr>
        <w:spacing w:after="0" w:line="387" w:lineRule="exact"/>
        <w:rPr>
          <w:sz w:val="20"/>
          <w:szCs w:val="20"/>
          <w:color w:val="auto"/>
        </w:rPr>
      </w:pPr>
    </w:p>
    <w:p>
      <w:pPr>
        <w:ind w:right="4760"/>
        <w:spacing w:after="0" w:line="254" w:lineRule="auto"/>
        <w:rPr>
          <w:sz w:val="20"/>
          <w:szCs w:val="20"/>
          <w:color w:val="auto"/>
        </w:rPr>
      </w:pPr>
      <w:r>
        <w:rPr>
          <w:rFonts w:ascii="Arial" w:cs="Arial" w:eastAsia="Arial" w:hAnsi="Arial"/>
          <w:sz w:val="16"/>
          <w:szCs w:val="16"/>
          <w:b w:val="1"/>
          <w:bCs w:val="1"/>
          <w:color w:val="auto"/>
        </w:rPr>
        <w:t xml:space="preserve">DERIVATIVE INSTRUMENTS ON THE CONDENSED CONSOLIDATED BALANCE SHEETS </w:t>
      </w: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-234950</wp:posOffset>
            </wp:positionV>
            <wp:extent cx="7248525" cy="2197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8525" cy="2197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3"/>
          </w:tcPr>
          <w:p>
            <w:pPr>
              <w:jc w:val="right"/>
              <w:ind w:right="982"/>
              <w:spacing w:after="0"/>
              <w:rPr>
                <w:sz w:val="20"/>
                <w:szCs w:val="20"/>
                <w:color w:val="auto"/>
              </w:rPr>
            </w:pPr>
            <w:r>
              <w:rPr>
                <w:rFonts w:ascii="Arial" w:cs="Arial" w:eastAsia="Arial" w:hAnsi="Arial"/>
                <w:sz w:val="14"/>
                <w:szCs w:val="14"/>
                <w:color w:val="auto"/>
              </w:rPr>
              <w:t>September 30, 2014</w:t>
            </w: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221"/>
        </w:trPr>
        <w:tc>
          <w:tcPr>
            <w:tcW w:w="5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4"/>
                <w:szCs w:val="14"/>
                <w:color w:val="auto"/>
              </w:rPr>
              <w:t>Deferred</w:t>
            </w:r>
          </w:p>
        </w:tc>
      </w:tr>
      <w:tr>
        <w:trPr>
          <w:trHeight w:val="213"/>
        </w:trPr>
        <w:tc>
          <w:tcPr>
            <w:tcW w:w="5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color w:val="auto"/>
              </w:rPr>
              <w:t>credits</w:t>
            </w:r>
          </w:p>
        </w:tc>
      </w:tr>
      <w:tr>
        <w:trPr>
          <w:trHeight w:val="213"/>
        </w:trPr>
        <w:tc>
          <w:tcPr>
            <w:tcW w:w="5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tcPr>
          <w:p>
            <w:pPr>
              <w:jc w:val="center"/>
              <w:ind w:right="142"/>
              <w:spacing w:after="0"/>
              <w:rPr>
                <w:sz w:val="20"/>
                <w:szCs w:val="20"/>
                <w:color w:val="auto"/>
              </w:rPr>
            </w:pPr>
            <w:r>
              <w:rPr>
                <w:rFonts w:ascii="Arial" w:cs="Arial" w:eastAsia="Arial" w:hAnsi="Arial"/>
                <w:sz w:val="14"/>
                <w:szCs w:val="14"/>
                <w:color w:val="auto"/>
                <w:w w:val="98"/>
              </w:rPr>
              <w:t>Current</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center"/>
              <w:ind w:right="142"/>
              <w:spacing w:after="0"/>
              <w:rPr>
                <w:sz w:val="20"/>
                <w:szCs w:val="20"/>
                <w:color w:val="auto"/>
              </w:rPr>
            </w:pPr>
            <w:r>
              <w:rPr>
                <w:rFonts w:ascii="Arial" w:cs="Arial" w:eastAsia="Arial" w:hAnsi="Arial"/>
                <w:sz w:val="14"/>
                <w:szCs w:val="14"/>
                <w:color w:val="auto"/>
              </w:rPr>
              <w:t>Current</w:t>
            </w:r>
          </w:p>
        </w:tc>
        <w:tc>
          <w:tcPr>
            <w:tcW w:w="36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4"/>
                <w:szCs w:val="14"/>
                <w:color w:val="auto"/>
              </w:rPr>
              <w:t>and other</w:t>
            </w:r>
          </w:p>
        </w:tc>
      </w:tr>
      <w:tr>
        <w:trPr>
          <w:trHeight w:val="213"/>
        </w:trPr>
        <w:tc>
          <w:tcPr>
            <w:tcW w:w="5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tcPr>
          <w:p>
            <w:pPr>
              <w:jc w:val="center"/>
              <w:ind w:right="142"/>
              <w:spacing w:after="0"/>
              <w:rPr>
                <w:sz w:val="20"/>
                <w:szCs w:val="20"/>
                <w:color w:val="auto"/>
              </w:rPr>
            </w:pPr>
            <w:r>
              <w:rPr>
                <w:rFonts w:ascii="Arial" w:cs="Arial" w:eastAsia="Arial" w:hAnsi="Arial"/>
                <w:sz w:val="14"/>
                <w:szCs w:val="14"/>
                <w:color w:val="auto"/>
              </w:rPr>
              <w:t>assets:</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center"/>
              <w:ind w:right="162"/>
              <w:spacing w:after="0"/>
              <w:rPr>
                <w:sz w:val="20"/>
                <w:szCs w:val="20"/>
                <w:color w:val="auto"/>
              </w:rPr>
            </w:pPr>
            <w:r>
              <w:rPr>
                <w:rFonts w:ascii="Arial" w:cs="Arial" w:eastAsia="Arial" w:hAnsi="Arial"/>
                <w:sz w:val="14"/>
                <w:szCs w:val="14"/>
                <w:color w:val="auto"/>
              </w:rPr>
              <w:t>liabilities:</w:t>
            </w:r>
          </w:p>
        </w:tc>
        <w:tc>
          <w:tcPr>
            <w:tcW w:w="36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4"/>
                <w:szCs w:val="14"/>
                <w:color w:val="auto"/>
                <w:w w:val="98"/>
              </w:rPr>
              <w:t>liabilities:</w:t>
            </w:r>
          </w:p>
        </w:tc>
      </w:tr>
      <w:tr>
        <w:trPr>
          <w:trHeight w:val="213"/>
        </w:trPr>
        <w:tc>
          <w:tcPr>
            <w:tcW w:w="5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tcPr>
          <w:p>
            <w:pPr>
              <w:jc w:val="center"/>
              <w:ind w:right="142"/>
              <w:spacing w:after="0"/>
              <w:rPr>
                <w:sz w:val="20"/>
                <w:szCs w:val="20"/>
                <w:color w:val="auto"/>
              </w:rPr>
            </w:pPr>
            <w:r>
              <w:rPr>
                <w:rFonts w:ascii="Arial" w:cs="Arial" w:eastAsia="Arial" w:hAnsi="Arial"/>
                <w:sz w:val="14"/>
                <w:szCs w:val="14"/>
                <w:color w:val="auto"/>
              </w:rPr>
              <w:t>Fixed-price</w:t>
            </w:r>
          </w:p>
        </w:tc>
        <w:tc>
          <w:tcPr>
            <w:tcW w:w="340" w:type="dxa"/>
            <w:vAlign w:val="bottom"/>
          </w:tcPr>
          <w:p>
            <w:pPr>
              <w:spacing w:after="0"/>
              <w:rPr>
                <w:sz w:val="18"/>
                <w:szCs w:val="18"/>
                <w:color w:val="auto"/>
              </w:rPr>
            </w:pPr>
          </w:p>
        </w:tc>
        <w:tc>
          <w:tcPr>
            <w:tcW w:w="1240" w:type="dxa"/>
            <w:vAlign w:val="bottom"/>
          </w:tcPr>
          <w:p>
            <w:pPr>
              <w:jc w:val="center"/>
              <w:ind w:right="202"/>
              <w:spacing w:after="0"/>
              <w:rPr>
                <w:sz w:val="20"/>
                <w:szCs w:val="20"/>
                <w:color w:val="auto"/>
              </w:rPr>
            </w:pPr>
            <w:r>
              <w:rPr>
                <w:rFonts w:ascii="Arial" w:cs="Arial" w:eastAsia="Arial" w:hAnsi="Arial"/>
                <w:sz w:val="14"/>
                <w:szCs w:val="14"/>
                <w:color w:val="auto"/>
              </w:rPr>
              <w:t>Investments</w:t>
            </w:r>
          </w:p>
        </w:tc>
        <w:tc>
          <w:tcPr>
            <w:tcW w:w="320" w:type="dxa"/>
            <w:vAlign w:val="bottom"/>
          </w:tcPr>
          <w:p>
            <w:pPr>
              <w:spacing w:after="0"/>
              <w:rPr>
                <w:sz w:val="18"/>
                <w:szCs w:val="18"/>
                <w:color w:val="auto"/>
              </w:rPr>
            </w:pPr>
          </w:p>
        </w:tc>
        <w:tc>
          <w:tcPr>
            <w:tcW w:w="1260" w:type="dxa"/>
            <w:vAlign w:val="bottom"/>
          </w:tcPr>
          <w:p>
            <w:pPr>
              <w:jc w:val="center"/>
              <w:ind w:right="162"/>
              <w:spacing w:after="0"/>
              <w:rPr>
                <w:sz w:val="20"/>
                <w:szCs w:val="20"/>
                <w:color w:val="auto"/>
              </w:rPr>
            </w:pPr>
            <w:r>
              <w:rPr>
                <w:rFonts w:ascii="Arial" w:cs="Arial" w:eastAsia="Arial" w:hAnsi="Arial"/>
                <w:sz w:val="14"/>
                <w:szCs w:val="14"/>
                <w:color w:val="auto"/>
              </w:rPr>
              <w:t>Fixed-price</w:t>
            </w:r>
          </w:p>
        </w:tc>
        <w:tc>
          <w:tcPr>
            <w:tcW w:w="360" w:type="dxa"/>
            <w:vAlign w:val="bottom"/>
          </w:tcPr>
          <w:p>
            <w:pPr>
              <w:spacing w:after="0"/>
              <w:rPr>
                <w:sz w:val="18"/>
                <w:szCs w:val="18"/>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color w:val="auto"/>
              </w:rPr>
              <w:t>Fixed-price</w:t>
            </w:r>
          </w:p>
        </w:tc>
      </w:tr>
      <w:tr>
        <w:trPr>
          <w:trHeight w:val="213"/>
        </w:trPr>
        <w:tc>
          <w:tcPr>
            <w:tcW w:w="5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tcPr>
          <w:p>
            <w:pPr>
              <w:jc w:val="center"/>
              <w:ind w:right="142"/>
              <w:spacing w:after="0"/>
              <w:rPr>
                <w:sz w:val="20"/>
                <w:szCs w:val="20"/>
                <w:color w:val="auto"/>
              </w:rPr>
            </w:pPr>
            <w:r>
              <w:rPr>
                <w:rFonts w:ascii="Arial" w:cs="Arial" w:eastAsia="Arial" w:hAnsi="Arial"/>
                <w:sz w:val="14"/>
                <w:szCs w:val="14"/>
                <w:color w:val="auto"/>
              </w:rPr>
              <w:t>contracts</w:t>
            </w:r>
          </w:p>
        </w:tc>
        <w:tc>
          <w:tcPr>
            <w:tcW w:w="340" w:type="dxa"/>
            <w:vAlign w:val="bottom"/>
          </w:tcPr>
          <w:p>
            <w:pPr>
              <w:spacing w:after="0"/>
              <w:rPr>
                <w:sz w:val="18"/>
                <w:szCs w:val="18"/>
                <w:color w:val="auto"/>
              </w:rPr>
            </w:pPr>
          </w:p>
        </w:tc>
        <w:tc>
          <w:tcPr>
            <w:tcW w:w="1240" w:type="dxa"/>
            <w:vAlign w:val="bottom"/>
          </w:tcPr>
          <w:p>
            <w:pPr>
              <w:jc w:val="center"/>
              <w:ind w:right="202"/>
              <w:spacing w:after="0"/>
              <w:rPr>
                <w:sz w:val="20"/>
                <w:szCs w:val="20"/>
                <w:color w:val="auto"/>
              </w:rPr>
            </w:pPr>
            <w:r>
              <w:rPr>
                <w:rFonts w:ascii="Arial" w:cs="Arial" w:eastAsia="Arial" w:hAnsi="Arial"/>
                <w:sz w:val="14"/>
                <w:szCs w:val="14"/>
                <w:color w:val="auto"/>
              </w:rPr>
              <w:t>and other</w:t>
            </w:r>
          </w:p>
        </w:tc>
        <w:tc>
          <w:tcPr>
            <w:tcW w:w="320" w:type="dxa"/>
            <w:vAlign w:val="bottom"/>
          </w:tcPr>
          <w:p>
            <w:pPr>
              <w:spacing w:after="0"/>
              <w:rPr>
                <w:sz w:val="18"/>
                <w:szCs w:val="18"/>
                <w:color w:val="auto"/>
              </w:rPr>
            </w:pPr>
          </w:p>
        </w:tc>
        <w:tc>
          <w:tcPr>
            <w:tcW w:w="1260" w:type="dxa"/>
            <w:vAlign w:val="bottom"/>
          </w:tcPr>
          <w:p>
            <w:pPr>
              <w:jc w:val="center"/>
              <w:ind w:right="162"/>
              <w:spacing w:after="0"/>
              <w:rPr>
                <w:sz w:val="20"/>
                <w:szCs w:val="20"/>
                <w:color w:val="auto"/>
              </w:rPr>
            </w:pPr>
            <w:r>
              <w:rPr>
                <w:rFonts w:ascii="Arial" w:cs="Arial" w:eastAsia="Arial" w:hAnsi="Arial"/>
                <w:sz w:val="14"/>
                <w:szCs w:val="14"/>
                <w:color w:val="auto"/>
              </w:rPr>
              <w:t>contracts</w:t>
            </w:r>
          </w:p>
        </w:tc>
        <w:tc>
          <w:tcPr>
            <w:tcW w:w="36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4"/>
                <w:szCs w:val="14"/>
                <w:color w:val="auto"/>
                <w:w w:val="98"/>
              </w:rPr>
              <w:t>contracts</w:t>
            </w:r>
          </w:p>
        </w:tc>
      </w:tr>
      <w:tr>
        <w:trPr>
          <w:trHeight w:val="213"/>
        </w:trPr>
        <w:tc>
          <w:tcPr>
            <w:tcW w:w="5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tcPr>
          <w:p>
            <w:pPr>
              <w:jc w:val="center"/>
              <w:ind w:right="162"/>
              <w:spacing w:after="0"/>
              <w:rPr>
                <w:sz w:val="20"/>
                <w:szCs w:val="20"/>
                <w:color w:val="auto"/>
              </w:rPr>
            </w:pPr>
            <w:r>
              <w:rPr>
                <w:rFonts w:ascii="Arial" w:cs="Arial" w:eastAsia="Arial" w:hAnsi="Arial"/>
                <w:sz w:val="14"/>
                <w:szCs w:val="14"/>
                <w:color w:val="auto"/>
              </w:rPr>
              <w:t>and other</w:t>
            </w:r>
          </w:p>
        </w:tc>
        <w:tc>
          <w:tcPr>
            <w:tcW w:w="340" w:type="dxa"/>
            <w:vAlign w:val="bottom"/>
          </w:tcPr>
          <w:p>
            <w:pPr>
              <w:spacing w:after="0"/>
              <w:rPr>
                <w:sz w:val="18"/>
                <w:szCs w:val="18"/>
                <w:color w:val="auto"/>
              </w:rPr>
            </w:pPr>
          </w:p>
        </w:tc>
        <w:tc>
          <w:tcPr>
            <w:tcW w:w="1240" w:type="dxa"/>
            <w:vAlign w:val="bottom"/>
          </w:tcPr>
          <w:p>
            <w:pPr>
              <w:jc w:val="center"/>
              <w:ind w:right="182"/>
              <w:spacing w:after="0"/>
              <w:rPr>
                <w:sz w:val="20"/>
                <w:szCs w:val="20"/>
                <w:color w:val="auto"/>
              </w:rPr>
            </w:pPr>
            <w:r>
              <w:rPr>
                <w:rFonts w:ascii="Arial" w:cs="Arial" w:eastAsia="Arial" w:hAnsi="Arial"/>
                <w:sz w:val="14"/>
                <w:szCs w:val="14"/>
                <w:color w:val="auto"/>
              </w:rPr>
              <w:t>assets:</w:t>
            </w:r>
          </w:p>
        </w:tc>
        <w:tc>
          <w:tcPr>
            <w:tcW w:w="320" w:type="dxa"/>
            <w:vAlign w:val="bottom"/>
          </w:tcPr>
          <w:p>
            <w:pPr>
              <w:spacing w:after="0"/>
              <w:rPr>
                <w:sz w:val="18"/>
                <w:szCs w:val="18"/>
                <w:color w:val="auto"/>
              </w:rPr>
            </w:pPr>
          </w:p>
        </w:tc>
        <w:tc>
          <w:tcPr>
            <w:tcW w:w="1260" w:type="dxa"/>
            <w:vAlign w:val="bottom"/>
          </w:tcPr>
          <w:p>
            <w:pPr>
              <w:jc w:val="center"/>
              <w:ind w:right="142"/>
              <w:spacing w:after="0"/>
              <w:rPr>
                <w:sz w:val="20"/>
                <w:szCs w:val="20"/>
                <w:color w:val="auto"/>
              </w:rPr>
            </w:pPr>
            <w:r>
              <w:rPr>
                <w:rFonts w:ascii="Arial" w:cs="Arial" w:eastAsia="Arial" w:hAnsi="Arial"/>
                <w:sz w:val="14"/>
                <w:szCs w:val="14"/>
                <w:color w:val="auto"/>
              </w:rPr>
              <w:t>and other</w:t>
            </w:r>
          </w:p>
        </w:tc>
        <w:tc>
          <w:tcPr>
            <w:tcW w:w="36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4"/>
                <w:szCs w:val="14"/>
                <w:color w:val="auto"/>
              </w:rPr>
              <w:t>and other</w:t>
            </w:r>
          </w:p>
        </w:tc>
      </w:tr>
      <w:tr>
        <w:trPr>
          <w:trHeight w:val="197"/>
        </w:trPr>
        <w:tc>
          <w:tcPr>
            <w:tcW w:w="5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80" w:type="dxa"/>
            <w:vAlign w:val="bottom"/>
          </w:tcPr>
          <w:p>
            <w:pPr>
              <w:jc w:val="center"/>
              <w:ind w:right="142"/>
              <w:spacing w:after="0"/>
              <w:rPr>
                <w:sz w:val="20"/>
                <w:szCs w:val="20"/>
                <w:color w:val="auto"/>
              </w:rPr>
            </w:pPr>
            <w:r>
              <w:rPr>
                <w:rFonts w:ascii="Arial" w:cs="Arial" w:eastAsia="Arial" w:hAnsi="Arial"/>
                <w:sz w:val="14"/>
                <w:szCs w:val="14"/>
                <w:color w:val="auto"/>
              </w:rPr>
              <w:t>derivatives(1)</w:t>
            </w:r>
          </w:p>
        </w:tc>
        <w:tc>
          <w:tcPr>
            <w:tcW w:w="340" w:type="dxa"/>
            <w:vAlign w:val="bottom"/>
          </w:tcPr>
          <w:p>
            <w:pPr>
              <w:spacing w:after="0"/>
              <w:rPr>
                <w:sz w:val="17"/>
                <w:szCs w:val="17"/>
                <w:color w:val="auto"/>
              </w:rPr>
            </w:pPr>
          </w:p>
        </w:tc>
        <w:tc>
          <w:tcPr>
            <w:tcW w:w="1240" w:type="dxa"/>
            <w:vAlign w:val="bottom"/>
          </w:tcPr>
          <w:p>
            <w:pPr>
              <w:jc w:val="center"/>
              <w:ind w:right="182"/>
              <w:spacing w:after="0"/>
              <w:rPr>
                <w:sz w:val="20"/>
                <w:szCs w:val="20"/>
                <w:color w:val="auto"/>
              </w:rPr>
            </w:pPr>
            <w:r>
              <w:rPr>
                <w:rFonts w:ascii="Arial" w:cs="Arial" w:eastAsia="Arial" w:hAnsi="Arial"/>
                <w:sz w:val="14"/>
                <w:szCs w:val="14"/>
                <w:color w:val="auto"/>
              </w:rPr>
              <w:t>Sundry</w:t>
            </w:r>
          </w:p>
        </w:tc>
        <w:tc>
          <w:tcPr>
            <w:tcW w:w="320" w:type="dxa"/>
            <w:vAlign w:val="bottom"/>
          </w:tcPr>
          <w:p>
            <w:pPr>
              <w:spacing w:after="0"/>
              <w:rPr>
                <w:sz w:val="17"/>
                <w:szCs w:val="17"/>
                <w:color w:val="auto"/>
              </w:rPr>
            </w:pPr>
          </w:p>
        </w:tc>
        <w:tc>
          <w:tcPr>
            <w:tcW w:w="1260" w:type="dxa"/>
            <w:vAlign w:val="bottom"/>
          </w:tcPr>
          <w:p>
            <w:pPr>
              <w:jc w:val="center"/>
              <w:ind w:right="142"/>
              <w:spacing w:after="0"/>
              <w:rPr>
                <w:sz w:val="20"/>
                <w:szCs w:val="20"/>
                <w:color w:val="auto"/>
              </w:rPr>
            </w:pPr>
            <w:r>
              <w:rPr>
                <w:rFonts w:ascii="Arial" w:cs="Arial" w:eastAsia="Arial" w:hAnsi="Arial"/>
                <w:sz w:val="14"/>
                <w:szCs w:val="14"/>
                <w:color w:val="auto"/>
                <w:w w:val="99"/>
              </w:rPr>
              <w:t>derivatives(2)</w:t>
            </w:r>
          </w:p>
        </w:tc>
        <w:tc>
          <w:tcPr>
            <w:tcW w:w="360" w:type="dxa"/>
            <w:vAlign w:val="bottom"/>
          </w:tcPr>
          <w:p>
            <w:pPr>
              <w:spacing w:after="0"/>
              <w:rPr>
                <w:sz w:val="17"/>
                <w:szCs w:val="17"/>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4"/>
                <w:szCs w:val="14"/>
                <w:color w:val="auto"/>
              </w:rPr>
              <w:t>derivatives</w:t>
            </w:r>
          </w:p>
        </w:tc>
      </w:tr>
      <w:tr>
        <w:trPr>
          <w:trHeight w:val="214"/>
        </w:trPr>
        <w:tc>
          <w:tcPr>
            <w:tcW w:w="50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Sempra Energy Consolidated:</w:t>
            </w:r>
          </w:p>
        </w:tc>
        <w:tc>
          <w:tcPr>
            <w:tcW w:w="4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93"/>
        </w:trPr>
        <w:tc>
          <w:tcPr>
            <w:tcW w:w="5060" w:type="dxa"/>
            <w:vAlign w:val="bottom"/>
          </w:tcPr>
          <w:p>
            <w:pPr>
              <w:spacing w:after="0"/>
              <w:rPr>
                <w:sz w:val="20"/>
                <w:szCs w:val="20"/>
                <w:color w:val="auto"/>
              </w:rPr>
            </w:pPr>
            <w:r>
              <w:rPr>
                <w:rFonts w:ascii="Arial" w:cs="Arial" w:eastAsia="Arial" w:hAnsi="Arial"/>
                <w:sz w:val="16"/>
                <w:szCs w:val="16"/>
                <w:color w:val="auto"/>
              </w:rPr>
              <w:t>Derivatives designated as hedging instruments:</w:t>
            </w:r>
          </w:p>
        </w:tc>
        <w:tc>
          <w:tcPr>
            <w:tcW w:w="4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2"/>
        </w:trPr>
        <w:tc>
          <w:tcPr>
            <w:tcW w:w="5060" w:type="dxa"/>
            <w:vAlign w:val="bottom"/>
          </w:tcPr>
          <w:p>
            <w:pPr>
              <w:ind w:left="180"/>
              <w:spacing w:after="0"/>
              <w:rPr>
                <w:sz w:val="20"/>
                <w:szCs w:val="20"/>
                <w:color w:val="auto"/>
              </w:rPr>
            </w:pPr>
            <w:r>
              <w:rPr>
                <w:rFonts w:ascii="Arial" w:cs="Arial" w:eastAsia="Arial" w:hAnsi="Arial"/>
                <w:sz w:val="16"/>
                <w:szCs w:val="16"/>
                <w:color w:val="auto"/>
              </w:rPr>
              <w:t>Interest rate and foreign exchange instruments(3)</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62"/>
              <w:spacing w:after="0"/>
              <w:rPr>
                <w:sz w:val="20"/>
                <w:szCs w:val="20"/>
                <w:color w:val="auto"/>
              </w:rPr>
            </w:pPr>
            <w:r>
              <w:rPr>
                <w:rFonts w:ascii="Arial" w:cs="Arial" w:eastAsia="Arial" w:hAnsi="Arial"/>
                <w:sz w:val="16"/>
                <w:szCs w:val="16"/>
                <w:color w:val="auto"/>
              </w:rPr>
              <w:t>12</w:t>
            </w:r>
          </w:p>
        </w:tc>
        <w:tc>
          <w:tcPr>
            <w:tcW w:w="3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62"/>
              <w:spacing w:after="0"/>
              <w:rPr>
                <w:sz w:val="20"/>
                <w:szCs w:val="20"/>
                <w:color w:val="auto"/>
              </w:rPr>
            </w:pPr>
            <w:r>
              <w:rPr>
                <w:rFonts w:ascii="Arial" w:cs="Arial" w:eastAsia="Arial" w:hAnsi="Arial"/>
                <w:sz w:val="16"/>
                <w:szCs w:val="16"/>
                <w:color w:val="auto"/>
              </w:rPr>
              <w:t>7</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(17)</w:t>
            </w:r>
          </w:p>
        </w:tc>
        <w:tc>
          <w:tcPr>
            <w:tcW w:w="3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(77)</w:t>
            </w:r>
          </w:p>
        </w:tc>
        <w:tc>
          <w:tcPr>
            <w:tcW w:w="20" w:type="dxa"/>
            <w:vAlign w:val="bottom"/>
          </w:tcPr>
          <w:p>
            <w:pPr>
              <w:spacing w:after="0"/>
              <w:rPr>
                <w:sz w:val="16"/>
                <w:szCs w:val="16"/>
                <w:color w:val="auto"/>
              </w:rPr>
            </w:pPr>
          </w:p>
        </w:tc>
      </w:tr>
      <w:tr>
        <w:trPr>
          <w:trHeight w:val="213"/>
        </w:trPr>
        <w:tc>
          <w:tcPr>
            <w:tcW w:w="5060" w:type="dxa"/>
            <w:vAlign w:val="bottom"/>
          </w:tcPr>
          <w:p>
            <w:pPr>
              <w:ind w:left="180"/>
              <w:spacing w:after="0"/>
              <w:rPr>
                <w:sz w:val="20"/>
                <w:szCs w:val="20"/>
                <w:color w:val="auto"/>
              </w:rPr>
            </w:pPr>
            <w:r>
              <w:rPr>
                <w:rFonts w:ascii="Arial" w:cs="Arial" w:eastAsia="Arial" w:hAnsi="Arial"/>
                <w:sz w:val="16"/>
                <w:szCs w:val="16"/>
                <w:color w:val="auto"/>
              </w:rPr>
              <w:t>Commodity contracts not subject to rate recovery</w:t>
            </w:r>
          </w:p>
        </w:tc>
        <w:tc>
          <w:tcPr>
            <w:tcW w:w="440" w:type="dxa"/>
            <w:vAlign w:val="bottom"/>
          </w:tcPr>
          <w:p>
            <w:pPr>
              <w:spacing w:after="0"/>
              <w:rPr>
                <w:sz w:val="18"/>
                <w:szCs w:val="18"/>
                <w:color w:val="auto"/>
              </w:rPr>
            </w:pPr>
          </w:p>
        </w:tc>
        <w:tc>
          <w:tcPr>
            <w:tcW w:w="1280" w:type="dxa"/>
            <w:vAlign w:val="bottom"/>
          </w:tcPr>
          <w:p>
            <w:pPr>
              <w:jc w:val="right"/>
              <w:ind w:right="62"/>
              <w:spacing w:after="0"/>
              <w:rPr>
                <w:sz w:val="20"/>
                <w:szCs w:val="20"/>
                <w:color w:val="auto"/>
              </w:rPr>
            </w:pPr>
            <w:r>
              <w:rPr>
                <w:rFonts w:ascii="Arial" w:cs="Arial" w:eastAsia="Arial" w:hAnsi="Arial"/>
                <w:sz w:val="16"/>
                <w:szCs w:val="16"/>
                <w:color w:val="auto"/>
              </w:rPr>
              <w:t>1</w:t>
            </w:r>
          </w:p>
        </w:tc>
        <w:tc>
          <w:tcPr>
            <w:tcW w:w="340" w:type="dxa"/>
            <w:vAlign w:val="bottom"/>
          </w:tcPr>
          <w:p>
            <w:pPr>
              <w:spacing w:after="0"/>
              <w:rPr>
                <w:sz w:val="18"/>
                <w:szCs w:val="18"/>
                <w:color w:val="auto"/>
              </w:rPr>
            </w:pPr>
          </w:p>
        </w:tc>
        <w:tc>
          <w:tcPr>
            <w:tcW w:w="124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26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13"/>
        </w:trPr>
        <w:tc>
          <w:tcPr>
            <w:tcW w:w="5060" w:type="dxa"/>
            <w:vAlign w:val="bottom"/>
          </w:tcPr>
          <w:p>
            <w:pPr>
              <w:spacing w:after="0"/>
              <w:rPr>
                <w:sz w:val="20"/>
                <w:szCs w:val="20"/>
                <w:color w:val="auto"/>
              </w:rPr>
            </w:pPr>
            <w:r>
              <w:rPr>
                <w:rFonts w:ascii="Arial" w:cs="Arial" w:eastAsia="Arial" w:hAnsi="Arial"/>
                <w:sz w:val="16"/>
                <w:szCs w:val="16"/>
                <w:color w:val="auto"/>
              </w:rPr>
              <w:t>Derivatives not designated as hedging instruments:</w:t>
            </w:r>
          </w:p>
        </w:tc>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5060" w:type="dxa"/>
            <w:vAlign w:val="bottom"/>
          </w:tcPr>
          <w:p>
            <w:pPr>
              <w:ind w:left="180"/>
              <w:spacing w:after="0"/>
              <w:rPr>
                <w:sz w:val="20"/>
                <w:szCs w:val="20"/>
                <w:color w:val="auto"/>
              </w:rPr>
            </w:pPr>
            <w:r>
              <w:rPr>
                <w:rFonts w:ascii="Arial" w:cs="Arial" w:eastAsia="Arial" w:hAnsi="Arial"/>
                <w:sz w:val="16"/>
                <w:szCs w:val="16"/>
                <w:color w:val="auto"/>
              </w:rPr>
              <w:t>Interest rate and foreign exchange instruments</w:t>
            </w:r>
          </w:p>
        </w:tc>
        <w:tc>
          <w:tcPr>
            <w:tcW w:w="440" w:type="dxa"/>
            <w:vAlign w:val="bottom"/>
          </w:tcPr>
          <w:p>
            <w:pPr>
              <w:spacing w:after="0"/>
              <w:rPr>
                <w:sz w:val="18"/>
                <w:szCs w:val="18"/>
                <w:color w:val="auto"/>
              </w:rPr>
            </w:pPr>
          </w:p>
        </w:tc>
        <w:tc>
          <w:tcPr>
            <w:tcW w:w="1280" w:type="dxa"/>
            <w:vAlign w:val="bottom"/>
          </w:tcPr>
          <w:p>
            <w:pPr>
              <w:jc w:val="right"/>
              <w:ind w:right="62"/>
              <w:spacing w:after="0"/>
              <w:rPr>
                <w:sz w:val="20"/>
                <w:szCs w:val="20"/>
                <w:color w:val="auto"/>
              </w:rPr>
            </w:pPr>
            <w:r>
              <w:rPr>
                <w:rFonts w:ascii="Arial" w:cs="Arial" w:eastAsia="Arial" w:hAnsi="Arial"/>
                <w:sz w:val="16"/>
                <w:szCs w:val="16"/>
                <w:color w:val="auto"/>
              </w:rPr>
              <w:t>8</w:t>
            </w:r>
          </w:p>
        </w:tc>
        <w:tc>
          <w:tcPr>
            <w:tcW w:w="340" w:type="dxa"/>
            <w:vAlign w:val="bottom"/>
          </w:tcPr>
          <w:p>
            <w:pPr>
              <w:spacing w:after="0"/>
              <w:rPr>
                <w:sz w:val="18"/>
                <w:szCs w:val="18"/>
                <w:color w:val="auto"/>
              </w:rPr>
            </w:pPr>
          </w:p>
        </w:tc>
        <w:tc>
          <w:tcPr>
            <w:tcW w:w="1240" w:type="dxa"/>
            <w:vAlign w:val="bottom"/>
          </w:tcPr>
          <w:p>
            <w:pPr>
              <w:jc w:val="right"/>
              <w:ind w:right="62"/>
              <w:spacing w:after="0"/>
              <w:rPr>
                <w:sz w:val="20"/>
                <w:szCs w:val="20"/>
                <w:color w:val="auto"/>
              </w:rPr>
            </w:pPr>
            <w:r>
              <w:rPr>
                <w:rFonts w:ascii="Arial" w:cs="Arial" w:eastAsia="Arial" w:hAnsi="Arial"/>
                <w:sz w:val="16"/>
                <w:szCs w:val="16"/>
                <w:color w:val="auto"/>
              </w:rPr>
              <w:t>24</w:t>
            </w:r>
          </w:p>
        </w:tc>
        <w:tc>
          <w:tcPr>
            <w:tcW w:w="320" w:type="dxa"/>
            <w:vAlign w:val="bottom"/>
          </w:tcPr>
          <w:p>
            <w:pPr>
              <w:spacing w:after="0"/>
              <w:rPr>
                <w:sz w:val="18"/>
                <w:szCs w:val="18"/>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(7)</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w:t>
            </w:r>
          </w:p>
        </w:tc>
        <w:tc>
          <w:tcPr>
            <w:tcW w:w="20" w:type="dxa"/>
            <w:vAlign w:val="bottom"/>
          </w:tcPr>
          <w:p>
            <w:pPr>
              <w:spacing w:after="0"/>
              <w:rPr>
                <w:sz w:val="18"/>
                <w:szCs w:val="18"/>
                <w:color w:val="auto"/>
              </w:rPr>
            </w:pPr>
          </w:p>
        </w:tc>
      </w:tr>
      <w:tr>
        <w:trPr>
          <w:trHeight w:val="213"/>
        </w:trPr>
        <w:tc>
          <w:tcPr>
            <w:tcW w:w="5060" w:type="dxa"/>
            <w:vAlign w:val="bottom"/>
          </w:tcPr>
          <w:p>
            <w:pPr>
              <w:ind w:left="180"/>
              <w:spacing w:after="0"/>
              <w:rPr>
                <w:sz w:val="20"/>
                <w:szCs w:val="20"/>
                <w:color w:val="auto"/>
              </w:rPr>
            </w:pPr>
            <w:r>
              <w:rPr>
                <w:rFonts w:ascii="Arial" w:cs="Arial" w:eastAsia="Arial" w:hAnsi="Arial"/>
                <w:sz w:val="16"/>
                <w:szCs w:val="16"/>
                <w:color w:val="auto"/>
              </w:rPr>
              <w:t>Commodity contracts not subject to rate recovery</w:t>
            </w:r>
          </w:p>
        </w:tc>
        <w:tc>
          <w:tcPr>
            <w:tcW w:w="440" w:type="dxa"/>
            <w:vAlign w:val="bottom"/>
          </w:tcPr>
          <w:p>
            <w:pPr>
              <w:spacing w:after="0"/>
              <w:rPr>
                <w:sz w:val="18"/>
                <w:szCs w:val="18"/>
                <w:color w:val="auto"/>
              </w:rPr>
            </w:pPr>
          </w:p>
        </w:tc>
        <w:tc>
          <w:tcPr>
            <w:tcW w:w="1280" w:type="dxa"/>
            <w:vAlign w:val="bottom"/>
          </w:tcPr>
          <w:p>
            <w:pPr>
              <w:jc w:val="right"/>
              <w:ind w:right="62"/>
              <w:spacing w:after="0"/>
              <w:rPr>
                <w:sz w:val="20"/>
                <w:szCs w:val="20"/>
                <w:color w:val="auto"/>
              </w:rPr>
            </w:pPr>
            <w:r>
              <w:rPr>
                <w:rFonts w:ascii="Arial" w:cs="Arial" w:eastAsia="Arial" w:hAnsi="Arial"/>
                <w:sz w:val="16"/>
                <w:szCs w:val="16"/>
                <w:color w:val="auto"/>
              </w:rPr>
              <w:t>39</w:t>
            </w:r>
          </w:p>
        </w:tc>
        <w:tc>
          <w:tcPr>
            <w:tcW w:w="340" w:type="dxa"/>
            <w:vAlign w:val="bottom"/>
          </w:tcPr>
          <w:p>
            <w:pPr>
              <w:spacing w:after="0"/>
              <w:rPr>
                <w:sz w:val="18"/>
                <w:szCs w:val="18"/>
                <w:color w:val="auto"/>
              </w:rPr>
            </w:pPr>
          </w:p>
        </w:tc>
        <w:tc>
          <w:tcPr>
            <w:tcW w:w="1240" w:type="dxa"/>
            <w:vAlign w:val="bottom"/>
          </w:tcPr>
          <w:p>
            <w:pPr>
              <w:jc w:val="right"/>
              <w:ind w:right="62"/>
              <w:spacing w:after="0"/>
              <w:rPr>
                <w:sz w:val="20"/>
                <w:szCs w:val="20"/>
                <w:color w:val="auto"/>
              </w:rPr>
            </w:pPr>
            <w:r>
              <w:rPr>
                <w:rFonts w:ascii="Arial" w:cs="Arial" w:eastAsia="Arial" w:hAnsi="Arial"/>
                <w:sz w:val="16"/>
                <w:szCs w:val="16"/>
                <w:color w:val="auto"/>
              </w:rPr>
              <w:t>10</w:t>
            </w:r>
          </w:p>
        </w:tc>
        <w:tc>
          <w:tcPr>
            <w:tcW w:w="320" w:type="dxa"/>
            <w:vAlign w:val="bottom"/>
          </w:tcPr>
          <w:p>
            <w:pPr>
              <w:spacing w:after="0"/>
              <w:rPr>
                <w:sz w:val="18"/>
                <w:szCs w:val="18"/>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(36)</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w:t>
            </w:r>
          </w:p>
        </w:tc>
        <w:tc>
          <w:tcPr>
            <w:tcW w:w="20" w:type="dxa"/>
            <w:vAlign w:val="bottom"/>
          </w:tcPr>
          <w:p>
            <w:pPr>
              <w:spacing w:after="0"/>
              <w:rPr>
                <w:sz w:val="18"/>
                <w:szCs w:val="18"/>
                <w:color w:val="auto"/>
              </w:rPr>
            </w:pPr>
          </w:p>
        </w:tc>
      </w:tr>
      <w:tr>
        <w:trPr>
          <w:trHeight w:val="213"/>
        </w:trPr>
        <w:tc>
          <w:tcPr>
            <w:tcW w:w="5060" w:type="dxa"/>
            <w:vAlign w:val="bottom"/>
          </w:tcPr>
          <w:p>
            <w:pPr>
              <w:ind w:left="360"/>
              <w:spacing w:after="0"/>
              <w:rPr>
                <w:sz w:val="20"/>
                <w:szCs w:val="20"/>
                <w:color w:val="auto"/>
              </w:rPr>
            </w:pPr>
            <w:r>
              <w:rPr>
                <w:rFonts w:ascii="Arial" w:cs="Arial" w:eastAsia="Arial" w:hAnsi="Arial"/>
                <w:sz w:val="16"/>
                <w:szCs w:val="16"/>
                <w:color w:val="auto"/>
              </w:rPr>
              <w:t>Associated offsetting commodity contracts</w:t>
            </w:r>
          </w:p>
        </w:tc>
        <w:tc>
          <w:tcPr>
            <w:tcW w:w="440" w:type="dxa"/>
            <w:vAlign w:val="bottom"/>
          </w:tcPr>
          <w:p>
            <w:pPr>
              <w:spacing w:after="0"/>
              <w:rPr>
                <w:sz w:val="18"/>
                <w:szCs w:val="18"/>
                <w:color w:val="auto"/>
              </w:rPr>
            </w:pPr>
          </w:p>
        </w:tc>
        <w:tc>
          <w:tcPr>
            <w:tcW w:w="1280" w:type="dxa"/>
            <w:vAlign w:val="bottom"/>
          </w:tcPr>
          <w:p>
            <w:pPr>
              <w:jc w:val="right"/>
              <w:ind w:right="62"/>
              <w:spacing w:after="0"/>
              <w:rPr>
                <w:sz w:val="20"/>
                <w:szCs w:val="20"/>
                <w:color w:val="auto"/>
              </w:rPr>
            </w:pPr>
            <w:r>
              <w:rPr>
                <w:rFonts w:ascii="Arial" w:cs="Arial" w:eastAsia="Arial" w:hAnsi="Arial"/>
                <w:sz w:val="16"/>
                <w:szCs w:val="16"/>
                <w:color w:val="auto"/>
              </w:rPr>
              <w:t>(32)</w:t>
            </w:r>
          </w:p>
        </w:tc>
        <w:tc>
          <w:tcPr>
            <w:tcW w:w="340" w:type="dxa"/>
            <w:vAlign w:val="bottom"/>
          </w:tcPr>
          <w:p>
            <w:pPr>
              <w:spacing w:after="0"/>
              <w:rPr>
                <w:sz w:val="18"/>
                <w:szCs w:val="18"/>
                <w:color w:val="auto"/>
              </w:rPr>
            </w:pPr>
          </w:p>
        </w:tc>
        <w:tc>
          <w:tcPr>
            <w:tcW w:w="1240" w:type="dxa"/>
            <w:vAlign w:val="bottom"/>
          </w:tcPr>
          <w:p>
            <w:pPr>
              <w:jc w:val="right"/>
              <w:ind w:right="62"/>
              <w:spacing w:after="0"/>
              <w:rPr>
                <w:sz w:val="20"/>
                <w:szCs w:val="20"/>
                <w:color w:val="auto"/>
              </w:rPr>
            </w:pPr>
            <w:r>
              <w:rPr>
                <w:rFonts w:ascii="Arial" w:cs="Arial" w:eastAsia="Arial" w:hAnsi="Arial"/>
                <w:sz w:val="16"/>
                <w:szCs w:val="16"/>
                <w:color w:val="auto"/>
              </w:rPr>
              <w:t>(7)</w:t>
            </w:r>
          </w:p>
        </w:tc>
        <w:tc>
          <w:tcPr>
            <w:tcW w:w="320" w:type="dxa"/>
            <w:vAlign w:val="bottom"/>
          </w:tcPr>
          <w:p>
            <w:pPr>
              <w:spacing w:after="0"/>
              <w:rPr>
                <w:sz w:val="18"/>
                <w:szCs w:val="18"/>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32</w:t>
            </w:r>
          </w:p>
        </w:tc>
        <w:tc>
          <w:tcPr>
            <w:tcW w:w="3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7</w:t>
            </w:r>
          </w:p>
        </w:tc>
      </w:tr>
      <w:tr>
        <w:trPr>
          <w:trHeight w:val="213"/>
        </w:trPr>
        <w:tc>
          <w:tcPr>
            <w:tcW w:w="5060" w:type="dxa"/>
            <w:vAlign w:val="bottom"/>
          </w:tcPr>
          <w:p>
            <w:pPr>
              <w:ind w:left="360"/>
              <w:spacing w:after="0"/>
              <w:rPr>
                <w:sz w:val="20"/>
                <w:szCs w:val="20"/>
                <w:color w:val="auto"/>
              </w:rPr>
            </w:pPr>
            <w:r>
              <w:rPr>
                <w:rFonts w:ascii="Arial" w:cs="Arial" w:eastAsia="Arial" w:hAnsi="Arial"/>
                <w:sz w:val="16"/>
                <w:szCs w:val="16"/>
                <w:color w:val="auto"/>
              </w:rPr>
              <w:t>Associated offsetting cash collateral</w:t>
            </w:r>
          </w:p>
        </w:tc>
        <w:tc>
          <w:tcPr>
            <w:tcW w:w="440" w:type="dxa"/>
            <w:vAlign w:val="bottom"/>
          </w:tcPr>
          <w:p>
            <w:pPr>
              <w:spacing w:after="0"/>
              <w:rPr>
                <w:sz w:val="18"/>
                <w:szCs w:val="18"/>
                <w:color w:val="auto"/>
              </w:rPr>
            </w:pPr>
          </w:p>
        </w:tc>
        <w:tc>
          <w:tcPr>
            <w:tcW w:w="128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4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1</w:t>
            </w:r>
          </w:p>
        </w:tc>
        <w:tc>
          <w:tcPr>
            <w:tcW w:w="3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13"/>
        </w:trPr>
        <w:tc>
          <w:tcPr>
            <w:tcW w:w="5060" w:type="dxa"/>
            <w:vAlign w:val="bottom"/>
          </w:tcPr>
          <w:p>
            <w:pPr>
              <w:ind w:left="180"/>
              <w:spacing w:after="0"/>
              <w:rPr>
                <w:sz w:val="20"/>
                <w:szCs w:val="20"/>
                <w:color w:val="auto"/>
              </w:rPr>
            </w:pPr>
            <w:r>
              <w:rPr>
                <w:rFonts w:ascii="Arial" w:cs="Arial" w:eastAsia="Arial" w:hAnsi="Arial"/>
                <w:sz w:val="16"/>
                <w:szCs w:val="16"/>
                <w:color w:val="auto"/>
              </w:rPr>
              <w:t>Commodity contracts subject to rate recovery</w:t>
            </w:r>
          </w:p>
        </w:tc>
        <w:tc>
          <w:tcPr>
            <w:tcW w:w="440" w:type="dxa"/>
            <w:vAlign w:val="bottom"/>
          </w:tcPr>
          <w:p>
            <w:pPr>
              <w:spacing w:after="0"/>
              <w:rPr>
                <w:sz w:val="18"/>
                <w:szCs w:val="18"/>
                <w:color w:val="auto"/>
              </w:rPr>
            </w:pPr>
          </w:p>
        </w:tc>
        <w:tc>
          <w:tcPr>
            <w:tcW w:w="1280" w:type="dxa"/>
            <w:vAlign w:val="bottom"/>
          </w:tcPr>
          <w:p>
            <w:pPr>
              <w:jc w:val="right"/>
              <w:ind w:right="62"/>
              <w:spacing w:after="0"/>
              <w:rPr>
                <w:sz w:val="20"/>
                <w:szCs w:val="20"/>
                <w:color w:val="auto"/>
              </w:rPr>
            </w:pPr>
            <w:r>
              <w:rPr>
                <w:rFonts w:ascii="Arial" w:cs="Arial" w:eastAsia="Arial" w:hAnsi="Arial"/>
                <w:sz w:val="16"/>
                <w:szCs w:val="16"/>
                <w:color w:val="auto"/>
              </w:rPr>
              <w:t>14</w:t>
            </w:r>
          </w:p>
        </w:tc>
        <w:tc>
          <w:tcPr>
            <w:tcW w:w="340" w:type="dxa"/>
            <w:vAlign w:val="bottom"/>
          </w:tcPr>
          <w:p>
            <w:pPr>
              <w:spacing w:after="0"/>
              <w:rPr>
                <w:sz w:val="18"/>
                <w:szCs w:val="18"/>
                <w:color w:val="auto"/>
              </w:rPr>
            </w:pPr>
          </w:p>
        </w:tc>
        <w:tc>
          <w:tcPr>
            <w:tcW w:w="1240" w:type="dxa"/>
            <w:vAlign w:val="bottom"/>
          </w:tcPr>
          <w:p>
            <w:pPr>
              <w:jc w:val="right"/>
              <w:ind w:right="62"/>
              <w:spacing w:after="0"/>
              <w:rPr>
                <w:sz w:val="20"/>
                <w:szCs w:val="20"/>
                <w:color w:val="auto"/>
              </w:rPr>
            </w:pPr>
            <w:r>
              <w:rPr>
                <w:rFonts w:ascii="Arial" w:cs="Arial" w:eastAsia="Arial" w:hAnsi="Arial"/>
                <w:sz w:val="16"/>
                <w:szCs w:val="16"/>
                <w:color w:val="auto"/>
              </w:rPr>
              <w:t>82</w:t>
            </w:r>
          </w:p>
        </w:tc>
        <w:tc>
          <w:tcPr>
            <w:tcW w:w="320" w:type="dxa"/>
            <w:vAlign w:val="bottom"/>
          </w:tcPr>
          <w:p>
            <w:pPr>
              <w:spacing w:after="0"/>
              <w:rPr>
                <w:sz w:val="18"/>
                <w:szCs w:val="18"/>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(13)</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w:t>
            </w:r>
          </w:p>
        </w:tc>
        <w:tc>
          <w:tcPr>
            <w:tcW w:w="20" w:type="dxa"/>
            <w:vAlign w:val="bottom"/>
          </w:tcPr>
          <w:p>
            <w:pPr>
              <w:spacing w:after="0"/>
              <w:rPr>
                <w:sz w:val="18"/>
                <w:szCs w:val="18"/>
                <w:color w:val="auto"/>
              </w:rPr>
            </w:pPr>
          </w:p>
        </w:tc>
      </w:tr>
      <w:tr>
        <w:trPr>
          <w:trHeight w:val="213"/>
        </w:trPr>
        <w:tc>
          <w:tcPr>
            <w:tcW w:w="5060" w:type="dxa"/>
            <w:vAlign w:val="bottom"/>
          </w:tcPr>
          <w:p>
            <w:pPr>
              <w:ind w:left="360"/>
              <w:spacing w:after="0"/>
              <w:rPr>
                <w:sz w:val="20"/>
                <w:szCs w:val="20"/>
                <w:color w:val="auto"/>
              </w:rPr>
            </w:pPr>
            <w:r>
              <w:rPr>
                <w:rFonts w:ascii="Arial" w:cs="Arial" w:eastAsia="Arial" w:hAnsi="Arial"/>
                <w:sz w:val="16"/>
                <w:szCs w:val="16"/>
                <w:color w:val="auto"/>
              </w:rPr>
              <w:t>Associated offsetting commodity contracts</w:t>
            </w:r>
          </w:p>
        </w:tc>
        <w:tc>
          <w:tcPr>
            <w:tcW w:w="440" w:type="dxa"/>
            <w:vAlign w:val="bottom"/>
          </w:tcPr>
          <w:p>
            <w:pPr>
              <w:spacing w:after="0"/>
              <w:rPr>
                <w:sz w:val="18"/>
                <w:szCs w:val="18"/>
                <w:color w:val="auto"/>
              </w:rPr>
            </w:pPr>
          </w:p>
        </w:tc>
        <w:tc>
          <w:tcPr>
            <w:tcW w:w="1280" w:type="dxa"/>
            <w:vAlign w:val="bottom"/>
          </w:tcPr>
          <w:p>
            <w:pPr>
              <w:jc w:val="right"/>
              <w:ind w:right="62"/>
              <w:spacing w:after="0"/>
              <w:rPr>
                <w:sz w:val="20"/>
                <w:szCs w:val="20"/>
                <w:color w:val="auto"/>
              </w:rPr>
            </w:pPr>
            <w:r>
              <w:rPr>
                <w:rFonts w:ascii="Arial" w:cs="Arial" w:eastAsia="Arial" w:hAnsi="Arial"/>
                <w:sz w:val="16"/>
                <w:szCs w:val="16"/>
                <w:color w:val="auto"/>
              </w:rPr>
              <w:t>(4)</w:t>
            </w:r>
          </w:p>
        </w:tc>
        <w:tc>
          <w:tcPr>
            <w:tcW w:w="340" w:type="dxa"/>
            <w:vAlign w:val="bottom"/>
          </w:tcPr>
          <w:p>
            <w:pPr>
              <w:spacing w:after="0"/>
              <w:rPr>
                <w:sz w:val="18"/>
                <w:szCs w:val="18"/>
                <w:color w:val="auto"/>
              </w:rPr>
            </w:pPr>
          </w:p>
        </w:tc>
        <w:tc>
          <w:tcPr>
            <w:tcW w:w="1240" w:type="dxa"/>
            <w:vAlign w:val="bottom"/>
          </w:tcPr>
          <w:p>
            <w:pPr>
              <w:jc w:val="right"/>
              <w:ind w:right="62"/>
              <w:spacing w:after="0"/>
              <w:rPr>
                <w:sz w:val="20"/>
                <w:szCs w:val="20"/>
                <w:color w:val="auto"/>
              </w:rPr>
            </w:pPr>
            <w:r>
              <w:rPr>
                <w:rFonts w:ascii="Arial" w:cs="Arial" w:eastAsia="Arial" w:hAnsi="Arial"/>
                <w:sz w:val="16"/>
                <w:szCs w:val="16"/>
                <w:color w:val="auto"/>
              </w:rPr>
              <w:t>(2)</w:t>
            </w:r>
          </w:p>
        </w:tc>
        <w:tc>
          <w:tcPr>
            <w:tcW w:w="320" w:type="dxa"/>
            <w:vAlign w:val="bottom"/>
          </w:tcPr>
          <w:p>
            <w:pPr>
              <w:spacing w:after="0"/>
              <w:rPr>
                <w:sz w:val="18"/>
                <w:szCs w:val="18"/>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4</w:t>
            </w:r>
          </w:p>
        </w:tc>
        <w:tc>
          <w:tcPr>
            <w:tcW w:w="3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2</w:t>
            </w:r>
          </w:p>
        </w:tc>
      </w:tr>
      <w:tr>
        <w:trPr>
          <w:trHeight w:val="204"/>
        </w:trPr>
        <w:tc>
          <w:tcPr>
            <w:tcW w:w="5060" w:type="dxa"/>
            <w:vAlign w:val="bottom"/>
          </w:tcPr>
          <w:p>
            <w:pPr>
              <w:ind w:left="360"/>
              <w:spacing w:after="0"/>
              <w:rPr>
                <w:sz w:val="20"/>
                <w:szCs w:val="20"/>
                <w:color w:val="auto"/>
              </w:rPr>
            </w:pPr>
            <w:r>
              <w:rPr>
                <w:rFonts w:ascii="Arial" w:cs="Arial" w:eastAsia="Arial" w:hAnsi="Arial"/>
                <w:sz w:val="16"/>
                <w:szCs w:val="16"/>
                <w:color w:val="auto"/>
              </w:rPr>
              <w:t>Associated offsetting cash collateral</w:t>
            </w:r>
          </w:p>
        </w:tc>
        <w:tc>
          <w:tcPr>
            <w:tcW w:w="440" w:type="dxa"/>
            <w:vAlign w:val="bottom"/>
          </w:tcPr>
          <w:p>
            <w:pPr>
              <w:spacing w:after="0"/>
              <w:rPr>
                <w:sz w:val="17"/>
                <w:szCs w:val="17"/>
                <w:color w:val="auto"/>
              </w:rPr>
            </w:pPr>
          </w:p>
        </w:tc>
        <w:tc>
          <w:tcPr>
            <w:tcW w:w="128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24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3</w:t>
            </w:r>
          </w:p>
        </w:tc>
        <w:tc>
          <w:tcPr>
            <w:tcW w:w="36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14"/>
        </w:trPr>
        <w:tc>
          <w:tcPr>
            <w:tcW w:w="5060" w:type="dxa"/>
            <w:vAlign w:val="bottom"/>
          </w:tcPr>
          <w:p>
            <w:pPr>
              <w:ind w:left="180"/>
              <w:spacing w:after="0"/>
              <w:rPr>
                <w:sz w:val="20"/>
                <w:szCs w:val="20"/>
                <w:color w:val="auto"/>
              </w:rPr>
            </w:pPr>
            <w:r>
              <w:rPr>
                <w:rFonts w:ascii="Arial" w:cs="Arial" w:eastAsia="Arial" w:hAnsi="Arial"/>
                <w:sz w:val="16"/>
                <w:szCs w:val="16"/>
                <w:color w:val="auto"/>
              </w:rPr>
              <w:t>Net amounts presented on the balance sheet</w:t>
            </w:r>
          </w:p>
        </w:tc>
        <w:tc>
          <w:tcPr>
            <w:tcW w:w="4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62"/>
              <w:spacing w:after="0"/>
              <w:rPr>
                <w:sz w:val="20"/>
                <w:szCs w:val="20"/>
                <w:color w:val="auto"/>
              </w:rPr>
            </w:pPr>
            <w:r>
              <w:rPr>
                <w:rFonts w:ascii="Arial" w:cs="Arial" w:eastAsia="Arial" w:hAnsi="Arial"/>
                <w:sz w:val="16"/>
                <w:szCs w:val="16"/>
                <w:color w:val="auto"/>
              </w:rPr>
              <w:t>38</w:t>
            </w: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62"/>
              <w:spacing w:after="0"/>
              <w:rPr>
                <w:sz w:val="20"/>
                <w:szCs w:val="20"/>
                <w:color w:val="auto"/>
              </w:rPr>
            </w:pPr>
            <w:r>
              <w:rPr>
                <w:rFonts w:ascii="Arial" w:cs="Arial" w:eastAsia="Arial" w:hAnsi="Arial"/>
                <w:sz w:val="16"/>
                <w:szCs w:val="16"/>
                <w:color w:val="auto"/>
              </w:rPr>
              <w:t>114</w:t>
            </w: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(33)</w:t>
            </w: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(101)</w:t>
            </w:r>
          </w:p>
        </w:tc>
        <w:tc>
          <w:tcPr>
            <w:tcW w:w="20" w:type="dxa"/>
            <w:vAlign w:val="bottom"/>
          </w:tcPr>
          <w:p>
            <w:pPr>
              <w:spacing w:after="0"/>
              <w:rPr>
                <w:sz w:val="18"/>
                <w:szCs w:val="18"/>
                <w:color w:val="auto"/>
              </w:rPr>
            </w:pPr>
          </w:p>
        </w:tc>
      </w:tr>
      <w:tr>
        <w:trPr>
          <w:trHeight w:val="213"/>
        </w:trPr>
        <w:tc>
          <w:tcPr>
            <w:tcW w:w="5060" w:type="dxa"/>
            <w:vAlign w:val="bottom"/>
          </w:tcPr>
          <w:p>
            <w:pPr>
              <w:ind w:left="180"/>
              <w:spacing w:after="0"/>
              <w:rPr>
                <w:sz w:val="20"/>
                <w:szCs w:val="20"/>
                <w:color w:val="auto"/>
              </w:rPr>
            </w:pPr>
            <w:r>
              <w:rPr>
                <w:rFonts w:ascii="Arial" w:cs="Arial" w:eastAsia="Arial" w:hAnsi="Arial"/>
                <w:sz w:val="16"/>
                <w:szCs w:val="16"/>
                <w:color w:val="auto"/>
              </w:rPr>
              <w:t>Additional cash collateral for commodity contracts</w:t>
            </w:r>
          </w:p>
        </w:tc>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5060" w:type="dxa"/>
            <w:vAlign w:val="bottom"/>
          </w:tcPr>
          <w:p>
            <w:pPr>
              <w:ind w:left="360"/>
              <w:spacing w:after="0"/>
              <w:rPr>
                <w:sz w:val="20"/>
                <w:szCs w:val="20"/>
                <w:color w:val="auto"/>
              </w:rPr>
            </w:pPr>
            <w:r>
              <w:rPr>
                <w:rFonts w:ascii="Arial" w:cs="Arial" w:eastAsia="Arial" w:hAnsi="Arial"/>
                <w:sz w:val="16"/>
                <w:szCs w:val="16"/>
                <w:color w:val="auto"/>
              </w:rPr>
              <w:t>not subject to rate recovery</w:t>
            </w:r>
          </w:p>
        </w:tc>
        <w:tc>
          <w:tcPr>
            <w:tcW w:w="440" w:type="dxa"/>
            <w:vAlign w:val="bottom"/>
          </w:tcPr>
          <w:p>
            <w:pPr>
              <w:spacing w:after="0"/>
              <w:rPr>
                <w:sz w:val="18"/>
                <w:szCs w:val="18"/>
                <w:color w:val="auto"/>
              </w:rPr>
            </w:pPr>
          </w:p>
        </w:tc>
        <w:tc>
          <w:tcPr>
            <w:tcW w:w="1280" w:type="dxa"/>
            <w:vAlign w:val="bottom"/>
          </w:tcPr>
          <w:p>
            <w:pPr>
              <w:jc w:val="right"/>
              <w:ind w:right="62"/>
              <w:spacing w:after="0"/>
              <w:rPr>
                <w:sz w:val="20"/>
                <w:szCs w:val="20"/>
                <w:color w:val="auto"/>
              </w:rPr>
            </w:pPr>
            <w:r>
              <w:rPr>
                <w:rFonts w:ascii="Arial" w:cs="Arial" w:eastAsia="Arial" w:hAnsi="Arial"/>
                <w:sz w:val="16"/>
                <w:szCs w:val="16"/>
                <w:color w:val="auto"/>
              </w:rPr>
              <w:t>15</w:t>
            </w:r>
          </w:p>
        </w:tc>
        <w:tc>
          <w:tcPr>
            <w:tcW w:w="340" w:type="dxa"/>
            <w:vAlign w:val="bottom"/>
          </w:tcPr>
          <w:p>
            <w:pPr>
              <w:spacing w:after="0"/>
              <w:rPr>
                <w:sz w:val="18"/>
                <w:szCs w:val="18"/>
                <w:color w:val="auto"/>
              </w:rPr>
            </w:pPr>
          </w:p>
        </w:tc>
        <w:tc>
          <w:tcPr>
            <w:tcW w:w="124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26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13"/>
        </w:trPr>
        <w:tc>
          <w:tcPr>
            <w:tcW w:w="5060" w:type="dxa"/>
            <w:vAlign w:val="bottom"/>
          </w:tcPr>
          <w:p>
            <w:pPr>
              <w:ind w:left="180"/>
              <w:spacing w:after="0"/>
              <w:rPr>
                <w:sz w:val="20"/>
                <w:szCs w:val="20"/>
                <w:color w:val="auto"/>
              </w:rPr>
            </w:pPr>
            <w:r>
              <w:rPr>
                <w:rFonts w:ascii="Arial" w:cs="Arial" w:eastAsia="Arial" w:hAnsi="Arial"/>
                <w:sz w:val="16"/>
                <w:szCs w:val="16"/>
                <w:color w:val="auto"/>
              </w:rPr>
              <w:t>Additional cash collateral for commodity contracts</w:t>
            </w:r>
          </w:p>
        </w:tc>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4"/>
        </w:trPr>
        <w:tc>
          <w:tcPr>
            <w:tcW w:w="5060" w:type="dxa"/>
            <w:vAlign w:val="bottom"/>
          </w:tcPr>
          <w:p>
            <w:pPr>
              <w:ind w:left="360"/>
              <w:spacing w:after="0"/>
              <w:rPr>
                <w:sz w:val="20"/>
                <w:szCs w:val="20"/>
                <w:color w:val="auto"/>
              </w:rPr>
            </w:pPr>
            <w:r>
              <w:rPr>
                <w:rFonts w:ascii="Arial" w:cs="Arial" w:eastAsia="Arial" w:hAnsi="Arial"/>
                <w:sz w:val="16"/>
                <w:szCs w:val="16"/>
                <w:color w:val="auto"/>
              </w:rPr>
              <w:t>subject to rate recovery</w:t>
            </w:r>
          </w:p>
        </w:tc>
        <w:tc>
          <w:tcPr>
            <w:tcW w:w="440" w:type="dxa"/>
            <w:vAlign w:val="bottom"/>
          </w:tcPr>
          <w:p>
            <w:pPr>
              <w:spacing w:after="0"/>
              <w:rPr>
                <w:sz w:val="17"/>
                <w:szCs w:val="17"/>
                <w:color w:val="auto"/>
              </w:rPr>
            </w:pPr>
          </w:p>
        </w:tc>
        <w:tc>
          <w:tcPr>
            <w:tcW w:w="1280" w:type="dxa"/>
            <w:vAlign w:val="bottom"/>
          </w:tcPr>
          <w:p>
            <w:pPr>
              <w:jc w:val="right"/>
              <w:ind w:right="62"/>
              <w:spacing w:after="0"/>
              <w:rPr>
                <w:sz w:val="20"/>
                <w:szCs w:val="20"/>
                <w:color w:val="auto"/>
              </w:rPr>
            </w:pPr>
            <w:r>
              <w:rPr>
                <w:rFonts w:ascii="Arial" w:cs="Arial" w:eastAsia="Arial" w:hAnsi="Arial"/>
                <w:sz w:val="16"/>
                <w:szCs w:val="16"/>
                <w:color w:val="auto"/>
              </w:rPr>
              <w:t>30</w:t>
            </w:r>
          </w:p>
        </w:tc>
        <w:tc>
          <w:tcPr>
            <w:tcW w:w="340" w:type="dxa"/>
            <w:vAlign w:val="bottom"/>
          </w:tcPr>
          <w:p>
            <w:pPr>
              <w:spacing w:after="0"/>
              <w:rPr>
                <w:sz w:val="17"/>
                <w:szCs w:val="17"/>
                <w:color w:val="auto"/>
              </w:rPr>
            </w:pPr>
          </w:p>
        </w:tc>
        <w:tc>
          <w:tcPr>
            <w:tcW w:w="124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26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173"/>
        </w:trPr>
        <w:tc>
          <w:tcPr>
            <w:tcW w:w="5060" w:type="dxa"/>
            <w:vAlign w:val="bottom"/>
            <w:tcBorders>
              <w:bottom w:val="single" w:sz="8" w:color="auto"/>
            </w:tcBorders>
          </w:tcPr>
          <w:p>
            <w:pPr>
              <w:ind w:left="180"/>
              <w:spacing w:after="0" w:line="166" w:lineRule="exact"/>
              <w:rPr>
                <w:sz w:val="20"/>
                <w:szCs w:val="20"/>
                <w:color w:val="auto"/>
              </w:rPr>
            </w:pPr>
            <w:r>
              <w:rPr>
                <w:rFonts w:ascii="Arial" w:cs="Arial" w:eastAsia="Arial" w:hAnsi="Arial"/>
                <w:sz w:val="16"/>
                <w:szCs w:val="16"/>
                <w:color w:val="auto"/>
              </w:rPr>
              <w:t>Total(4)</w:t>
            </w:r>
          </w:p>
        </w:tc>
        <w:tc>
          <w:tcPr>
            <w:tcW w:w="440" w:type="dxa"/>
            <w:vAlign w:val="bottom"/>
            <w:tcBorders>
              <w:top w:val="single" w:sz="8" w:color="auto"/>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62"/>
              <w:spacing w:after="0" w:line="166" w:lineRule="exact"/>
              <w:rPr>
                <w:sz w:val="20"/>
                <w:szCs w:val="20"/>
                <w:color w:val="auto"/>
              </w:rPr>
            </w:pPr>
            <w:r>
              <w:rPr>
                <w:rFonts w:ascii="Arial" w:cs="Arial" w:eastAsia="Arial" w:hAnsi="Arial"/>
                <w:sz w:val="16"/>
                <w:szCs w:val="16"/>
                <w:color w:val="auto"/>
              </w:rPr>
              <w:t>83</w:t>
            </w:r>
          </w:p>
        </w:tc>
        <w:tc>
          <w:tcPr>
            <w:tcW w:w="340" w:type="dxa"/>
            <w:vAlign w:val="bottom"/>
            <w:tcBorders>
              <w:top w:val="single" w:sz="8" w:color="auto"/>
              <w:bottom w:val="single" w:sz="8" w:color="auto"/>
            </w:tcBorders>
          </w:tcPr>
          <w:p>
            <w:pPr>
              <w:jc w:val="right"/>
              <w:ind w:right="40"/>
              <w:spacing w:after="0" w:line="166" w:lineRule="exact"/>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62"/>
              <w:spacing w:after="0" w:line="166" w:lineRule="exact"/>
              <w:rPr>
                <w:sz w:val="20"/>
                <w:szCs w:val="20"/>
                <w:color w:val="auto"/>
              </w:rPr>
            </w:pPr>
            <w:r>
              <w:rPr>
                <w:rFonts w:ascii="Arial" w:cs="Arial" w:eastAsia="Arial" w:hAnsi="Arial"/>
                <w:sz w:val="16"/>
                <w:szCs w:val="16"/>
                <w:color w:val="auto"/>
              </w:rPr>
              <w:t>114</w:t>
            </w:r>
          </w:p>
        </w:tc>
        <w:tc>
          <w:tcPr>
            <w:tcW w:w="320" w:type="dxa"/>
            <w:vAlign w:val="bottom"/>
            <w:tcBorders>
              <w:top w:val="single" w:sz="8" w:color="auto"/>
              <w:bottom w:val="single" w:sz="8" w:color="auto"/>
            </w:tcBorders>
          </w:tcPr>
          <w:p>
            <w:pPr>
              <w:jc w:val="right"/>
              <w:ind w:right="20"/>
              <w:spacing w:after="0" w:line="166" w:lineRule="exact"/>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2"/>
              <w:spacing w:after="0" w:line="166" w:lineRule="exact"/>
              <w:rPr>
                <w:sz w:val="20"/>
                <w:szCs w:val="20"/>
                <w:color w:val="auto"/>
              </w:rPr>
            </w:pPr>
            <w:r>
              <w:rPr>
                <w:rFonts w:ascii="Arial" w:cs="Arial" w:eastAsia="Arial" w:hAnsi="Arial"/>
                <w:sz w:val="16"/>
                <w:szCs w:val="16"/>
                <w:color w:val="auto"/>
              </w:rPr>
              <w:t>(33)</w:t>
            </w:r>
          </w:p>
        </w:tc>
        <w:tc>
          <w:tcPr>
            <w:tcW w:w="360" w:type="dxa"/>
            <w:vAlign w:val="bottom"/>
            <w:tcBorders>
              <w:top w:val="single" w:sz="8" w:color="auto"/>
              <w:bottom w:val="single" w:sz="8" w:color="auto"/>
            </w:tcBorders>
          </w:tcPr>
          <w:p>
            <w:pPr>
              <w:jc w:val="right"/>
              <w:ind w:right="40"/>
              <w:spacing w:after="0" w:line="166" w:lineRule="exact"/>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(101)</w:t>
            </w:r>
          </w:p>
        </w:tc>
        <w:tc>
          <w:tcPr>
            <w:tcW w:w="20" w:type="dxa"/>
            <w:vAlign w:val="bottom"/>
          </w:tcPr>
          <w:p>
            <w:pPr>
              <w:spacing w:after="0"/>
              <w:rPr>
                <w:sz w:val="15"/>
                <w:szCs w:val="15"/>
                <w:color w:val="auto"/>
              </w:rPr>
            </w:pPr>
          </w:p>
        </w:tc>
      </w:tr>
      <w:tr>
        <w:trPr>
          <w:trHeight w:val="221"/>
        </w:trPr>
        <w:tc>
          <w:tcPr>
            <w:tcW w:w="506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4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3"/>
        </w:trPr>
        <w:tc>
          <w:tcPr>
            <w:tcW w:w="5060" w:type="dxa"/>
            <w:vAlign w:val="bottom"/>
          </w:tcPr>
          <w:p>
            <w:pPr>
              <w:spacing w:after="0"/>
              <w:rPr>
                <w:sz w:val="20"/>
                <w:szCs w:val="20"/>
                <w:color w:val="auto"/>
              </w:rPr>
            </w:pPr>
            <w:r>
              <w:rPr>
                <w:rFonts w:ascii="Arial" w:cs="Arial" w:eastAsia="Arial" w:hAnsi="Arial"/>
                <w:sz w:val="16"/>
                <w:szCs w:val="16"/>
                <w:color w:val="auto"/>
              </w:rPr>
              <w:t>Derivatives designated as hedging instruments:</w:t>
            </w:r>
          </w:p>
        </w:tc>
        <w:tc>
          <w:tcPr>
            <w:tcW w:w="4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2"/>
        </w:trPr>
        <w:tc>
          <w:tcPr>
            <w:tcW w:w="5060" w:type="dxa"/>
            <w:vAlign w:val="bottom"/>
          </w:tcPr>
          <w:p>
            <w:pPr>
              <w:ind w:left="180"/>
              <w:spacing w:after="0"/>
              <w:rPr>
                <w:sz w:val="20"/>
                <w:szCs w:val="20"/>
                <w:color w:val="auto"/>
              </w:rPr>
            </w:pPr>
            <w:r>
              <w:rPr>
                <w:rFonts w:ascii="Arial" w:cs="Arial" w:eastAsia="Arial" w:hAnsi="Arial"/>
                <w:sz w:val="16"/>
                <w:szCs w:val="16"/>
                <w:color w:val="auto"/>
              </w:rPr>
              <w:t>Interest rate instruments(3)</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(16)</w:t>
            </w:r>
          </w:p>
        </w:tc>
        <w:tc>
          <w:tcPr>
            <w:tcW w:w="3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(32)</w:t>
            </w:r>
          </w:p>
        </w:tc>
        <w:tc>
          <w:tcPr>
            <w:tcW w:w="20" w:type="dxa"/>
            <w:vAlign w:val="bottom"/>
          </w:tcPr>
          <w:p>
            <w:pPr>
              <w:spacing w:after="0"/>
              <w:rPr>
                <w:sz w:val="16"/>
                <w:szCs w:val="16"/>
                <w:color w:val="auto"/>
              </w:rPr>
            </w:pPr>
          </w:p>
        </w:tc>
      </w:tr>
      <w:tr>
        <w:trPr>
          <w:trHeight w:val="213"/>
        </w:trPr>
        <w:tc>
          <w:tcPr>
            <w:tcW w:w="5060" w:type="dxa"/>
            <w:vAlign w:val="bottom"/>
          </w:tcPr>
          <w:p>
            <w:pPr>
              <w:spacing w:after="0"/>
              <w:rPr>
                <w:sz w:val="20"/>
                <w:szCs w:val="20"/>
                <w:color w:val="auto"/>
              </w:rPr>
            </w:pPr>
            <w:r>
              <w:rPr>
                <w:rFonts w:ascii="Arial" w:cs="Arial" w:eastAsia="Arial" w:hAnsi="Arial"/>
                <w:sz w:val="16"/>
                <w:szCs w:val="16"/>
                <w:color w:val="auto"/>
              </w:rPr>
              <w:t>Derivatives not designated as hedging instruments:</w:t>
            </w:r>
          </w:p>
        </w:tc>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5060" w:type="dxa"/>
            <w:vAlign w:val="bottom"/>
          </w:tcPr>
          <w:p>
            <w:pPr>
              <w:ind w:left="180"/>
              <w:spacing w:after="0"/>
              <w:rPr>
                <w:sz w:val="20"/>
                <w:szCs w:val="20"/>
                <w:color w:val="auto"/>
              </w:rPr>
            </w:pPr>
            <w:r>
              <w:rPr>
                <w:rFonts w:ascii="Arial" w:cs="Arial" w:eastAsia="Arial" w:hAnsi="Arial"/>
                <w:sz w:val="16"/>
                <w:szCs w:val="16"/>
                <w:color w:val="auto"/>
              </w:rPr>
              <w:t>Commodity contracts subject to rate recovery</w:t>
            </w:r>
          </w:p>
        </w:tc>
        <w:tc>
          <w:tcPr>
            <w:tcW w:w="440" w:type="dxa"/>
            <w:vAlign w:val="bottom"/>
          </w:tcPr>
          <w:p>
            <w:pPr>
              <w:spacing w:after="0"/>
              <w:rPr>
                <w:sz w:val="18"/>
                <w:szCs w:val="18"/>
                <w:color w:val="auto"/>
              </w:rPr>
            </w:pPr>
          </w:p>
        </w:tc>
        <w:tc>
          <w:tcPr>
            <w:tcW w:w="1280" w:type="dxa"/>
            <w:vAlign w:val="bottom"/>
          </w:tcPr>
          <w:p>
            <w:pPr>
              <w:jc w:val="right"/>
              <w:ind w:right="62"/>
              <w:spacing w:after="0"/>
              <w:rPr>
                <w:sz w:val="20"/>
                <w:szCs w:val="20"/>
                <w:color w:val="auto"/>
              </w:rPr>
            </w:pPr>
            <w:r>
              <w:rPr>
                <w:rFonts w:ascii="Arial" w:cs="Arial" w:eastAsia="Arial" w:hAnsi="Arial"/>
                <w:sz w:val="16"/>
                <w:szCs w:val="16"/>
                <w:color w:val="auto"/>
              </w:rPr>
              <w:t>11</w:t>
            </w:r>
          </w:p>
        </w:tc>
        <w:tc>
          <w:tcPr>
            <w:tcW w:w="340" w:type="dxa"/>
            <w:vAlign w:val="bottom"/>
          </w:tcPr>
          <w:p>
            <w:pPr>
              <w:spacing w:after="0"/>
              <w:rPr>
                <w:sz w:val="18"/>
                <w:szCs w:val="18"/>
                <w:color w:val="auto"/>
              </w:rPr>
            </w:pPr>
          </w:p>
        </w:tc>
        <w:tc>
          <w:tcPr>
            <w:tcW w:w="1240" w:type="dxa"/>
            <w:vAlign w:val="bottom"/>
          </w:tcPr>
          <w:p>
            <w:pPr>
              <w:jc w:val="right"/>
              <w:ind w:right="62"/>
              <w:spacing w:after="0"/>
              <w:rPr>
                <w:sz w:val="20"/>
                <w:szCs w:val="20"/>
                <w:color w:val="auto"/>
              </w:rPr>
            </w:pPr>
            <w:r>
              <w:rPr>
                <w:rFonts w:ascii="Arial" w:cs="Arial" w:eastAsia="Arial" w:hAnsi="Arial"/>
                <w:sz w:val="16"/>
                <w:szCs w:val="16"/>
                <w:color w:val="auto"/>
              </w:rPr>
              <w:t>82</w:t>
            </w:r>
          </w:p>
        </w:tc>
        <w:tc>
          <w:tcPr>
            <w:tcW w:w="320" w:type="dxa"/>
            <w:vAlign w:val="bottom"/>
          </w:tcPr>
          <w:p>
            <w:pPr>
              <w:spacing w:after="0"/>
              <w:rPr>
                <w:sz w:val="18"/>
                <w:szCs w:val="18"/>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(11)</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w:t>
            </w:r>
          </w:p>
        </w:tc>
        <w:tc>
          <w:tcPr>
            <w:tcW w:w="20" w:type="dxa"/>
            <w:vAlign w:val="bottom"/>
          </w:tcPr>
          <w:p>
            <w:pPr>
              <w:spacing w:after="0"/>
              <w:rPr>
                <w:sz w:val="18"/>
                <w:szCs w:val="18"/>
                <w:color w:val="auto"/>
              </w:rPr>
            </w:pPr>
          </w:p>
        </w:tc>
      </w:tr>
      <w:tr>
        <w:trPr>
          <w:trHeight w:val="213"/>
        </w:trPr>
        <w:tc>
          <w:tcPr>
            <w:tcW w:w="5060" w:type="dxa"/>
            <w:vAlign w:val="bottom"/>
          </w:tcPr>
          <w:p>
            <w:pPr>
              <w:ind w:left="360"/>
              <w:spacing w:after="0"/>
              <w:rPr>
                <w:sz w:val="20"/>
                <w:szCs w:val="20"/>
                <w:color w:val="auto"/>
              </w:rPr>
            </w:pPr>
            <w:r>
              <w:rPr>
                <w:rFonts w:ascii="Arial" w:cs="Arial" w:eastAsia="Arial" w:hAnsi="Arial"/>
                <w:sz w:val="16"/>
                <w:szCs w:val="16"/>
                <w:color w:val="auto"/>
              </w:rPr>
              <w:t>Associated offsetting commodity contracts</w:t>
            </w:r>
          </w:p>
        </w:tc>
        <w:tc>
          <w:tcPr>
            <w:tcW w:w="440" w:type="dxa"/>
            <w:vAlign w:val="bottom"/>
          </w:tcPr>
          <w:p>
            <w:pPr>
              <w:spacing w:after="0"/>
              <w:rPr>
                <w:sz w:val="18"/>
                <w:szCs w:val="18"/>
                <w:color w:val="auto"/>
              </w:rPr>
            </w:pPr>
          </w:p>
        </w:tc>
        <w:tc>
          <w:tcPr>
            <w:tcW w:w="1280" w:type="dxa"/>
            <w:vAlign w:val="bottom"/>
          </w:tcPr>
          <w:p>
            <w:pPr>
              <w:jc w:val="right"/>
              <w:ind w:right="62"/>
              <w:spacing w:after="0"/>
              <w:rPr>
                <w:sz w:val="20"/>
                <w:szCs w:val="20"/>
                <w:color w:val="auto"/>
              </w:rPr>
            </w:pPr>
            <w:r>
              <w:rPr>
                <w:rFonts w:ascii="Arial" w:cs="Arial" w:eastAsia="Arial" w:hAnsi="Arial"/>
                <w:sz w:val="16"/>
                <w:szCs w:val="16"/>
                <w:color w:val="auto"/>
              </w:rPr>
              <w:t>(2)</w:t>
            </w:r>
          </w:p>
        </w:tc>
        <w:tc>
          <w:tcPr>
            <w:tcW w:w="340" w:type="dxa"/>
            <w:vAlign w:val="bottom"/>
          </w:tcPr>
          <w:p>
            <w:pPr>
              <w:spacing w:after="0"/>
              <w:rPr>
                <w:sz w:val="18"/>
                <w:szCs w:val="18"/>
                <w:color w:val="auto"/>
              </w:rPr>
            </w:pPr>
          </w:p>
        </w:tc>
        <w:tc>
          <w:tcPr>
            <w:tcW w:w="1240" w:type="dxa"/>
            <w:vAlign w:val="bottom"/>
          </w:tcPr>
          <w:p>
            <w:pPr>
              <w:jc w:val="right"/>
              <w:ind w:right="62"/>
              <w:spacing w:after="0"/>
              <w:rPr>
                <w:sz w:val="20"/>
                <w:szCs w:val="20"/>
                <w:color w:val="auto"/>
              </w:rPr>
            </w:pPr>
            <w:r>
              <w:rPr>
                <w:rFonts w:ascii="Arial" w:cs="Arial" w:eastAsia="Arial" w:hAnsi="Arial"/>
                <w:sz w:val="16"/>
                <w:szCs w:val="16"/>
                <w:color w:val="auto"/>
              </w:rPr>
              <w:t>(2)</w:t>
            </w:r>
          </w:p>
        </w:tc>
        <w:tc>
          <w:tcPr>
            <w:tcW w:w="320" w:type="dxa"/>
            <w:vAlign w:val="bottom"/>
          </w:tcPr>
          <w:p>
            <w:pPr>
              <w:spacing w:after="0"/>
              <w:rPr>
                <w:sz w:val="18"/>
                <w:szCs w:val="18"/>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2</w:t>
            </w:r>
          </w:p>
        </w:tc>
        <w:tc>
          <w:tcPr>
            <w:tcW w:w="3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2</w:t>
            </w:r>
          </w:p>
        </w:tc>
      </w:tr>
      <w:tr>
        <w:trPr>
          <w:trHeight w:val="204"/>
        </w:trPr>
        <w:tc>
          <w:tcPr>
            <w:tcW w:w="5060" w:type="dxa"/>
            <w:vAlign w:val="bottom"/>
          </w:tcPr>
          <w:p>
            <w:pPr>
              <w:ind w:left="360"/>
              <w:spacing w:after="0"/>
              <w:rPr>
                <w:sz w:val="20"/>
                <w:szCs w:val="20"/>
                <w:color w:val="auto"/>
              </w:rPr>
            </w:pPr>
            <w:r>
              <w:rPr>
                <w:rFonts w:ascii="Arial" w:cs="Arial" w:eastAsia="Arial" w:hAnsi="Arial"/>
                <w:sz w:val="16"/>
                <w:szCs w:val="16"/>
                <w:color w:val="auto"/>
              </w:rPr>
              <w:t>Associated offsetting cash collateral</w:t>
            </w:r>
          </w:p>
        </w:tc>
        <w:tc>
          <w:tcPr>
            <w:tcW w:w="440" w:type="dxa"/>
            <w:vAlign w:val="bottom"/>
          </w:tcPr>
          <w:p>
            <w:pPr>
              <w:spacing w:after="0"/>
              <w:rPr>
                <w:sz w:val="17"/>
                <w:szCs w:val="17"/>
                <w:color w:val="auto"/>
              </w:rPr>
            </w:pPr>
          </w:p>
        </w:tc>
        <w:tc>
          <w:tcPr>
            <w:tcW w:w="128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24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3</w:t>
            </w:r>
          </w:p>
        </w:tc>
        <w:tc>
          <w:tcPr>
            <w:tcW w:w="36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14"/>
        </w:trPr>
        <w:tc>
          <w:tcPr>
            <w:tcW w:w="5060" w:type="dxa"/>
            <w:vAlign w:val="bottom"/>
          </w:tcPr>
          <w:p>
            <w:pPr>
              <w:ind w:left="180"/>
              <w:spacing w:after="0"/>
              <w:rPr>
                <w:sz w:val="20"/>
                <w:szCs w:val="20"/>
                <w:color w:val="auto"/>
              </w:rPr>
            </w:pPr>
            <w:r>
              <w:rPr>
                <w:rFonts w:ascii="Arial" w:cs="Arial" w:eastAsia="Arial" w:hAnsi="Arial"/>
                <w:sz w:val="16"/>
                <w:szCs w:val="16"/>
                <w:color w:val="auto"/>
              </w:rPr>
              <w:t>Net amounts presented on the balance sheet</w:t>
            </w:r>
          </w:p>
        </w:tc>
        <w:tc>
          <w:tcPr>
            <w:tcW w:w="4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62"/>
              <w:spacing w:after="0"/>
              <w:rPr>
                <w:sz w:val="20"/>
                <w:szCs w:val="20"/>
                <w:color w:val="auto"/>
              </w:rPr>
            </w:pPr>
            <w:r>
              <w:rPr>
                <w:rFonts w:ascii="Arial" w:cs="Arial" w:eastAsia="Arial" w:hAnsi="Arial"/>
                <w:sz w:val="16"/>
                <w:szCs w:val="16"/>
                <w:color w:val="auto"/>
              </w:rPr>
              <w:t>9</w:t>
            </w: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62"/>
              <w:spacing w:after="0"/>
              <w:rPr>
                <w:sz w:val="20"/>
                <w:szCs w:val="20"/>
                <w:color w:val="auto"/>
              </w:rPr>
            </w:pPr>
            <w:r>
              <w:rPr>
                <w:rFonts w:ascii="Arial" w:cs="Arial" w:eastAsia="Arial" w:hAnsi="Arial"/>
                <w:sz w:val="16"/>
                <w:szCs w:val="16"/>
                <w:color w:val="auto"/>
              </w:rPr>
              <w:t>80</w:t>
            </w: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(22)</w:t>
            </w: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20" w:type="dxa"/>
            <w:vAlign w:val="bottom"/>
          </w:tcPr>
          <w:p>
            <w:pPr>
              <w:spacing w:after="0"/>
              <w:rPr>
                <w:sz w:val="18"/>
                <w:szCs w:val="18"/>
                <w:color w:val="auto"/>
              </w:rPr>
            </w:pPr>
          </w:p>
        </w:tc>
      </w:tr>
      <w:tr>
        <w:trPr>
          <w:trHeight w:val="213"/>
        </w:trPr>
        <w:tc>
          <w:tcPr>
            <w:tcW w:w="5060" w:type="dxa"/>
            <w:vAlign w:val="bottom"/>
          </w:tcPr>
          <w:p>
            <w:pPr>
              <w:ind w:left="180"/>
              <w:spacing w:after="0"/>
              <w:rPr>
                <w:sz w:val="20"/>
                <w:szCs w:val="20"/>
                <w:color w:val="auto"/>
              </w:rPr>
            </w:pPr>
            <w:r>
              <w:rPr>
                <w:rFonts w:ascii="Arial" w:cs="Arial" w:eastAsia="Arial" w:hAnsi="Arial"/>
                <w:sz w:val="16"/>
                <w:szCs w:val="16"/>
                <w:color w:val="auto"/>
              </w:rPr>
              <w:t>Additional cash collateral for commodity contracts</w:t>
            </w:r>
          </w:p>
        </w:tc>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5060" w:type="dxa"/>
            <w:vAlign w:val="bottom"/>
          </w:tcPr>
          <w:p>
            <w:pPr>
              <w:ind w:left="360"/>
              <w:spacing w:after="0"/>
              <w:rPr>
                <w:sz w:val="20"/>
                <w:szCs w:val="20"/>
                <w:color w:val="auto"/>
              </w:rPr>
            </w:pPr>
            <w:r>
              <w:rPr>
                <w:rFonts w:ascii="Arial" w:cs="Arial" w:eastAsia="Arial" w:hAnsi="Arial"/>
                <w:sz w:val="16"/>
                <w:szCs w:val="16"/>
                <w:color w:val="auto"/>
              </w:rPr>
              <w:t>not subject to rate recovery</w:t>
            </w:r>
          </w:p>
        </w:tc>
        <w:tc>
          <w:tcPr>
            <w:tcW w:w="440" w:type="dxa"/>
            <w:vAlign w:val="bottom"/>
          </w:tcPr>
          <w:p>
            <w:pPr>
              <w:spacing w:after="0"/>
              <w:rPr>
                <w:sz w:val="18"/>
                <w:szCs w:val="18"/>
                <w:color w:val="auto"/>
              </w:rPr>
            </w:pPr>
          </w:p>
        </w:tc>
        <w:tc>
          <w:tcPr>
            <w:tcW w:w="1280" w:type="dxa"/>
            <w:vAlign w:val="bottom"/>
          </w:tcPr>
          <w:p>
            <w:pPr>
              <w:jc w:val="right"/>
              <w:ind w:right="62"/>
              <w:spacing w:after="0"/>
              <w:rPr>
                <w:sz w:val="20"/>
                <w:szCs w:val="20"/>
                <w:color w:val="auto"/>
              </w:rPr>
            </w:pPr>
            <w:r>
              <w:rPr>
                <w:rFonts w:ascii="Arial" w:cs="Arial" w:eastAsia="Arial" w:hAnsi="Arial"/>
                <w:sz w:val="16"/>
                <w:szCs w:val="16"/>
                <w:color w:val="auto"/>
              </w:rPr>
              <w:t>1</w:t>
            </w:r>
          </w:p>
        </w:tc>
        <w:tc>
          <w:tcPr>
            <w:tcW w:w="340" w:type="dxa"/>
            <w:vAlign w:val="bottom"/>
          </w:tcPr>
          <w:p>
            <w:pPr>
              <w:spacing w:after="0"/>
              <w:rPr>
                <w:sz w:val="18"/>
                <w:szCs w:val="18"/>
                <w:color w:val="auto"/>
              </w:rPr>
            </w:pPr>
          </w:p>
        </w:tc>
        <w:tc>
          <w:tcPr>
            <w:tcW w:w="124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26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13"/>
        </w:trPr>
        <w:tc>
          <w:tcPr>
            <w:tcW w:w="5060" w:type="dxa"/>
            <w:vAlign w:val="bottom"/>
          </w:tcPr>
          <w:p>
            <w:pPr>
              <w:ind w:left="180"/>
              <w:spacing w:after="0"/>
              <w:rPr>
                <w:sz w:val="20"/>
                <w:szCs w:val="20"/>
                <w:color w:val="auto"/>
              </w:rPr>
            </w:pPr>
            <w:r>
              <w:rPr>
                <w:rFonts w:ascii="Arial" w:cs="Arial" w:eastAsia="Arial" w:hAnsi="Arial"/>
                <w:sz w:val="16"/>
                <w:szCs w:val="16"/>
                <w:color w:val="auto"/>
              </w:rPr>
              <w:t>Additional cash collateral for commodity contracts</w:t>
            </w:r>
          </w:p>
        </w:tc>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4"/>
        </w:trPr>
        <w:tc>
          <w:tcPr>
            <w:tcW w:w="5060" w:type="dxa"/>
            <w:vAlign w:val="bottom"/>
          </w:tcPr>
          <w:p>
            <w:pPr>
              <w:ind w:left="360"/>
              <w:spacing w:after="0"/>
              <w:rPr>
                <w:sz w:val="20"/>
                <w:szCs w:val="20"/>
                <w:color w:val="auto"/>
              </w:rPr>
            </w:pPr>
            <w:r>
              <w:rPr>
                <w:rFonts w:ascii="Arial" w:cs="Arial" w:eastAsia="Arial" w:hAnsi="Arial"/>
                <w:sz w:val="16"/>
                <w:szCs w:val="16"/>
                <w:color w:val="auto"/>
              </w:rPr>
              <w:t>subject to rate recovery</w:t>
            </w:r>
          </w:p>
        </w:tc>
        <w:tc>
          <w:tcPr>
            <w:tcW w:w="440" w:type="dxa"/>
            <w:vAlign w:val="bottom"/>
          </w:tcPr>
          <w:p>
            <w:pPr>
              <w:spacing w:after="0"/>
              <w:rPr>
                <w:sz w:val="17"/>
                <w:szCs w:val="17"/>
                <w:color w:val="auto"/>
              </w:rPr>
            </w:pPr>
          </w:p>
        </w:tc>
        <w:tc>
          <w:tcPr>
            <w:tcW w:w="1280" w:type="dxa"/>
            <w:vAlign w:val="bottom"/>
          </w:tcPr>
          <w:p>
            <w:pPr>
              <w:jc w:val="right"/>
              <w:ind w:right="62"/>
              <w:spacing w:after="0"/>
              <w:rPr>
                <w:sz w:val="20"/>
                <w:szCs w:val="20"/>
                <w:color w:val="auto"/>
              </w:rPr>
            </w:pPr>
            <w:r>
              <w:rPr>
                <w:rFonts w:ascii="Arial" w:cs="Arial" w:eastAsia="Arial" w:hAnsi="Arial"/>
                <w:sz w:val="16"/>
                <w:szCs w:val="16"/>
                <w:color w:val="auto"/>
              </w:rPr>
              <w:t>28</w:t>
            </w:r>
          </w:p>
        </w:tc>
        <w:tc>
          <w:tcPr>
            <w:tcW w:w="340" w:type="dxa"/>
            <w:vAlign w:val="bottom"/>
          </w:tcPr>
          <w:p>
            <w:pPr>
              <w:spacing w:after="0"/>
              <w:rPr>
                <w:sz w:val="17"/>
                <w:szCs w:val="17"/>
                <w:color w:val="auto"/>
              </w:rPr>
            </w:pPr>
          </w:p>
        </w:tc>
        <w:tc>
          <w:tcPr>
            <w:tcW w:w="124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26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173"/>
        </w:trPr>
        <w:tc>
          <w:tcPr>
            <w:tcW w:w="5060" w:type="dxa"/>
            <w:vAlign w:val="bottom"/>
            <w:tcBorders>
              <w:bottom w:val="single" w:sz="8" w:color="auto"/>
            </w:tcBorders>
          </w:tcPr>
          <w:p>
            <w:pPr>
              <w:ind w:left="180"/>
              <w:spacing w:after="0" w:line="166" w:lineRule="exact"/>
              <w:rPr>
                <w:sz w:val="20"/>
                <w:szCs w:val="20"/>
                <w:color w:val="auto"/>
              </w:rPr>
            </w:pPr>
            <w:r>
              <w:rPr>
                <w:rFonts w:ascii="Arial" w:cs="Arial" w:eastAsia="Arial" w:hAnsi="Arial"/>
                <w:sz w:val="16"/>
                <w:szCs w:val="16"/>
                <w:color w:val="auto"/>
              </w:rPr>
              <w:t>Total(4)</w:t>
            </w:r>
          </w:p>
        </w:tc>
        <w:tc>
          <w:tcPr>
            <w:tcW w:w="440" w:type="dxa"/>
            <w:vAlign w:val="bottom"/>
            <w:tcBorders>
              <w:top w:val="single" w:sz="8" w:color="auto"/>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62"/>
              <w:spacing w:after="0" w:line="166" w:lineRule="exact"/>
              <w:rPr>
                <w:sz w:val="20"/>
                <w:szCs w:val="20"/>
                <w:color w:val="auto"/>
              </w:rPr>
            </w:pPr>
            <w:r>
              <w:rPr>
                <w:rFonts w:ascii="Arial" w:cs="Arial" w:eastAsia="Arial" w:hAnsi="Arial"/>
                <w:sz w:val="16"/>
                <w:szCs w:val="16"/>
                <w:color w:val="auto"/>
              </w:rPr>
              <w:t>38</w:t>
            </w:r>
          </w:p>
        </w:tc>
        <w:tc>
          <w:tcPr>
            <w:tcW w:w="340" w:type="dxa"/>
            <w:vAlign w:val="bottom"/>
            <w:tcBorders>
              <w:top w:val="single" w:sz="8" w:color="auto"/>
              <w:bottom w:val="single" w:sz="8" w:color="auto"/>
            </w:tcBorders>
          </w:tcPr>
          <w:p>
            <w:pPr>
              <w:jc w:val="right"/>
              <w:ind w:right="40"/>
              <w:spacing w:after="0" w:line="166" w:lineRule="exact"/>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62"/>
              <w:spacing w:after="0" w:line="166" w:lineRule="exact"/>
              <w:rPr>
                <w:sz w:val="20"/>
                <w:szCs w:val="20"/>
                <w:color w:val="auto"/>
              </w:rPr>
            </w:pPr>
            <w:r>
              <w:rPr>
                <w:rFonts w:ascii="Arial" w:cs="Arial" w:eastAsia="Arial" w:hAnsi="Arial"/>
                <w:sz w:val="16"/>
                <w:szCs w:val="16"/>
                <w:color w:val="auto"/>
              </w:rPr>
              <w:t>80</w:t>
            </w:r>
          </w:p>
        </w:tc>
        <w:tc>
          <w:tcPr>
            <w:tcW w:w="320" w:type="dxa"/>
            <w:vAlign w:val="bottom"/>
            <w:tcBorders>
              <w:top w:val="single" w:sz="8" w:color="auto"/>
              <w:bottom w:val="single" w:sz="8" w:color="auto"/>
            </w:tcBorders>
          </w:tcPr>
          <w:p>
            <w:pPr>
              <w:jc w:val="right"/>
              <w:ind w:right="20"/>
              <w:spacing w:after="0" w:line="166" w:lineRule="exact"/>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2"/>
              <w:spacing w:after="0" w:line="166" w:lineRule="exact"/>
              <w:rPr>
                <w:sz w:val="20"/>
                <w:szCs w:val="20"/>
                <w:color w:val="auto"/>
              </w:rPr>
            </w:pPr>
            <w:r>
              <w:rPr>
                <w:rFonts w:ascii="Arial" w:cs="Arial" w:eastAsia="Arial" w:hAnsi="Arial"/>
                <w:sz w:val="16"/>
                <w:szCs w:val="16"/>
                <w:color w:val="auto"/>
              </w:rPr>
              <w:t>(22)</w:t>
            </w:r>
          </w:p>
        </w:tc>
        <w:tc>
          <w:tcPr>
            <w:tcW w:w="360" w:type="dxa"/>
            <w:vAlign w:val="bottom"/>
            <w:tcBorders>
              <w:top w:val="single" w:sz="8" w:color="auto"/>
              <w:bottom w:val="single" w:sz="8" w:color="auto"/>
            </w:tcBorders>
          </w:tcPr>
          <w:p>
            <w:pPr>
              <w:jc w:val="right"/>
              <w:ind w:right="40"/>
              <w:spacing w:after="0" w:line="166" w:lineRule="exact"/>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(36)</w:t>
            </w:r>
          </w:p>
        </w:tc>
        <w:tc>
          <w:tcPr>
            <w:tcW w:w="20" w:type="dxa"/>
            <w:vAlign w:val="bottom"/>
          </w:tcPr>
          <w:p>
            <w:pPr>
              <w:spacing w:after="0"/>
              <w:rPr>
                <w:sz w:val="15"/>
                <w:szCs w:val="15"/>
                <w:color w:val="auto"/>
              </w:rPr>
            </w:pPr>
          </w:p>
        </w:tc>
      </w:tr>
      <w:tr>
        <w:trPr>
          <w:trHeight w:val="221"/>
        </w:trPr>
        <w:tc>
          <w:tcPr>
            <w:tcW w:w="5060" w:type="dxa"/>
            <w:vAlign w:val="bottom"/>
          </w:tcPr>
          <w:p>
            <w:pPr>
              <w:spacing w:after="0"/>
              <w:rPr>
                <w:sz w:val="20"/>
                <w:szCs w:val="20"/>
                <w:color w:val="auto"/>
              </w:rPr>
            </w:pPr>
            <w:r>
              <w:rPr>
                <w:rFonts w:ascii="Arial" w:cs="Arial" w:eastAsia="Arial" w:hAnsi="Arial"/>
                <w:sz w:val="16"/>
                <w:szCs w:val="16"/>
                <w:b w:val="1"/>
                <w:bCs w:val="1"/>
                <w:color w:val="auto"/>
              </w:rPr>
              <w:t>SoCalGas:</w:t>
            </w:r>
          </w:p>
        </w:tc>
        <w:tc>
          <w:tcPr>
            <w:tcW w:w="4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3"/>
        </w:trPr>
        <w:tc>
          <w:tcPr>
            <w:tcW w:w="5060" w:type="dxa"/>
            <w:vAlign w:val="bottom"/>
          </w:tcPr>
          <w:p>
            <w:pPr>
              <w:spacing w:after="0"/>
              <w:rPr>
                <w:sz w:val="20"/>
                <w:szCs w:val="20"/>
                <w:color w:val="auto"/>
              </w:rPr>
            </w:pPr>
            <w:r>
              <w:rPr>
                <w:rFonts w:ascii="Arial" w:cs="Arial" w:eastAsia="Arial" w:hAnsi="Arial"/>
                <w:sz w:val="16"/>
                <w:szCs w:val="16"/>
                <w:color w:val="auto"/>
              </w:rPr>
              <w:t>Derivatives not designated as hedging instruments:</w:t>
            </w:r>
          </w:p>
        </w:tc>
        <w:tc>
          <w:tcPr>
            <w:tcW w:w="4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2"/>
        </w:trPr>
        <w:tc>
          <w:tcPr>
            <w:tcW w:w="5060" w:type="dxa"/>
            <w:vAlign w:val="bottom"/>
          </w:tcPr>
          <w:p>
            <w:pPr>
              <w:ind w:left="180"/>
              <w:spacing w:after="0"/>
              <w:rPr>
                <w:sz w:val="20"/>
                <w:szCs w:val="20"/>
                <w:color w:val="auto"/>
              </w:rPr>
            </w:pPr>
            <w:r>
              <w:rPr>
                <w:rFonts w:ascii="Arial" w:cs="Arial" w:eastAsia="Arial" w:hAnsi="Arial"/>
                <w:sz w:val="16"/>
                <w:szCs w:val="16"/>
                <w:color w:val="auto"/>
              </w:rPr>
              <w:t>Commodity contracts subject to rate recovery</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62"/>
              <w:spacing w:after="0"/>
              <w:rPr>
                <w:sz w:val="20"/>
                <w:szCs w:val="20"/>
                <w:color w:val="auto"/>
              </w:rPr>
            </w:pPr>
            <w:r>
              <w:rPr>
                <w:rFonts w:ascii="Arial" w:cs="Arial" w:eastAsia="Arial" w:hAnsi="Arial"/>
                <w:sz w:val="16"/>
                <w:szCs w:val="16"/>
                <w:color w:val="auto"/>
              </w:rPr>
              <w:t>3</w:t>
            </w:r>
          </w:p>
        </w:tc>
        <w:tc>
          <w:tcPr>
            <w:tcW w:w="3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(2)</w:t>
            </w:r>
          </w:p>
        </w:tc>
        <w:tc>
          <w:tcPr>
            <w:tcW w:w="3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11"/>
        </w:trPr>
        <w:tc>
          <w:tcPr>
            <w:tcW w:w="5060" w:type="dxa"/>
            <w:vAlign w:val="bottom"/>
          </w:tcPr>
          <w:p>
            <w:pPr>
              <w:ind w:left="360"/>
              <w:spacing w:after="0"/>
              <w:rPr>
                <w:sz w:val="20"/>
                <w:szCs w:val="20"/>
                <w:color w:val="auto"/>
              </w:rPr>
            </w:pPr>
            <w:r>
              <w:rPr>
                <w:rFonts w:ascii="Arial" w:cs="Arial" w:eastAsia="Arial" w:hAnsi="Arial"/>
                <w:sz w:val="16"/>
                <w:szCs w:val="16"/>
                <w:color w:val="auto"/>
              </w:rPr>
              <w:t>Associated offsetting commodity contracts</w:t>
            </w:r>
          </w:p>
        </w:tc>
        <w:tc>
          <w:tcPr>
            <w:tcW w:w="4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(2)</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r>
      <w:tr>
        <w:trPr>
          <w:trHeight w:val="221"/>
        </w:trPr>
        <w:tc>
          <w:tcPr>
            <w:tcW w:w="5060" w:type="dxa"/>
            <w:vAlign w:val="bottom"/>
          </w:tcPr>
          <w:p>
            <w:pPr>
              <w:ind w:left="180"/>
              <w:spacing w:after="0"/>
              <w:rPr>
                <w:sz w:val="20"/>
                <w:szCs w:val="20"/>
                <w:color w:val="auto"/>
              </w:rPr>
            </w:pPr>
            <w:r>
              <w:rPr>
                <w:rFonts w:ascii="Arial" w:cs="Arial" w:eastAsia="Arial" w:hAnsi="Arial"/>
                <w:sz w:val="16"/>
                <w:szCs w:val="16"/>
                <w:color w:val="auto"/>
              </w:rPr>
              <w:t>Net amounts presented on the balance sheet</w:t>
            </w:r>
          </w:p>
        </w:tc>
        <w:tc>
          <w:tcPr>
            <w:tcW w:w="440" w:type="dxa"/>
            <w:vAlign w:val="bottom"/>
          </w:tcPr>
          <w:p>
            <w:pPr>
              <w:spacing w:after="0"/>
              <w:rPr>
                <w:sz w:val="19"/>
                <w:szCs w:val="19"/>
                <w:color w:val="auto"/>
              </w:rPr>
            </w:pPr>
          </w:p>
        </w:tc>
        <w:tc>
          <w:tcPr>
            <w:tcW w:w="1280" w:type="dxa"/>
            <w:vAlign w:val="bottom"/>
          </w:tcPr>
          <w:p>
            <w:pPr>
              <w:jc w:val="right"/>
              <w:ind w:right="62"/>
              <w:spacing w:after="0"/>
              <w:rPr>
                <w:sz w:val="20"/>
                <w:szCs w:val="20"/>
                <w:color w:val="auto"/>
              </w:rPr>
            </w:pPr>
            <w:r>
              <w:rPr>
                <w:rFonts w:ascii="Arial" w:cs="Arial" w:eastAsia="Arial" w:hAnsi="Arial"/>
                <w:sz w:val="16"/>
                <w:szCs w:val="16"/>
                <w:color w:val="auto"/>
              </w:rPr>
              <w:t>1</w:t>
            </w:r>
          </w:p>
        </w:tc>
        <w:tc>
          <w:tcPr>
            <w:tcW w:w="340" w:type="dxa"/>
            <w:vAlign w:val="bottom"/>
          </w:tcPr>
          <w:p>
            <w:pPr>
              <w:spacing w:after="0"/>
              <w:rPr>
                <w:sz w:val="19"/>
                <w:szCs w:val="19"/>
                <w:color w:val="auto"/>
              </w:rPr>
            </w:pPr>
          </w:p>
        </w:tc>
        <w:tc>
          <w:tcPr>
            <w:tcW w:w="124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26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13"/>
        </w:trPr>
        <w:tc>
          <w:tcPr>
            <w:tcW w:w="5060" w:type="dxa"/>
            <w:vAlign w:val="bottom"/>
          </w:tcPr>
          <w:p>
            <w:pPr>
              <w:ind w:left="180"/>
              <w:spacing w:after="0"/>
              <w:rPr>
                <w:sz w:val="20"/>
                <w:szCs w:val="20"/>
                <w:color w:val="auto"/>
              </w:rPr>
            </w:pPr>
            <w:r>
              <w:rPr>
                <w:rFonts w:ascii="Arial" w:cs="Arial" w:eastAsia="Arial" w:hAnsi="Arial"/>
                <w:sz w:val="16"/>
                <w:szCs w:val="16"/>
                <w:color w:val="auto"/>
              </w:rPr>
              <w:t>Additional cash collateral for commodity contracts</w:t>
            </w:r>
          </w:p>
        </w:tc>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5060" w:type="dxa"/>
            <w:vAlign w:val="bottom"/>
          </w:tcPr>
          <w:p>
            <w:pPr>
              <w:ind w:left="360"/>
              <w:spacing w:after="0"/>
              <w:rPr>
                <w:sz w:val="20"/>
                <w:szCs w:val="20"/>
                <w:color w:val="auto"/>
              </w:rPr>
            </w:pPr>
            <w:r>
              <w:rPr>
                <w:rFonts w:ascii="Arial" w:cs="Arial" w:eastAsia="Arial" w:hAnsi="Arial"/>
                <w:sz w:val="16"/>
                <w:szCs w:val="16"/>
                <w:color w:val="auto"/>
              </w:rPr>
              <w:t>not subject to rate recovery</w:t>
            </w:r>
          </w:p>
        </w:tc>
        <w:tc>
          <w:tcPr>
            <w:tcW w:w="440" w:type="dxa"/>
            <w:vAlign w:val="bottom"/>
          </w:tcPr>
          <w:p>
            <w:pPr>
              <w:spacing w:after="0"/>
              <w:rPr>
                <w:sz w:val="18"/>
                <w:szCs w:val="18"/>
                <w:color w:val="auto"/>
              </w:rPr>
            </w:pPr>
          </w:p>
        </w:tc>
        <w:tc>
          <w:tcPr>
            <w:tcW w:w="1280" w:type="dxa"/>
            <w:vAlign w:val="bottom"/>
          </w:tcPr>
          <w:p>
            <w:pPr>
              <w:jc w:val="right"/>
              <w:ind w:right="62"/>
              <w:spacing w:after="0"/>
              <w:rPr>
                <w:sz w:val="20"/>
                <w:szCs w:val="20"/>
                <w:color w:val="auto"/>
              </w:rPr>
            </w:pPr>
            <w:r>
              <w:rPr>
                <w:rFonts w:ascii="Arial" w:cs="Arial" w:eastAsia="Arial" w:hAnsi="Arial"/>
                <w:sz w:val="16"/>
                <w:szCs w:val="16"/>
                <w:color w:val="auto"/>
              </w:rPr>
              <w:t>2</w:t>
            </w:r>
          </w:p>
        </w:tc>
        <w:tc>
          <w:tcPr>
            <w:tcW w:w="340" w:type="dxa"/>
            <w:vAlign w:val="bottom"/>
          </w:tcPr>
          <w:p>
            <w:pPr>
              <w:spacing w:after="0"/>
              <w:rPr>
                <w:sz w:val="18"/>
                <w:szCs w:val="18"/>
                <w:color w:val="auto"/>
              </w:rPr>
            </w:pPr>
          </w:p>
        </w:tc>
        <w:tc>
          <w:tcPr>
            <w:tcW w:w="124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26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13"/>
        </w:trPr>
        <w:tc>
          <w:tcPr>
            <w:tcW w:w="5060" w:type="dxa"/>
            <w:vAlign w:val="bottom"/>
          </w:tcPr>
          <w:p>
            <w:pPr>
              <w:ind w:left="180"/>
              <w:spacing w:after="0"/>
              <w:rPr>
                <w:sz w:val="20"/>
                <w:szCs w:val="20"/>
                <w:color w:val="auto"/>
              </w:rPr>
            </w:pPr>
            <w:r>
              <w:rPr>
                <w:rFonts w:ascii="Arial" w:cs="Arial" w:eastAsia="Arial" w:hAnsi="Arial"/>
                <w:sz w:val="16"/>
                <w:szCs w:val="16"/>
                <w:color w:val="auto"/>
              </w:rPr>
              <w:t>Additional cash collateral for commodity contracts</w:t>
            </w:r>
          </w:p>
        </w:tc>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4"/>
        </w:trPr>
        <w:tc>
          <w:tcPr>
            <w:tcW w:w="5060" w:type="dxa"/>
            <w:vAlign w:val="bottom"/>
          </w:tcPr>
          <w:p>
            <w:pPr>
              <w:ind w:left="360"/>
              <w:spacing w:after="0"/>
              <w:rPr>
                <w:sz w:val="20"/>
                <w:szCs w:val="20"/>
                <w:color w:val="auto"/>
              </w:rPr>
            </w:pPr>
            <w:r>
              <w:rPr>
                <w:rFonts w:ascii="Arial" w:cs="Arial" w:eastAsia="Arial" w:hAnsi="Arial"/>
                <w:sz w:val="16"/>
                <w:szCs w:val="16"/>
                <w:color w:val="auto"/>
              </w:rPr>
              <w:t>subject to rate recovery</w:t>
            </w:r>
          </w:p>
        </w:tc>
        <w:tc>
          <w:tcPr>
            <w:tcW w:w="440" w:type="dxa"/>
            <w:vAlign w:val="bottom"/>
          </w:tcPr>
          <w:p>
            <w:pPr>
              <w:spacing w:after="0"/>
              <w:rPr>
                <w:sz w:val="17"/>
                <w:szCs w:val="17"/>
                <w:color w:val="auto"/>
              </w:rPr>
            </w:pPr>
          </w:p>
        </w:tc>
        <w:tc>
          <w:tcPr>
            <w:tcW w:w="1280" w:type="dxa"/>
            <w:vAlign w:val="bottom"/>
          </w:tcPr>
          <w:p>
            <w:pPr>
              <w:jc w:val="right"/>
              <w:ind w:right="62"/>
              <w:spacing w:after="0"/>
              <w:rPr>
                <w:sz w:val="20"/>
                <w:szCs w:val="20"/>
                <w:color w:val="auto"/>
              </w:rPr>
            </w:pPr>
            <w:r>
              <w:rPr>
                <w:rFonts w:ascii="Arial" w:cs="Arial" w:eastAsia="Arial" w:hAnsi="Arial"/>
                <w:sz w:val="16"/>
                <w:szCs w:val="16"/>
                <w:color w:val="auto"/>
              </w:rPr>
              <w:t>2</w:t>
            </w:r>
          </w:p>
        </w:tc>
        <w:tc>
          <w:tcPr>
            <w:tcW w:w="340" w:type="dxa"/>
            <w:vAlign w:val="bottom"/>
          </w:tcPr>
          <w:p>
            <w:pPr>
              <w:spacing w:after="0"/>
              <w:rPr>
                <w:sz w:val="17"/>
                <w:szCs w:val="17"/>
                <w:color w:val="auto"/>
              </w:rPr>
            </w:pPr>
          </w:p>
        </w:tc>
        <w:tc>
          <w:tcPr>
            <w:tcW w:w="124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26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173"/>
        </w:trPr>
        <w:tc>
          <w:tcPr>
            <w:tcW w:w="5060" w:type="dxa"/>
            <w:vAlign w:val="bottom"/>
            <w:tcBorders>
              <w:bottom w:val="single" w:sz="8" w:color="auto"/>
            </w:tcBorders>
          </w:tcPr>
          <w:p>
            <w:pPr>
              <w:ind w:left="180"/>
              <w:spacing w:after="0" w:line="166" w:lineRule="exact"/>
              <w:rPr>
                <w:sz w:val="20"/>
                <w:szCs w:val="20"/>
                <w:color w:val="auto"/>
              </w:rPr>
            </w:pPr>
            <w:r>
              <w:rPr>
                <w:rFonts w:ascii="Arial" w:cs="Arial" w:eastAsia="Arial" w:hAnsi="Arial"/>
                <w:sz w:val="16"/>
                <w:szCs w:val="16"/>
                <w:color w:val="auto"/>
              </w:rPr>
              <w:t>Total</w:t>
            </w:r>
          </w:p>
        </w:tc>
        <w:tc>
          <w:tcPr>
            <w:tcW w:w="440" w:type="dxa"/>
            <w:vAlign w:val="bottom"/>
            <w:tcBorders>
              <w:top w:val="single" w:sz="8" w:color="auto"/>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62"/>
              <w:spacing w:after="0" w:line="166" w:lineRule="exact"/>
              <w:rPr>
                <w:sz w:val="20"/>
                <w:szCs w:val="20"/>
                <w:color w:val="auto"/>
              </w:rPr>
            </w:pPr>
            <w:r>
              <w:rPr>
                <w:rFonts w:ascii="Arial" w:cs="Arial" w:eastAsia="Arial" w:hAnsi="Arial"/>
                <w:sz w:val="16"/>
                <w:szCs w:val="16"/>
                <w:color w:val="auto"/>
              </w:rPr>
              <w:t>5</w:t>
            </w:r>
          </w:p>
        </w:tc>
        <w:tc>
          <w:tcPr>
            <w:tcW w:w="340" w:type="dxa"/>
            <w:vAlign w:val="bottom"/>
            <w:tcBorders>
              <w:top w:val="single" w:sz="8" w:color="auto"/>
              <w:bottom w:val="single" w:sz="8" w:color="auto"/>
            </w:tcBorders>
          </w:tcPr>
          <w:p>
            <w:pPr>
              <w:jc w:val="right"/>
              <w:ind w:right="40"/>
              <w:spacing w:after="0" w:line="166" w:lineRule="exact"/>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202"/>
              <w:spacing w:after="0" w:line="166" w:lineRule="exact"/>
              <w:rPr>
                <w:sz w:val="20"/>
                <w:szCs w:val="20"/>
                <w:color w:val="auto"/>
              </w:rPr>
            </w:pPr>
            <w:r>
              <w:rPr>
                <w:rFonts w:ascii="Arial" w:cs="Arial" w:eastAsia="Arial" w:hAnsi="Arial"/>
                <w:sz w:val="16"/>
                <w:szCs w:val="16"/>
                <w:color w:val="auto"/>
              </w:rPr>
              <w:t>―</w:t>
            </w:r>
          </w:p>
        </w:tc>
        <w:tc>
          <w:tcPr>
            <w:tcW w:w="320" w:type="dxa"/>
            <w:vAlign w:val="bottom"/>
            <w:tcBorders>
              <w:top w:val="single" w:sz="8" w:color="auto"/>
              <w:bottom w:val="single" w:sz="8" w:color="auto"/>
            </w:tcBorders>
          </w:tcPr>
          <w:p>
            <w:pPr>
              <w:jc w:val="right"/>
              <w:ind w:right="20"/>
              <w:spacing w:after="0" w:line="166" w:lineRule="exact"/>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182"/>
              <w:spacing w:after="0" w:line="166" w:lineRule="exact"/>
              <w:rPr>
                <w:sz w:val="20"/>
                <w:szCs w:val="20"/>
                <w:color w:val="auto"/>
              </w:rPr>
            </w:pPr>
            <w:r>
              <w:rPr>
                <w:rFonts w:ascii="Arial" w:cs="Arial" w:eastAsia="Arial" w:hAnsi="Arial"/>
                <w:sz w:val="16"/>
                <w:szCs w:val="16"/>
                <w:color w:val="auto"/>
              </w:rPr>
              <w:t>―</w:t>
            </w:r>
          </w:p>
        </w:tc>
        <w:tc>
          <w:tcPr>
            <w:tcW w:w="360" w:type="dxa"/>
            <w:vAlign w:val="bottom"/>
            <w:tcBorders>
              <w:top w:val="single" w:sz="8" w:color="auto"/>
              <w:bottom w:val="single" w:sz="8" w:color="auto"/>
            </w:tcBorders>
          </w:tcPr>
          <w:p>
            <w:pPr>
              <w:jc w:val="right"/>
              <w:ind w:right="40"/>
              <w:spacing w:after="0" w:line="166" w:lineRule="exact"/>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ind w:right="62"/>
              <w:spacing w:after="0" w:line="166"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r>
    </w:tbl>
    <w:p>
      <w:pPr>
        <w:spacing w:after="0" w:line="44" w:lineRule="exact"/>
        <w:rPr>
          <w:sz w:val="20"/>
          <w:szCs w:val="20"/>
          <w:color w:val="auto"/>
        </w:rPr>
      </w:pPr>
    </w:p>
    <w:p>
      <w:pPr>
        <w:ind w:left="480" w:hanging="474"/>
        <w:spacing w:after="0"/>
        <w:tabs>
          <w:tab w:leader="none" w:pos="480" w:val="left"/>
        </w:tabs>
        <w:numPr>
          <w:ilvl w:val="0"/>
          <w:numId w:val="36"/>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Current Assets: Other for SoCalGas.</w:t>
      </w:r>
    </w:p>
    <w:p>
      <w:pPr>
        <w:spacing w:after="0" w:line="51" w:lineRule="exact"/>
        <w:rPr>
          <w:rFonts w:ascii="Arial" w:cs="Arial" w:eastAsia="Arial" w:hAnsi="Arial"/>
          <w:sz w:val="14"/>
          <w:szCs w:val="14"/>
          <w:i w:val="1"/>
          <w:iCs w:val="1"/>
          <w:color w:val="auto"/>
        </w:rPr>
      </w:pPr>
    </w:p>
    <w:p>
      <w:pPr>
        <w:ind w:left="480" w:hanging="474"/>
        <w:spacing w:after="0"/>
        <w:tabs>
          <w:tab w:leader="none" w:pos="480" w:val="left"/>
        </w:tabs>
        <w:numPr>
          <w:ilvl w:val="0"/>
          <w:numId w:val="36"/>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Current Liabilities: Other for SoCalGas.</w:t>
      </w:r>
    </w:p>
    <w:p>
      <w:pPr>
        <w:spacing w:after="0" w:line="51" w:lineRule="exact"/>
        <w:rPr>
          <w:rFonts w:ascii="Arial" w:cs="Arial" w:eastAsia="Arial" w:hAnsi="Arial"/>
          <w:sz w:val="14"/>
          <w:szCs w:val="14"/>
          <w:i w:val="1"/>
          <w:iCs w:val="1"/>
          <w:color w:val="auto"/>
        </w:rPr>
      </w:pPr>
    </w:p>
    <w:p>
      <w:pPr>
        <w:ind w:left="480" w:hanging="474"/>
        <w:spacing w:after="0"/>
        <w:tabs>
          <w:tab w:leader="none" w:pos="480" w:val="left"/>
        </w:tabs>
        <w:numPr>
          <w:ilvl w:val="0"/>
          <w:numId w:val="36"/>
        </w:numPr>
        <w:rPr>
          <w:rFonts w:ascii="Arial" w:cs="Arial" w:eastAsia="Arial" w:hAnsi="Arial"/>
          <w:sz w:val="14"/>
          <w:szCs w:val="14"/>
          <w:i w:val="1"/>
          <w:iCs w:val="1"/>
          <w:color w:val="auto"/>
        </w:rPr>
      </w:pPr>
      <w:r>
        <w:rPr>
          <w:rFonts w:ascii="Arial" w:cs="Arial" w:eastAsia="Arial" w:hAnsi="Arial"/>
          <w:sz w:val="14"/>
          <w:szCs w:val="14"/>
          <w:i w:val="1"/>
          <w:iCs w:val="1"/>
          <w:color w:val="auto"/>
        </w:rPr>
        <w:t>Includes Otay Mesa VIE. All of SDG&amp;E’s amounts relate to Otay Mesa VIE.</w:t>
      </w:r>
    </w:p>
    <w:p>
      <w:pPr>
        <w:spacing w:after="0" w:line="51" w:lineRule="exact"/>
        <w:rPr>
          <w:rFonts w:ascii="Arial" w:cs="Arial" w:eastAsia="Arial" w:hAnsi="Arial"/>
          <w:sz w:val="14"/>
          <w:szCs w:val="14"/>
          <w:i w:val="1"/>
          <w:iCs w:val="1"/>
          <w:color w:val="auto"/>
        </w:rPr>
      </w:pPr>
    </w:p>
    <w:p>
      <w:pPr>
        <w:ind w:left="480" w:hanging="474"/>
        <w:spacing w:after="0"/>
        <w:tabs>
          <w:tab w:leader="none" w:pos="480" w:val="left"/>
        </w:tabs>
        <w:numPr>
          <w:ilvl w:val="0"/>
          <w:numId w:val="36"/>
        </w:numPr>
        <w:rPr>
          <w:rFonts w:ascii="Arial" w:cs="Arial" w:eastAsia="Arial" w:hAnsi="Arial"/>
          <w:sz w:val="14"/>
          <w:szCs w:val="14"/>
          <w:i w:val="1"/>
          <w:iCs w:val="1"/>
          <w:color w:val="auto"/>
        </w:rPr>
      </w:pPr>
      <w:r>
        <w:rPr>
          <w:rFonts w:ascii="Arial" w:cs="Arial" w:eastAsia="Arial" w:hAnsi="Arial"/>
          <w:sz w:val="14"/>
          <w:szCs w:val="14"/>
          <w:i w:val="1"/>
          <w:iCs w:val="1"/>
          <w:color w:val="auto"/>
        </w:rPr>
        <w:t>Normal purchase contracts previously measured at fair value are excluded.</w:t>
      </w:r>
    </w:p>
    <w:p>
      <w:pPr>
        <w:sectPr>
          <w:pgSz w:w="11900" w:h="16838" w:orient="portrait"/>
          <w:cols w:equalWidth="0" w:num="1">
            <w:col w:w="11420"/>
          </w:cols>
          <w:pgMar w:left="240" w:top="127" w:right="239" w:bottom="88" w:gutter="0" w:footer="0" w:header="0"/>
        </w:sectPr>
      </w:pPr>
    </w:p>
    <w:bookmarkStart w:id="33" w:name="page34"/>
    <w:bookmarkEnd w:id="33"/>
    <w:p>
      <w:pPr>
        <w:spacing w:after="0" w:line="7" w:lineRule="exact"/>
        <w:rPr>
          <w:sz w:val="20"/>
          <w:szCs w:val="20"/>
          <w:color w:val="auto"/>
        </w:rPr>
      </w:pPr>
    </w:p>
    <w:p>
      <w:pPr>
        <w:ind w:right="4760"/>
        <w:spacing w:after="0" w:line="254" w:lineRule="auto"/>
        <w:rPr>
          <w:sz w:val="20"/>
          <w:szCs w:val="20"/>
          <w:color w:val="auto"/>
        </w:rPr>
      </w:pPr>
      <w:r>
        <w:rPr>
          <w:rFonts w:ascii="Arial" w:cs="Arial" w:eastAsia="Arial" w:hAnsi="Arial"/>
          <w:sz w:val="16"/>
          <w:szCs w:val="16"/>
          <w:b w:val="1"/>
          <w:bCs w:val="1"/>
          <w:color w:val="auto"/>
        </w:rPr>
        <w:t xml:space="preserve">DERIVATIVE INSTRUMENTS ON THE CONDENSED CONSOLIDATED BALANCE SHEETS </w:t>
      </w: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-234950</wp:posOffset>
            </wp:positionV>
            <wp:extent cx="7248525" cy="2197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8525" cy="2197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3"/>
          </w:tcPr>
          <w:p>
            <w:pPr>
              <w:jc w:val="right"/>
              <w:ind w:right="1002"/>
              <w:spacing w:after="0"/>
              <w:rPr>
                <w:sz w:val="20"/>
                <w:szCs w:val="20"/>
                <w:color w:val="auto"/>
              </w:rPr>
            </w:pPr>
            <w:r>
              <w:rPr>
                <w:rFonts w:ascii="Arial" w:cs="Arial" w:eastAsia="Arial" w:hAnsi="Arial"/>
                <w:sz w:val="14"/>
                <w:szCs w:val="14"/>
                <w:color w:val="auto"/>
              </w:rPr>
              <w:t>December 31, 2013</w:t>
            </w: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221"/>
        </w:trPr>
        <w:tc>
          <w:tcPr>
            <w:tcW w:w="5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4"/>
                <w:szCs w:val="14"/>
                <w:color w:val="auto"/>
              </w:rPr>
              <w:t>Deferred</w:t>
            </w:r>
          </w:p>
        </w:tc>
      </w:tr>
      <w:tr>
        <w:trPr>
          <w:trHeight w:val="213"/>
        </w:trPr>
        <w:tc>
          <w:tcPr>
            <w:tcW w:w="5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color w:val="auto"/>
              </w:rPr>
              <w:t>credits</w:t>
            </w:r>
          </w:p>
        </w:tc>
      </w:tr>
      <w:tr>
        <w:trPr>
          <w:trHeight w:val="213"/>
        </w:trPr>
        <w:tc>
          <w:tcPr>
            <w:tcW w:w="5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tcPr>
          <w:p>
            <w:pPr>
              <w:jc w:val="center"/>
              <w:ind w:right="142"/>
              <w:spacing w:after="0"/>
              <w:rPr>
                <w:sz w:val="20"/>
                <w:szCs w:val="20"/>
                <w:color w:val="auto"/>
              </w:rPr>
            </w:pPr>
            <w:r>
              <w:rPr>
                <w:rFonts w:ascii="Arial" w:cs="Arial" w:eastAsia="Arial" w:hAnsi="Arial"/>
                <w:sz w:val="14"/>
                <w:szCs w:val="14"/>
                <w:color w:val="auto"/>
                <w:w w:val="98"/>
              </w:rPr>
              <w:t>Current</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center"/>
              <w:ind w:right="142"/>
              <w:spacing w:after="0"/>
              <w:rPr>
                <w:sz w:val="20"/>
                <w:szCs w:val="20"/>
                <w:color w:val="auto"/>
              </w:rPr>
            </w:pPr>
            <w:r>
              <w:rPr>
                <w:rFonts w:ascii="Arial" w:cs="Arial" w:eastAsia="Arial" w:hAnsi="Arial"/>
                <w:sz w:val="14"/>
                <w:szCs w:val="14"/>
                <w:color w:val="auto"/>
              </w:rPr>
              <w:t>Current</w:t>
            </w:r>
          </w:p>
        </w:tc>
        <w:tc>
          <w:tcPr>
            <w:tcW w:w="36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4"/>
                <w:szCs w:val="14"/>
                <w:color w:val="auto"/>
              </w:rPr>
              <w:t>and other</w:t>
            </w:r>
          </w:p>
        </w:tc>
      </w:tr>
      <w:tr>
        <w:trPr>
          <w:trHeight w:val="213"/>
        </w:trPr>
        <w:tc>
          <w:tcPr>
            <w:tcW w:w="5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tcPr>
          <w:p>
            <w:pPr>
              <w:jc w:val="center"/>
              <w:ind w:right="142"/>
              <w:spacing w:after="0"/>
              <w:rPr>
                <w:sz w:val="20"/>
                <w:szCs w:val="20"/>
                <w:color w:val="auto"/>
              </w:rPr>
            </w:pPr>
            <w:r>
              <w:rPr>
                <w:rFonts w:ascii="Arial" w:cs="Arial" w:eastAsia="Arial" w:hAnsi="Arial"/>
                <w:sz w:val="14"/>
                <w:szCs w:val="14"/>
                <w:color w:val="auto"/>
              </w:rPr>
              <w:t>assets:</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center"/>
              <w:ind w:right="162"/>
              <w:spacing w:after="0"/>
              <w:rPr>
                <w:sz w:val="20"/>
                <w:szCs w:val="20"/>
                <w:color w:val="auto"/>
              </w:rPr>
            </w:pPr>
            <w:r>
              <w:rPr>
                <w:rFonts w:ascii="Arial" w:cs="Arial" w:eastAsia="Arial" w:hAnsi="Arial"/>
                <w:sz w:val="14"/>
                <w:szCs w:val="14"/>
                <w:color w:val="auto"/>
              </w:rPr>
              <w:t>liabilities:</w:t>
            </w:r>
          </w:p>
        </w:tc>
        <w:tc>
          <w:tcPr>
            <w:tcW w:w="36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4"/>
                <w:szCs w:val="14"/>
                <w:color w:val="auto"/>
                <w:w w:val="98"/>
              </w:rPr>
              <w:t>liabilities:</w:t>
            </w:r>
          </w:p>
        </w:tc>
      </w:tr>
      <w:tr>
        <w:trPr>
          <w:trHeight w:val="213"/>
        </w:trPr>
        <w:tc>
          <w:tcPr>
            <w:tcW w:w="5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tcPr>
          <w:p>
            <w:pPr>
              <w:jc w:val="center"/>
              <w:ind w:right="142"/>
              <w:spacing w:after="0"/>
              <w:rPr>
                <w:sz w:val="20"/>
                <w:szCs w:val="20"/>
                <w:color w:val="auto"/>
              </w:rPr>
            </w:pPr>
            <w:r>
              <w:rPr>
                <w:rFonts w:ascii="Arial" w:cs="Arial" w:eastAsia="Arial" w:hAnsi="Arial"/>
                <w:sz w:val="14"/>
                <w:szCs w:val="14"/>
                <w:color w:val="auto"/>
              </w:rPr>
              <w:t>Fixed-price</w:t>
            </w:r>
          </w:p>
        </w:tc>
        <w:tc>
          <w:tcPr>
            <w:tcW w:w="340" w:type="dxa"/>
            <w:vAlign w:val="bottom"/>
          </w:tcPr>
          <w:p>
            <w:pPr>
              <w:spacing w:after="0"/>
              <w:rPr>
                <w:sz w:val="18"/>
                <w:szCs w:val="18"/>
                <w:color w:val="auto"/>
              </w:rPr>
            </w:pPr>
          </w:p>
        </w:tc>
        <w:tc>
          <w:tcPr>
            <w:tcW w:w="1240" w:type="dxa"/>
            <w:vAlign w:val="bottom"/>
          </w:tcPr>
          <w:p>
            <w:pPr>
              <w:jc w:val="center"/>
              <w:ind w:right="202"/>
              <w:spacing w:after="0"/>
              <w:rPr>
                <w:sz w:val="20"/>
                <w:szCs w:val="20"/>
                <w:color w:val="auto"/>
              </w:rPr>
            </w:pPr>
            <w:r>
              <w:rPr>
                <w:rFonts w:ascii="Arial" w:cs="Arial" w:eastAsia="Arial" w:hAnsi="Arial"/>
                <w:sz w:val="14"/>
                <w:szCs w:val="14"/>
                <w:color w:val="auto"/>
              </w:rPr>
              <w:t>Investments</w:t>
            </w:r>
          </w:p>
        </w:tc>
        <w:tc>
          <w:tcPr>
            <w:tcW w:w="320" w:type="dxa"/>
            <w:vAlign w:val="bottom"/>
          </w:tcPr>
          <w:p>
            <w:pPr>
              <w:spacing w:after="0"/>
              <w:rPr>
                <w:sz w:val="18"/>
                <w:szCs w:val="18"/>
                <w:color w:val="auto"/>
              </w:rPr>
            </w:pPr>
          </w:p>
        </w:tc>
        <w:tc>
          <w:tcPr>
            <w:tcW w:w="1260" w:type="dxa"/>
            <w:vAlign w:val="bottom"/>
          </w:tcPr>
          <w:p>
            <w:pPr>
              <w:jc w:val="center"/>
              <w:ind w:right="162"/>
              <w:spacing w:after="0"/>
              <w:rPr>
                <w:sz w:val="20"/>
                <w:szCs w:val="20"/>
                <w:color w:val="auto"/>
              </w:rPr>
            </w:pPr>
            <w:r>
              <w:rPr>
                <w:rFonts w:ascii="Arial" w:cs="Arial" w:eastAsia="Arial" w:hAnsi="Arial"/>
                <w:sz w:val="14"/>
                <w:szCs w:val="14"/>
                <w:color w:val="auto"/>
              </w:rPr>
              <w:t>Fixed-price</w:t>
            </w:r>
          </w:p>
        </w:tc>
        <w:tc>
          <w:tcPr>
            <w:tcW w:w="360" w:type="dxa"/>
            <w:vAlign w:val="bottom"/>
          </w:tcPr>
          <w:p>
            <w:pPr>
              <w:spacing w:after="0"/>
              <w:rPr>
                <w:sz w:val="18"/>
                <w:szCs w:val="18"/>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color w:val="auto"/>
              </w:rPr>
              <w:t>Fixed-price</w:t>
            </w:r>
          </w:p>
        </w:tc>
      </w:tr>
      <w:tr>
        <w:trPr>
          <w:trHeight w:val="213"/>
        </w:trPr>
        <w:tc>
          <w:tcPr>
            <w:tcW w:w="5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tcPr>
          <w:p>
            <w:pPr>
              <w:jc w:val="center"/>
              <w:ind w:right="142"/>
              <w:spacing w:after="0"/>
              <w:rPr>
                <w:sz w:val="20"/>
                <w:szCs w:val="20"/>
                <w:color w:val="auto"/>
              </w:rPr>
            </w:pPr>
            <w:r>
              <w:rPr>
                <w:rFonts w:ascii="Arial" w:cs="Arial" w:eastAsia="Arial" w:hAnsi="Arial"/>
                <w:sz w:val="14"/>
                <w:szCs w:val="14"/>
                <w:color w:val="auto"/>
              </w:rPr>
              <w:t>contracts</w:t>
            </w:r>
          </w:p>
        </w:tc>
        <w:tc>
          <w:tcPr>
            <w:tcW w:w="340" w:type="dxa"/>
            <w:vAlign w:val="bottom"/>
          </w:tcPr>
          <w:p>
            <w:pPr>
              <w:spacing w:after="0"/>
              <w:rPr>
                <w:sz w:val="18"/>
                <w:szCs w:val="18"/>
                <w:color w:val="auto"/>
              </w:rPr>
            </w:pPr>
          </w:p>
        </w:tc>
        <w:tc>
          <w:tcPr>
            <w:tcW w:w="1240" w:type="dxa"/>
            <w:vAlign w:val="bottom"/>
          </w:tcPr>
          <w:p>
            <w:pPr>
              <w:jc w:val="center"/>
              <w:ind w:right="202"/>
              <w:spacing w:after="0"/>
              <w:rPr>
                <w:sz w:val="20"/>
                <w:szCs w:val="20"/>
                <w:color w:val="auto"/>
              </w:rPr>
            </w:pPr>
            <w:r>
              <w:rPr>
                <w:rFonts w:ascii="Arial" w:cs="Arial" w:eastAsia="Arial" w:hAnsi="Arial"/>
                <w:sz w:val="14"/>
                <w:szCs w:val="14"/>
                <w:color w:val="auto"/>
              </w:rPr>
              <w:t>and other</w:t>
            </w:r>
          </w:p>
        </w:tc>
        <w:tc>
          <w:tcPr>
            <w:tcW w:w="320" w:type="dxa"/>
            <w:vAlign w:val="bottom"/>
          </w:tcPr>
          <w:p>
            <w:pPr>
              <w:spacing w:after="0"/>
              <w:rPr>
                <w:sz w:val="18"/>
                <w:szCs w:val="18"/>
                <w:color w:val="auto"/>
              </w:rPr>
            </w:pPr>
          </w:p>
        </w:tc>
        <w:tc>
          <w:tcPr>
            <w:tcW w:w="1260" w:type="dxa"/>
            <w:vAlign w:val="bottom"/>
          </w:tcPr>
          <w:p>
            <w:pPr>
              <w:jc w:val="center"/>
              <w:ind w:right="162"/>
              <w:spacing w:after="0"/>
              <w:rPr>
                <w:sz w:val="20"/>
                <w:szCs w:val="20"/>
                <w:color w:val="auto"/>
              </w:rPr>
            </w:pPr>
            <w:r>
              <w:rPr>
                <w:rFonts w:ascii="Arial" w:cs="Arial" w:eastAsia="Arial" w:hAnsi="Arial"/>
                <w:sz w:val="14"/>
                <w:szCs w:val="14"/>
                <w:color w:val="auto"/>
              </w:rPr>
              <w:t>contracts</w:t>
            </w:r>
          </w:p>
        </w:tc>
        <w:tc>
          <w:tcPr>
            <w:tcW w:w="36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4"/>
                <w:szCs w:val="14"/>
                <w:color w:val="auto"/>
                <w:w w:val="98"/>
              </w:rPr>
              <w:t>contracts</w:t>
            </w:r>
          </w:p>
        </w:tc>
      </w:tr>
      <w:tr>
        <w:trPr>
          <w:trHeight w:val="213"/>
        </w:trPr>
        <w:tc>
          <w:tcPr>
            <w:tcW w:w="5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tcPr>
          <w:p>
            <w:pPr>
              <w:jc w:val="center"/>
              <w:ind w:right="162"/>
              <w:spacing w:after="0"/>
              <w:rPr>
                <w:sz w:val="20"/>
                <w:szCs w:val="20"/>
                <w:color w:val="auto"/>
              </w:rPr>
            </w:pPr>
            <w:r>
              <w:rPr>
                <w:rFonts w:ascii="Arial" w:cs="Arial" w:eastAsia="Arial" w:hAnsi="Arial"/>
                <w:sz w:val="14"/>
                <w:szCs w:val="14"/>
                <w:color w:val="auto"/>
              </w:rPr>
              <w:t>and other</w:t>
            </w:r>
          </w:p>
        </w:tc>
        <w:tc>
          <w:tcPr>
            <w:tcW w:w="340" w:type="dxa"/>
            <w:vAlign w:val="bottom"/>
          </w:tcPr>
          <w:p>
            <w:pPr>
              <w:spacing w:after="0"/>
              <w:rPr>
                <w:sz w:val="18"/>
                <w:szCs w:val="18"/>
                <w:color w:val="auto"/>
              </w:rPr>
            </w:pPr>
          </w:p>
        </w:tc>
        <w:tc>
          <w:tcPr>
            <w:tcW w:w="1240" w:type="dxa"/>
            <w:vAlign w:val="bottom"/>
          </w:tcPr>
          <w:p>
            <w:pPr>
              <w:jc w:val="center"/>
              <w:ind w:right="182"/>
              <w:spacing w:after="0"/>
              <w:rPr>
                <w:sz w:val="20"/>
                <w:szCs w:val="20"/>
                <w:color w:val="auto"/>
              </w:rPr>
            </w:pPr>
            <w:r>
              <w:rPr>
                <w:rFonts w:ascii="Arial" w:cs="Arial" w:eastAsia="Arial" w:hAnsi="Arial"/>
                <w:sz w:val="14"/>
                <w:szCs w:val="14"/>
                <w:color w:val="auto"/>
              </w:rPr>
              <w:t>assets:</w:t>
            </w:r>
          </w:p>
        </w:tc>
        <w:tc>
          <w:tcPr>
            <w:tcW w:w="320" w:type="dxa"/>
            <w:vAlign w:val="bottom"/>
          </w:tcPr>
          <w:p>
            <w:pPr>
              <w:spacing w:after="0"/>
              <w:rPr>
                <w:sz w:val="18"/>
                <w:szCs w:val="18"/>
                <w:color w:val="auto"/>
              </w:rPr>
            </w:pPr>
          </w:p>
        </w:tc>
        <w:tc>
          <w:tcPr>
            <w:tcW w:w="1260" w:type="dxa"/>
            <w:vAlign w:val="bottom"/>
          </w:tcPr>
          <w:p>
            <w:pPr>
              <w:jc w:val="center"/>
              <w:ind w:right="142"/>
              <w:spacing w:after="0"/>
              <w:rPr>
                <w:sz w:val="20"/>
                <w:szCs w:val="20"/>
                <w:color w:val="auto"/>
              </w:rPr>
            </w:pPr>
            <w:r>
              <w:rPr>
                <w:rFonts w:ascii="Arial" w:cs="Arial" w:eastAsia="Arial" w:hAnsi="Arial"/>
                <w:sz w:val="14"/>
                <w:szCs w:val="14"/>
                <w:color w:val="auto"/>
              </w:rPr>
              <w:t>and other</w:t>
            </w:r>
          </w:p>
        </w:tc>
        <w:tc>
          <w:tcPr>
            <w:tcW w:w="36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4"/>
                <w:szCs w:val="14"/>
                <w:color w:val="auto"/>
              </w:rPr>
              <w:t>and other</w:t>
            </w:r>
          </w:p>
        </w:tc>
      </w:tr>
      <w:tr>
        <w:trPr>
          <w:trHeight w:val="197"/>
        </w:trPr>
        <w:tc>
          <w:tcPr>
            <w:tcW w:w="5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80" w:type="dxa"/>
            <w:vAlign w:val="bottom"/>
          </w:tcPr>
          <w:p>
            <w:pPr>
              <w:jc w:val="center"/>
              <w:ind w:right="142"/>
              <w:spacing w:after="0"/>
              <w:rPr>
                <w:sz w:val="20"/>
                <w:szCs w:val="20"/>
                <w:color w:val="auto"/>
              </w:rPr>
            </w:pPr>
            <w:r>
              <w:rPr>
                <w:rFonts w:ascii="Arial" w:cs="Arial" w:eastAsia="Arial" w:hAnsi="Arial"/>
                <w:sz w:val="14"/>
                <w:szCs w:val="14"/>
                <w:color w:val="auto"/>
              </w:rPr>
              <w:t>derivatives(1)</w:t>
            </w:r>
          </w:p>
        </w:tc>
        <w:tc>
          <w:tcPr>
            <w:tcW w:w="340" w:type="dxa"/>
            <w:vAlign w:val="bottom"/>
          </w:tcPr>
          <w:p>
            <w:pPr>
              <w:spacing w:after="0"/>
              <w:rPr>
                <w:sz w:val="17"/>
                <w:szCs w:val="17"/>
                <w:color w:val="auto"/>
              </w:rPr>
            </w:pPr>
          </w:p>
        </w:tc>
        <w:tc>
          <w:tcPr>
            <w:tcW w:w="1240" w:type="dxa"/>
            <w:vAlign w:val="bottom"/>
          </w:tcPr>
          <w:p>
            <w:pPr>
              <w:jc w:val="center"/>
              <w:ind w:right="182"/>
              <w:spacing w:after="0"/>
              <w:rPr>
                <w:sz w:val="20"/>
                <w:szCs w:val="20"/>
                <w:color w:val="auto"/>
              </w:rPr>
            </w:pPr>
            <w:r>
              <w:rPr>
                <w:rFonts w:ascii="Arial" w:cs="Arial" w:eastAsia="Arial" w:hAnsi="Arial"/>
                <w:sz w:val="14"/>
                <w:szCs w:val="14"/>
                <w:color w:val="auto"/>
              </w:rPr>
              <w:t>Sundry</w:t>
            </w:r>
          </w:p>
        </w:tc>
        <w:tc>
          <w:tcPr>
            <w:tcW w:w="320" w:type="dxa"/>
            <w:vAlign w:val="bottom"/>
          </w:tcPr>
          <w:p>
            <w:pPr>
              <w:spacing w:after="0"/>
              <w:rPr>
                <w:sz w:val="17"/>
                <w:szCs w:val="17"/>
                <w:color w:val="auto"/>
              </w:rPr>
            </w:pPr>
          </w:p>
        </w:tc>
        <w:tc>
          <w:tcPr>
            <w:tcW w:w="1260" w:type="dxa"/>
            <w:vAlign w:val="bottom"/>
          </w:tcPr>
          <w:p>
            <w:pPr>
              <w:jc w:val="center"/>
              <w:ind w:right="142"/>
              <w:spacing w:after="0"/>
              <w:rPr>
                <w:sz w:val="20"/>
                <w:szCs w:val="20"/>
                <w:color w:val="auto"/>
              </w:rPr>
            </w:pPr>
            <w:r>
              <w:rPr>
                <w:rFonts w:ascii="Arial" w:cs="Arial" w:eastAsia="Arial" w:hAnsi="Arial"/>
                <w:sz w:val="14"/>
                <w:szCs w:val="14"/>
                <w:color w:val="auto"/>
                <w:w w:val="99"/>
              </w:rPr>
              <w:t>derivatives(2)</w:t>
            </w:r>
          </w:p>
        </w:tc>
        <w:tc>
          <w:tcPr>
            <w:tcW w:w="360" w:type="dxa"/>
            <w:vAlign w:val="bottom"/>
          </w:tcPr>
          <w:p>
            <w:pPr>
              <w:spacing w:after="0"/>
              <w:rPr>
                <w:sz w:val="17"/>
                <w:szCs w:val="17"/>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4"/>
                <w:szCs w:val="14"/>
                <w:color w:val="auto"/>
              </w:rPr>
              <w:t>derivatives</w:t>
            </w:r>
          </w:p>
        </w:tc>
      </w:tr>
      <w:tr>
        <w:trPr>
          <w:trHeight w:val="214"/>
        </w:trPr>
        <w:tc>
          <w:tcPr>
            <w:tcW w:w="50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Sempra Energy Consolidated:</w:t>
            </w:r>
          </w:p>
        </w:tc>
        <w:tc>
          <w:tcPr>
            <w:tcW w:w="4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93"/>
        </w:trPr>
        <w:tc>
          <w:tcPr>
            <w:tcW w:w="5060" w:type="dxa"/>
            <w:vAlign w:val="bottom"/>
          </w:tcPr>
          <w:p>
            <w:pPr>
              <w:spacing w:after="0"/>
              <w:rPr>
                <w:sz w:val="20"/>
                <w:szCs w:val="20"/>
                <w:color w:val="auto"/>
              </w:rPr>
            </w:pPr>
            <w:r>
              <w:rPr>
                <w:rFonts w:ascii="Arial" w:cs="Arial" w:eastAsia="Arial" w:hAnsi="Arial"/>
                <w:sz w:val="16"/>
                <w:szCs w:val="16"/>
                <w:color w:val="auto"/>
              </w:rPr>
              <w:t>Derivatives designated as hedging instruments:</w:t>
            </w:r>
          </w:p>
        </w:tc>
        <w:tc>
          <w:tcPr>
            <w:tcW w:w="4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2"/>
        </w:trPr>
        <w:tc>
          <w:tcPr>
            <w:tcW w:w="5060" w:type="dxa"/>
            <w:vAlign w:val="bottom"/>
          </w:tcPr>
          <w:p>
            <w:pPr>
              <w:ind w:left="180"/>
              <w:spacing w:after="0"/>
              <w:rPr>
                <w:sz w:val="20"/>
                <w:szCs w:val="20"/>
                <w:color w:val="auto"/>
              </w:rPr>
            </w:pPr>
            <w:r>
              <w:rPr>
                <w:rFonts w:ascii="Arial" w:cs="Arial" w:eastAsia="Arial" w:hAnsi="Arial"/>
                <w:sz w:val="16"/>
                <w:szCs w:val="16"/>
                <w:color w:val="auto"/>
              </w:rPr>
              <w:t>Interest rate and foreign exchange instruments(3)</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62"/>
              <w:spacing w:after="0"/>
              <w:rPr>
                <w:sz w:val="20"/>
                <w:szCs w:val="20"/>
                <w:color w:val="auto"/>
              </w:rPr>
            </w:pPr>
            <w:r>
              <w:rPr>
                <w:rFonts w:ascii="Arial" w:cs="Arial" w:eastAsia="Arial" w:hAnsi="Arial"/>
                <w:sz w:val="16"/>
                <w:szCs w:val="16"/>
                <w:color w:val="auto"/>
              </w:rPr>
              <w:t>14</w:t>
            </w:r>
          </w:p>
        </w:tc>
        <w:tc>
          <w:tcPr>
            <w:tcW w:w="3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62"/>
              <w:spacing w:after="0"/>
              <w:rPr>
                <w:sz w:val="20"/>
                <w:szCs w:val="20"/>
                <w:color w:val="auto"/>
              </w:rPr>
            </w:pPr>
            <w:r>
              <w:rPr>
                <w:rFonts w:ascii="Arial" w:cs="Arial" w:eastAsia="Arial" w:hAnsi="Arial"/>
                <w:sz w:val="16"/>
                <w:szCs w:val="16"/>
                <w:color w:val="auto"/>
              </w:rPr>
              <w:t>12</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(18)</w:t>
            </w:r>
          </w:p>
        </w:tc>
        <w:tc>
          <w:tcPr>
            <w:tcW w:w="3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(75)</w:t>
            </w:r>
          </w:p>
        </w:tc>
        <w:tc>
          <w:tcPr>
            <w:tcW w:w="20" w:type="dxa"/>
            <w:vAlign w:val="bottom"/>
          </w:tcPr>
          <w:p>
            <w:pPr>
              <w:spacing w:after="0"/>
              <w:rPr>
                <w:sz w:val="16"/>
                <w:szCs w:val="16"/>
                <w:color w:val="auto"/>
              </w:rPr>
            </w:pPr>
          </w:p>
        </w:tc>
      </w:tr>
      <w:tr>
        <w:trPr>
          <w:trHeight w:val="213"/>
        </w:trPr>
        <w:tc>
          <w:tcPr>
            <w:tcW w:w="5060" w:type="dxa"/>
            <w:vAlign w:val="bottom"/>
          </w:tcPr>
          <w:p>
            <w:pPr>
              <w:spacing w:after="0"/>
              <w:rPr>
                <w:sz w:val="20"/>
                <w:szCs w:val="20"/>
                <w:color w:val="auto"/>
              </w:rPr>
            </w:pPr>
            <w:r>
              <w:rPr>
                <w:rFonts w:ascii="Arial" w:cs="Arial" w:eastAsia="Arial" w:hAnsi="Arial"/>
                <w:sz w:val="16"/>
                <w:szCs w:val="16"/>
                <w:color w:val="auto"/>
              </w:rPr>
              <w:t>Derivatives not designated as hedging instruments:</w:t>
            </w:r>
          </w:p>
        </w:tc>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5060" w:type="dxa"/>
            <w:vAlign w:val="bottom"/>
          </w:tcPr>
          <w:p>
            <w:pPr>
              <w:ind w:left="180"/>
              <w:spacing w:after="0"/>
              <w:rPr>
                <w:sz w:val="20"/>
                <w:szCs w:val="20"/>
                <w:color w:val="auto"/>
              </w:rPr>
            </w:pPr>
            <w:r>
              <w:rPr>
                <w:rFonts w:ascii="Arial" w:cs="Arial" w:eastAsia="Arial" w:hAnsi="Arial"/>
                <w:sz w:val="16"/>
                <w:szCs w:val="16"/>
                <w:color w:val="auto"/>
              </w:rPr>
              <w:t>Interest rate and foreign exchange instruments</w:t>
            </w:r>
          </w:p>
        </w:tc>
        <w:tc>
          <w:tcPr>
            <w:tcW w:w="440" w:type="dxa"/>
            <w:vAlign w:val="bottom"/>
          </w:tcPr>
          <w:p>
            <w:pPr>
              <w:spacing w:after="0"/>
              <w:rPr>
                <w:sz w:val="18"/>
                <w:szCs w:val="18"/>
                <w:color w:val="auto"/>
              </w:rPr>
            </w:pPr>
          </w:p>
        </w:tc>
        <w:tc>
          <w:tcPr>
            <w:tcW w:w="1280" w:type="dxa"/>
            <w:vAlign w:val="bottom"/>
          </w:tcPr>
          <w:p>
            <w:pPr>
              <w:jc w:val="right"/>
              <w:ind w:right="62"/>
              <w:spacing w:after="0"/>
              <w:rPr>
                <w:sz w:val="20"/>
                <w:szCs w:val="20"/>
                <w:color w:val="auto"/>
              </w:rPr>
            </w:pPr>
            <w:r>
              <w:rPr>
                <w:rFonts w:ascii="Arial" w:cs="Arial" w:eastAsia="Arial" w:hAnsi="Arial"/>
                <w:sz w:val="16"/>
                <w:szCs w:val="16"/>
                <w:color w:val="auto"/>
              </w:rPr>
              <w:t>8</w:t>
            </w:r>
          </w:p>
        </w:tc>
        <w:tc>
          <w:tcPr>
            <w:tcW w:w="340" w:type="dxa"/>
            <w:vAlign w:val="bottom"/>
          </w:tcPr>
          <w:p>
            <w:pPr>
              <w:spacing w:after="0"/>
              <w:rPr>
                <w:sz w:val="18"/>
                <w:szCs w:val="18"/>
                <w:color w:val="auto"/>
              </w:rPr>
            </w:pPr>
          </w:p>
        </w:tc>
        <w:tc>
          <w:tcPr>
            <w:tcW w:w="1240" w:type="dxa"/>
            <w:vAlign w:val="bottom"/>
          </w:tcPr>
          <w:p>
            <w:pPr>
              <w:jc w:val="right"/>
              <w:ind w:right="62"/>
              <w:spacing w:after="0"/>
              <w:rPr>
                <w:sz w:val="20"/>
                <w:szCs w:val="20"/>
                <w:color w:val="auto"/>
              </w:rPr>
            </w:pPr>
            <w:r>
              <w:rPr>
                <w:rFonts w:ascii="Arial" w:cs="Arial" w:eastAsia="Arial" w:hAnsi="Arial"/>
                <w:sz w:val="16"/>
                <w:szCs w:val="16"/>
                <w:color w:val="auto"/>
              </w:rPr>
              <w:t>22</w:t>
            </w:r>
          </w:p>
        </w:tc>
        <w:tc>
          <w:tcPr>
            <w:tcW w:w="320" w:type="dxa"/>
            <w:vAlign w:val="bottom"/>
          </w:tcPr>
          <w:p>
            <w:pPr>
              <w:spacing w:after="0"/>
              <w:rPr>
                <w:sz w:val="18"/>
                <w:szCs w:val="18"/>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(7)</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w:t>
            </w:r>
          </w:p>
        </w:tc>
        <w:tc>
          <w:tcPr>
            <w:tcW w:w="20" w:type="dxa"/>
            <w:vAlign w:val="bottom"/>
          </w:tcPr>
          <w:p>
            <w:pPr>
              <w:spacing w:after="0"/>
              <w:rPr>
                <w:sz w:val="18"/>
                <w:szCs w:val="18"/>
                <w:color w:val="auto"/>
              </w:rPr>
            </w:pPr>
          </w:p>
        </w:tc>
      </w:tr>
      <w:tr>
        <w:trPr>
          <w:trHeight w:val="213"/>
        </w:trPr>
        <w:tc>
          <w:tcPr>
            <w:tcW w:w="5060" w:type="dxa"/>
            <w:vAlign w:val="bottom"/>
          </w:tcPr>
          <w:p>
            <w:pPr>
              <w:ind w:left="180"/>
              <w:spacing w:after="0"/>
              <w:rPr>
                <w:sz w:val="20"/>
                <w:szCs w:val="20"/>
                <w:color w:val="auto"/>
              </w:rPr>
            </w:pPr>
            <w:r>
              <w:rPr>
                <w:rFonts w:ascii="Arial" w:cs="Arial" w:eastAsia="Arial" w:hAnsi="Arial"/>
                <w:sz w:val="16"/>
                <w:szCs w:val="16"/>
                <w:color w:val="auto"/>
              </w:rPr>
              <w:t>Commodity contracts not subject to rate recovery</w:t>
            </w:r>
          </w:p>
        </w:tc>
        <w:tc>
          <w:tcPr>
            <w:tcW w:w="440" w:type="dxa"/>
            <w:vAlign w:val="bottom"/>
          </w:tcPr>
          <w:p>
            <w:pPr>
              <w:spacing w:after="0"/>
              <w:rPr>
                <w:sz w:val="18"/>
                <w:szCs w:val="18"/>
                <w:color w:val="auto"/>
              </w:rPr>
            </w:pPr>
          </w:p>
        </w:tc>
        <w:tc>
          <w:tcPr>
            <w:tcW w:w="1280" w:type="dxa"/>
            <w:vAlign w:val="bottom"/>
          </w:tcPr>
          <w:p>
            <w:pPr>
              <w:jc w:val="right"/>
              <w:ind w:right="62"/>
              <w:spacing w:after="0"/>
              <w:rPr>
                <w:sz w:val="20"/>
                <w:szCs w:val="20"/>
                <w:color w:val="auto"/>
              </w:rPr>
            </w:pPr>
            <w:r>
              <w:rPr>
                <w:rFonts w:ascii="Arial" w:cs="Arial" w:eastAsia="Arial" w:hAnsi="Arial"/>
                <w:sz w:val="16"/>
                <w:szCs w:val="16"/>
                <w:color w:val="auto"/>
              </w:rPr>
              <w:t>47</w:t>
            </w:r>
          </w:p>
        </w:tc>
        <w:tc>
          <w:tcPr>
            <w:tcW w:w="340" w:type="dxa"/>
            <w:vAlign w:val="bottom"/>
          </w:tcPr>
          <w:p>
            <w:pPr>
              <w:spacing w:after="0"/>
              <w:rPr>
                <w:sz w:val="18"/>
                <w:szCs w:val="18"/>
                <w:color w:val="auto"/>
              </w:rPr>
            </w:pPr>
          </w:p>
        </w:tc>
        <w:tc>
          <w:tcPr>
            <w:tcW w:w="1240" w:type="dxa"/>
            <w:vAlign w:val="bottom"/>
          </w:tcPr>
          <w:p>
            <w:pPr>
              <w:jc w:val="right"/>
              <w:ind w:right="62"/>
              <w:spacing w:after="0"/>
              <w:rPr>
                <w:sz w:val="20"/>
                <w:szCs w:val="20"/>
                <w:color w:val="auto"/>
              </w:rPr>
            </w:pPr>
            <w:r>
              <w:rPr>
                <w:rFonts w:ascii="Arial" w:cs="Arial" w:eastAsia="Arial" w:hAnsi="Arial"/>
                <w:sz w:val="16"/>
                <w:szCs w:val="16"/>
                <w:color w:val="auto"/>
              </w:rPr>
              <w:t>7</w:t>
            </w:r>
          </w:p>
        </w:tc>
        <w:tc>
          <w:tcPr>
            <w:tcW w:w="320" w:type="dxa"/>
            <w:vAlign w:val="bottom"/>
          </w:tcPr>
          <w:p>
            <w:pPr>
              <w:spacing w:after="0"/>
              <w:rPr>
                <w:sz w:val="18"/>
                <w:szCs w:val="18"/>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(51)</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18"/>
                <w:szCs w:val="18"/>
                <w:color w:val="auto"/>
              </w:rPr>
            </w:pPr>
          </w:p>
        </w:tc>
      </w:tr>
      <w:tr>
        <w:trPr>
          <w:trHeight w:val="213"/>
        </w:trPr>
        <w:tc>
          <w:tcPr>
            <w:tcW w:w="5060" w:type="dxa"/>
            <w:vAlign w:val="bottom"/>
          </w:tcPr>
          <w:p>
            <w:pPr>
              <w:ind w:left="360"/>
              <w:spacing w:after="0"/>
              <w:rPr>
                <w:sz w:val="20"/>
                <w:szCs w:val="20"/>
                <w:color w:val="auto"/>
              </w:rPr>
            </w:pPr>
            <w:r>
              <w:rPr>
                <w:rFonts w:ascii="Arial" w:cs="Arial" w:eastAsia="Arial" w:hAnsi="Arial"/>
                <w:sz w:val="16"/>
                <w:szCs w:val="16"/>
                <w:color w:val="auto"/>
              </w:rPr>
              <w:t>Associated offsetting commodity contracts</w:t>
            </w:r>
          </w:p>
        </w:tc>
        <w:tc>
          <w:tcPr>
            <w:tcW w:w="440" w:type="dxa"/>
            <w:vAlign w:val="bottom"/>
          </w:tcPr>
          <w:p>
            <w:pPr>
              <w:spacing w:after="0"/>
              <w:rPr>
                <w:sz w:val="18"/>
                <w:szCs w:val="18"/>
                <w:color w:val="auto"/>
              </w:rPr>
            </w:pPr>
          </w:p>
        </w:tc>
        <w:tc>
          <w:tcPr>
            <w:tcW w:w="1280" w:type="dxa"/>
            <w:vAlign w:val="bottom"/>
          </w:tcPr>
          <w:p>
            <w:pPr>
              <w:jc w:val="right"/>
              <w:ind w:right="62"/>
              <w:spacing w:after="0"/>
              <w:rPr>
                <w:sz w:val="20"/>
                <w:szCs w:val="20"/>
                <w:color w:val="auto"/>
              </w:rPr>
            </w:pPr>
            <w:r>
              <w:rPr>
                <w:rFonts w:ascii="Arial" w:cs="Arial" w:eastAsia="Arial" w:hAnsi="Arial"/>
                <w:sz w:val="16"/>
                <w:szCs w:val="16"/>
                <w:color w:val="auto"/>
              </w:rPr>
              <w:t>(43)</w:t>
            </w:r>
          </w:p>
        </w:tc>
        <w:tc>
          <w:tcPr>
            <w:tcW w:w="340" w:type="dxa"/>
            <w:vAlign w:val="bottom"/>
          </w:tcPr>
          <w:p>
            <w:pPr>
              <w:spacing w:after="0"/>
              <w:rPr>
                <w:sz w:val="18"/>
                <w:szCs w:val="18"/>
                <w:color w:val="auto"/>
              </w:rPr>
            </w:pPr>
          </w:p>
        </w:tc>
        <w:tc>
          <w:tcPr>
            <w:tcW w:w="1240" w:type="dxa"/>
            <w:vAlign w:val="bottom"/>
          </w:tcPr>
          <w:p>
            <w:pPr>
              <w:jc w:val="right"/>
              <w:ind w:right="62"/>
              <w:spacing w:after="0"/>
              <w:rPr>
                <w:sz w:val="20"/>
                <w:szCs w:val="20"/>
                <w:color w:val="auto"/>
              </w:rPr>
            </w:pPr>
            <w:r>
              <w:rPr>
                <w:rFonts w:ascii="Arial" w:cs="Arial" w:eastAsia="Arial" w:hAnsi="Arial"/>
                <w:sz w:val="16"/>
                <w:szCs w:val="16"/>
                <w:color w:val="auto"/>
              </w:rPr>
              <w:t>(5)</w:t>
            </w:r>
          </w:p>
        </w:tc>
        <w:tc>
          <w:tcPr>
            <w:tcW w:w="320" w:type="dxa"/>
            <w:vAlign w:val="bottom"/>
          </w:tcPr>
          <w:p>
            <w:pPr>
              <w:spacing w:after="0"/>
              <w:rPr>
                <w:sz w:val="18"/>
                <w:szCs w:val="18"/>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43</w:t>
            </w:r>
          </w:p>
        </w:tc>
        <w:tc>
          <w:tcPr>
            <w:tcW w:w="3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5</w:t>
            </w:r>
          </w:p>
        </w:tc>
      </w:tr>
      <w:tr>
        <w:trPr>
          <w:trHeight w:val="213"/>
        </w:trPr>
        <w:tc>
          <w:tcPr>
            <w:tcW w:w="5060" w:type="dxa"/>
            <w:vAlign w:val="bottom"/>
          </w:tcPr>
          <w:p>
            <w:pPr>
              <w:ind w:left="360"/>
              <w:spacing w:after="0"/>
              <w:rPr>
                <w:sz w:val="20"/>
                <w:szCs w:val="20"/>
                <w:color w:val="auto"/>
              </w:rPr>
            </w:pPr>
            <w:r>
              <w:rPr>
                <w:rFonts w:ascii="Arial" w:cs="Arial" w:eastAsia="Arial" w:hAnsi="Arial"/>
                <w:sz w:val="16"/>
                <w:szCs w:val="16"/>
                <w:color w:val="auto"/>
              </w:rPr>
              <w:t>Associated offsetting cash collateral</w:t>
            </w:r>
          </w:p>
        </w:tc>
        <w:tc>
          <w:tcPr>
            <w:tcW w:w="440" w:type="dxa"/>
            <w:vAlign w:val="bottom"/>
          </w:tcPr>
          <w:p>
            <w:pPr>
              <w:spacing w:after="0"/>
              <w:rPr>
                <w:sz w:val="18"/>
                <w:szCs w:val="18"/>
                <w:color w:val="auto"/>
              </w:rPr>
            </w:pPr>
          </w:p>
        </w:tc>
        <w:tc>
          <w:tcPr>
            <w:tcW w:w="128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4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1</w:t>
            </w:r>
          </w:p>
        </w:tc>
        <w:tc>
          <w:tcPr>
            <w:tcW w:w="3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13"/>
        </w:trPr>
        <w:tc>
          <w:tcPr>
            <w:tcW w:w="5060" w:type="dxa"/>
            <w:vAlign w:val="bottom"/>
          </w:tcPr>
          <w:p>
            <w:pPr>
              <w:ind w:left="180"/>
              <w:spacing w:after="0"/>
              <w:rPr>
                <w:sz w:val="20"/>
                <w:szCs w:val="20"/>
                <w:color w:val="auto"/>
              </w:rPr>
            </w:pPr>
            <w:r>
              <w:rPr>
                <w:rFonts w:ascii="Arial" w:cs="Arial" w:eastAsia="Arial" w:hAnsi="Arial"/>
                <w:sz w:val="16"/>
                <w:szCs w:val="16"/>
                <w:color w:val="auto"/>
              </w:rPr>
              <w:t>Commodity contracts subject to rate recovery</w:t>
            </w:r>
          </w:p>
        </w:tc>
        <w:tc>
          <w:tcPr>
            <w:tcW w:w="440" w:type="dxa"/>
            <w:vAlign w:val="bottom"/>
          </w:tcPr>
          <w:p>
            <w:pPr>
              <w:spacing w:after="0"/>
              <w:rPr>
                <w:sz w:val="18"/>
                <w:szCs w:val="18"/>
                <w:color w:val="auto"/>
              </w:rPr>
            </w:pPr>
          </w:p>
        </w:tc>
        <w:tc>
          <w:tcPr>
            <w:tcW w:w="1280" w:type="dxa"/>
            <w:vAlign w:val="bottom"/>
          </w:tcPr>
          <w:p>
            <w:pPr>
              <w:jc w:val="right"/>
              <w:ind w:right="62"/>
              <w:spacing w:after="0"/>
              <w:rPr>
                <w:sz w:val="20"/>
                <w:szCs w:val="20"/>
                <w:color w:val="auto"/>
              </w:rPr>
            </w:pPr>
            <w:r>
              <w:rPr>
                <w:rFonts w:ascii="Arial" w:cs="Arial" w:eastAsia="Arial" w:hAnsi="Arial"/>
                <w:sz w:val="16"/>
                <w:szCs w:val="16"/>
                <w:color w:val="auto"/>
              </w:rPr>
              <w:t>35</w:t>
            </w:r>
          </w:p>
        </w:tc>
        <w:tc>
          <w:tcPr>
            <w:tcW w:w="340" w:type="dxa"/>
            <w:vAlign w:val="bottom"/>
          </w:tcPr>
          <w:p>
            <w:pPr>
              <w:spacing w:after="0"/>
              <w:rPr>
                <w:sz w:val="18"/>
                <w:szCs w:val="18"/>
                <w:color w:val="auto"/>
              </w:rPr>
            </w:pPr>
          </w:p>
        </w:tc>
        <w:tc>
          <w:tcPr>
            <w:tcW w:w="1240" w:type="dxa"/>
            <w:vAlign w:val="bottom"/>
          </w:tcPr>
          <w:p>
            <w:pPr>
              <w:jc w:val="right"/>
              <w:ind w:right="62"/>
              <w:spacing w:after="0"/>
              <w:rPr>
                <w:sz w:val="20"/>
                <w:szCs w:val="20"/>
                <w:color w:val="auto"/>
              </w:rPr>
            </w:pPr>
            <w:r>
              <w:rPr>
                <w:rFonts w:ascii="Arial" w:cs="Arial" w:eastAsia="Arial" w:hAnsi="Arial"/>
                <w:sz w:val="16"/>
                <w:szCs w:val="16"/>
                <w:color w:val="auto"/>
              </w:rPr>
              <w:t>72</w:t>
            </w:r>
          </w:p>
        </w:tc>
        <w:tc>
          <w:tcPr>
            <w:tcW w:w="320" w:type="dxa"/>
            <w:vAlign w:val="bottom"/>
          </w:tcPr>
          <w:p>
            <w:pPr>
              <w:spacing w:after="0"/>
              <w:rPr>
                <w:sz w:val="18"/>
                <w:szCs w:val="18"/>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(10)</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w:t>
            </w:r>
          </w:p>
        </w:tc>
        <w:tc>
          <w:tcPr>
            <w:tcW w:w="20" w:type="dxa"/>
            <w:vAlign w:val="bottom"/>
          </w:tcPr>
          <w:p>
            <w:pPr>
              <w:spacing w:after="0"/>
              <w:rPr>
                <w:sz w:val="18"/>
                <w:szCs w:val="18"/>
                <w:color w:val="auto"/>
              </w:rPr>
            </w:pPr>
          </w:p>
        </w:tc>
      </w:tr>
      <w:tr>
        <w:trPr>
          <w:trHeight w:val="213"/>
        </w:trPr>
        <w:tc>
          <w:tcPr>
            <w:tcW w:w="5060" w:type="dxa"/>
            <w:vAlign w:val="bottom"/>
          </w:tcPr>
          <w:p>
            <w:pPr>
              <w:ind w:left="360"/>
              <w:spacing w:after="0"/>
              <w:rPr>
                <w:sz w:val="20"/>
                <w:szCs w:val="20"/>
                <w:color w:val="auto"/>
              </w:rPr>
            </w:pPr>
            <w:r>
              <w:rPr>
                <w:rFonts w:ascii="Arial" w:cs="Arial" w:eastAsia="Arial" w:hAnsi="Arial"/>
                <w:sz w:val="16"/>
                <w:szCs w:val="16"/>
                <w:color w:val="auto"/>
              </w:rPr>
              <w:t>Associated offsetting commodity contracts</w:t>
            </w:r>
          </w:p>
        </w:tc>
        <w:tc>
          <w:tcPr>
            <w:tcW w:w="440" w:type="dxa"/>
            <w:vAlign w:val="bottom"/>
          </w:tcPr>
          <w:p>
            <w:pPr>
              <w:spacing w:after="0"/>
              <w:rPr>
                <w:sz w:val="18"/>
                <w:szCs w:val="18"/>
                <w:color w:val="auto"/>
              </w:rPr>
            </w:pPr>
          </w:p>
        </w:tc>
        <w:tc>
          <w:tcPr>
            <w:tcW w:w="1280" w:type="dxa"/>
            <w:vAlign w:val="bottom"/>
          </w:tcPr>
          <w:p>
            <w:pPr>
              <w:jc w:val="right"/>
              <w:ind w:right="62"/>
              <w:spacing w:after="0"/>
              <w:rPr>
                <w:sz w:val="20"/>
                <w:szCs w:val="20"/>
                <w:color w:val="auto"/>
              </w:rPr>
            </w:pPr>
            <w:r>
              <w:rPr>
                <w:rFonts w:ascii="Arial" w:cs="Arial" w:eastAsia="Arial" w:hAnsi="Arial"/>
                <w:sz w:val="16"/>
                <w:szCs w:val="16"/>
                <w:color w:val="auto"/>
              </w:rPr>
              <w:t>(3)</w:t>
            </w:r>
          </w:p>
        </w:tc>
        <w:tc>
          <w:tcPr>
            <w:tcW w:w="340" w:type="dxa"/>
            <w:vAlign w:val="bottom"/>
          </w:tcPr>
          <w:p>
            <w:pPr>
              <w:spacing w:after="0"/>
              <w:rPr>
                <w:sz w:val="18"/>
                <w:szCs w:val="18"/>
                <w:color w:val="auto"/>
              </w:rPr>
            </w:pPr>
          </w:p>
        </w:tc>
        <w:tc>
          <w:tcPr>
            <w:tcW w:w="1240" w:type="dxa"/>
            <w:vAlign w:val="bottom"/>
          </w:tcPr>
          <w:p>
            <w:pPr>
              <w:jc w:val="right"/>
              <w:ind w:right="62"/>
              <w:spacing w:after="0"/>
              <w:rPr>
                <w:sz w:val="20"/>
                <w:szCs w:val="20"/>
                <w:color w:val="auto"/>
              </w:rPr>
            </w:pPr>
            <w:r>
              <w:rPr>
                <w:rFonts w:ascii="Arial" w:cs="Arial" w:eastAsia="Arial" w:hAnsi="Arial"/>
                <w:sz w:val="16"/>
                <w:szCs w:val="16"/>
                <w:color w:val="auto"/>
              </w:rPr>
              <w:t>(2)</w:t>
            </w:r>
          </w:p>
        </w:tc>
        <w:tc>
          <w:tcPr>
            <w:tcW w:w="320" w:type="dxa"/>
            <w:vAlign w:val="bottom"/>
          </w:tcPr>
          <w:p>
            <w:pPr>
              <w:spacing w:after="0"/>
              <w:rPr>
                <w:sz w:val="18"/>
                <w:szCs w:val="18"/>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3</w:t>
            </w:r>
          </w:p>
        </w:tc>
        <w:tc>
          <w:tcPr>
            <w:tcW w:w="3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2</w:t>
            </w:r>
          </w:p>
        </w:tc>
      </w:tr>
      <w:tr>
        <w:trPr>
          <w:trHeight w:val="211"/>
        </w:trPr>
        <w:tc>
          <w:tcPr>
            <w:tcW w:w="5060" w:type="dxa"/>
            <w:vAlign w:val="bottom"/>
          </w:tcPr>
          <w:p>
            <w:pPr>
              <w:ind w:left="180"/>
              <w:spacing w:after="0"/>
              <w:rPr>
                <w:sz w:val="20"/>
                <w:szCs w:val="20"/>
                <w:color w:val="auto"/>
              </w:rPr>
            </w:pPr>
            <w:r>
              <w:rPr>
                <w:rFonts w:ascii="Arial" w:cs="Arial" w:eastAsia="Arial" w:hAnsi="Arial"/>
                <w:sz w:val="16"/>
                <w:szCs w:val="16"/>
                <w:color w:val="auto"/>
              </w:rPr>
              <w:t>Net amounts presented on the balance sheet</w:t>
            </w:r>
          </w:p>
        </w:tc>
        <w:tc>
          <w:tcPr>
            <w:tcW w:w="4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58</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106</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(39)</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20" w:type="dxa"/>
            <w:vAlign w:val="bottom"/>
          </w:tcPr>
          <w:p>
            <w:pPr>
              <w:spacing w:after="0"/>
              <w:rPr>
                <w:sz w:val="18"/>
                <w:szCs w:val="18"/>
                <w:color w:val="auto"/>
              </w:rPr>
            </w:pPr>
          </w:p>
        </w:tc>
      </w:tr>
      <w:tr>
        <w:trPr>
          <w:trHeight w:val="221"/>
        </w:trPr>
        <w:tc>
          <w:tcPr>
            <w:tcW w:w="5060" w:type="dxa"/>
            <w:vAlign w:val="bottom"/>
          </w:tcPr>
          <w:p>
            <w:pPr>
              <w:ind w:left="180"/>
              <w:spacing w:after="0"/>
              <w:rPr>
                <w:sz w:val="20"/>
                <w:szCs w:val="20"/>
                <w:color w:val="auto"/>
              </w:rPr>
            </w:pPr>
            <w:r>
              <w:rPr>
                <w:rFonts w:ascii="Arial" w:cs="Arial" w:eastAsia="Arial" w:hAnsi="Arial"/>
                <w:sz w:val="16"/>
                <w:szCs w:val="16"/>
                <w:color w:val="auto"/>
              </w:rPr>
              <w:t>Additional cash collateral for commodity contracts</w:t>
            </w:r>
          </w:p>
        </w:tc>
        <w:tc>
          <w:tcPr>
            <w:tcW w:w="4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3"/>
        </w:trPr>
        <w:tc>
          <w:tcPr>
            <w:tcW w:w="5060" w:type="dxa"/>
            <w:vAlign w:val="bottom"/>
          </w:tcPr>
          <w:p>
            <w:pPr>
              <w:ind w:left="360"/>
              <w:spacing w:after="0"/>
              <w:rPr>
                <w:sz w:val="20"/>
                <w:szCs w:val="20"/>
                <w:color w:val="auto"/>
              </w:rPr>
            </w:pPr>
            <w:r>
              <w:rPr>
                <w:rFonts w:ascii="Arial" w:cs="Arial" w:eastAsia="Arial" w:hAnsi="Arial"/>
                <w:sz w:val="16"/>
                <w:szCs w:val="16"/>
                <w:color w:val="auto"/>
              </w:rPr>
              <w:t>not subject to rate recovery</w:t>
            </w:r>
          </w:p>
        </w:tc>
        <w:tc>
          <w:tcPr>
            <w:tcW w:w="440" w:type="dxa"/>
            <w:vAlign w:val="bottom"/>
          </w:tcPr>
          <w:p>
            <w:pPr>
              <w:spacing w:after="0"/>
              <w:rPr>
                <w:sz w:val="18"/>
                <w:szCs w:val="18"/>
                <w:color w:val="auto"/>
              </w:rPr>
            </w:pPr>
          </w:p>
        </w:tc>
        <w:tc>
          <w:tcPr>
            <w:tcW w:w="1280" w:type="dxa"/>
            <w:vAlign w:val="bottom"/>
          </w:tcPr>
          <w:p>
            <w:pPr>
              <w:jc w:val="right"/>
              <w:ind w:right="62"/>
              <w:spacing w:after="0"/>
              <w:rPr>
                <w:sz w:val="20"/>
                <w:szCs w:val="20"/>
                <w:color w:val="auto"/>
              </w:rPr>
            </w:pPr>
            <w:r>
              <w:rPr>
                <w:rFonts w:ascii="Arial" w:cs="Arial" w:eastAsia="Arial" w:hAnsi="Arial"/>
                <w:sz w:val="16"/>
                <w:szCs w:val="16"/>
                <w:color w:val="auto"/>
              </w:rPr>
              <w:t>17</w:t>
            </w:r>
          </w:p>
        </w:tc>
        <w:tc>
          <w:tcPr>
            <w:tcW w:w="340" w:type="dxa"/>
            <w:vAlign w:val="bottom"/>
          </w:tcPr>
          <w:p>
            <w:pPr>
              <w:spacing w:after="0"/>
              <w:rPr>
                <w:sz w:val="18"/>
                <w:szCs w:val="18"/>
                <w:color w:val="auto"/>
              </w:rPr>
            </w:pPr>
          </w:p>
        </w:tc>
        <w:tc>
          <w:tcPr>
            <w:tcW w:w="124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26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13"/>
        </w:trPr>
        <w:tc>
          <w:tcPr>
            <w:tcW w:w="5060" w:type="dxa"/>
            <w:vAlign w:val="bottom"/>
          </w:tcPr>
          <w:p>
            <w:pPr>
              <w:ind w:left="180"/>
              <w:spacing w:after="0"/>
              <w:rPr>
                <w:sz w:val="20"/>
                <w:szCs w:val="20"/>
                <w:color w:val="auto"/>
              </w:rPr>
            </w:pPr>
            <w:r>
              <w:rPr>
                <w:rFonts w:ascii="Arial" w:cs="Arial" w:eastAsia="Arial" w:hAnsi="Arial"/>
                <w:sz w:val="16"/>
                <w:szCs w:val="16"/>
                <w:color w:val="auto"/>
              </w:rPr>
              <w:t>Additional cash collateral for commodity contracts</w:t>
            </w:r>
          </w:p>
        </w:tc>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4"/>
        </w:trPr>
        <w:tc>
          <w:tcPr>
            <w:tcW w:w="5060" w:type="dxa"/>
            <w:vAlign w:val="bottom"/>
          </w:tcPr>
          <w:p>
            <w:pPr>
              <w:ind w:left="360"/>
              <w:spacing w:after="0"/>
              <w:rPr>
                <w:sz w:val="20"/>
                <w:szCs w:val="20"/>
                <w:color w:val="auto"/>
              </w:rPr>
            </w:pPr>
            <w:r>
              <w:rPr>
                <w:rFonts w:ascii="Arial" w:cs="Arial" w:eastAsia="Arial" w:hAnsi="Arial"/>
                <w:sz w:val="16"/>
                <w:szCs w:val="16"/>
                <w:color w:val="auto"/>
              </w:rPr>
              <w:t>subject to rate recovery</w:t>
            </w:r>
          </w:p>
        </w:tc>
        <w:tc>
          <w:tcPr>
            <w:tcW w:w="440" w:type="dxa"/>
            <w:vAlign w:val="bottom"/>
          </w:tcPr>
          <w:p>
            <w:pPr>
              <w:spacing w:after="0"/>
              <w:rPr>
                <w:sz w:val="17"/>
                <w:szCs w:val="17"/>
                <w:color w:val="auto"/>
              </w:rPr>
            </w:pPr>
          </w:p>
        </w:tc>
        <w:tc>
          <w:tcPr>
            <w:tcW w:w="1280" w:type="dxa"/>
            <w:vAlign w:val="bottom"/>
          </w:tcPr>
          <w:p>
            <w:pPr>
              <w:jc w:val="right"/>
              <w:ind w:right="62"/>
              <w:spacing w:after="0"/>
              <w:rPr>
                <w:sz w:val="20"/>
                <w:szCs w:val="20"/>
                <w:color w:val="auto"/>
              </w:rPr>
            </w:pPr>
            <w:r>
              <w:rPr>
                <w:rFonts w:ascii="Arial" w:cs="Arial" w:eastAsia="Arial" w:hAnsi="Arial"/>
                <w:sz w:val="16"/>
                <w:szCs w:val="16"/>
                <w:color w:val="auto"/>
              </w:rPr>
              <w:t>31</w:t>
            </w:r>
          </w:p>
        </w:tc>
        <w:tc>
          <w:tcPr>
            <w:tcW w:w="340" w:type="dxa"/>
            <w:vAlign w:val="bottom"/>
          </w:tcPr>
          <w:p>
            <w:pPr>
              <w:spacing w:after="0"/>
              <w:rPr>
                <w:sz w:val="17"/>
                <w:szCs w:val="17"/>
                <w:color w:val="auto"/>
              </w:rPr>
            </w:pPr>
          </w:p>
        </w:tc>
        <w:tc>
          <w:tcPr>
            <w:tcW w:w="124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26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173"/>
        </w:trPr>
        <w:tc>
          <w:tcPr>
            <w:tcW w:w="5060" w:type="dxa"/>
            <w:vAlign w:val="bottom"/>
            <w:tcBorders>
              <w:bottom w:val="single" w:sz="8" w:color="auto"/>
            </w:tcBorders>
          </w:tcPr>
          <w:p>
            <w:pPr>
              <w:ind w:left="180"/>
              <w:spacing w:after="0" w:line="166" w:lineRule="exact"/>
              <w:rPr>
                <w:sz w:val="20"/>
                <w:szCs w:val="20"/>
                <w:color w:val="auto"/>
              </w:rPr>
            </w:pPr>
            <w:r>
              <w:rPr>
                <w:rFonts w:ascii="Arial" w:cs="Arial" w:eastAsia="Arial" w:hAnsi="Arial"/>
                <w:sz w:val="16"/>
                <w:szCs w:val="16"/>
                <w:color w:val="auto"/>
              </w:rPr>
              <w:t>Total(4)</w:t>
            </w:r>
          </w:p>
        </w:tc>
        <w:tc>
          <w:tcPr>
            <w:tcW w:w="440" w:type="dxa"/>
            <w:vAlign w:val="bottom"/>
            <w:tcBorders>
              <w:top w:val="single" w:sz="8" w:color="auto"/>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62"/>
              <w:spacing w:after="0" w:line="166" w:lineRule="exact"/>
              <w:rPr>
                <w:sz w:val="20"/>
                <w:szCs w:val="20"/>
                <w:color w:val="auto"/>
              </w:rPr>
            </w:pPr>
            <w:r>
              <w:rPr>
                <w:rFonts w:ascii="Arial" w:cs="Arial" w:eastAsia="Arial" w:hAnsi="Arial"/>
                <w:sz w:val="16"/>
                <w:szCs w:val="16"/>
                <w:color w:val="auto"/>
              </w:rPr>
              <w:t>106</w:t>
            </w:r>
          </w:p>
        </w:tc>
        <w:tc>
          <w:tcPr>
            <w:tcW w:w="340" w:type="dxa"/>
            <w:vAlign w:val="bottom"/>
            <w:tcBorders>
              <w:top w:val="single" w:sz="8" w:color="auto"/>
              <w:bottom w:val="single" w:sz="8" w:color="auto"/>
            </w:tcBorders>
          </w:tcPr>
          <w:p>
            <w:pPr>
              <w:jc w:val="right"/>
              <w:ind w:right="40"/>
              <w:spacing w:after="0" w:line="166" w:lineRule="exact"/>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62"/>
              <w:spacing w:after="0" w:line="166" w:lineRule="exact"/>
              <w:rPr>
                <w:sz w:val="20"/>
                <w:szCs w:val="20"/>
                <w:color w:val="auto"/>
              </w:rPr>
            </w:pPr>
            <w:r>
              <w:rPr>
                <w:rFonts w:ascii="Arial" w:cs="Arial" w:eastAsia="Arial" w:hAnsi="Arial"/>
                <w:sz w:val="16"/>
                <w:szCs w:val="16"/>
                <w:color w:val="auto"/>
              </w:rPr>
              <w:t>106</w:t>
            </w:r>
          </w:p>
        </w:tc>
        <w:tc>
          <w:tcPr>
            <w:tcW w:w="320" w:type="dxa"/>
            <w:vAlign w:val="bottom"/>
            <w:tcBorders>
              <w:top w:val="single" w:sz="8" w:color="auto"/>
              <w:bottom w:val="single" w:sz="8" w:color="auto"/>
            </w:tcBorders>
          </w:tcPr>
          <w:p>
            <w:pPr>
              <w:jc w:val="right"/>
              <w:ind w:right="20"/>
              <w:spacing w:after="0" w:line="166" w:lineRule="exact"/>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2"/>
              <w:spacing w:after="0" w:line="166" w:lineRule="exact"/>
              <w:rPr>
                <w:sz w:val="20"/>
                <w:szCs w:val="20"/>
                <w:color w:val="auto"/>
              </w:rPr>
            </w:pPr>
            <w:r>
              <w:rPr>
                <w:rFonts w:ascii="Arial" w:cs="Arial" w:eastAsia="Arial" w:hAnsi="Arial"/>
                <w:sz w:val="16"/>
                <w:szCs w:val="16"/>
                <w:color w:val="auto"/>
              </w:rPr>
              <w:t>(39)</w:t>
            </w:r>
          </w:p>
        </w:tc>
        <w:tc>
          <w:tcPr>
            <w:tcW w:w="360" w:type="dxa"/>
            <w:vAlign w:val="bottom"/>
            <w:tcBorders>
              <w:top w:val="single" w:sz="8" w:color="auto"/>
              <w:bottom w:val="single" w:sz="8" w:color="auto"/>
            </w:tcBorders>
          </w:tcPr>
          <w:p>
            <w:pPr>
              <w:jc w:val="right"/>
              <w:ind w:right="40"/>
              <w:spacing w:after="0" w:line="166" w:lineRule="exact"/>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(98)</w:t>
            </w:r>
          </w:p>
        </w:tc>
        <w:tc>
          <w:tcPr>
            <w:tcW w:w="20" w:type="dxa"/>
            <w:vAlign w:val="bottom"/>
          </w:tcPr>
          <w:p>
            <w:pPr>
              <w:spacing w:after="0"/>
              <w:rPr>
                <w:sz w:val="15"/>
                <w:szCs w:val="15"/>
                <w:color w:val="auto"/>
              </w:rPr>
            </w:pPr>
          </w:p>
        </w:tc>
      </w:tr>
      <w:tr>
        <w:trPr>
          <w:trHeight w:val="221"/>
        </w:trPr>
        <w:tc>
          <w:tcPr>
            <w:tcW w:w="506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4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3"/>
        </w:trPr>
        <w:tc>
          <w:tcPr>
            <w:tcW w:w="5060" w:type="dxa"/>
            <w:vAlign w:val="bottom"/>
          </w:tcPr>
          <w:p>
            <w:pPr>
              <w:spacing w:after="0"/>
              <w:rPr>
                <w:sz w:val="20"/>
                <w:szCs w:val="20"/>
                <w:color w:val="auto"/>
              </w:rPr>
            </w:pPr>
            <w:r>
              <w:rPr>
                <w:rFonts w:ascii="Arial" w:cs="Arial" w:eastAsia="Arial" w:hAnsi="Arial"/>
                <w:sz w:val="16"/>
                <w:szCs w:val="16"/>
                <w:color w:val="auto"/>
              </w:rPr>
              <w:t>Derivatives designated as hedging instruments:</w:t>
            </w:r>
          </w:p>
        </w:tc>
        <w:tc>
          <w:tcPr>
            <w:tcW w:w="4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2"/>
        </w:trPr>
        <w:tc>
          <w:tcPr>
            <w:tcW w:w="5060" w:type="dxa"/>
            <w:vAlign w:val="bottom"/>
          </w:tcPr>
          <w:p>
            <w:pPr>
              <w:ind w:left="180"/>
              <w:spacing w:after="0"/>
              <w:rPr>
                <w:sz w:val="20"/>
                <w:szCs w:val="20"/>
                <w:color w:val="auto"/>
              </w:rPr>
            </w:pPr>
            <w:r>
              <w:rPr>
                <w:rFonts w:ascii="Arial" w:cs="Arial" w:eastAsia="Arial" w:hAnsi="Arial"/>
                <w:sz w:val="16"/>
                <w:szCs w:val="16"/>
                <w:color w:val="auto"/>
              </w:rPr>
              <w:t>Interest rate instruments(3)</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(16)</w:t>
            </w:r>
          </w:p>
        </w:tc>
        <w:tc>
          <w:tcPr>
            <w:tcW w:w="3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(39)</w:t>
            </w:r>
          </w:p>
        </w:tc>
        <w:tc>
          <w:tcPr>
            <w:tcW w:w="20" w:type="dxa"/>
            <w:vAlign w:val="bottom"/>
          </w:tcPr>
          <w:p>
            <w:pPr>
              <w:spacing w:after="0"/>
              <w:rPr>
                <w:sz w:val="16"/>
                <w:szCs w:val="16"/>
                <w:color w:val="auto"/>
              </w:rPr>
            </w:pPr>
          </w:p>
        </w:tc>
      </w:tr>
      <w:tr>
        <w:trPr>
          <w:trHeight w:val="213"/>
        </w:trPr>
        <w:tc>
          <w:tcPr>
            <w:tcW w:w="5060" w:type="dxa"/>
            <w:vAlign w:val="bottom"/>
          </w:tcPr>
          <w:p>
            <w:pPr>
              <w:spacing w:after="0"/>
              <w:rPr>
                <w:sz w:val="20"/>
                <w:szCs w:val="20"/>
                <w:color w:val="auto"/>
              </w:rPr>
            </w:pPr>
            <w:r>
              <w:rPr>
                <w:rFonts w:ascii="Arial" w:cs="Arial" w:eastAsia="Arial" w:hAnsi="Arial"/>
                <w:sz w:val="16"/>
                <w:szCs w:val="16"/>
                <w:color w:val="auto"/>
              </w:rPr>
              <w:t>Derivatives not designated as hedging instruments:</w:t>
            </w:r>
          </w:p>
        </w:tc>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5060" w:type="dxa"/>
            <w:vAlign w:val="bottom"/>
          </w:tcPr>
          <w:p>
            <w:pPr>
              <w:ind w:left="180"/>
              <w:spacing w:after="0"/>
              <w:rPr>
                <w:sz w:val="20"/>
                <w:szCs w:val="20"/>
                <w:color w:val="auto"/>
              </w:rPr>
            </w:pPr>
            <w:r>
              <w:rPr>
                <w:rFonts w:ascii="Arial" w:cs="Arial" w:eastAsia="Arial" w:hAnsi="Arial"/>
                <w:sz w:val="16"/>
                <w:szCs w:val="16"/>
                <w:color w:val="auto"/>
              </w:rPr>
              <w:t>Commodity contracts subject to rate recovery</w:t>
            </w:r>
          </w:p>
        </w:tc>
        <w:tc>
          <w:tcPr>
            <w:tcW w:w="440" w:type="dxa"/>
            <w:vAlign w:val="bottom"/>
          </w:tcPr>
          <w:p>
            <w:pPr>
              <w:spacing w:after="0"/>
              <w:rPr>
                <w:sz w:val="18"/>
                <w:szCs w:val="18"/>
                <w:color w:val="auto"/>
              </w:rPr>
            </w:pPr>
          </w:p>
        </w:tc>
        <w:tc>
          <w:tcPr>
            <w:tcW w:w="1280" w:type="dxa"/>
            <w:vAlign w:val="bottom"/>
          </w:tcPr>
          <w:p>
            <w:pPr>
              <w:jc w:val="right"/>
              <w:ind w:right="62"/>
              <w:spacing w:after="0"/>
              <w:rPr>
                <w:sz w:val="20"/>
                <w:szCs w:val="20"/>
                <w:color w:val="auto"/>
              </w:rPr>
            </w:pPr>
            <w:r>
              <w:rPr>
                <w:rFonts w:ascii="Arial" w:cs="Arial" w:eastAsia="Arial" w:hAnsi="Arial"/>
                <w:sz w:val="16"/>
                <w:szCs w:val="16"/>
                <w:color w:val="auto"/>
              </w:rPr>
              <w:t>34</w:t>
            </w:r>
          </w:p>
        </w:tc>
        <w:tc>
          <w:tcPr>
            <w:tcW w:w="340" w:type="dxa"/>
            <w:vAlign w:val="bottom"/>
          </w:tcPr>
          <w:p>
            <w:pPr>
              <w:spacing w:after="0"/>
              <w:rPr>
                <w:sz w:val="18"/>
                <w:szCs w:val="18"/>
                <w:color w:val="auto"/>
              </w:rPr>
            </w:pPr>
          </w:p>
        </w:tc>
        <w:tc>
          <w:tcPr>
            <w:tcW w:w="1240" w:type="dxa"/>
            <w:vAlign w:val="bottom"/>
          </w:tcPr>
          <w:p>
            <w:pPr>
              <w:jc w:val="right"/>
              <w:ind w:right="62"/>
              <w:spacing w:after="0"/>
              <w:rPr>
                <w:sz w:val="20"/>
                <w:szCs w:val="20"/>
                <w:color w:val="auto"/>
              </w:rPr>
            </w:pPr>
            <w:r>
              <w:rPr>
                <w:rFonts w:ascii="Arial" w:cs="Arial" w:eastAsia="Arial" w:hAnsi="Arial"/>
                <w:sz w:val="16"/>
                <w:szCs w:val="16"/>
                <w:color w:val="auto"/>
              </w:rPr>
              <w:t>72</w:t>
            </w:r>
          </w:p>
        </w:tc>
        <w:tc>
          <w:tcPr>
            <w:tcW w:w="320" w:type="dxa"/>
            <w:vAlign w:val="bottom"/>
          </w:tcPr>
          <w:p>
            <w:pPr>
              <w:spacing w:after="0"/>
              <w:rPr>
                <w:sz w:val="18"/>
                <w:szCs w:val="18"/>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(9)</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w:t>
            </w:r>
          </w:p>
        </w:tc>
        <w:tc>
          <w:tcPr>
            <w:tcW w:w="20" w:type="dxa"/>
            <w:vAlign w:val="bottom"/>
          </w:tcPr>
          <w:p>
            <w:pPr>
              <w:spacing w:after="0"/>
              <w:rPr>
                <w:sz w:val="18"/>
                <w:szCs w:val="18"/>
                <w:color w:val="auto"/>
              </w:rPr>
            </w:pPr>
          </w:p>
        </w:tc>
      </w:tr>
      <w:tr>
        <w:trPr>
          <w:trHeight w:val="211"/>
        </w:trPr>
        <w:tc>
          <w:tcPr>
            <w:tcW w:w="5060" w:type="dxa"/>
            <w:vAlign w:val="bottom"/>
          </w:tcPr>
          <w:p>
            <w:pPr>
              <w:ind w:left="360"/>
              <w:spacing w:after="0"/>
              <w:rPr>
                <w:sz w:val="20"/>
                <w:szCs w:val="20"/>
                <w:color w:val="auto"/>
              </w:rPr>
            </w:pPr>
            <w:r>
              <w:rPr>
                <w:rFonts w:ascii="Arial" w:cs="Arial" w:eastAsia="Arial" w:hAnsi="Arial"/>
                <w:sz w:val="16"/>
                <w:szCs w:val="16"/>
                <w:color w:val="auto"/>
              </w:rPr>
              <w:t>Associated offsetting commodity contracts</w:t>
            </w:r>
          </w:p>
        </w:tc>
        <w:tc>
          <w:tcPr>
            <w:tcW w:w="440" w:type="dxa"/>
            <w:vAlign w:val="bottom"/>
          </w:tcPr>
          <w:p>
            <w:pPr>
              <w:spacing w:after="0"/>
              <w:rPr>
                <w:sz w:val="18"/>
                <w:szCs w:val="18"/>
                <w:color w:val="auto"/>
              </w:rPr>
            </w:pPr>
          </w:p>
        </w:tc>
        <w:tc>
          <w:tcPr>
            <w:tcW w:w="1280" w:type="dxa"/>
            <w:vAlign w:val="bottom"/>
          </w:tcPr>
          <w:p>
            <w:pPr>
              <w:jc w:val="right"/>
              <w:ind w:right="62"/>
              <w:spacing w:after="0"/>
              <w:rPr>
                <w:sz w:val="20"/>
                <w:szCs w:val="20"/>
                <w:color w:val="auto"/>
              </w:rPr>
            </w:pPr>
            <w:r>
              <w:rPr>
                <w:rFonts w:ascii="Arial" w:cs="Arial" w:eastAsia="Arial" w:hAnsi="Arial"/>
                <w:sz w:val="16"/>
                <w:szCs w:val="16"/>
                <w:color w:val="auto"/>
              </w:rPr>
              <w:t>(3)</w:t>
            </w:r>
          </w:p>
        </w:tc>
        <w:tc>
          <w:tcPr>
            <w:tcW w:w="340" w:type="dxa"/>
            <w:vAlign w:val="bottom"/>
          </w:tcPr>
          <w:p>
            <w:pPr>
              <w:spacing w:after="0"/>
              <w:rPr>
                <w:sz w:val="18"/>
                <w:szCs w:val="18"/>
                <w:color w:val="auto"/>
              </w:rPr>
            </w:pPr>
          </w:p>
        </w:tc>
        <w:tc>
          <w:tcPr>
            <w:tcW w:w="1240" w:type="dxa"/>
            <w:vAlign w:val="bottom"/>
          </w:tcPr>
          <w:p>
            <w:pPr>
              <w:jc w:val="right"/>
              <w:ind w:right="62"/>
              <w:spacing w:after="0"/>
              <w:rPr>
                <w:sz w:val="20"/>
                <w:szCs w:val="20"/>
                <w:color w:val="auto"/>
              </w:rPr>
            </w:pPr>
            <w:r>
              <w:rPr>
                <w:rFonts w:ascii="Arial" w:cs="Arial" w:eastAsia="Arial" w:hAnsi="Arial"/>
                <w:sz w:val="16"/>
                <w:szCs w:val="16"/>
                <w:color w:val="auto"/>
              </w:rPr>
              <w:t>(2)</w:t>
            </w:r>
          </w:p>
        </w:tc>
        <w:tc>
          <w:tcPr>
            <w:tcW w:w="320" w:type="dxa"/>
            <w:vAlign w:val="bottom"/>
          </w:tcPr>
          <w:p>
            <w:pPr>
              <w:spacing w:after="0"/>
              <w:rPr>
                <w:sz w:val="18"/>
                <w:szCs w:val="18"/>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3</w:t>
            </w:r>
          </w:p>
        </w:tc>
        <w:tc>
          <w:tcPr>
            <w:tcW w:w="3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2</w:t>
            </w:r>
          </w:p>
        </w:tc>
      </w:tr>
      <w:tr>
        <w:trPr>
          <w:trHeight w:val="221"/>
        </w:trPr>
        <w:tc>
          <w:tcPr>
            <w:tcW w:w="5060" w:type="dxa"/>
            <w:vAlign w:val="bottom"/>
          </w:tcPr>
          <w:p>
            <w:pPr>
              <w:ind w:left="180"/>
              <w:spacing w:after="0"/>
              <w:rPr>
                <w:sz w:val="20"/>
                <w:szCs w:val="20"/>
                <w:color w:val="auto"/>
              </w:rPr>
            </w:pPr>
            <w:r>
              <w:rPr>
                <w:rFonts w:ascii="Arial" w:cs="Arial" w:eastAsia="Arial" w:hAnsi="Arial"/>
                <w:sz w:val="16"/>
                <w:szCs w:val="16"/>
                <w:color w:val="auto"/>
              </w:rPr>
              <w:t>Net amounts presented on the balance sheet</w:t>
            </w:r>
          </w:p>
        </w:tc>
        <w:tc>
          <w:tcPr>
            <w:tcW w:w="44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62"/>
              <w:spacing w:after="0"/>
              <w:rPr>
                <w:sz w:val="20"/>
                <w:szCs w:val="20"/>
                <w:color w:val="auto"/>
              </w:rPr>
            </w:pPr>
            <w:r>
              <w:rPr>
                <w:rFonts w:ascii="Arial" w:cs="Arial" w:eastAsia="Arial" w:hAnsi="Arial"/>
                <w:sz w:val="16"/>
                <w:szCs w:val="16"/>
                <w:color w:val="auto"/>
              </w:rPr>
              <w:t>31</w:t>
            </w:r>
          </w:p>
        </w:tc>
        <w:tc>
          <w:tcPr>
            <w:tcW w:w="3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62"/>
              <w:spacing w:after="0"/>
              <w:rPr>
                <w:sz w:val="20"/>
                <w:szCs w:val="20"/>
                <w:color w:val="auto"/>
              </w:rPr>
            </w:pPr>
            <w:r>
              <w:rPr>
                <w:rFonts w:ascii="Arial" w:cs="Arial" w:eastAsia="Arial" w:hAnsi="Arial"/>
                <w:sz w:val="16"/>
                <w:szCs w:val="16"/>
                <w:color w:val="auto"/>
              </w:rPr>
              <w:t>70</w:t>
            </w:r>
          </w:p>
        </w:tc>
        <w:tc>
          <w:tcPr>
            <w:tcW w:w="3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(22)</w:t>
            </w: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20" w:type="dxa"/>
            <w:vAlign w:val="bottom"/>
          </w:tcPr>
          <w:p>
            <w:pPr>
              <w:spacing w:after="0"/>
              <w:rPr>
                <w:sz w:val="19"/>
                <w:szCs w:val="19"/>
                <w:color w:val="auto"/>
              </w:rPr>
            </w:pPr>
          </w:p>
        </w:tc>
      </w:tr>
      <w:tr>
        <w:trPr>
          <w:trHeight w:val="213"/>
        </w:trPr>
        <w:tc>
          <w:tcPr>
            <w:tcW w:w="5060" w:type="dxa"/>
            <w:vAlign w:val="bottom"/>
          </w:tcPr>
          <w:p>
            <w:pPr>
              <w:ind w:left="180"/>
              <w:spacing w:after="0"/>
              <w:rPr>
                <w:sz w:val="20"/>
                <w:szCs w:val="20"/>
                <w:color w:val="auto"/>
              </w:rPr>
            </w:pPr>
            <w:r>
              <w:rPr>
                <w:rFonts w:ascii="Arial" w:cs="Arial" w:eastAsia="Arial" w:hAnsi="Arial"/>
                <w:sz w:val="16"/>
                <w:szCs w:val="16"/>
                <w:color w:val="auto"/>
              </w:rPr>
              <w:t>Additional cash collateral for commodity contracts</w:t>
            </w:r>
          </w:p>
        </w:tc>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5060" w:type="dxa"/>
            <w:vAlign w:val="bottom"/>
          </w:tcPr>
          <w:p>
            <w:pPr>
              <w:ind w:left="360"/>
              <w:spacing w:after="0"/>
              <w:rPr>
                <w:sz w:val="20"/>
                <w:szCs w:val="20"/>
                <w:color w:val="auto"/>
              </w:rPr>
            </w:pPr>
            <w:r>
              <w:rPr>
                <w:rFonts w:ascii="Arial" w:cs="Arial" w:eastAsia="Arial" w:hAnsi="Arial"/>
                <w:sz w:val="16"/>
                <w:szCs w:val="16"/>
                <w:color w:val="auto"/>
              </w:rPr>
              <w:t>not subject to rate recovery</w:t>
            </w:r>
          </w:p>
        </w:tc>
        <w:tc>
          <w:tcPr>
            <w:tcW w:w="440" w:type="dxa"/>
            <w:vAlign w:val="bottom"/>
          </w:tcPr>
          <w:p>
            <w:pPr>
              <w:spacing w:after="0"/>
              <w:rPr>
                <w:sz w:val="18"/>
                <w:szCs w:val="18"/>
                <w:color w:val="auto"/>
              </w:rPr>
            </w:pPr>
          </w:p>
        </w:tc>
        <w:tc>
          <w:tcPr>
            <w:tcW w:w="1280" w:type="dxa"/>
            <w:vAlign w:val="bottom"/>
          </w:tcPr>
          <w:p>
            <w:pPr>
              <w:jc w:val="right"/>
              <w:ind w:right="62"/>
              <w:spacing w:after="0"/>
              <w:rPr>
                <w:sz w:val="20"/>
                <w:szCs w:val="20"/>
                <w:color w:val="auto"/>
              </w:rPr>
            </w:pPr>
            <w:r>
              <w:rPr>
                <w:rFonts w:ascii="Arial" w:cs="Arial" w:eastAsia="Arial" w:hAnsi="Arial"/>
                <w:sz w:val="16"/>
                <w:szCs w:val="16"/>
                <w:color w:val="auto"/>
              </w:rPr>
              <w:t>1</w:t>
            </w:r>
          </w:p>
        </w:tc>
        <w:tc>
          <w:tcPr>
            <w:tcW w:w="340" w:type="dxa"/>
            <w:vAlign w:val="bottom"/>
          </w:tcPr>
          <w:p>
            <w:pPr>
              <w:spacing w:after="0"/>
              <w:rPr>
                <w:sz w:val="18"/>
                <w:szCs w:val="18"/>
                <w:color w:val="auto"/>
              </w:rPr>
            </w:pPr>
          </w:p>
        </w:tc>
        <w:tc>
          <w:tcPr>
            <w:tcW w:w="124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26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13"/>
        </w:trPr>
        <w:tc>
          <w:tcPr>
            <w:tcW w:w="5060" w:type="dxa"/>
            <w:vAlign w:val="bottom"/>
          </w:tcPr>
          <w:p>
            <w:pPr>
              <w:ind w:left="180"/>
              <w:spacing w:after="0"/>
              <w:rPr>
                <w:sz w:val="20"/>
                <w:szCs w:val="20"/>
                <w:color w:val="auto"/>
              </w:rPr>
            </w:pPr>
            <w:r>
              <w:rPr>
                <w:rFonts w:ascii="Arial" w:cs="Arial" w:eastAsia="Arial" w:hAnsi="Arial"/>
                <w:sz w:val="16"/>
                <w:szCs w:val="16"/>
                <w:color w:val="auto"/>
              </w:rPr>
              <w:t>Additional cash collateral for commodity contracts</w:t>
            </w:r>
          </w:p>
        </w:tc>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4"/>
        </w:trPr>
        <w:tc>
          <w:tcPr>
            <w:tcW w:w="5060" w:type="dxa"/>
            <w:vAlign w:val="bottom"/>
          </w:tcPr>
          <w:p>
            <w:pPr>
              <w:ind w:left="360"/>
              <w:spacing w:after="0"/>
              <w:rPr>
                <w:sz w:val="20"/>
                <w:szCs w:val="20"/>
                <w:color w:val="auto"/>
              </w:rPr>
            </w:pPr>
            <w:r>
              <w:rPr>
                <w:rFonts w:ascii="Arial" w:cs="Arial" w:eastAsia="Arial" w:hAnsi="Arial"/>
                <w:sz w:val="16"/>
                <w:szCs w:val="16"/>
                <w:color w:val="auto"/>
              </w:rPr>
              <w:t>subject to rate recovery</w:t>
            </w:r>
          </w:p>
        </w:tc>
        <w:tc>
          <w:tcPr>
            <w:tcW w:w="440" w:type="dxa"/>
            <w:vAlign w:val="bottom"/>
          </w:tcPr>
          <w:p>
            <w:pPr>
              <w:spacing w:after="0"/>
              <w:rPr>
                <w:sz w:val="17"/>
                <w:szCs w:val="17"/>
                <w:color w:val="auto"/>
              </w:rPr>
            </w:pPr>
          </w:p>
        </w:tc>
        <w:tc>
          <w:tcPr>
            <w:tcW w:w="1280" w:type="dxa"/>
            <w:vAlign w:val="bottom"/>
          </w:tcPr>
          <w:p>
            <w:pPr>
              <w:jc w:val="right"/>
              <w:ind w:right="62"/>
              <w:spacing w:after="0"/>
              <w:rPr>
                <w:sz w:val="20"/>
                <w:szCs w:val="20"/>
                <w:color w:val="auto"/>
              </w:rPr>
            </w:pPr>
            <w:r>
              <w:rPr>
                <w:rFonts w:ascii="Arial" w:cs="Arial" w:eastAsia="Arial" w:hAnsi="Arial"/>
                <w:sz w:val="16"/>
                <w:szCs w:val="16"/>
                <w:color w:val="auto"/>
              </w:rPr>
              <w:t>29</w:t>
            </w:r>
          </w:p>
        </w:tc>
        <w:tc>
          <w:tcPr>
            <w:tcW w:w="340" w:type="dxa"/>
            <w:vAlign w:val="bottom"/>
          </w:tcPr>
          <w:p>
            <w:pPr>
              <w:spacing w:after="0"/>
              <w:rPr>
                <w:sz w:val="17"/>
                <w:szCs w:val="17"/>
                <w:color w:val="auto"/>
              </w:rPr>
            </w:pPr>
          </w:p>
        </w:tc>
        <w:tc>
          <w:tcPr>
            <w:tcW w:w="124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26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173"/>
        </w:trPr>
        <w:tc>
          <w:tcPr>
            <w:tcW w:w="5060" w:type="dxa"/>
            <w:vAlign w:val="bottom"/>
            <w:tcBorders>
              <w:bottom w:val="single" w:sz="8" w:color="auto"/>
            </w:tcBorders>
          </w:tcPr>
          <w:p>
            <w:pPr>
              <w:ind w:left="180"/>
              <w:spacing w:after="0" w:line="166" w:lineRule="exact"/>
              <w:rPr>
                <w:sz w:val="20"/>
                <w:szCs w:val="20"/>
                <w:color w:val="auto"/>
              </w:rPr>
            </w:pPr>
            <w:r>
              <w:rPr>
                <w:rFonts w:ascii="Arial" w:cs="Arial" w:eastAsia="Arial" w:hAnsi="Arial"/>
                <w:sz w:val="16"/>
                <w:szCs w:val="16"/>
                <w:color w:val="auto"/>
              </w:rPr>
              <w:t>Total(4)</w:t>
            </w:r>
          </w:p>
        </w:tc>
        <w:tc>
          <w:tcPr>
            <w:tcW w:w="440" w:type="dxa"/>
            <w:vAlign w:val="bottom"/>
            <w:tcBorders>
              <w:top w:val="single" w:sz="8" w:color="auto"/>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62"/>
              <w:spacing w:after="0" w:line="166" w:lineRule="exact"/>
              <w:rPr>
                <w:sz w:val="20"/>
                <w:szCs w:val="20"/>
                <w:color w:val="auto"/>
              </w:rPr>
            </w:pPr>
            <w:r>
              <w:rPr>
                <w:rFonts w:ascii="Arial" w:cs="Arial" w:eastAsia="Arial" w:hAnsi="Arial"/>
                <w:sz w:val="16"/>
                <w:szCs w:val="16"/>
                <w:color w:val="auto"/>
              </w:rPr>
              <w:t>61</w:t>
            </w:r>
          </w:p>
        </w:tc>
        <w:tc>
          <w:tcPr>
            <w:tcW w:w="340" w:type="dxa"/>
            <w:vAlign w:val="bottom"/>
            <w:tcBorders>
              <w:top w:val="single" w:sz="8" w:color="auto"/>
              <w:bottom w:val="single" w:sz="8" w:color="auto"/>
            </w:tcBorders>
          </w:tcPr>
          <w:p>
            <w:pPr>
              <w:jc w:val="right"/>
              <w:ind w:right="40"/>
              <w:spacing w:after="0" w:line="166" w:lineRule="exact"/>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62"/>
              <w:spacing w:after="0" w:line="166" w:lineRule="exact"/>
              <w:rPr>
                <w:sz w:val="20"/>
                <w:szCs w:val="20"/>
                <w:color w:val="auto"/>
              </w:rPr>
            </w:pPr>
            <w:r>
              <w:rPr>
                <w:rFonts w:ascii="Arial" w:cs="Arial" w:eastAsia="Arial" w:hAnsi="Arial"/>
                <w:sz w:val="16"/>
                <w:szCs w:val="16"/>
                <w:color w:val="auto"/>
              </w:rPr>
              <w:t>70</w:t>
            </w:r>
          </w:p>
        </w:tc>
        <w:tc>
          <w:tcPr>
            <w:tcW w:w="320" w:type="dxa"/>
            <w:vAlign w:val="bottom"/>
            <w:tcBorders>
              <w:top w:val="single" w:sz="8" w:color="auto"/>
              <w:bottom w:val="single" w:sz="8" w:color="auto"/>
            </w:tcBorders>
          </w:tcPr>
          <w:p>
            <w:pPr>
              <w:jc w:val="right"/>
              <w:ind w:right="20"/>
              <w:spacing w:after="0" w:line="166" w:lineRule="exact"/>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2"/>
              <w:spacing w:after="0" w:line="166" w:lineRule="exact"/>
              <w:rPr>
                <w:sz w:val="20"/>
                <w:szCs w:val="20"/>
                <w:color w:val="auto"/>
              </w:rPr>
            </w:pPr>
            <w:r>
              <w:rPr>
                <w:rFonts w:ascii="Arial" w:cs="Arial" w:eastAsia="Arial" w:hAnsi="Arial"/>
                <w:sz w:val="16"/>
                <w:szCs w:val="16"/>
                <w:color w:val="auto"/>
              </w:rPr>
              <w:t>(22)</w:t>
            </w:r>
          </w:p>
        </w:tc>
        <w:tc>
          <w:tcPr>
            <w:tcW w:w="360" w:type="dxa"/>
            <w:vAlign w:val="bottom"/>
            <w:tcBorders>
              <w:top w:val="single" w:sz="8" w:color="auto"/>
              <w:bottom w:val="single" w:sz="8" w:color="auto"/>
            </w:tcBorders>
          </w:tcPr>
          <w:p>
            <w:pPr>
              <w:jc w:val="right"/>
              <w:ind w:right="40"/>
              <w:spacing w:after="0" w:line="166" w:lineRule="exact"/>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(45)</w:t>
            </w:r>
          </w:p>
        </w:tc>
        <w:tc>
          <w:tcPr>
            <w:tcW w:w="20" w:type="dxa"/>
            <w:vAlign w:val="bottom"/>
          </w:tcPr>
          <w:p>
            <w:pPr>
              <w:spacing w:after="0"/>
              <w:rPr>
                <w:sz w:val="15"/>
                <w:szCs w:val="15"/>
                <w:color w:val="auto"/>
              </w:rPr>
            </w:pPr>
          </w:p>
        </w:tc>
      </w:tr>
      <w:tr>
        <w:trPr>
          <w:trHeight w:val="221"/>
        </w:trPr>
        <w:tc>
          <w:tcPr>
            <w:tcW w:w="5060" w:type="dxa"/>
            <w:vAlign w:val="bottom"/>
          </w:tcPr>
          <w:p>
            <w:pPr>
              <w:spacing w:after="0"/>
              <w:rPr>
                <w:sz w:val="20"/>
                <w:szCs w:val="20"/>
                <w:color w:val="auto"/>
              </w:rPr>
            </w:pPr>
            <w:r>
              <w:rPr>
                <w:rFonts w:ascii="Arial" w:cs="Arial" w:eastAsia="Arial" w:hAnsi="Arial"/>
                <w:sz w:val="16"/>
                <w:szCs w:val="16"/>
                <w:b w:val="1"/>
                <w:bCs w:val="1"/>
                <w:color w:val="auto"/>
              </w:rPr>
              <w:t>SoCalGas:</w:t>
            </w:r>
          </w:p>
        </w:tc>
        <w:tc>
          <w:tcPr>
            <w:tcW w:w="4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3"/>
        </w:trPr>
        <w:tc>
          <w:tcPr>
            <w:tcW w:w="5060" w:type="dxa"/>
            <w:vAlign w:val="bottom"/>
          </w:tcPr>
          <w:p>
            <w:pPr>
              <w:spacing w:after="0"/>
              <w:rPr>
                <w:sz w:val="20"/>
                <w:szCs w:val="20"/>
                <w:color w:val="auto"/>
              </w:rPr>
            </w:pPr>
            <w:r>
              <w:rPr>
                <w:rFonts w:ascii="Arial" w:cs="Arial" w:eastAsia="Arial" w:hAnsi="Arial"/>
                <w:sz w:val="16"/>
                <w:szCs w:val="16"/>
                <w:color w:val="auto"/>
              </w:rPr>
              <w:t>Derivatives not designated as hedging instruments:</w:t>
            </w:r>
          </w:p>
        </w:tc>
        <w:tc>
          <w:tcPr>
            <w:tcW w:w="4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1"/>
        </w:trPr>
        <w:tc>
          <w:tcPr>
            <w:tcW w:w="5060" w:type="dxa"/>
            <w:vAlign w:val="bottom"/>
          </w:tcPr>
          <w:p>
            <w:pPr>
              <w:ind w:left="180"/>
              <w:spacing w:after="0"/>
              <w:rPr>
                <w:sz w:val="20"/>
                <w:szCs w:val="20"/>
                <w:color w:val="auto"/>
              </w:rPr>
            </w:pPr>
            <w:r>
              <w:rPr>
                <w:rFonts w:ascii="Arial" w:cs="Arial" w:eastAsia="Arial" w:hAnsi="Arial"/>
                <w:sz w:val="16"/>
                <w:szCs w:val="16"/>
                <w:color w:val="auto"/>
              </w:rPr>
              <w:t>Commodity contracts subject to rate recovery</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w:t>
            </w:r>
          </w:p>
        </w:tc>
        <w:tc>
          <w:tcPr>
            <w:tcW w:w="3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w:t>
            </w:r>
          </w:p>
        </w:tc>
        <w:tc>
          <w:tcPr>
            <w:tcW w:w="3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r>
      <w:tr>
        <w:trPr>
          <w:trHeight w:val="221"/>
        </w:trPr>
        <w:tc>
          <w:tcPr>
            <w:tcW w:w="5060" w:type="dxa"/>
            <w:vAlign w:val="bottom"/>
          </w:tcPr>
          <w:p>
            <w:pPr>
              <w:ind w:left="180"/>
              <w:spacing w:after="0"/>
              <w:rPr>
                <w:sz w:val="20"/>
                <w:szCs w:val="20"/>
                <w:color w:val="auto"/>
              </w:rPr>
            </w:pPr>
            <w:r>
              <w:rPr>
                <w:rFonts w:ascii="Arial" w:cs="Arial" w:eastAsia="Arial" w:hAnsi="Arial"/>
                <w:sz w:val="16"/>
                <w:szCs w:val="16"/>
                <w:color w:val="auto"/>
              </w:rPr>
              <w:t>Net amounts presented on the balance sheet</w:t>
            </w:r>
          </w:p>
        </w:tc>
        <w:tc>
          <w:tcPr>
            <w:tcW w:w="440" w:type="dxa"/>
            <w:vAlign w:val="bottom"/>
          </w:tcPr>
          <w:p>
            <w:pPr>
              <w:spacing w:after="0"/>
              <w:rPr>
                <w:sz w:val="19"/>
                <w:szCs w:val="19"/>
                <w:color w:val="auto"/>
              </w:rPr>
            </w:pPr>
          </w:p>
        </w:tc>
        <w:tc>
          <w:tcPr>
            <w:tcW w:w="1280" w:type="dxa"/>
            <w:vAlign w:val="bottom"/>
          </w:tcPr>
          <w:p>
            <w:pPr>
              <w:jc w:val="right"/>
              <w:ind w:right="62"/>
              <w:spacing w:after="0"/>
              <w:rPr>
                <w:sz w:val="20"/>
                <w:szCs w:val="20"/>
                <w:color w:val="auto"/>
              </w:rPr>
            </w:pPr>
            <w:r>
              <w:rPr>
                <w:rFonts w:ascii="Arial" w:cs="Arial" w:eastAsia="Arial" w:hAnsi="Arial"/>
                <w:sz w:val="16"/>
                <w:szCs w:val="16"/>
                <w:color w:val="auto"/>
              </w:rPr>
              <w:t>1</w:t>
            </w:r>
          </w:p>
        </w:tc>
        <w:tc>
          <w:tcPr>
            <w:tcW w:w="340" w:type="dxa"/>
            <w:vAlign w:val="bottom"/>
          </w:tcPr>
          <w:p>
            <w:pPr>
              <w:spacing w:after="0"/>
              <w:rPr>
                <w:sz w:val="19"/>
                <w:szCs w:val="19"/>
                <w:color w:val="auto"/>
              </w:rPr>
            </w:pPr>
          </w:p>
        </w:tc>
        <w:tc>
          <w:tcPr>
            <w:tcW w:w="124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(1)</w:t>
            </w:r>
          </w:p>
        </w:tc>
        <w:tc>
          <w:tcPr>
            <w:tcW w:w="3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13"/>
        </w:trPr>
        <w:tc>
          <w:tcPr>
            <w:tcW w:w="5060" w:type="dxa"/>
            <w:vAlign w:val="bottom"/>
          </w:tcPr>
          <w:p>
            <w:pPr>
              <w:ind w:left="180"/>
              <w:spacing w:after="0"/>
              <w:rPr>
                <w:sz w:val="20"/>
                <w:szCs w:val="20"/>
                <w:color w:val="auto"/>
              </w:rPr>
            </w:pPr>
            <w:r>
              <w:rPr>
                <w:rFonts w:ascii="Arial" w:cs="Arial" w:eastAsia="Arial" w:hAnsi="Arial"/>
                <w:sz w:val="16"/>
                <w:szCs w:val="16"/>
                <w:color w:val="auto"/>
              </w:rPr>
              <w:t>Additional cash collateral for commodity contracts</w:t>
            </w:r>
          </w:p>
        </w:tc>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5060" w:type="dxa"/>
            <w:vAlign w:val="bottom"/>
          </w:tcPr>
          <w:p>
            <w:pPr>
              <w:ind w:left="360"/>
              <w:spacing w:after="0"/>
              <w:rPr>
                <w:sz w:val="20"/>
                <w:szCs w:val="20"/>
                <w:color w:val="auto"/>
              </w:rPr>
            </w:pPr>
            <w:r>
              <w:rPr>
                <w:rFonts w:ascii="Arial" w:cs="Arial" w:eastAsia="Arial" w:hAnsi="Arial"/>
                <w:sz w:val="16"/>
                <w:szCs w:val="16"/>
                <w:color w:val="auto"/>
              </w:rPr>
              <w:t>not subject to rate recovery</w:t>
            </w:r>
          </w:p>
        </w:tc>
        <w:tc>
          <w:tcPr>
            <w:tcW w:w="440" w:type="dxa"/>
            <w:vAlign w:val="bottom"/>
          </w:tcPr>
          <w:p>
            <w:pPr>
              <w:spacing w:after="0"/>
              <w:rPr>
                <w:sz w:val="18"/>
                <w:szCs w:val="18"/>
                <w:color w:val="auto"/>
              </w:rPr>
            </w:pPr>
          </w:p>
        </w:tc>
        <w:tc>
          <w:tcPr>
            <w:tcW w:w="1280" w:type="dxa"/>
            <w:vAlign w:val="bottom"/>
          </w:tcPr>
          <w:p>
            <w:pPr>
              <w:jc w:val="right"/>
              <w:ind w:right="62"/>
              <w:spacing w:after="0"/>
              <w:rPr>
                <w:sz w:val="20"/>
                <w:szCs w:val="20"/>
                <w:color w:val="auto"/>
              </w:rPr>
            </w:pPr>
            <w:r>
              <w:rPr>
                <w:rFonts w:ascii="Arial" w:cs="Arial" w:eastAsia="Arial" w:hAnsi="Arial"/>
                <w:sz w:val="16"/>
                <w:szCs w:val="16"/>
                <w:color w:val="auto"/>
              </w:rPr>
              <w:t>2</w:t>
            </w:r>
          </w:p>
        </w:tc>
        <w:tc>
          <w:tcPr>
            <w:tcW w:w="340" w:type="dxa"/>
            <w:vAlign w:val="bottom"/>
          </w:tcPr>
          <w:p>
            <w:pPr>
              <w:spacing w:after="0"/>
              <w:rPr>
                <w:sz w:val="18"/>
                <w:szCs w:val="18"/>
                <w:color w:val="auto"/>
              </w:rPr>
            </w:pPr>
          </w:p>
        </w:tc>
        <w:tc>
          <w:tcPr>
            <w:tcW w:w="124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26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13"/>
        </w:trPr>
        <w:tc>
          <w:tcPr>
            <w:tcW w:w="5060" w:type="dxa"/>
            <w:vAlign w:val="bottom"/>
          </w:tcPr>
          <w:p>
            <w:pPr>
              <w:ind w:left="180"/>
              <w:spacing w:after="0"/>
              <w:rPr>
                <w:sz w:val="20"/>
                <w:szCs w:val="20"/>
                <w:color w:val="auto"/>
              </w:rPr>
            </w:pPr>
            <w:r>
              <w:rPr>
                <w:rFonts w:ascii="Arial" w:cs="Arial" w:eastAsia="Arial" w:hAnsi="Arial"/>
                <w:sz w:val="16"/>
                <w:szCs w:val="16"/>
                <w:color w:val="auto"/>
              </w:rPr>
              <w:t>Additional cash collateral for commodity contracts</w:t>
            </w:r>
          </w:p>
        </w:tc>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4"/>
        </w:trPr>
        <w:tc>
          <w:tcPr>
            <w:tcW w:w="5060" w:type="dxa"/>
            <w:vAlign w:val="bottom"/>
          </w:tcPr>
          <w:p>
            <w:pPr>
              <w:ind w:left="360"/>
              <w:spacing w:after="0"/>
              <w:rPr>
                <w:sz w:val="20"/>
                <w:szCs w:val="20"/>
                <w:color w:val="auto"/>
              </w:rPr>
            </w:pPr>
            <w:r>
              <w:rPr>
                <w:rFonts w:ascii="Arial" w:cs="Arial" w:eastAsia="Arial" w:hAnsi="Arial"/>
                <w:sz w:val="16"/>
                <w:szCs w:val="16"/>
                <w:color w:val="auto"/>
              </w:rPr>
              <w:t>subject to rate recovery</w:t>
            </w:r>
          </w:p>
        </w:tc>
        <w:tc>
          <w:tcPr>
            <w:tcW w:w="440" w:type="dxa"/>
            <w:vAlign w:val="bottom"/>
          </w:tcPr>
          <w:p>
            <w:pPr>
              <w:spacing w:after="0"/>
              <w:rPr>
                <w:sz w:val="17"/>
                <w:szCs w:val="17"/>
                <w:color w:val="auto"/>
              </w:rPr>
            </w:pPr>
          </w:p>
        </w:tc>
        <w:tc>
          <w:tcPr>
            <w:tcW w:w="1280" w:type="dxa"/>
            <w:vAlign w:val="bottom"/>
          </w:tcPr>
          <w:p>
            <w:pPr>
              <w:jc w:val="right"/>
              <w:ind w:right="62"/>
              <w:spacing w:after="0"/>
              <w:rPr>
                <w:sz w:val="20"/>
                <w:szCs w:val="20"/>
                <w:color w:val="auto"/>
              </w:rPr>
            </w:pPr>
            <w:r>
              <w:rPr>
                <w:rFonts w:ascii="Arial" w:cs="Arial" w:eastAsia="Arial" w:hAnsi="Arial"/>
                <w:sz w:val="16"/>
                <w:szCs w:val="16"/>
                <w:color w:val="auto"/>
              </w:rPr>
              <w:t>2</w:t>
            </w:r>
          </w:p>
        </w:tc>
        <w:tc>
          <w:tcPr>
            <w:tcW w:w="340" w:type="dxa"/>
            <w:vAlign w:val="bottom"/>
          </w:tcPr>
          <w:p>
            <w:pPr>
              <w:spacing w:after="0"/>
              <w:rPr>
                <w:sz w:val="17"/>
                <w:szCs w:val="17"/>
                <w:color w:val="auto"/>
              </w:rPr>
            </w:pPr>
          </w:p>
        </w:tc>
        <w:tc>
          <w:tcPr>
            <w:tcW w:w="124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26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173"/>
        </w:trPr>
        <w:tc>
          <w:tcPr>
            <w:tcW w:w="5060" w:type="dxa"/>
            <w:vAlign w:val="bottom"/>
            <w:tcBorders>
              <w:bottom w:val="single" w:sz="8" w:color="auto"/>
            </w:tcBorders>
          </w:tcPr>
          <w:p>
            <w:pPr>
              <w:ind w:left="180"/>
              <w:spacing w:after="0" w:line="166" w:lineRule="exact"/>
              <w:rPr>
                <w:sz w:val="20"/>
                <w:szCs w:val="20"/>
                <w:color w:val="auto"/>
              </w:rPr>
            </w:pPr>
            <w:r>
              <w:rPr>
                <w:rFonts w:ascii="Arial" w:cs="Arial" w:eastAsia="Arial" w:hAnsi="Arial"/>
                <w:sz w:val="16"/>
                <w:szCs w:val="16"/>
                <w:color w:val="auto"/>
              </w:rPr>
              <w:t>Total</w:t>
            </w:r>
          </w:p>
        </w:tc>
        <w:tc>
          <w:tcPr>
            <w:tcW w:w="440" w:type="dxa"/>
            <w:vAlign w:val="bottom"/>
            <w:tcBorders>
              <w:top w:val="single" w:sz="8" w:color="auto"/>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62"/>
              <w:spacing w:after="0" w:line="166" w:lineRule="exact"/>
              <w:rPr>
                <w:sz w:val="20"/>
                <w:szCs w:val="20"/>
                <w:color w:val="auto"/>
              </w:rPr>
            </w:pPr>
            <w:r>
              <w:rPr>
                <w:rFonts w:ascii="Arial" w:cs="Arial" w:eastAsia="Arial" w:hAnsi="Arial"/>
                <w:sz w:val="16"/>
                <w:szCs w:val="16"/>
                <w:color w:val="auto"/>
              </w:rPr>
              <w:t>5</w:t>
            </w:r>
          </w:p>
        </w:tc>
        <w:tc>
          <w:tcPr>
            <w:tcW w:w="340" w:type="dxa"/>
            <w:vAlign w:val="bottom"/>
            <w:tcBorders>
              <w:top w:val="single" w:sz="8" w:color="auto"/>
              <w:bottom w:val="single" w:sz="8" w:color="auto"/>
            </w:tcBorders>
          </w:tcPr>
          <w:p>
            <w:pPr>
              <w:jc w:val="right"/>
              <w:ind w:right="40"/>
              <w:spacing w:after="0" w:line="166" w:lineRule="exact"/>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202"/>
              <w:spacing w:after="0" w:line="166" w:lineRule="exact"/>
              <w:rPr>
                <w:sz w:val="20"/>
                <w:szCs w:val="20"/>
                <w:color w:val="auto"/>
              </w:rPr>
            </w:pPr>
            <w:r>
              <w:rPr>
                <w:rFonts w:ascii="Arial" w:cs="Arial" w:eastAsia="Arial" w:hAnsi="Arial"/>
                <w:sz w:val="16"/>
                <w:szCs w:val="16"/>
                <w:color w:val="auto"/>
              </w:rPr>
              <w:t>―</w:t>
            </w:r>
          </w:p>
        </w:tc>
        <w:tc>
          <w:tcPr>
            <w:tcW w:w="320" w:type="dxa"/>
            <w:vAlign w:val="bottom"/>
            <w:tcBorders>
              <w:top w:val="single" w:sz="8" w:color="auto"/>
              <w:bottom w:val="single" w:sz="8" w:color="auto"/>
            </w:tcBorders>
          </w:tcPr>
          <w:p>
            <w:pPr>
              <w:jc w:val="right"/>
              <w:ind w:right="20"/>
              <w:spacing w:after="0" w:line="166" w:lineRule="exact"/>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2"/>
              <w:spacing w:after="0" w:line="166" w:lineRule="exact"/>
              <w:rPr>
                <w:sz w:val="20"/>
                <w:szCs w:val="20"/>
                <w:color w:val="auto"/>
              </w:rPr>
            </w:pPr>
            <w:r>
              <w:rPr>
                <w:rFonts w:ascii="Arial" w:cs="Arial" w:eastAsia="Arial" w:hAnsi="Arial"/>
                <w:sz w:val="16"/>
                <w:szCs w:val="16"/>
                <w:color w:val="auto"/>
              </w:rPr>
              <w:t>(1)</w:t>
            </w:r>
          </w:p>
        </w:tc>
        <w:tc>
          <w:tcPr>
            <w:tcW w:w="360" w:type="dxa"/>
            <w:vAlign w:val="bottom"/>
            <w:tcBorders>
              <w:top w:val="single" w:sz="8" w:color="auto"/>
              <w:bottom w:val="single" w:sz="8" w:color="auto"/>
            </w:tcBorders>
          </w:tcPr>
          <w:p>
            <w:pPr>
              <w:jc w:val="right"/>
              <w:ind w:right="40"/>
              <w:spacing w:after="0" w:line="166" w:lineRule="exact"/>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ind w:right="63"/>
              <w:spacing w:after="0" w:line="166"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r>
    </w:tbl>
    <w:p>
      <w:pPr>
        <w:spacing w:after="0" w:line="44" w:lineRule="exact"/>
        <w:rPr>
          <w:sz w:val="20"/>
          <w:szCs w:val="20"/>
          <w:color w:val="auto"/>
        </w:rPr>
      </w:pPr>
    </w:p>
    <w:p>
      <w:pPr>
        <w:ind w:left="480" w:hanging="474"/>
        <w:spacing w:after="0"/>
        <w:tabs>
          <w:tab w:leader="none" w:pos="480" w:val="left"/>
        </w:tabs>
        <w:numPr>
          <w:ilvl w:val="0"/>
          <w:numId w:val="37"/>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Current Assets: Other for SoCalGas.</w:t>
      </w:r>
    </w:p>
    <w:p>
      <w:pPr>
        <w:spacing w:after="0" w:line="51" w:lineRule="exact"/>
        <w:rPr>
          <w:rFonts w:ascii="Arial" w:cs="Arial" w:eastAsia="Arial" w:hAnsi="Arial"/>
          <w:sz w:val="14"/>
          <w:szCs w:val="14"/>
          <w:i w:val="1"/>
          <w:iCs w:val="1"/>
          <w:color w:val="auto"/>
        </w:rPr>
      </w:pPr>
    </w:p>
    <w:p>
      <w:pPr>
        <w:ind w:left="480" w:hanging="474"/>
        <w:spacing w:after="0"/>
        <w:tabs>
          <w:tab w:leader="none" w:pos="480" w:val="left"/>
        </w:tabs>
        <w:numPr>
          <w:ilvl w:val="0"/>
          <w:numId w:val="37"/>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Current Liabilities: Other for SoCalGas.</w:t>
      </w:r>
    </w:p>
    <w:p>
      <w:pPr>
        <w:spacing w:after="0" w:line="51" w:lineRule="exact"/>
        <w:rPr>
          <w:rFonts w:ascii="Arial" w:cs="Arial" w:eastAsia="Arial" w:hAnsi="Arial"/>
          <w:sz w:val="14"/>
          <w:szCs w:val="14"/>
          <w:i w:val="1"/>
          <w:iCs w:val="1"/>
          <w:color w:val="auto"/>
        </w:rPr>
      </w:pPr>
    </w:p>
    <w:p>
      <w:pPr>
        <w:ind w:left="480" w:hanging="474"/>
        <w:spacing w:after="0"/>
        <w:tabs>
          <w:tab w:leader="none" w:pos="480" w:val="left"/>
        </w:tabs>
        <w:numPr>
          <w:ilvl w:val="0"/>
          <w:numId w:val="37"/>
        </w:numPr>
        <w:rPr>
          <w:rFonts w:ascii="Arial" w:cs="Arial" w:eastAsia="Arial" w:hAnsi="Arial"/>
          <w:sz w:val="14"/>
          <w:szCs w:val="14"/>
          <w:i w:val="1"/>
          <w:iCs w:val="1"/>
          <w:color w:val="auto"/>
        </w:rPr>
      </w:pPr>
      <w:r>
        <w:rPr>
          <w:rFonts w:ascii="Arial" w:cs="Arial" w:eastAsia="Arial" w:hAnsi="Arial"/>
          <w:sz w:val="14"/>
          <w:szCs w:val="14"/>
          <w:i w:val="1"/>
          <w:iCs w:val="1"/>
          <w:color w:val="auto"/>
        </w:rPr>
        <w:t>Includes Otay Mesa VIE. All of SDG&amp;E’s amounts relate to Otay Mesa VIE.</w:t>
      </w:r>
    </w:p>
    <w:p>
      <w:pPr>
        <w:spacing w:after="0" w:line="51" w:lineRule="exact"/>
        <w:rPr>
          <w:rFonts w:ascii="Arial" w:cs="Arial" w:eastAsia="Arial" w:hAnsi="Arial"/>
          <w:sz w:val="14"/>
          <w:szCs w:val="14"/>
          <w:i w:val="1"/>
          <w:iCs w:val="1"/>
          <w:color w:val="auto"/>
        </w:rPr>
      </w:pPr>
    </w:p>
    <w:p>
      <w:pPr>
        <w:ind w:left="480" w:hanging="474"/>
        <w:spacing w:after="0"/>
        <w:tabs>
          <w:tab w:leader="none" w:pos="480" w:val="left"/>
        </w:tabs>
        <w:numPr>
          <w:ilvl w:val="0"/>
          <w:numId w:val="37"/>
        </w:numPr>
        <w:rPr>
          <w:rFonts w:ascii="Arial" w:cs="Arial" w:eastAsia="Arial" w:hAnsi="Arial"/>
          <w:sz w:val="14"/>
          <w:szCs w:val="14"/>
          <w:i w:val="1"/>
          <w:iCs w:val="1"/>
          <w:color w:val="auto"/>
        </w:rPr>
      </w:pPr>
      <w:r>
        <w:rPr>
          <w:rFonts w:ascii="Arial" w:cs="Arial" w:eastAsia="Arial" w:hAnsi="Arial"/>
          <w:sz w:val="14"/>
          <w:szCs w:val="14"/>
          <w:i w:val="1"/>
          <w:iCs w:val="1"/>
          <w:color w:val="auto"/>
        </w:rPr>
        <w:t>Normal purchase contracts previously measured at fair value are excluded.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color w:val="auto"/>
        </w:rPr>
        <w:t>The effects of derivative instruments designated as hedges on the Condensed Consolidated Statements of Operations and in Other Comprehensive Income (OCI)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and Accumulated Other Comprehensive Income (AOCI) for the three months and nine months ended September 30 were:</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HEDGE IMPACT ON THE CONDENSED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-104775</wp:posOffset>
            </wp:positionV>
            <wp:extent cx="7248525" cy="2533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8525" cy="25336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2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2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4"/>
        </w:trPr>
        <w:tc>
          <w:tcPr>
            <w:tcW w:w="26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gridSpan w:val="4"/>
          </w:tcPr>
          <w:p>
            <w:pPr>
              <w:jc w:val="right"/>
              <w:ind w:right="144"/>
              <w:spacing w:after="0"/>
              <w:rPr>
                <w:sz w:val="20"/>
                <w:szCs w:val="20"/>
                <w:color w:val="auto"/>
              </w:rPr>
            </w:pPr>
            <w:r>
              <w:rPr>
                <w:rFonts w:ascii="Arial" w:cs="Arial" w:eastAsia="Arial" w:hAnsi="Arial"/>
                <w:sz w:val="14"/>
                <w:szCs w:val="14"/>
                <w:color w:val="auto"/>
              </w:rPr>
              <w:t>Gain (loss) on derivatives recognized in earnings</w:t>
            </w: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r>
        <w:trPr>
          <w:trHeight w:val="193"/>
        </w:trPr>
        <w:tc>
          <w:tcPr>
            <w:tcW w:w="26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920" w:type="dxa"/>
            <w:vAlign w:val="bottom"/>
            <w:tcBorders>
              <w:bottom w:val="single" w:sz="8" w:color="auto"/>
            </w:tcBorders>
            <w:gridSpan w:val="3"/>
          </w:tcPr>
          <w:p>
            <w:pPr>
              <w:jc w:val="right"/>
              <w:ind w:right="105"/>
              <w:spacing w:after="0"/>
              <w:rPr>
                <w:sz w:val="20"/>
                <w:szCs w:val="20"/>
                <w:color w:val="auto"/>
              </w:rPr>
            </w:pPr>
            <w:r>
              <w:rPr>
                <w:rFonts w:ascii="Arial" w:cs="Arial" w:eastAsia="Arial" w:hAnsi="Arial"/>
                <w:sz w:val="14"/>
                <w:szCs w:val="14"/>
                <w:color w:val="auto"/>
              </w:rPr>
              <w:t>Three months ended September 30,</w:t>
            </w:r>
          </w:p>
        </w:tc>
        <w:tc>
          <w:tcPr>
            <w:tcW w:w="4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3"/>
          </w:tcPr>
          <w:p>
            <w:pPr>
              <w:jc w:val="right"/>
              <w:ind w:right="442"/>
              <w:spacing w:after="0"/>
              <w:rPr>
                <w:sz w:val="20"/>
                <w:szCs w:val="20"/>
                <w:color w:val="auto"/>
              </w:rPr>
            </w:pPr>
            <w:r>
              <w:rPr>
                <w:rFonts w:ascii="Arial" w:cs="Arial" w:eastAsia="Arial" w:hAnsi="Arial"/>
                <w:sz w:val="14"/>
                <w:szCs w:val="14"/>
                <w:color w:val="auto"/>
              </w:rPr>
              <w:t>Nine months ended September 30,</w:t>
            </w:r>
          </w:p>
        </w:tc>
      </w:tr>
      <w:tr>
        <w:trPr>
          <w:trHeight w:val="206"/>
        </w:trPr>
        <w:tc>
          <w:tcPr>
            <w:tcW w:w="262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tcPr>
          <w:p>
            <w:pPr>
              <w:ind w:left="1080"/>
              <w:spacing w:after="0"/>
              <w:rPr>
                <w:sz w:val="20"/>
                <w:szCs w:val="20"/>
                <w:color w:val="auto"/>
              </w:rPr>
            </w:pPr>
            <w:r>
              <w:rPr>
                <w:rFonts w:ascii="Arial" w:cs="Arial" w:eastAsia="Arial" w:hAnsi="Arial"/>
                <w:sz w:val="14"/>
                <w:szCs w:val="14"/>
                <w:color w:val="auto"/>
              </w:rPr>
              <w:t>Location</w:t>
            </w:r>
          </w:p>
        </w:tc>
        <w:tc>
          <w:tcPr>
            <w:tcW w:w="1120" w:type="dxa"/>
            <w:vAlign w:val="bottom"/>
            <w:tcBorders>
              <w:bottom w:val="single" w:sz="8" w:color="auto"/>
            </w:tcBorders>
          </w:tcPr>
          <w:p>
            <w:pPr>
              <w:jc w:val="right"/>
              <w:ind w:right="85"/>
              <w:spacing w:after="0"/>
              <w:rPr>
                <w:sz w:val="20"/>
                <w:szCs w:val="20"/>
                <w:color w:val="auto"/>
              </w:rPr>
            </w:pPr>
            <w:r>
              <w:rPr>
                <w:rFonts w:ascii="Arial" w:cs="Arial" w:eastAsia="Arial" w:hAnsi="Arial"/>
                <w:sz w:val="14"/>
                <w:szCs w:val="14"/>
                <w:color w:val="auto"/>
              </w:rPr>
              <w:t>2014</w:t>
            </w:r>
          </w:p>
        </w:tc>
        <w:tc>
          <w:tcPr>
            <w:tcW w:w="5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85"/>
              <w:spacing w:after="0"/>
              <w:rPr>
                <w:sz w:val="20"/>
                <w:szCs w:val="20"/>
                <w:color w:val="auto"/>
              </w:rPr>
            </w:pPr>
            <w:r>
              <w:rPr>
                <w:rFonts w:ascii="Arial" w:cs="Arial" w:eastAsia="Arial" w:hAnsi="Arial"/>
                <w:sz w:val="14"/>
                <w:szCs w:val="14"/>
                <w:color w:val="auto"/>
              </w:rPr>
              <w:t>2013</w:t>
            </w:r>
          </w:p>
        </w:tc>
        <w:tc>
          <w:tcPr>
            <w:tcW w:w="4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744"/>
              <w:spacing w:after="0"/>
              <w:rPr>
                <w:sz w:val="20"/>
                <w:szCs w:val="20"/>
                <w:color w:val="auto"/>
              </w:rPr>
            </w:pPr>
            <w:r>
              <w:rPr>
                <w:rFonts w:ascii="Arial" w:cs="Arial" w:eastAsia="Arial" w:hAnsi="Arial"/>
                <w:sz w:val="14"/>
                <w:szCs w:val="14"/>
                <w:color w:val="auto"/>
              </w:rPr>
              <w:t>2014</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color w:val="auto"/>
              </w:rPr>
              <w:t>2013</w:t>
            </w:r>
          </w:p>
        </w:tc>
      </w:tr>
      <w:tr>
        <w:trPr>
          <w:trHeight w:val="194"/>
        </w:trPr>
        <w:tc>
          <w:tcPr>
            <w:tcW w:w="2620" w:type="dxa"/>
            <w:vAlign w:val="bottom"/>
          </w:tcPr>
          <w:p>
            <w:pPr>
              <w:spacing w:after="0"/>
              <w:rPr>
                <w:sz w:val="20"/>
                <w:szCs w:val="20"/>
                <w:color w:val="auto"/>
              </w:rPr>
            </w:pPr>
            <w:r>
              <w:rPr>
                <w:rFonts w:ascii="Arial" w:cs="Arial" w:eastAsia="Arial" w:hAnsi="Arial"/>
                <w:sz w:val="16"/>
                <w:szCs w:val="16"/>
                <w:b w:val="1"/>
                <w:bCs w:val="1"/>
                <w:color w:val="auto"/>
              </w:rPr>
              <w:t>Sempra Energy Consolidated:</w:t>
            </w:r>
          </w:p>
        </w:tc>
        <w:tc>
          <w:tcPr>
            <w:tcW w:w="2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2"/>
        </w:trPr>
        <w:tc>
          <w:tcPr>
            <w:tcW w:w="2620" w:type="dxa"/>
            <w:vAlign w:val="bottom"/>
          </w:tcPr>
          <w:p>
            <w:pPr>
              <w:ind w:left="180"/>
              <w:spacing w:after="0"/>
              <w:rPr>
                <w:sz w:val="20"/>
                <w:szCs w:val="20"/>
                <w:color w:val="auto"/>
              </w:rPr>
            </w:pPr>
            <w:r>
              <w:rPr>
                <w:rFonts w:ascii="Arial" w:cs="Arial" w:eastAsia="Arial" w:hAnsi="Arial"/>
                <w:sz w:val="16"/>
                <w:szCs w:val="16"/>
                <w:color w:val="auto"/>
              </w:rPr>
              <w:t>Interest rate instruments</w:t>
            </w:r>
          </w:p>
        </w:tc>
        <w:tc>
          <w:tcPr>
            <w:tcW w:w="2360" w:type="dxa"/>
            <w:vAlign w:val="bottom"/>
          </w:tcPr>
          <w:p>
            <w:pPr>
              <w:ind w:left="340"/>
              <w:spacing w:after="0"/>
              <w:rPr>
                <w:sz w:val="20"/>
                <w:szCs w:val="20"/>
                <w:color w:val="auto"/>
              </w:rPr>
            </w:pPr>
            <w:r>
              <w:rPr>
                <w:rFonts w:ascii="Arial" w:cs="Arial" w:eastAsia="Arial" w:hAnsi="Arial"/>
                <w:sz w:val="16"/>
                <w:szCs w:val="16"/>
                <w:color w:val="auto"/>
              </w:rPr>
              <w:t>Interest Expense</w:t>
            </w:r>
          </w:p>
        </w:tc>
        <w:tc>
          <w:tcPr>
            <w:tcW w:w="1120" w:type="dxa"/>
            <w:vAlign w:val="bottom"/>
          </w:tcPr>
          <w:p>
            <w:pPr>
              <w:jc w:val="right"/>
              <w:ind w:right="665"/>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w:t>
            </w:r>
          </w:p>
        </w:tc>
        <w:tc>
          <w:tcPr>
            <w:tcW w:w="1280" w:type="dxa"/>
            <w:vAlign w:val="bottom"/>
          </w:tcPr>
          <w:p>
            <w:pPr>
              <w:jc w:val="right"/>
              <w:ind w:right="865"/>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80"/>
              <w:spacing w:after="0"/>
              <w:rPr>
                <w:sz w:val="20"/>
                <w:szCs w:val="20"/>
                <w:color w:val="auto"/>
              </w:rPr>
            </w:pPr>
            <w:r>
              <w:rPr>
                <w:rFonts w:ascii="Arial" w:cs="Arial" w:eastAsia="Arial" w:hAnsi="Arial"/>
                <w:sz w:val="16"/>
                <w:szCs w:val="16"/>
                <w:color w:val="auto"/>
              </w:rPr>
              <w:t>2</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84"/>
              <w:spacing w:after="0"/>
              <w:rPr>
                <w:sz w:val="20"/>
                <w:szCs w:val="20"/>
                <w:color w:val="auto"/>
              </w:rPr>
            </w:pPr>
            <w:r>
              <w:rPr>
                <w:rFonts w:ascii="Arial" w:cs="Arial" w:eastAsia="Arial" w:hAnsi="Arial"/>
                <w:sz w:val="16"/>
                <w:szCs w:val="16"/>
                <w:color w:val="auto"/>
              </w:rPr>
              <w:t>6</w:t>
            </w:r>
          </w:p>
        </w:tc>
        <w:tc>
          <w:tcPr>
            <w:tcW w:w="3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04"/>
        </w:trPr>
        <w:tc>
          <w:tcPr>
            <w:tcW w:w="2620" w:type="dxa"/>
            <w:vAlign w:val="bottom"/>
          </w:tcPr>
          <w:p>
            <w:pPr>
              <w:ind w:left="180"/>
              <w:spacing w:after="0"/>
              <w:rPr>
                <w:sz w:val="20"/>
                <w:szCs w:val="20"/>
                <w:color w:val="auto"/>
              </w:rPr>
            </w:pPr>
            <w:r>
              <w:rPr>
                <w:rFonts w:ascii="Arial" w:cs="Arial" w:eastAsia="Arial" w:hAnsi="Arial"/>
                <w:sz w:val="16"/>
                <w:szCs w:val="16"/>
                <w:color w:val="auto"/>
              </w:rPr>
              <w:t>Interest rate instruments</w:t>
            </w:r>
          </w:p>
        </w:tc>
        <w:tc>
          <w:tcPr>
            <w:tcW w:w="2360" w:type="dxa"/>
            <w:vAlign w:val="bottom"/>
          </w:tcPr>
          <w:p>
            <w:pPr>
              <w:ind w:left="340"/>
              <w:spacing w:after="0"/>
              <w:rPr>
                <w:sz w:val="20"/>
                <w:szCs w:val="20"/>
                <w:color w:val="auto"/>
              </w:rPr>
            </w:pPr>
            <w:r>
              <w:rPr>
                <w:rFonts w:ascii="Arial" w:cs="Arial" w:eastAsia="Arial" w:hAnsi="Arial"/>
                <w:sz w:val="16"/>
                <w:szCs w:val="16"/>
                <w:color w:val="auto"/>
              </w:rPr>
              <w:t>Other Income, Net</w:t>
            </w:r>
          </w:p>
        </w:tc>
        <w:tc>
          <w:tcPr>
            <w:tcW w:w="1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w:t>
            </w: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224"/>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14"/>
        </w:trPr>
        <w:tc>
          <w:tcPr>
            <w:tcW w:w="2620" w:type="dxa"/>
            <w:vAlign w:val="bottom"/>
          </w:tcPr>
          <w:p>
            <w:pPr>
              <w:ind w:left="180"/>
              <w:spacing w:after="0"/>
              <w:rPr>
                <w:sz w:val="20"/>
                <w:szCs w:val="20"/>
                <w:color w:val="auto"/>
              </w:rPr>
            </w:pPr>
            <w:r>
              <w:rPr>
                <w:rFonts w:ascii="Arial" w:cs="Arial" w:eastAsia="Arial" w:hAnsi="Arial"/>
                <w:sz w:val="16"/>
                <w:szCs w:val="16"/>
                <w:color w:val="auto"/>
              </w:rPr>
              <w:t>Total(1)</w:t>
            </w:r>
          </w:p>
        </w:tc>
        <w:tc>
          <w:tcPr>
            <w:tcW w:w="2360" w:type="dxa"/>
            <w:vAlign w:val="bottom"/>
          </w:tcPr>
          <w:p>
            <w:pPr>
              <w:spacing w:after="0"/>
              <w:rPr>
                <w:sz w:val="18"/>
                <w:szCs w:val="18"/>
                <w:color w:val="auto"/>
              </w:rPr>
            </w:pPr>
          </w:p>
        </w:tc>
        <w:tc>
          <w:tcPr>
            <w:tcW w:w="1120" w:type="dxa"/>
            <w:vAlign w:val="bottom"/>
          </w:tcPr>
          <w:p>
            <w:pPr>
              <w:jc w:val="right"/>
              <w:ind w:right="665"/>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865"/>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80"/>
              <w:spacing w:after="0"/>
              <w:rPr>
                <w:sz w:val="20"/>
                <w:szCs w:val="20"/>
                <w:color w:val="auto"/>
              </w:rPr>
            </w:pPr>
            <w:r>
              <w:rPr>
                <w:rFonts w:ascii="Arial" w:cs="Arial" w:eastAsia="Arial" w:hAnsi="Arial"/>
                <w:sz w:val="16"/>
                <w:szCs w:val="16"/>
                <w:color w:val="auto"/>
              </w:rPr>
              <w:t>3</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84"/>
              <w:spacing w:after="0"/>
              <w:rPr>
                <w:sz w:val="20"/>
                <w:szCs w:val="20"/>
                <w:color w:val="auto"/>
              </w:rPr>
            </w:pPr>
            <w:r>
              <w:rPr>
                <w:rFonts w:ascii="Arial" w:cs="Arial" w:eastAsia="Arial" w:hAnsi="Arial"/>
                <w:sz w:val="16"/>
                <w:szCs w:val="16"/>
                <w:color w:val="auto"/>
              </w:rPr>
              <w:t>6</w:t>
            </w:r>
          </w:p>
        </w:tc>
        <w:tc>
          <w:tcPr>
            <w:tcW w:w="3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724852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8525" cy="17145"/>
                    </a:xfrm>
                    <a:prstGeom prst="rect">
                      <a:avLst/>
                    </a:prstGeom>
                    <a:noFill/>
                  </pic:spPr>
                </pic:pic>
              </a:graphicData>
            </a:graphic>
          </wp:anchor>
        </w:drawing>
      </w:r>
    </w:p>
    <w:p>
      <w:pPr>
        <w:ind w:left="540" w:right="140" w:hanging="534"/>
        <w:spacing w:after="0" w:line="255" w:lineRule="auto"/>
        <w:tabs>
          <w:tab w:leader="none" w:pos="540" w:val="left"/>
        </w:tabs>
        <w:numPr>
          <w:ilvl w:val="0"/>
          <w:numId w:val="38"/>
        </w:numPr>
        <w:rPr>
          <w:rFonts w:ascii="Arial" w:cs="Arial" w:eastAsia="Arial" w:hAnsi="Arial"/>
          <w:sz w:val="14"/>
          <w:szCs w:val="14"/>
          <w:i w:val="1"/>
          <w:iCs w:val="1"/>
          <w:color w:val="auto"/>
        </w:rPr>
      </w:pPr>
      <w:r>
        <w:rPr>
          <w:rFonts w:ascii="Arial" w:cs="Arial" w:eastAsia="Arial" w:hAnsi="Arial"/>
          <w:sz w:val="14"/>
          <w:szCs w:val="14"/>
          <w:i w:val="1"/>
          <w:iCs w:val="1"/>
          <w:color w:val="auto"/>
        </w:rPr>
        <w:t>There were negligible gains from hedge ineffectiveness on these swaps for the three-month period, and $9 million of gains from hedge ineffectiveness for the nine-month period ended September 30, 2014, respectively. All other changes in the fair value of the interest rate swap agreements are exactly offset by changes in the fair value of the underlying long-term debt and recorded in Other Income, Net. There was no hedge ineffectiveness in 2013.</w:t>
      </w:r>
    </w:p>
    <w:p>
      <w:pPr>
        <w:spacing w:after="0" w:line="200" w:lineRule="exact"/>
        <w:rPr>
          <w:sz w:val="20"/>
          <w:szCs w:val="20"/>
          <w:color w:val="auto"/>
        </w:rPr>
      </w:pPr>
    </w:p>
    <w:p>
      <w:pPr>
        <w:spacing w:after="0" w:line="235" w:lineRule="exact"/>
        <w:rPr>
          <w:sz w:val="20"/>
          <w:szCs w:val="20"/>
          <w:color w:val="auto"/>
        </w:rPr>
      </w:pPr>
    </w:p>
    <w:p>
      <w:pPr>
        <w:ind w:right="3720"/>
        <w:spacing w:after="0" w:line="254" w:lineRule="auto"/>
        <w:rPr>
          <w:sz w:val="20"/>
          <w:szCs w:val="20"/>
          <w:color w:val="auto"/>
        </w:rPr>
      </w:pPr>
      <w:r>
        <w:rPr>
          <w:rFonts w:ascii="Arial" w:cs="Arial" w:eastAsia="Arial" w:hAnsi="Arial"/>
          <w:sz w:val="16"/>
          <w:szCs w:val="16"/>
          <w:b w:val="1"/>
          <w:bCs w:val="1"/>
          <w:color w:val="auto"/>
        </w:rPr>
        <w:t xml:space="preserve">CASH FLOW HEDGE IMPACT ON THE CONDENSED CONSOLIDATED STATEMENTS OF OPERATIONS </w:t>
      </w: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-234950</wp:posOffset>
            </wp:positionV>
            <wp:extent cx="7248525" cy="2197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8525" cy="219710"/>
                    </a:xfrm>
                    <a:prstGeom prst="rect">
                      <a:avLst/>
                    </a:prstGeom>
                    <a:noFill/>
                  </pic:spPr>
                </pic:pic>
              </a:graphicData>
            </a:graphic>
          </wp:anchor>
        </w:drawing>
      </w:r>
    </w:p>
    <w:p>
      <w:pPr>
        <w:spacing w:after="0" w:line="12" w:lineRule="exact"/>
        <w:rPr>
          <w:sz w:val="20"/>
          <w:szCs w:val="20"/>
          <w:color w:val="auto"/>
        </w:rPr>
      </w:pPr>
    </w:p>
    <w:tbl>
      <w:tblPr>
        <w:tblLayout w:type="fixed"/>
        <w:tblInd w:w="2920" w:type="dxa"/>
        <w:tblCellMar>
          <w:top w:w="0" w:type="dxa"/>
          <w:left w:w="0" w:type="dxa"/>
          <w:bottom w:w="0" w:type="dxa"/>
          <w:right w:w="0" w:type="dxa"/>
        </w:tblCellMar>
      </w:tblPr>
      <w:tr>
        <w:trPr>
          <w:trHeight w:val="170"/>
        </w:trPr>
        <w:tc>
          <w:tcPr>
            <w:tcW w:w="3040" w:type="dxa"/>
            <w:vAlign w:val="bottom"/>
          </w:tcPr>
          <w:p>
            <w:pPr>
              <w:jc w:val="center"/>
              <w:spacing w:after="0"/>
              <w:rPr>
                <w:sz w:val="20"/>
                <w:szCs w:val="20"/>
                <w:color w:val="auto"/>
              </w:rPr>
            </w:pPr>
            <w:r>
              <w:rPr>
                <w:rFonts w:ascii="Arial" w:cs="Arial" w:eastAsia="Arial" w:hAnsi="Arial"/>
                <w:sz w:val="14"/>
                <w:szCs w:val="14"/>
                <w:color w:val="auto"/>
              </w:rPr>
              <w:t>Pretax gain (loss) recognized</w:t>
            </w:r>
          </w:p>
        </w:tc>
        <w:tc>
          <w:tcPr>
            <w:tcW w:w="2400" w:type="dxa"/>
            <w:vAlign w:val="bottom"/>
          </w:tcPr>
          <w:p>
            <w:pPr>
              <w:spacing w:after="0"/>
              <w:rPr>
                <w:sz w:val="14"/>
                <w:szCs w:val="14"/>
                <w:color w:val="auto"/>
              </w:rPr>
            </w:pPr>
          </w:p>
        </w:tc>
        <w:tc>
          <w:tcPr>
            <w:tcW w:w="3060" w:type="dxa"/>
            <w:vAlign w:val="bottom"/>
          </w:tcPr>
          <w:p>
            <w:pPr>
              <w:jc w:val="center"/>
              <w:spacing w:after="0"/>
              <w:rPr>
                <w:sz w:val="20"/>
                <w:szCs w:val="20"/>
                <w:color w:val="auto"/>
              </w:rPr>
            </w:pPr>
            <w:r>
              <w:rPr>
                <w:rFonts w:ascii="Arial" w:cs="Arial" w:eastAsia="Arial" w:hAnsi="Arial"/>
                <w:sz w:val="14"/>
                <w:szCs w:val="14"/>
                <w:color w:val="auto"/>
              </w:rPr>
              <w:t>Gain (loss) reclassified from AOCI</w:t>
            </w:r>
          </w:p>
        </w:tc>
      </w:tr>
      <w:tr>
        <w:trPr>
          <w:trHeight w:val="184"/>
        </w:trPr>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in OCI (effective portion)</w:t>
            </w:r>
          </w:p>
        </w:tc>
        <w:tc>
          <w:tcPr>
            <w:tcW w:w="2400" w:type="dxa"/>
            <w:vAlign w:val="bottom"/>
          </w:tcPr>
          <w:p>
            <w:pPr>
              <w:spacing w:after="0"/>
              <w:rPr>
                <w:sz w:val="15"/>
                <w:szCs w:val="15"/>
                <w:color w:val="auto"/>
              </w:rPr>
            </w:pPr>
          </w:p>
        </w:tc>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into earnings (effective portion)</w:t>
            </w:r>
          </w:p>
        </w:tc>
      </w:tr>
    </w:tbl>
    <w:p>
      <w:pPr>
        <w:sectPr>
          <w:pgSz w:w="11900" w:h="16845" w:orient="portrait"/>
          <w:cols w:equalWidth="0" w:num="1">
            <w:col w:w="11420"/>
          </w:cols>
          <w:pgMar w:left="240" w:top="733" w:right="239" w:bottom="0" w:gutter="0" w:footer="0" w:header="0"/>
        </w:sectPr>
      </w:pPr>
    </w:p>
    <w:bookmarkStart w:id="34" w:name="page35"/>
    <w:bookmarkEnd w:id="34"/>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20" w:type="dxa"/>
            <w:vAlign w:val="bottom"/>
          </w:tcPr>
          <w:p>
            <w:pPr>
              <w:spacing w:after="0"/>
              <w:rPr>
                <w:sz w:val="14"/>
                <w:szCs w:val="14"/>
                <w:color w:val="auto"/>
              </w:rPr>
            </w:pPr>
          </w:p>
        </w:tc>
        <w:tc>
          <w:tcPr>
            <w:tcW w:w="2720" w:type="dxa"/>
            <w:vAlign w:val="bottom"/>
            <w:gridSpan w:val="3"/>
          </w:tcPr>
          <w:p>
            <w:pPr>
              <w:jc w:val="right"/>
              <w:spacing w:after="0"/>
              <w:rPr>
                <w:sz w:val="20"/>
                <w:szCs w:val="20"/>
                <w:color w:val="auto"/>
              </w:rPr>
            </w:pPr>
            <w:r>
              <w:rPr>
                <w:rFonts w:ascii="Arial" w:cs="Arial" w:eastAsia="Arial" w:hAnsi="Arial"/>
                <w:sz w:val="14"/>
                <w:szCs w:val="14"/>
                <w:color w:val="auto"/>
              </w:rPr>
              <w:t>Three months ended September 30,</w:t>
            </w:r>
          </w:p>
        </w:tc>
        <w:tc>
          <w:tcPr>
            <w:tcW w:w="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80" w:type="dxa"/>
            <w:vAlign w:val="bottom"/>
            <w:gridSpan w:val="3"/>
          </w:tcPr>
          <w:p>
            <w:pPr>
              <w:jc w:val="right"/>
              <w:ind w:right="309"/>
              <w:spacing w:after="0"/>
              <w:rPr>
                <w:sz w:val="20"/>
                <w:szCs w:val="20"/>
                <w:color w:val="auto"/>
              </w:rPr>
            </w:pPr>
            <w:r>
              <w:rPr>
                <w:rFonts w:ascii="Arial" w:cs="Arial" w:eastAsia="Arial" w:hAnsi="Arial"/>
                <w:sz w:val="14"/>
                <w:szCs w:val="14"/>
                <w:color w:val="auto"/>
              </w:rPr>
              <w:t>Three months ended September 30,</w:t>
            </w:r>
          </w:p>
        </w:tc>
      </w:tr>
      <w:tr>
        <w:trPr>
          <w:trHeight w:val="24"/>
        </w:trPr>
        <w:tc>
          <w:tcPr>
            <w:tcW w:w="29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6"/>
        </w:trPr>
        <w:tc>
          <w:tcPr>
            <w:tcW w:w="29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2014</w:t>
            </w:r>
          </w:p>
        </w:tc>
        <w:tc>
          <w:tcPr>
            <w:tcW w:w="5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2013</w:t>
            </w:r>
          </w:p>
        </w:tc>
        <w:tc>
          <w:tcPr>
            <w:tcW w:w="32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tcPr>
          <w:p>
            <w:pPr>
              <w:ind w:left="1000"/>
              <w:spacing w:after="0"/>
              <w:rPr>
                <w:sz w:val="20"/>
                <w:szCs w:val="20"/>
                <w:color w:val="auto"/>
              </w:rPr>
            </w:pPr>
            <w:r>
              <w:rPr>
                <w:rFonts w:ascii="Arial" w:cs="Arial" w:eastAsia="Arial" w:hAnsi="Arial"/>
                <w:sz w:val="14"/>
                <w:szCs w:val="14"/>
                <w:color w:val="auto"/>
              </w:rPr>
              <w:t>Location</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69"/>
              <w:spacing w:after="0"/>
              <w:rPr>
                <w:sz w:val="20"/>
                <w:szCs w:val="20"/>
                <w:color w:val="auto"/>
              </w:rPr>
            </w:pPr>
            <w:r>
              <w:rPr>
                <w:rFonts w:ascii="Arial" w:cs="Arial" w:eastAsia="Arial" w:hAnsi="Arial"/>
                <w:sz w:val="14"/>
                <w:szCs w:val="14"/>
                <w:color w:val="auto"/>
              </w:rPr>
              <w:t>2014</w:t>
            </w: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color w:val="auto"/>
              </w:rPr>
              <w:t>2013</w:t>
            </w:r>
          </w:p>
        </w:tc>
      </w:tr>
      <w:tr>
        <w:trPr>
          <w:trHeight w:val="221"/>
        </w:trPr>
        <w:tc>
          <w:tcPr>
            <w:tcW w:w="2920" w:type="dxa"/>
            <w:vAlign w:val="bottom"/>
          </w:tcPr>
          <w:p>
            <w:pPr>
              <w:spacing w:after="0"/>
              <w:rPr>
                <w:sz w:val="20"/>
                <w:szCs w:val="20"/>
                <w:color w:val="auto"/>
              </w:rPr>
            </w:pPr>
            <w:r>
              <w:rPr>
                <w:rFonts w:ascii="Arial" w:cs="Arial" w:eastAsia="Arial" w:hAnsi="Arial"/>
                <w:sz w:val="14"/>
                <w:szCs w:val="14"/>
                <w:b w:val="1"/>
                <w:bCs w:val="1"/>
                <w:color w:val="auto"/>
              </w:rPr>
              <w:t>Sempra Energy Consolidated:</w:t>
            </w:r>
          </w:p>
        </w:tc>
        <w:tc>
          <w:tcPr>
            <w:tcW w:w="1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13"/>
        </w:trPr>
        <w:tc>
          <w:tcPr>
            <w:tcW w:w="2920" w:type="dxa"/>
            <w:vAlign w:val="bottom"/>
          </w:tcPr>
          <w:p>
            <w:pPr>
              <w:ind w:left="160"/>
              <w:spacing w:after="0"/>
              <w:rPr>
                <w:sz w:val="20"/>
                <w:szCs w:val="20"/>
                <w:color w:val="auto"/>
              </w:rPr>
            </w:pPr>
            <w:r>
              <w:rPr>
                <w:rFonts w:ascii="Arial" w:cs="Arial" w:eastAsia="Arial" w:hAnsi="Arial"/>
                <w:sz w:val="14"/>
                <w:szCs w:val="14"/>
                <w:color w:val="auto"/>
              </w:rPr>
              <w:t>Interest rate and foreign</w:t>
            </w: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3"/>
        </w:trPr>
        <w:tc>
          <w:tcPr>
            <w:tcW w:w="2920" w:type="dxa"/>
            <w:vAlign w:val="bottom"/>
          </w:tcPr>
          <w:p>
            <w:pPr>
              <w:ind w:left="360"/>
              <w:spacing w:after="0"/>
              <w:rPr>
                <w:sz w:val="20"/>
                <w:szCs w:val="20"/>
                <w:color w:val="auto"/>
              </w:rPr>
            </w:pPr>
            <w:r>
              <w:rPr>
                <w:rFonts w:ascii="Arial" w:cs="Arial" w:eastAsia="Arial" w:hAnsi="Arial"/>
                <w:sz w:val="14"/>
                <w:szCs w:val="14"/>
                <w:color w:val="auto"/>
              </w:rPr>
              <w:t>exchange instruments(1)</w:t>
            </w:r>
          </w:p>
        </w:tc>
        <w:tc>
          <w:tcPr>
            <w:tcW w:w="1100" w:type="dxa"/>
            <w:vAlign w:val="bottom"/>
          </w:tcPr>
          <w:p>
            <w:pPr>
              <w:jc w:val="right"/>
              <w:ind w:right="649"/>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89"/>
              <w:spacing w:after="0"/>
              <w:rPr>
                <w:sz w:val="20"/>
                <w:szCs w:val="20"/>
                <w:color w:val="auto"/>
              </w:rPr>
            </w:pPr>
            <w:r>
              <w:rPr>
                <w:rFonts w:ascii="Arial" w:cs="Arial" w:eastAsia="Arial" w:hAnsi="Arial"/>
                <w:sz w:val="14"/>
                <w:szCs w:val="14"/>
                <w:color w:val="auto"/>
              </w:rPr>
              <w:t>(5)</w:t>
            </w:r>
          </w:p>
        </w:tc>
        <w:tc>
          <w:tcPr>
            <w:tcW w:w="1040" w:type="dxa"/>
            <w:vAlign w:val="bottom"/>
          </w:tcPr>
          <w:p>
            <w:pPr>
              <w:jc w:val="right"/>
              <w:ind w:right="749"/>
              <w:spacing w:after="0"/>
              <w:rPr>
                <w:sz w:val="20"/>
                <w:szCs w:val="20"/>
                <w:color w:val="auto"/>
              </w:rPr>
            </w:pP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(8)</w:t>
            </w:r>
          </w:p>
        </w:tc>
        <w:tc>
          <w:tcPr>
            <w:tcW w:w="2400" w:type="dxa"/>
            <w:vAlign w:val="bottom"/>
          </w:tcPr>
          <w:p>
            <w:pPr>
              <w:ind w:left="120"/>
              <w:spacing w:after="0"/>
              <w:rPr>
                <w:sz w:val="20"/>
                <w:szCs w:val="20"/>
                <w:color w:val="auto"/>
              </w:rPr>
            </w:pPr>
            <w:r>
              <w:rPr>
                <w:rFonts w:ascii="Arial" w:cs="Arial" w:eastAsia="Arial" w:hAnsi="Arial"/>
                <w:sz w:val="14"/>
                <w:szCs w:val="14"/>
                <w:color w:val="auto"/>
              </w:rPr>
              <w:t>Interest Expense</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69"/>
              <w:spacing w:after="0"/>
              <w:rPr>
                <w:sz w:val="20"/>
                <w:szCs w:val="20"/>
                <w:color w:val="auto"/>
              </w:rPr>
            </w:pPr>
            <w:r>
              <w:rPr>
                <w:rFonts w:ascii="Arial" w:cs="Arial" w:eastAsia="Arial" w:hAnsi="Arial"/>
                <w:sz w:val="14"/>
                <w:szCs w:val="14"/>
                <w:color w:val="auto"/>
              </w:rPr>
              <w:t>(8)</w:t>
            </w:r>
          </w:p>
        </w:tc>
        <w:tc>
          <w:tcPr>
            <w:tcW w:w="3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13"/>
        </w:trPr>
        <w:tc>
          <w:tcPr>
            <w:tcW w:w="29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0" w:type="dxa"/>
            <w:vAlign w:val="bottom"/>
          </w:tcPr>
          <w:p>
            <w:pPr>
              <w:ind w:left="120"/>
              <w:spacing w:after="0"/>
              <w:rPr>
                <w:sz w:val="20"/>
                <w:szCs w:val="20"/>
                <w:color w:val="auto"/>
              </w:rPr>
            </w:pPr>
            <w:r>
              <w:rPr>
                <w:rFonts w:ascii="Arial" w:cs="Arial" w:eastAsia="Arial" w:hAnsi="Arial"/>
                <w:sz w:val="14"/>
                <w:szCs w:val="14"/>
                <w:color w:val="auto"/>
              </w:rPr>
              <w:t>Gain on Sale of Equity</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3"/>
        </w:trPr>
        <w:tc>
          <w:tcPr>
            <w:tcW w:w="2920" w:type="dxa"/>
            <w:vAlign w:val="bottom"/>
          </w:tcPr>
          <w:p>
            <w:pPr>
              <w:ind w:left="160"/>
              <w:spacing w:after="0"/>
              <w:rPr>
                <w:sz w:val="20"/>
                <w:szCs w:val="20"/>
                <w:color w:val="auto"/>
              </w:rPr>
            </w:pPr>
            <w:r>
              <w:rPr>
                <w:rFonts w:ascii="Arial" w:cs="Arial" w:eastAsia="Arial" w:hAnsi="Arial"/>
                <w:sz w:val="14"/>
                <w:szCs w:val="14"/>
                <w:color w:val="auto"/>
              </w:rPr>
              <w:t>Interest rate instruments</w:t>
            </w:r>
          </w:p>
        </w:tc>
        <w:tc>
          <w:tcPr>
            <w:tcW w:w="1100" w:type="dxa"/>
            <w:vAlign w:val="bottom"/>
          </w:tcPr>
          <w:p>
            <w:pPr>
              <w:spacing w:after="0"/>
              <w:rPr>
                <w:sz w:val="18"/>
                <w:szCs w:val="18"/>
                <w:color w:val="auto"/>
              </w:rPr>
            </w:pPr>
          </w:p>
        </w:tc>
        <w:tc>
          <w:tcPr>
            <w:tcW w:w="580" w:type="dxa"/>
            <w:vAlign w:val="bottom"/>
          </w:tcPr>
          <w:p>
            <w:pPr>
              <w:jc w:val="right"/>
              <w:ind w:right="89"/>
              <w:spacing w:after="0"/>
              <w:rPr>
                <w:sz w:val="20"/>
                <w:szCs w:val="20"/>
                <w:color w:val="auto"/>
              </w:rPr>
            </w:pPr>
            <w:r>
              <w:rPr>
                <w:rFonts w:ascii="Arial" w:cs="Arial" w:eastAsia="Arial" w:hAnsi="Arial"/>
                <w:sz w:val="14"/>
                <w:szCs w:val="14"/>
                <w:color w:val="auto"/>
              </w:rPr>
              <w:t>5</w:t>
            </w:r>
          </w:p>
        </w:tc>
        <w:tc>
          <w:tcPr>
            <w:tcW w:w="1040" w:type="dxa"/>
            <w:vAlign w:val="bottom"/>
          </w:tcPr>
          <w:p>
            <w:pPr>
              <w:spacing w:after="0"/>
              <w:rPr>
                <w:sz w:val="18"/>
                <w:szCs w:val="18"/>
                <w:color w:val="auto"/>
              </w:rPr>
            </w:pPr>
          </w:p>
        </w:tc>
        <w:tc>
          <w:tcPr>
            <w:tcW w:w="3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400" w:type="dxa"/>
            <w:vAlign w:val="bottom"/>
          </w:tcPr>
          <w:p>
            <w:pPr>
              <w:ind w:left="280"/>
              <w:spacing w:after="0"/>
              <w:rPr>
                <w:sz w:val="20"/>
                <w:szCs w:val="20"/>
                <w:color w:val="auto"/>
              </w:rPr>
            </w:pPr>
            <w:r>
              <w:rPr>
                <w:rFonts w:ascii="Arial" w:cs="Arial" w:eastAsia="Arial" w:hAnsi="Arial"/>
                <w:sz w:val="14"/>
                <w:szCs w:val="14"/>
                <w:color w:val="auto"/>
              </w:rPr>
              <w:t>Interests and Assets</w:t>
            </w:r>
          </w:p>
        </w:tc>
        <w:tc>
          <w:tcPr>
            <w:tcW w:w="380" w:type="dxa"/>
            <w:vAlign w:val="bottom"/>
          </w:tcPr>
          <w:p>
            <w:pPr>
              <w:spacing w:after="0"/>
              <w:rPr>
                <w:sz w:val="18"/>
                <w:szCs w:val="18"/>
                <w:color w:val="auto"/>
              </w:rPr>
            </w:pPr>
          </w:p>
        </w:tc>
        <w:tc>
          <w:tcPr>
            <w:tcW w:w="1280" w:type="dxa"/>
            <w:vAlign w:val="bottom"/>
          </w:tcPr>
          <w:p>
            <w:pPr>
              <w:jc w:val="right"/>
              <w:ind w:right="69"/>
              <w:spacing w:after="0"/>
              <w:rPr>
                <w:sz w:val="20"/>
                <w:szCs w:val="20"/>
                <w:color w:val="auto"/>
              </w:rPr>
            </w:pPr>
            <w:r>
              <w:rPr>
                <w:rFonts w:ascii="Arial" w:cs="Arial" w:eastAsia="Arial" w:hAnsi="Arial"/>
                <w:sz w:val="14"/>
                <w:szCs w:val="14"/>
                <w:color w:val="auto"/>
              </w:rPr>
              <w:t>5</w:t>
            </w:r>
          </w:p>
        </w:tc>
        <w:tc>
          <w:tcPr>
            <w:tcW w:w="360" w:type="dxa"/>
            <w:vAlign w:val="bottom"/>
          </w:tcPr>
          <w:p>
            <w:pPr>
              <w:spacing w:after="0"/>
              <w:rPr>
                <w:sz w:val="18"/>
                <w:szCs w:val="18"/>
                <w:color w:val="auto"/>
              </w:rPr>
            </w:pP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w:t>
            </w:r>
          </w:p>
        </w:tc>
      </w:tr>
      <w:tr>
        <w:trPr>
          <w:trHeight w:val="213"/>
        </w:trPr>
        <w:tc>
          <w:tcPr>
            <w:tcW w:w="29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0" w:type="dxa"/>
            <w:vAlign w:val="bottom"/>
          </w:tcPr>
          <w:p>
            <w:pPr>
              <w:ind w:left="120"/>
              <w:spacing w:after="0"/>
              <w:rPr>
                <w:sz w:val="20"/>
                <w:szCs w:val="20"/>
                <w:color w:val="auto"/>
              </w:rPr>
            </w:pPr>
            <w:r>
              <w:rPr>
                <w:rFonts w:ascii="Arial" w:cs="Arial" w:eastAsia="Arial" w:hAnsi="Arial"/>
                <w:sz w:val="14"/>
                <w:szCs w:val="14"/>
                <w:color w:val="auto"/>
              </w:rPr>
              <w:t>Equity Earnings,</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3"/>
        </w:trPr>
        <w:tc>
          <w:tcPr>
            <w:tcW w:w="2920" w:type="dxa"/>
            <w:vAlign w:val="bottom"/>
          </w:tcPr>
          <w:p>
            <w:pPr>
              <w:ind w:left="160"/>
              <w:spacing w:after="0"/>
              <w:rPr>
                <w:sz w:val="20"/>
                <w:szCs w:val="20"/>
                <w:color w:val="auto"/>
              </w:rPr>
            </w:pPr>
            <w:r>
              <w:rPr>
                <w:rFonts w:ascii="Arial" w:cs="Arial" w:eastAsia="Arial" w:hAnsi="Arial"/>
                <w:sz w:val="14"/>
                <w:szCs w:val="14"/>
                <w:color w:val="auto"/>
              </w:rPr>
              <w:t>Interest rate instruments</w:t>
            </w:r>
          </w:p>
        </w:tc>
        <w:tc>
          <w:tcPr>
            <w:tcW w:w="1100" w:type="dxa"/>
            <w:vAlign w:val="bottom"/>
          </w:tcPr>
          <w:p>
            <w:pPr>
              <w:spacing w:after="0"/>
              <w:rPr>
                <w:sz w:val="18"/>
                <w:szCs w:val="18"/>
                <w:color w:val="auto"/>
              </w:rPr>
            </w:pPr>
          </w:p>
        </w:tc>
        <w:tc>
          <w:tcPr>
            <w:tcW w:w="580" w:type="dxa"/>
            <w:vAlign w:val="bottom"/>
          </w:tcPr>
          <w:p>
            <w:pPr>
              <w:jc w:val="right"/>
              <w:ind w:right="89"/>
              <w:spacing w:after="0"/>
              <w:rPr>
                <w:sz w:val="20"/>
                <w:szCs w:val="20"/>
                <w:color w:val="auto"/>
              </w:rPr>
            </w:pPr>
            <w:r>
              <w:rPr>
                <w:rFonts w:ascii="Arial" w:cs="Arial" w:eastAsia="Arial" w:hAnsi="Arial"/>
                <w:sz w:val="14"/>
                <w:szCs w:val="14"/>
                <w:color w:val="auto"/>
              </w:rPr>
              <w:t>(4)</w:t>
            </w:r>
          </w:p>
        </w:tc>
        <w:tc>
          <w:tcPr>
            <w:tcW w:w="10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(3)</w:t>
            </w:r>
          </w:p>
        </w:tc>
        <w:tc>
          <w:tcPr>
            <w:tcW w:w="2400" w:type="dxa"/>
            <w:vAlign w:val="bottom"/>
          </w:tcPr>
          <w:p>
            <w:pPr>
              <w:ind w:left="280"/>
              <w:spacing w:after="0"/>
              <w:rPr>
                <w:sz w:val="20"/>
                <w:szCs w:val="20"/>
                <w:color w:val="auto"/>
              </w:rPr>
            </w:pPr>
            <w:r>
              <w:rPr>
                <w:rFonts w:ascii="Arial" w:cs="Arial" w:eastAsia="Arial" w:hAnsi="Arial"/>
                <w:sz w:val="14"/>
                <w:szCs w:val="14"/>
                <w:color w:val="auto"/>
              </w:rPr>
              <w:t>Before Income Tax</w:t>
            </w:r>
          </w:p>
        </w:tc>
        <w:tc>
          <w:tcPr>
            <w:tcW w:w="380" w:type="dxa"/>
            <w:vAlign w:val="bottom"/>
          </w:tcPr>
          <w:p>
            <w:pPr>
              <w:spacing w:after="0"/>
              <w:rPr>
                <w:sz w:val="18"/>
                <w:szCs w:val="18"/>
                <w:color w:val="auto"/>
              </w:rPr>
            </w:pPr>
          </w:p>
        </w:tc>
        <w:tc>
          <w:tcPr>
            <w:tcW w:w="1280" w:type="dxa"/>
            <w:vAlign w:val="bottom"/>
          </w:tcPr>
          <w:p>
            <w:pPr>
              <w:jc w:val="right"/>
              <w:ind w:right="69"/>
              <w:spacing w:after="0"/>
              <w:rPr>
                <w:sz w:val="20"/>
                <w:szCs w:val="20"/>
                <w:color w:val="auto"/>
              </w:rPr>
            </w:pPr>
            <w:r>
              <w:rPr>
                <w:rFonts w:ascii="Arial" w:cs="Arial" w:eastAsia="Arial" w:hAnsi="Arial"/>
                <w:sz w:val="14"/>
                <w:szCs w:val="14"/>
                <w:color w:val="auto"/>
              </w:rPr>
              <w:t>(2)</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13"/>
        </w:trPr>
        <w:tc>
          <w:tcPr>
            <w:tcW w:w="2920" w:type="dxa"/>
            <w:vAlign w:val="bottom"/>
          </w:tcPr>
          <w:p>
            <w:pPr>
              <w:ind w:left="160"/>
              <w:spacing w:after="0"/>
              <w:rPr>
                <w:sz w:val="20"/>
                <w:szCs w:val="20"/>
                <w:color w:val="auto"/>
              </w:rPr>
            </w:pPr>
            <w:r>
              <w:rPr>
                <w:rFonts w:ascii="Arial" w:cs="Arial" w:eastAsia="Arial" w:hAnsi="Arial"/>
                <w:sz w:val="14"/>
                <w:szCs w:val="14"/>
                <w:color w:val="auto"/>
              </w:rPr>
              <w:t>Commodity contracts not subject</w:t>
            </w: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0" w:type="dxa"/>
            <w:vAlign w:val="bottom"/>
          </w:tcPr>
          <w:p>
            <w:pPr>
              <w:ind w:left="120"/>
              <w:spacing w:after="0"/>
              <w:rPr>
                <w:sz w:val="20"/>
                <w:szCs w:val="20"/>
                <w:color w:val="auto"/>
              </w:rPr>
            </w:pPr>
            <w:r>
              <w:rPr>
                <w:rFonts w:ascii="Arial" w:cs="Arial" w:eastAsia="Arial" w:hAnsi="Arial"/>
                <w:sz w:val="14"/>
                <w:szCs w:val="14"/>
                <w:color w:val="auto"/>
              </w:rPr>
              <w:t>Revenues: Energy-Related</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97"/>
        </w:trPr>
        <w:tc>
          <w:tcPr>
            <w:tcW w:w="2920" w:type="dxa"/>
            <w:vAlign w:val="bottom"/>
          </w:tcPr>
          <w:p>
            <w:pPr>
              <w:ind w:left="320"/>
              <w:spacing w:after="0"/>
              <w:rPr>
                <w:sz w:val="20"/>
                <w:szCs w:val="20"/>
                <w:color w:val="auto"/>
              </w:rPr>
            </w:pPr>
            <w:r>
              <w:rPr>
                <w:rFonts w:ascii="Arial" w:cs="Arial" w:eastAsia="Arial" w:hAnsi="Arial"/>
                <w:sz w:val="14"/>
                <w:szCs w:val="14"/>
                <w:color w:val="auto"/>
              </w:rPr>
              <w:t>to rate recovery</w:t>
            </w:r>
          </w:p>
        </w:tc>
        <w:tc>
          <w:tcPr>
            <w:tcW w:w="1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w:t>
            </w:r>
          </w:p>
        </w:tc>
        <w:tc>
          <w:tcPr>
            <w:tcW w:w="10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2400" w:type="dxa"/>
            <w:vAlign w:val="bottom"/>
          </w:tcPr>
          <w:p>
            <w:pPr>
              <w:ind w:left="280"/>
              <w:spacing w:after="0"/>
              <w:rPr>
                <w:sz w:val="20"/>
                <w:szCs w:val="20"/>
                <w:color w:val="auto"/>
              </w:rPr>
            </w:pPr>
            <w:r>
              <w:rPr>
                <w:rFonts w:ascii="Arial" w:cs="Arial" w:eastAsia="Arial" w:hAnsi="Arial"/>
                <w:sz w:val="14"/>
                <w:szCs w:val="14"/>
                <w:color w:val="auto"/>
              </w:rPr>
              <w:t>Businesses</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w:t>
            </w: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r>
      <w:tr>
        <w:trPr>
          <w:trHeight w:val="212"/>
        </w:trPr>
        <w:tc>
          <w:tcPr>
            <w:tcW w:w="292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Total(2)</w:t>
            </w:r>
          </w:p>
        </w:tc>
        <w:tc>
          <w:tcPr>
            <w:tcW w:w="1100" w:type="dxa"/>
            <w:vAlign w:val="bottom"/>
            <w:tcBorders>
              <w:bottom w:val="single" w:sz="8" w:color="auto"/>
            </w:tcBorders>
          </w:tcPr>
          <w:p>
            <w:pPr>
              <w:jc w:val="right"/>
              <w:ind w:right="649"/>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(3)</w:t>
            </w:r>
          </w:p>
        </w:tc>
        <w:tc>
          <w:tcPr>
            <w:tcW w:w="1040" w:type="dxa"/>
            <w:vAlign w:val="bottom"/>
            <w:tcBorders>
              <w:bottom w:val="single" w:sz="8" w:color="auto"/>
            </w:tcBorders>
          </w:tcPr>
          <w:p>
            <w:pPr>
              <w:jc w:val="right"/>
              <w:ind w:right="749"/>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24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(3)</w:t>
            </w:r>
          </w:p>
        </w:tc>
        <w:tc>
          <w:tcPr>
            <w:tcW w:w="3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r>
      <w:tr>
        <w:trPr>
          <w:trHeight w:val="228"/>
        </w:trPr>
        <w:tc>
          <w:tcPr>
            <w:tcW w:w="2920" w:type="dxa"/>
            <w:vAlign w:val="bottom"/>
          </w:tcPr>
          <w:p>
            <w:pPr>
              <w:spacing w:after="0"/>
              <w:rPr>
                <w:sz w:val="20"/>
                <w:szCs w:val="20"/>
                <w:color w:val="auto"/>
              </w:rPr>
            </w:pPr>
            <w:r>
              <w:rPr>
                <w:rFonts w:ascii="Arial" w:cs="Arial" w:eastAsia="Arial" w:hAnsi="Arial"/>
                <w:sz w:val="14"/>
                <w:szCs w:val="14"/>
                <w:b w:val="1"/>
                <w:bCs w:val="1"/>
                <w:color w:val="auto"/>
              </w:rPr>
              <w:t>SDG&amp;E:</w:t>
            </w:r>
          </w:p>
        </w:tc>
        <w:tc>
          <w:tcPr>
            <w:tcW w:w="1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04"/>
        </w:trPr>
        <w:tc>
          <w:tcPr>
            <w:tcW w:w="2920" w:type="dxa"/>
            <w:vAlign w:val="bottom"/>
            <w:tcBorders>
              <w:bottom w:val="single" w:sz="8" w:color="C0C0C0"/>
            </w:tcBorders>
          </w:tcPr>
          <w:p>
            <w:pPr>
              <w:ind w:left="160"/>
              <w:spacing w:after="0"/>
              <w:rPr>
                <w:sz w:val="20"/>
                <w:szCs w:val="20"/>
                <w:color w:val="auto"/>
              </w:rPr>
            </w:pPr>
            <w:r>
              <w:rPr>
                <w:rFonts w:ascii="Arial" w:cs="Arial" w:eastAsia="Arial" w:hAnsi="Arial"/>
                <w:sz w:val="14"/>
                <w:szCs w:val="14"/>
                <w:color w:val="auto"/>
              </w:rPr>
              <w:t>Interest rate instruments(1)(2)</w:t>
            </w:r>
          </w:p>
        </w:tc>
        <w:tc>
          <w:tcPr>
            <w:tcW w:w="1100" w:type="dxa"/>
            <w:vAlign w:val="bottom"/>
            <w:tcBorders>
              <w:bottom w:val="single" w:sz="8" w:color="C0C0C0"/>
            </w:tcBorders>
          </w:tcPr>
          <w:p>
            <w:pPr>
              <w:jc w:val="right"/>
              <w:ind w:right="649"/>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0C0C0"/>
            </w:tcBorders>
          </w:tcPr>
          <w:p>
            <w:pPr>
              <w:jc w:val="right"/>
              <w:ind w:right="89"/>
              <w:spacing w:after="0"/>
              <w:rPr>
                <w:sz w:val="20"/>
                <w:szCs w:val="20"/>
                <w:color w:val="auto"/>
              </w:rPr>
            </w:pPr>
            <w:r>
              <w:rPr>
                <w:rFonts w:ascii="Arial" w:cs="Arial" w:eastAsia="Arial" w:hAnsi="Arial"/>
                <w:sz w:val="14"/>
                <w:szCs w:val="14"/>
                <w:color w:val="auto"/>
              </w:rPr>
              <w:t>1</w:t>
            </w:r>
          </w:p>
        </w:tc>
        <w:tc>
          <w:tcPr>
            <w:tcW w:w="1040" w:type="dxa"/>
            <w:vAlign w:val="bottom"/>
            <w:tcBorders>
              <w:bottom w:val="single" w:sz="8" w:color="C0C0C0"/>
            </w:tcBorders>
          </w:tcPr>
          <w:p>
            <w:pPr>
              <w:jc w:val="right"/>
              <w:ind w:right="749"/>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0C0C0"/>
            </w:tcBorders>
          </w:tcPr>
          <w:p>
            <w:pPr>
              <w:jc w:val="right"/>
              <w:spacing w:after="0"/>
              <w:rPr>
                <w:sz w:val="20"/>
                <w:szCs w:val="20"/>
                <w:color w:val="auto"/>
              </w:rPr>
            </w:pPr>
            <w:r>
              <w:rPr>
                <w:rFonts w:ascii="Arial" w:cs="Arial" w:eastAsia="Arial" w:hAnsi="Arial"/>
                <w:sz w:val="14"/>
                <w:szCs w:val="14"/>
                <w:color w:val="auto"/>
              </w:rPr>
              <w:t>(3)</w:t>
            </w:r>
          </w:p>
        </w:tc>
        <w:tc>
          <w:tcPr>
            <w:tcW w:w="2400" w:type="dxa"/>
            <w:vAlign w:val="bottom"/>
            <w:tcBorders>
              <w:bottom w:val="single" w:sz="8" w:color="C0C0C0"/>
            </w:tcBorders>
          </w:tcPr>
          <w:p>
            <w:pPr>
              <w:ind w:left="120"/>
              <w:spacing w:after="0"/>
              <w:rPr>
                <w:sz w:val="20"/>
                <w:szCs w:val="20"/>
                <w:color w:val="auto"/>
              </w:rPr>
            </w:pPr>
            <w:r>
              <w:rPr>
                <w:rFonts w:ascii="Arial" w:cs="Arial" w:eastAsia="Arial" w:hAnsi="Arial"/>
                <w:sz w:val="14"/>
                <w:szCs w:val="14"/>
                <w:color w:val="auto"/>
              </w:rPr>
              <w:t>Interest Expense</w:t>
            </w:r>
          </w:p>
        </w:tc>
        <w:tc>
          <w:tcPr>
            <w:tcW w:w="380" w:type="dxa"/>
            <w:vAlign w:val="bottom"/>
            <w:tcBorders>
              <w:bottom w:val="single" w:sz="8" w:color="C0C0C0"/>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0C0C0"/>
            </w:tcBorders>
          </w:tcPr>
          <w:p>
            <w:pPr>
              <w:jc w:val="right"/>
              <w:ind w:right="69"/>
              <w:spacing w:after="0"/>
              <w:rPr>
                <w:sz w:val="20"/>
                <w:szCs w:val="20"/>
                <w:color w:val="auto"/>
              </w:rPr>
            </w:pPr>
            <w:r>
              <w:rPr>
                <w:rFonts w:ascii="Arial" w:cs="Arial" w:eastAsia="Arial" w:hAnsi="Arial"/>
                <w:sz w:val="14"/>
                <w:szCs w:val="14"/>
                <w:color w:val="auto"/>
              </w:rPr>
              <w:t>(3)</w:t>
            </w:r>
          </w:p>
        </w:tc>
        <w:tc>
          <w:tcPr>
            <w:tcW w:w="360" w:type="dxa"/>
            <w:vAlign w:val="bottom"/>
            <w:tcBorders>
              <w:bottom w:val="single" w:sz="8" w:color="C0C0C0"/>
            </w:tcBorders>
          </w:tcPr>
          <w:p>
            <w:pPr>
              <w:jc w:val="right"/>
              <w:ind w:right="4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0C0C0"/>
            </w:tcBorders>
          </w:tcPr>
          <w:p>
            <w:pPr>
              <w:jc w:val="right"/>
              <w:spacing w:after="0"/>
              <w:rPr>
                <w:sz w:val="20"/>
                <w:szCs w:val="20"/>
                <w:color w:val="auto"/>
              </w:rPr>
            </w:pPr>
            <w:r>
              <w:rPr>
                <w:rFonts w:ascii="Arial" w:cs="Arial" w:eastAsia="Arial" w:hAnsi="Arial"/>
                <w:sz w:val="14"/>
                <w:szCs w:val="14"/>
                <w:color w:val="auto"/>
              </w:rPr>
              <w:t>(2)</w:t>
            </w:r>
          </w:p>
        </w:tc>
      </w:tr>
      <w:tr>
        <w:trPr>
          <w:trHeight w:val="412"/>
        </w:trPr>
        <w:tc>
          <w:tcPr>
            <w:tcW w:w="2920" w:type="dxa"/>
            <w:vAlign w:val="bottom"/>
          </w:tcPr>
          <w:p>
            <w:pPr>
              <w:spacing w:after="0"/>
              <w:rPr>
                <w:sz w:val="24"/>
                <w:szCs w:val="24"/>
                <w:color w:val="auto"/>
              </w:rPr>
            </w:pPr>
          </w:p>
        </w:tc>
        <w:tc>
          <w:tcPr>
            <w:tcW w:w="2720" w:type="dxa"/>
            <w:vAlign w:val="bottom"/>
            <w:tcBorders>
              <w:bottom w:val="single" w:sz="8" w:color="auto"/>
            </w:tcBorders>
            <w:gridSpan w:val="3"/>
          </w:tcPr>
          <w:p>
            <w:pPr>
              <w:jc w:val="right"/>
              <w:ind w:right="29"/>
              <w:spacing w:after="0"/>
              <w:rPr>
                <w:sz w:val="20"/>
                <w:szCs w:val="20"/>
                <w:color w:val="auto"/>
              </w:rPr>
            </w:pPr>
            <w:r>
              <w:rPr>
                <w:rFonts w:ascii="Arial" w:cs="Arial" w:eastAsia="Arial" w:hAnsi="Arial"/>
                <w:sz w:val="14"/>
                <w:szCs w:val="14"/>
                <w:color w:val="auto"/>
              </w:rPr>
              <w:t>Nine months ended September 30,</w:t>
            </w:r>
          </w:p>
        </w:tc>
        <w:tc>
          <w:tcPr>
            <w:tcW w:w="320" w:type="dxa"/>
            <w:vAlign w:val="bottom"/>
            <w:tcBorders>
              <w:bottom w:val="single" w:sz="8" w:color="auto"/>
            </w:tcBorders>
          </w:tcPr>
          <w:p>
            <w:pPr>
              <w:spacing w:after="0"/>
              <w:rPr>
                <w:sz w:val="24"/>
                <w:szCs w:val="24"/>
                <w:color w:val="auto"/>
              </w:rPr>
            </w:pPr>
          </w:p>
        </w:tc>
        <w:tc>
          <w:tcPr>
            <w:tcW w:w="24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3"/>
          </w:tcPr>
          <w:p>
            <w:pPr>
              <w:jc w:val="right"/>
              <w:ind w:right="349"/>
              <w:spacing w:after="0"/>
              <w:rPr>
                <w:sz w:val="20"/>
                <w:szCs w:val="20"/>
                <w:color w:val="auto"/>
              </w:rPr>
            </w:pPr>
            <w:r>
              <w:rPr>
                <w:rFonts w:ascii="Arial" w:cs="Arial" w:eastAsia="Arial" w:hAnsi="Arial"/>
                <w:sz w:val="14"/>
                <w:szCs w:val="14"/>
                <w:color w:val="auto"/>
              </w:rPr>
              <w:t>Nine months ended September 30,</w:t>
            </w:r>
          </w:p>
        </w:tc>
      </w:tr>
      <w:tr>
        <w:trPr>
          <w:trHeight w:val="206"/>
        </w:trPr>
        <w:tc>
          <w:tcPr>
            <w:tcW w:w="29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2014</w:t>
            </w:r>
          </w:p>
        </w:tc>
        <w:tc>
          <w:tcPr>
            <w:tcW w:w="5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2013</w:t>
            </w:r>
          </w:p>
        </w:tc>
        <w:tc>
          <w:tcPr>
            <w:tcW w:w="32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tcPr>
          <w:p>
            <w:pPr>
              <w:ind w:left="1000"/>
              <w:spacing w:after="0"/>
              <w:rPr>
                <w:sz w:val="20"/>
                <w:szCs w:val="20"/>
                <w:color w:val="auto"/>
              </w:rPr>
            </w:pPr>
            <w:r>
              <w:rPr>
                <w:rFonts w:ascii="Arial" w:cs="Arial" w:eastAsia="Arial" w:hAnsi="Arial"/>
                <w:sz w:val="14"/>
                <w:szCs w:val="14"/>
                <w:color w:val="auto"/>
              </w:rPr>
              <w:t>Location</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69"/>
              <w:spacing w:after="0"/>
              <w:rPr>
                <w:sz w:val="20"/>
                <w:szCs w:val="20"/>
                <w:color w:val="auto"/>
              </w:rPr>
            </w:pPr>
            <w:r>
              <w:rPr>
                <w:rFonts w:ascii="Arial" w:cs="Arial" w:eastAsia="Arial" w:hAnsi="Arial"/>
                <w:sz w:val="14"/>
                <w:szCs w:val="14"/>
                <w:color w:val="auto"/>
              </w:rPr>
              <w:t>2014</w:t>
            </w: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color w:val="auto"/>
              </w:rPr>
              <w:t>2013</w:t>
            </w:r>
          </w:p>
        </w:tc>
      </w:tr>
      <w:tr>
        <w:trPr>
          <w:trHeight w:val="221"/>
        </w:trPr>
        <w:tc>
          <w:tcPr>
            <w:tcW w:w="2920" w:type="dxa"/>
            <w:vAlign w:val="bottom"/>
          </w:tcPr>
          <w:p>
            <w:pPr>
              <w:spacing w:after="0"/>
              <w:rPr>
                <w:sz w:val="20"/>
                <w:szCs w:val="20"/>
                <w:color w:val="auto"/>
              </w:rPr>
            </w:pPr>
            <w:r>
              <w:rPr>
                <w:rFonts w:ascii="Arial" w:cs="Arial" w:eastAsia="Arial" w:hAnsi="Arial"/>
                <w:sz w:val="14"/>
                <w:szCs w:val="14"/>
                <w:b w:val="1"/>
                <w:bCs w:val="1"/>
                <w:color w:val="auto"/>
              </w:rPr>
              <w:t>Sempra Energy Consolidated:</w:t>
            </w:r>
          </w:p>
        </w:tc>
        <w:tc>
          <w:tcPr>
            <w:tcW w:w="1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13"/>
        </w:trPr>
        <w:tc>
          <w:tcPr>
            <w:tcW w:w="2920" w:type="dxa"/>
            <w:vAlign w:val="bottom"/>
          </w:tcPr>
          <w:p>
            <w:pPr>
              <w:ind w:left="160"/>
              <w:spacing w:after="0"/>
              <w:rPr>
                <w:sz w:val="20"/>
                <w:szCs w:val="20"/>
                <w:color w:val="auto"/>
              </w:rPr>
            </w:pPr>
            <w:r>
              <w:rPr>
                <w:rFonts w:ascii="Arial" w:cs="Arial" w:eastAsia="Arial" w:hAnsi="Arial"/>
                <w:sz w:val="14"/>
                <w:szCs w:val="14"/>
                <w:color w:val="auto"/>
              </w:rPr>
              <w:t>Interest rate and foreign</w:t>
            </w: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3"/>
        </w:trPr>
        <w:tc>
          <w:tcPr>
            <w:tcW w:w="2920" w:type="dxa"/>
            <w:vAlign w:val="bottom"/>
          </w:tcPr>
          <w:p>
            <w:pPr>
              <w:ind w:left="360"/>
              <w:spacing w:after="0"/>
              <w:rPr>
                <w:sz w:val="20"/>
                <w:szCs w:val="20"/>
                <w:color w:val="auto"/>
              </w:rPr>
            </w:pPr>
            <w:r>
              <w:rPr>
                <w:rFonts w:ascii="Arial" w:cs="Arial" w:eastAsia="Arial" w:hAnsi="Arial"/>
                <w:sz w:val="14"/>
                <w:szCs w:val="14"/>
                <w:color w:val="auto"/>
              </w:rPr>
              <w:t>exchange instruments(1)</w:t>
            </w:r>
          </w:p>
        </w:tc>
        <w:tc>
          <w:tcPr>
            <w:tcW w:w="1100" w:type="dxa"/>
            <w:vAlign w:val="bottom"/>
          </w:tcPr>
          <w:p>
            <w:pPr>
              <w:jc w:val="right"/>
              <w:ind w:right="649"/>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89"/>
              <w:spacing w:after="0"/>
              <w:rPr>
                <w:sz w:val="20"/>
                <w:szCs w:val="20"/>
                <w:color w:val="auto"/>
              </w:rPr>
            </w:pPr>
            <w:r>
              <w:rPr>
                <w:rFonts w:ascii="Arial" w:cs="Arial" w:eastAsia="Arial" w:hAnsi="Arial"/>
                <w:sz w:val="14"/>
                <w:szCs w:val="14"/>
                <w:color w:val="auto"/>
              </w:rPr>
              <w:t>(15)</w:t>
            </w:r>
          </w:p>
        </w:tc>
        <w:tc>
          <w:tcPr>
            <w:tcW w:w="1040" w:type="dxa"/>
            <w:vAlign w:val="bottom"/>
          </w:tcPr>
          <w:p>
            <w:pPr>
              <w:jc w:val="right"/>
              <w:ind w:right="749"/>
              <w:spacing w:after="0"/>
              <w:rPr>
                <w:sz w:val="20"/>
                <w:szCs w:val="20"/>
                <w:color w:val="auto"/>
              </w:rPr>
            </w:pP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(3)</w:t>
            </w:r>
          </w:p>
        </w:tc>
        <w:tc>
          <w:tcPr>
            <w:tcW w:w="2400" w:type="dxa"/>
            <w:vAlign w:val="bottom"/>
          </w:tcPr>
          <w:p>
            <w:pPr>
              <w:ind w:left="120"/>
              <w:spacing w:after="0"/>
              <w:rPr>
                <w:sz w:val="20"/>
                <w:szCs w:val="20"/>
                <w:color w:val="auto"/>
              </w:rPr>
            </w:pPr>
            <w:r>
              <w:rPr>
                <w:rFonts w:ascii="Arial" w:cs="Arial" w:eastAsia="Arial" w:hAnsi="Arial"/>
                <w:sz w:val="14"/>
                <w:szCs w:val="14"/>
                <w:color w:val="auto"/>
              </w:rPr>
              <w:t>Interest Expense</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69"/>
              <w:spacing w:after="0"/>
              <w:rPr>
                <w:sz w:val="20"/>
                <w:szCs w:val="20"/>
                <w:color w:val="auto"/>
              </w:rPr>
            </w:pPr>
            <w:r>
              <w:rPr>
                <w:rFonts w:ascii="Arial" w:cs="Arial" w:eastAsia="Arial" w:hAnsi="Arial"/>
                <w:sz w:val="14"/>
                <w:szCs w:val="14"/>
                <w:color w:val="auto"/>
              </w:rPr>
              <w:t>(17)</w:t>
            </w:r>
          </w:p>
        </w:tc>
        <w:tc>
          <w:tcPr>
            <w:tcW w:w="3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13"/>
        </w:trPr>
        <w:tc>
          <w:tcPr>
            <w:tcW w:w="29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0" w:type="dxa"/>
            <w:vAlign w:val="bottom"/>
          </w:tcPr>
          <w:p>
            <w:pPr>
              <w:ind w:left="120"/>
              <w:spacing w:after="0"/>
              <w:rPr>
                <w:sz w:val="20"/>
                <w:szCs w:val="20"/>
                <w:color w:val="auto"/>
              </w:rPr>
            </w:pPr>
            <w:r>
              <w:rPr>
                <w:rFonts w:ascii="Arial" w:cs="Arial" w:eastAsia="Arial" w:hAnsi="Arial"/>
                <w:sz w:val="14"/>
                <w:szCs w:val="14"/>
                <w:color w:val="auto"/>
              </w:rPr>
              <w:t>Gain on Sale of Equity</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3"/>
        </w:trPr>
        <w:tc>
          <w:tcPr>
            <w:tcW w:w="2920" w:type="dxa"/>
            <w:vAlign w:val="bottom"/>
          </w:tcPr>
          <w:p>
            <w:pPr>
              <w:ind w:left="160"/>
              <w:spacing w:after="0"/>
              <w:rPr>
                <w:sz w:val="20"/>
                <w:szCs w:val="20"/>
                <w:color w:val="auto"/>
              </w:rPr>
            </w:pPr>
            <w:r>
              <w:rPr>
                <w:rFonts w:ascii="Arial" w:cs="Arial" w:eastAsia="Arial" w:hAnsi="Arial"/>
                <w:sz w:val="14"/>
                <w:szCs w:val="14"/>
                <w:color w:val="auto"/>
              </w:rPr>
              <w:t>Interest rate instruments</w:t>
            </w:r>
          </w:p>
        </w:tc>
        <w:tc>
          <w:tcPr>
            <w:tcW w:w="1100" w:type="dxa"/>
            <w:vAlign w:val="bottom"/>
          </w:tcPr>
          <w:p>
            <w:pPr>
              <w:spacing w:after="0"/>
              <w:rPr>
                <w:sz w:val="18"/>
                <w:szCs w:val="18"/>
                <w:color w:val="auto"/>
              </w:rPr>
            </w:pPr>
          </w:p>
        </w:tc>
        <w:tc>
          <w:tcPr>
            <w:tcW w:w="580" w:type="dxa"/>
            <w:vAlign w:val="bottom"/>
          </w:tcPr>
          <w:p>
            <w:pPr>
              <w:jc w:val="right"/>
              <w:ind w:right="89"/>
              <w:spacing w:after="0"/>
              <w:rPr>
                <w:sz w:val="20"/>
                <w:szCs w:val="20"/>
                <w:color w:val="auto"/>
              </w:rPr>
            </w:pPr>
            <w:r>
              <w:rPr>
                <w:rFonts w:ascii="Arial" w:cs="Arial" w:eastAsia="Arial" w:hAnsi="Arial"/>
                <w:sz w:val="14"/>
                <w:szCs w:val="14"/>
                <w:color w:val="auto"/>
              </w:rPr>
              <w:t>3</w:t>
            </w:r>
          </w:p>
        </w:tc>
        <w:tc>
          <w:tcPr>
            <w:tcW w:w="1040" w:type="dxa"/>
            <w:vAlign w:val="bottom"/>
          </w:tcPr>
          <w:p>
            <w:pPr>
              <w:spacing w:after="0"/>
              <w:rPr>
                <w:sz w:val="18"/>
                <w:szCs w:val="18"/>
                <w:color w:val="auto"/>
              </w:rPr>
            </w:pPr>
          </w:p>
        </w:tc>
        <w:tc>
          <w:tcPr>
            <w:tcW w:w="3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400" w:type="dxa"/>
            <w:vAlign w:val="bottom"/>
          </w:tcPr>
          <w:p>
            <w:pPr>
              <w:ind w:left="280"/>
              <w:spacing w:after="0"/>
              <w:rPr>
                <w:sz w:val="20"/>
                <w:szCs w:val="20"/>
                <w:color w:val="auto"/>
              </w:rPr>
            </w:pPr>
            <w:r>
              <w:rPr>
                <w:rFonts w:ascii="Arial" w:cs="Arial" w:eastAsia="Arial" w:hAnsi="Arial"/>
                <w:sz w:val="14"/>
                <w:szCs w:val="14"/>
                <w:color w:val="auto"/>
              </w:rPr>
              <w:t>Interests and Assets</w:t>
            </w:r>
          </w:p>
        </w:tc>
        <w:tc>
          <w:tcPr>
            <w:tcW w:w="380" w:type="dxa"/>
            <w:vAlign w:val="bottom"/>
          </w:tcPr>
          <w:p>
            <w:pPr>
              <w:spacing w:after="0"/>
              <w:rPr>
                <w:sz w:val="18"/>
                <w:szCs w:val="18"/>
                <w:color w:val="auto"/>
              </w:rPr>
            </w:pPr>
          </w:p>
        </w:tc>
        <w:tc>
          <w:tcPr>
            <w:tcW w:w="1280" w:type="dxa"/>
            <w:vAlign w:val="bottom"/>
          </w:tcPr>
          <w:p>
            <w:pPr>
              <w:jc w:val="right"/>
              <w:ind w:right="69"/>
              <w:spacing w:after="0"/>
              <w:rPr>
                <w:sz w:val="20"/>
                <w:szCs w:val="20"/>
                <w:color w:val="auto"/>
              </w:rPr>
            </w:pPr>
            <w:r>
              <w:rPr>
                <w:rFonts w:ascii="Arial" w:cs="Arial" w:eastAsia="Arial" w:hAnsi="Arial"/>
                <w:sz w:val="14"/>
                <w:szCs w:val="14"/>
                <w:color w:val="auto"/>
              </w:rPr>
              <w:t>3</w:t>
            </w:r>
          </w:p>
        </w:tc>
        <w:tc>
          <w:tcPr>
            <w:tcW w:w="360" w:type="dxa"/>
            <w:vAlign w:val="bottom"/>
          </w:tcPr>
          <w:p>
            <w:pPr>
              <w:spacing w:after="0"/>
              <w:rPr>
                <w:sz w:val="18"/>
                <w:szCs w:val="18"/>
                <w:color w:val="auto"/>
              </w:rPr>
            </w:pP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w:t>
            </w:r>
          </w:p>
        </w:tc>
      </w:tr>
      <w:tr>
        <w:trPr>
          <w:trHeight w:val="213"/>
        </w:trPr>
        <w:tc>
          <w:tcPr>
            <w:tcW w:w="29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0" w:type="dxa"/>
            <w:vAlign w:val="bottom"/>
          </w:tcPr>
          <w:p>
            <w:pPr>
              <w:ind w:left="120"/>
              <w:spacing w:after="0"/>
              <w:rPr>
                <w:sz w:val="20"/>
                <w:szCs w:val="20"/>
                <w:color w:val="auto"/>
              </w:rPr>
            </w:pPr>
            <w:r>
              <w:rPr>
                <w:rFonts w:ascii="Arial" w:cs="Arial" w:eastAsia="Arial" w:hAnsi="Arial"/>
                <w:sz w:val="14"/>
                <w:szCs w:val="14"/>
                <w:color w:val="auto"/>
              </w:rPr>
              <w:t>Equity Earnings,</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3"/>
        </w:trPr>
        <w:tc>
          <w:tcPr>
            <w:tcW w:w="2920" w:type="dxa"/>
            <w:vAlign w:val="bottom"/>
          </w:tcPr>
          <w:p>
            <w:pPr>
              <w:ind w:left="160"/>
              <w:spacing w:after="0"/>
              <w:rPr>
                <w:sz w:val="20"/>
                <w:szCs w:val="20"/>
                <w:color w:val="auto"/>
              </w:rPr>
            </w:pPr>
            <w:r>
              <w:rPr>
                <w:rFonts w:ascii="Arial" w:cs="Arial" w:eastAsia="Arial" w:hAnsi="Arial"/>
                <w:sz w:val="14"/>
                <w:szCs w:val="14"/>
                <w:color w:val="auto"/>
              </w:rPr>
              <w:t>Interest rate instruments</w:t>
            </w:r>
          </w:p>
        </w:tc>
        <w:tc>
          <w:tcPr>
            <w:tcW w:w="1100" w:type="dxa"/>
            <w:vAlign w:val="bottom"/>
          </w:tcPr>
          <w:p>
            <w:pPr>
              <w:spacing w:after="0"/>
              <w:rPr>
                <w:sz w:val="18"/>
                <w:szCs w:val="18"/>
                <w:color w:val="auto"/>
              </w:rPr>
            </w:pPr>
          </w:p>
        </w:tc>
        <w:tc>
          <w:tcPr>
            <w:tcW w:w="580" w:type="dxa"/>
            <w:vAlign w:val="bottom"/>
          </w:tcPr>
          <w:p>
            <w:pPr>
              <w:jc w:val="right"/>
              <w:ind w:right="89"/>
              <w:spacing w:after="0"/>
              <w:rPr>
                <w:sz w:val="20"/>
                <w:szCs w:val="20"/>
                <w:color w:val="auto"/>
              </w:rPr>
            </w:pPr>
            <w:r>
              <w:rPr>
                <w:rFonts w:ascii="Arial" w:cs="Arial" w:eastAsia="Arial" w:hAnsi="Arial"/>
                <w:sz w:val="14"/>
                <w:szCs w:val="14"/>
                <w:color w:val="auto"/>
              </w:rPr>
              <w:t>(34)</w:t>
            </w:r>
          </w:p>
        </w:tc>
        <w:tc>
          <w:tcPr>
            <w:tcW w:w="10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11</w:t>
            </w:r>
          </w:p>
        </w:tc>
        <w:tc>
          <w:tcPr>
            <w:tcW w:w="2400" w:type="dxa"/>
            <w:vAlign w:val="bottom"/>
          </w:tcPr>
          <w:p>
            <w:pPr>
              <w:ind w:left="280"/>
              <w:spacing w:after="0"/>
              <w:rPr>
                <w:sz w:val="20"/>
                <w:szCs w:val="20"/>
                <w:color w:val="auto"/>
              </w:rPr>
            </w:pPr>
            <w:r>
              <w:rPr>
                <w:rFonts w:ascii="Arial" w:cs="Arial" w:eastAsia="Arial" w:hAnsi="Arial"/>
                <w:sz w:val="14"/>
                <w:szCs w:val="14"/>
                <w:color w:val="auto"/>
              </w:rPr>
              <w:t>Before Income Tax</w:t>
            </w:r>
          </w:p>
        </w:tc>
        <w:tc>
          <w:tcPr>
            <w:tcW w:w="380" w:type="dxa"/>
            <w:vAlign w:val="bottom"/>
          </w:tcPr>
          <w:p>
            <w:pPr>
              <w:spacing w:after="0"/>
              <w:rPr>
                <w:sz w:val="18"/>
                <w:szCs w:val="18"/>
                <w:color w:val="auto"/>
              </w:rPr>
            </w:pPr>
          </w:p>
        </w:tc>
        <w:tc>
          <w:tcPr>
            <w:tcW w:w="1280" w:type="dxa"/>
            <w:vAlign w:val="bottom"/>
          </w:tcPr>
          <w:p>
            <w:pPr>
              <w:jc w:val="right"/>
              <w:ind w:right="69"/>
              <w:spacing w:after="0"/>
              <w:rPr>
                <w:sz w:val="20"/>
                <w:szCs w:val="20"/>
                <w:color w:val="auto"/>
              </w:rPr>
            </w:pPr>
            <w:r>
              <w:rPr>
                <w:rFonts w:ascii="Arial" w:cs="Arial" w:eastAsia="Arial" w:hAnsi="Arial"/>
                <w:sz w:val="14"/>
                <w:szCs w:val="14"/>
                <w:color w:val="auto"/>
              </w:rPr>
              <w:t>(7)</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13"/>
        </w:trPr>
        <w:tc>
          <w:tcPr>
            <w:tcW w:w="2920" w:type="dxa"/>
            <w:vAlign w:val="bottom"/>
          </w:tcPr>
          <w:p>
            <w:pPr>
              <w:ind w:left="160"/>
              <w:spacing w:after="0"/>
              <w:rPr>
                <w:sz w:val="20"/>
                <w:szCs w:val="20"/>
                <w:color w:val="auto"/>
              </w:rPr>
            </w:pPr>
            <w:r>
              <w:rPr>
                <w:rFonts w:ascii="Arial" w:cs="Arial" w:eastAsia="Arial" w:hAnsi="Arial"/>
                <w:sz w:val="14"/>
                <w:szCs w:val="14"/>
                <w:color w:val="auto"/>
              </w:rPr>
              <w:t>Commodity contracts not subject</w:t>
            </w: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0" w:type="dxa"/>
            <w:vAlign w:val="bottom"/>
          </w:tcPr>
          <w:p>
            <w:pPr>
              <w:ind w:left="120"/>
              <w:spacing w:after="0"/>
              <w:rPr>
                <w:sz w:val="20"/>
                <w:szCs w:val="20"/>
                <w:color w:val="auto"/>
              </w:rPr>
            </w:pPr>
            <w:r>
              <w:rPr>
                <w:rFonts w:ascii="Arial" w:cs="Arial" w:eastAsia="Arial" w:hAnsi="Arial"/>
                <w:sz w:val="14"/>
                <w:szCs w:val="14"/>
                <w:color w:val="auto"/>
              </w:rPr>
              <w:t>Revenues: Energy-Related</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97"/>
        </w:trPr>
        <w:tc>
          <w:tcPr>
            <w:tcW w:w="2920" w:type="dxa"/>
            <w:vAlign w:val="bottom"/>
          </w:tcPr>
          <w:p>
            <w:pPr>
              <w:ind w:left="320"/>
              <w:spacing w:after="0"/>
              <w:rPr>
                <w:sz w:val="20"/>
                <w:szCs w:val="20"/>
                <w:color w:val="auto"/>
              </w:rPr>
            </w:pPr>
            <w:r>
              <w:rPr>
                <w:rFonts w:ascii="Arial" w:cs="Arial" w:eastAsia="Arial" w:hAnsi="Arial"/>
                <w:sz w:val="14"/>
                <w:szCs w:val="14"/>
                <w:color w:val="auto"/>
              </w:rPr>
              <w:t>to rate recovery</w:t>
            </w:r>
          </w:p>
        </w:tc>
        <w:tc>
          <w:tcPr>
            <w:tcW w:w="1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(5)</w:t>
            </w:r>
          </w:p>
        </w:tc>
        <w:tc>
          <w:tcPr>
            <w:tcW w:w="10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2400" w:type="dxa"/>
            <w:vAlign w:val="bottom"/>
          </w:tcPr>
          <w:p>
            <w:pPr>
              <w:ind w:left="280"/>
              <w:spacing w:after="0"/>
              <w:rPr>
                <w:sz w:val="20"/>
                <w:szCs w:val="20"/>
                <w:color w:val="auto"/>
              </w:rPr>
            </w:pPr>
            <w:r>
              <w:rPr>
                <w:rFonts w:ascii="Arial" w:cs="Arial" w:eastAsia="Arial" w:hAnsi="Arial"/>
                <w:sz w:val="14"/>
                <w:szCs w:val="14"/>
                <w:color w:val="auto"/>
              </w:rPr>
              <w:t>Businesses</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(8)</w:t>
            </w: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r>
      <w:tr>
        <w:trPr>
          <w:trHeight w:val="212"/>
        </w:trPr>
        <w:tc>
          <w:tcPr>
            <w:tcW w:w="292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Total(2)</w:t>
            </w:r>
          </w:p>
        </w:tc>
        <w:tc>
          <w:tcPr>
            <w:tcW w:w="1100" w:type="dxa"/>
            <w:vAlign w:val="bottom"/>
            <w:tcBorders>
              <w:bottom w:val="single" w:sz="8" w:color="auto"/>
            </w:tcBorders>
          </w:tcPr>
          <w:p>
            <w:pPr>
              <w:jc w:val="right"/>
              <w:ind w:right="649"/>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(51)</w:t>
            </w:r>
          </w:p>
        </w:tc>
        <w:tc>
          <w:tcPr>
            <w:tcW w:w="1040" w:type="dxa"/>
            <w:vAlign w:val="bottom"/>
            <w:tcBorders>
              <w:bottom w:val="single" w:sz="8" w:color="auto"/>
            </w:tcBorders>
          </w:tcPr>
          <w:p>
            <w:pPr>
              <w:jc w:val="right"/>
              <w:ind w:right="749"/>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24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(29)</w:t>
            </w:r>
          </w:p>
        </w:tc>
        <w:tc>
          <w:tcPr>
            <w:tcW w:w="3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r>
      <w:tr>
        <w:trPr>
          <w:trHeight w:val="228"/>
        </w:trPr>
        <w:tc>
          <w:tcPr>
            <w:tcW w:w="2920" w:type="dxa"/>
            <w:vAlign w:val="bottom"/>
          </w:tcPr>
          <w:p>
            <w:pPr>
              <w:spacing w:after="0"/>
              <w:rPr>
                <w:sz w:val="20"/>
                <w:szCs w:val="20"/>
                <w:color w:val="auto"/>
              </w:rPr>
            </w:pPr>
            <w:r>
              <w:rPr>
                <w:rFonts w:ascii="Arial" w:cs="Arial" w:eastAsia="Arial" w:hAnsi="Arial"/>
                <w:sz w:val="14"/>
                <w:szCs w:val="14"/>
                <w:b w:val="1"/>
                <w:bCs w:val="1"/>
                <w:color w:val="auto"/>
              </w:rPr>
              <w:t>SDG&amp;E:</w:t>
            </w:r>
          </w:p>
        </w:tc>
        <w:tc>
          <w:tcPr>
            <w:tcW w:w="1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04"/>
        </w:trPr>
        <w:tc>
          <w:tcPr>
            <w:tcW w:w="2920" w:type="dxa"/>
            <w:vAlign w:val="bottom"/>
            <w:tcBorders>
              <w:bottom w:val="single" w:sz="8" w:color="C0C0C0"/>
            </w:tcBorders>
          </w:tcPr>
          <w:p>
            <w:pPr>
              <w:ind w:left="160"/>
              <w:spacing w:after="0"/>
              <w:rPr>
                <w:sz w:val="20"/>
                <w:szCs w:val="20"/>
                <w:color w:val="auto"/>
              </w:rPr>
            </w:pPr>
            <w:r>
              <w:rPr>
                <w:rFonts w:ascii="Arial" w:cs="Arial" w:eastAsia="Arial" w:hAnsi="Arial"/>
                <w:sz w:val="14"/>
                <w:szCs w:val="14"/>
                <w:color w:val="auto"/>
              </w:rPr>
              <w:t>Interest rate instruments(1)(2)</w:t>
            </w:r>
          </w:p>
        </w:tc>
        <w:tc>
          <w:tcPr>
            <w:tcW w:w="1100" w:type="dxa"/>
            <w:vAlign w:val="bottom"/>
            <w:tcBorders>
              <w:bottom w:val="single" w:sz="8" w:color="C0C0C0"/>
            </w:tcBorders>
          </w:tcPr>
          <w:p>
            <w:pPr>
              <w:jc w:val="right"/>
              <w:ind w:right="649"/>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0C0C0"/>
            </w:tcBorders>
          </w:tcPr>
          <w:p>
            <w:pPr>
              <w:jc w:val="right"/>
              <w:ind w:right="89"/>
              <w:spacing w:after="0"/>
              <w:rPr>
                <w:sz w:val="20"/>
                <w:szCs w:val="20"/>
                <w:color w:val="auto"/>
              </w:rPr>
            </w:pPr>
            <w:r>
              <w:rPr>
                <w:rFonts w:ascii="Arial" w:cs="Arial" w:eastAsia="Arial" w:hAnsi="Arial"/>
                <w:sz w:val="14"/>
                <w:szCs w:val="14"/>
                <w:color w:val="auto"/>
              </w:rPr>
              <w:t>(5)</w:t>
            </w:r>
          </w:p>
        </w:tc>
        <w:tc>
          <w:tcPr>
            <w:tcW w:w="1040" w:type="dxa"/>
            <w:vAlign w:val="bottom"/>
            <w:tcBorders>
              <w:bottom w:val="single" w:sz="8" w:color="C0C0C0"/>
            </w:tcBorders>
          </w:tcPr>
          <w:p>
            <w:pPr>
              <w:jc w:val="right"/>
              <w:ind w:right="749"/>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0C0C0"/>
            </w:tcBorders>
          </w:tcPr>
          <w:p>
            <w:pPr>
              <w:jc w:val="right"/>
              <w:spacing w:after="0"/>
              <w:rPr>
                <w:sz w:val="20"/>
                <w:szCs w:val="20"/>
                <w:color w:val="auto"/>
              </w:rPr>
            </w:pPr>
            <w:r>
              <w:rPr>
                <w:rFonts w:ascii="Arial" w:cs="Arial" w:eastAsia="Arial" w:hAnsi="Arial"/>
                <w:sz w:val="14"/>
                <w:szCs w:val="14"/>
                <w:color w:val="auto"/>
              </w:rPr>
              <w:t>8</w:t>
            </w:r>
          </w:p>
        </w:tc>
        <w:tc>
          <w:tcPr>
            <w:tcW w:w="2400" w:type="dxa"/>
            <w:vAlign w:val="bottom"/>
            <w:tcBorders>
              <w:bottom w:val="single" w:sz="8" w:color="C0C0C0"/>
            </w:tcBorders>
          </w:tcPr>
          <w:p>
            <w:pPr>
              <w:ind w:left="120"/>
              <w:spacing w:after="0"/>
              <w:rPr>
                <w:sz w:val="20"/>
                <w:szCs w:val="20"/>
                <w:color w:val="auto"/>
              </w:rPr>
            </w:pPr>
            <w:r>
              <w:rPr>
                <w:rFonts w:ascii="Arial" w:cs="Arial" w:eastAsia="Arial" w:hAnsi="Arial"/>
                <w:sz w:val="14"/>
                <w:szCs w:val="14"/>
                <w:color w:val="auto"/>
              </w:rPr>
              <w:t>Interest Expense</w:t>
            </w:r>
          </w:p>
        </w:tc>
        <w:tc>
          <w:tcPr>
            <w:tcW w:w="380" w:type="dxa"/>
            <w:vAlign w:val="bottom"/>
            <w:tcBorders>
              <w:bottom w:val="single" w:sz="8" w:color="C0C0C0"/>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0C0C0"/>
            </w:tcBorders>
          </w:tcPr>
          <w:p>
            <w:pPr>
              <w:jc w:val="right"/>
              <w:ind w:right="69"/>
              <w:spacing w:after="0"/>
              <w:rPr>
                <w:sz w:val="20"/>
                <w:szCs w:val="20"/>
                <w:color w:val="auto"/>
              </w:rPr>
            </w:pPr>
            <w:r>
              <w:rPr>
                <w:rFonts w:ascii="Arial" w:cs="Arial" w:eastAsia="Arial" w:hAnsi="Arial"/>
                <w:sz w:val="14"/>
                <w:szCs w:val="14"/>
                <w:color w:val="auto"/>
              </w:rPr>
              <w:t>(8)</w:t>
            </w:r>
          </w:p>
        </w:tc>
        <w:tc>
          <w:tcPr>
            <w:tcW w:w="360" w:type="dxa"/>
            <w:vAlign w:val="bottom"/>
            <w:tcBorders>
              <w:bottom w:val="single" w:sz="8" w:color="C0C0C0"/>
            </w:tcBorders>
          </w:tcPr>
          <w:p>
            <w:pPr>
              <w:jc w:val="right"/>
              <w:ind w:right="4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0C0C0"/>
            </w:tcBorders>
          </w:tcPr>
          <w:p>
            <w:pPr>
              <w:jc w:val="right"/>
              <w:spacing w:after="0"/>
              <w:rPr>
                <w:sz w:val="20"/>
                <w:szCs w:val="20"/>
                <w:color w:val="auto"/>
              </w:rPr>
            </w:pPr>
            <w:r>
              <w:rPr>
                <w:rFonts w:ascii="Arial" w:cs="Arial" w:eastAsia="Arial" w:hAnsi="Arial"/>
                <w:sz w:val="14"/>
                <w:szCs w:val="14"/>
                <w:color w:val="auto"/>
              </w:rPr>
              <w:t>(6)</w:t>
            </w:r>
          </w:p>
        </w:tc>
      </w:tr>
      <w:tr>
        <w:trPr>
          <w:trHeight w:val="228"/>
        </w:trPr>
        <w:tc>
          <w:tcPr>
            <w:tcW w:w="2920" w:type="dxa"/>
            <w:vAlign w:val="bottom"/>
          </w:tcPr>
          <w:p>
            <w:pPr>
              <w:spacing w:after="0"/>
              <w:rPr>
                <w:sz w:val="20"/>
                <w:szCs w:val="20"/>
                <w:color w:val="auto"/>
              </w:rPr>
            </w:pPr>
            <w:r>
              <w:rPr>
                <w:rFonts w:ascii="Arial" w:cs="Arial" w:eastAsia="Arial" w:hAnsi="Arial"/>
                <w:sz w:val="14"/>
                <w:szCs w:val="14"/>
                <w:b w:val="1"/>
                <w:bCs w:val="1"/>
                <w:color w:val="auto"/>
              </w:rPr>
              <w:t>SoCalGas:</w:t>
            </w:r>
          </w:p>
        </w:tc>
        <w:tc>
          <w:tcPr>
            <w:tcW w:w="1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04"/>
        </w:trPr>
        <w:tc>
          <w:tcPr>
            <w:tcW w:w="2920" w:type="dxa"/>
            <w:vAlign w:val="bottom"/>
            <w:tcBorders>
              <w:bottom w:val="single" w:sz="8" w:color="C0C0C0"/>
            </w:tcBorders>
          </w:tcPr>
          <w:p>
            <w:pPr>
              <w:ind w:left="160"/>
              <w:spacing w:after="0"/>
              <w:rPr>
                <w:sz w:val="20"/>
                <w:szCs w:val="20"/>
                <w:color w:val="auto"/>
              </w:rPr>
            </w:pPr>
            <w:r>
              <w:rPr>
                <w:rFonts w:ascii="Arial" w:cs="Arial" w:eastAsia="Arial" w:hAnsi="Arial"/>
                <w:sz w:val="14"/>
                <w:szCs w:val="14"/>
                <w:color w:val="auto"/>
              </w:rPr>
              <w:t>Interest rate instruments</w:t>
            </w:r>
          </w:p>
        </w:tc>
        <w:tc>
          <w:tcPr>
            <w:tcW w:w="1100" w:type="dxa"/>
            <w:vAlign w:val="bottom"/>
            <w:tcBorders>
              <w:bottom w:val="single" w:sz="8" w:color="C0C0C0"/>
            </w:tcBorders>
          </w:tcPr>
          <w:p>
            <w:pPr>
              <w:jc w:val="right"/>
              <w:ind w:right="649"/>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0C0C0"/>
            </w:tcBorders>
          </w:tcPr>
          <w:p>
            <w:pPr>
              <w:jc w:val="right"/>
              <w:ind w:right="20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0C0C0"/>
            </w:tcBorders>
          </w:tcPr>
          <w:p>
            <w:pPr>
              <w:jc w:val="right"/>
              <w:ind w:right="749"/>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0C0C0"/>
            </w:tcBorders>
          </w:tcPr>
          <w:p>
            <w:pPr>
              <w:jc w:val="right"/>
              <w:ind w:right="49"/>
              <w:spacing w:after="0"/>
              <w:rPr>
                <w:sz w:val="20"/>
                <w:szCs w:val="20"/>
                <w:color w:val="auto"/>
              </w:rPr>
            </w:pPr>
            <w:r>
              <w:rPr>
                <w:rFonts w:ascii="Arial" w:cs="Arial" w:eastAsia="Arial" w:hAnsi="Arial"/>
                <w:sz w:val="14"/>
                <w:szCs w:val="14"/>
                <w:color w:val="auto"/>
              </w:rPr>
              <w:t>―</w:t>
            </w:r>
          </w:p>
        </w:tc>
        <w:tc>
          <w:tcPr>
            <w:tcW w:w="2400" w:type="dxa"/>
            <w:vAlign w:val="bottom"/>
            <w:tcBorders>
              <w:bottom w:val="single" w:sz="8" w:color="C0C0C0"/>
            </w:tcBorders>
          </w:tcPr>
          <w:p>
            <w:pPr>
              <w:ind w:left="120"/>
              <w:spacing w:after="0"/>
              <w:rPr>
                <w:sz w:val="20"/>
                <w:szCs w:val="20"/>
                <w:color w:val="auto"/>
              </w:rPr>
            </w:pPr>
            <w:r>
              <w:rPr>
                <w:rFonts w:ascii="Arial" w:cs="Arial" w:eastAsia="Arial" w:hAnsi="Arial"/>
                <w:sz w:val="14"/>
                <w:szCs w:val="14"/>
                <w:color w:val="auto"/>
              </w:rPr>
              <w:t>Interest Expense</w:t>
            </w:r>
          </w:p>
        </w:tc>
        <w:tc>
          <w:tcPr>
            <w:tcW w:w="380" w:type="dxa"/>
            <w:vAlign w:val="bottom"/>
            <w:tcBorders>
              <w:bottom w:val="single" w:sz="8" w:color="C0C0C0"/>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0C0C0"/>
            </w:tcBorders>
          </w:tcPr>
          <w:p>
            <w:pPr>
              <w:jc w:val="right"/>
              <w:ind w:right="189"/>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0C0C0"/>
            </w:tcBorders>
          </w:tcPr>
          <w:p>
            <w:pPr>
              <w:jc w:val="right"/>
              <w:ind w:right="4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0C0C0"/>
            </w:tcBorders>
          </w:tcPr>
          <w:p>
            <w:pPr>
              <w:jc w:val="right"/>
              <w:spacing w:after="0"/>
              <w:rPr>
                <w:sz w:val="20"/>
                <w:szCs w:val="20"/>
                <w:color w:val="auto"/>
              </w:rPr>
            </w:pPr>
            <w:r>
              <w:rPr>
                <w:rFonts w:ascii="Arial" w:cs="Arial" w:eastAsia="Arial" w:hAnsi="Arial"/>
                <w:sz w:val="14"/>
                <w:szCs w:val="14"/>
                <w:color w:val="auto"/>
              </w:rPr>
              <w:t>(1)</w:t>
            </w:r>
          </w:p>
        </w:tc>
      </w:tr>
    </w:tbl>
    <w:p>
      <w:pPr>
        <w:ind w:left="520" w:hanging="514"/>
        <w:spacing w:after="0"/>
        <w:tabs>
          <w:tab w:leader="none" w:pos="520" w:val="left"/>
        </w:tabs>
        <w:numPr>
          <w:ilvl w:val="0"/>
          <w:numId w:val="39"/>
        </w:numPr>
        <w:rPr>
          <w:rFonts w:ascii="Arial" w:cs="Arial" w:eastAsia="Arial" w:hAnsi="Arial"/>
          <w:sz w:val="14"/>
          <w:szCs w:val="14"/>
          <w:i w:val="1"/>
          <w:iCs w:val="1"/>
          <w:color w:val="auto"/>
        </w:rPr>
      </w:pPr>
      <w:r>
        <w:rPr>
          <w:rFonts w:ascii="Arial" w:cs="Arial" w:eastAsia="Arial" w:hAnsi="Arial"/>
          <w:sz w:val="14"/>
          <w:szCs w:val="14"/>
          <w:i w:val="1"/>
          <w:iCs w:val="1"/>
          <w:color w:val="auto"/>
        </w:rPr>
        <w:t>Amounts include Otay Mesa VIE. All of SDG&amp;E’s interest rate derivative activity relates to Otay Mesa VIE.</w:t>
      </w:r>
    </w:p>
    <w:p>
      <w:pPr>
        <w:spacing w:after="0" w:line="3" w:lineRule="exact"/>
        <w:rPr>
          <w:rFonts w:ascii="Arial" w:cs="Arial" w:eastAsia="Arial" w:hAnsi="Arial"/>
          <w:sz w:val="14"/>
          <w:szCs w:val="14"/>
          <w:i w:val="1"/>
          <w:iCs w:val="1"/>
          <w:color w:val="auto"/>
        </w:rPr>
      </w:pPr>
    </w:p>
    <w:p>
      <w:pPr>
        <w:ind w:left="520" w:hanging="514"/>
        <w:spacing w:after="0"/>
        <w:tabs>
          <w:tab w:leader="none" w:pos="520" w:val="left"/>
        </w:tabs>
        <w:numPr>
          <w:ilvl w:val="0"/>
          <w:numId w:val="39"/>
        </w:numPr>
        <w:rPr>
          <w:rFonts w:ascii="Arial" w:cs="Arial" w:eastAsia="Arial" w:hAnsi="Arial"/>
          <w:sz w:val="14"/>
          <w:szCs w:val="14"/>
          <w:i w:val="1"/>
          <w:iCs w:val="1"/>
          <w:color w:val="auto"/>
        </w:rPr>
      </w:pPr>
      <w:r>
        <w:rPr>
          <w:rFonts w:ascii="Arial" w:cs="Arial" w:eastAsia="Arial" w:hAnsi="Arial"/>
          <w:sz w:val="14"/>
          <w:szCs w:val="14"/>
          <w:i w:val="1"/>
          <w:iCs w:val="1"/>
          <w:color w:val="auto"/>
        </w:rPr>
        <w:t>There was a negligible amount of ineffectiveness related to these hedges in 2014 and 2013.</w:t>
      </w:r>
    </w:p>
    <w:p>
      <w:pPr>
        <w:spacing w:after="0" w:line="200" w:lineRule="exact"/>
        <w:rPr>
          <w:sz w:val="20"/>
          <w:szCs w:val="20"/>
          <w:color w:val="auto"/>
        </w:rPr>
      </w:pPr>
    </w:p>
    <w:p>
      <w:pPr>
        <w:spacing w:after="0" w:line="233"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For Sempra Energy Consolidated we expect that losses of $25 million, which are net of income tax benefit, that are currently recorded in AOCI (including $13 million in noncontrolling interests, of which $12 million is related to Otay Mesa VIE at SDG&amp;E) related to cash flow hedges will be reclassified into earnings during the next twelve months as the hedged items affect earnings. Actual amounts ultimately reclassified into earnings depend on the interest rates in effect when derivative contracts that are currently outstanding mature.</w:t>
      </w:r>
    </w:p>
    <w:p>
      <w:pPr>
        <w:spacing w:after="0" w:line="190"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color w:val="auto"/>
        </w:rPr>
        <w:t>SoCalGas expects that negligible losses, which are net of income tax benefit, currently recorded in AOCI related to cash flow hedges will be reclassified into earnings during the next twelve months as the hedged items affect earnings.</w:t>
      </w:r>
    </w:p>
    <w:p>
      <w:pPr>
        <w:spacing w:after="0" w:line="17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For all forecasted transactions, the maximum term over which we are hedging exposure to the variability of cash flows at September 30, 2014 is approximately 14 years and 5 years for Sempra Energy Consolidated and SDG&amp;E, respectively. The maximum term of hedged interest rate variability related to debt at Sempra Renewables’ equity method investees is 21 years.</w:t>
      </w:r>
    </w:p>
    <w:p>
      <w:pPr>
        <w:spacing w:after="0" w:line="188"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color w:val="auto"/>
        </w:rPr>
        <w:t>The effects of derivative instruments not designated as hedging instruments on the Condensed Consolidated Statements of Operations for the three months and nine months ended September 30 were: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3060"/>
        <w:spacing w:after="0" w:line="254" w:lineRule="auto"/>
        <w:rPr>
          <w:sz w:val="20"/>
          <w:szCs w:val="20"/>
          <w:color w:val="auto"/>
        </w:rPr>
      </w:pPr>
      <w:r>
        <w:rPr>
          <w:rFonts w:ascii="Arial" w:cs="Arial" w:eastAsia="Arial" w:hAnsi="Arial"/>
          <w:sz w:val="16"/>
          <w:szCs w:val="16"/>
          <w:b w:val="1"/>
          <w:bCs w:val="1"/>
          <w:color w:val="auto"/>
        </w:rPr>
        <w:t xml:space="preserve">UNDESIGNATED DERIVATIVE IMPACT ON THE CONDENSED CONSOLIDATED STATEMENTS OF OPERATIONS </w:t>
      </w: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-234950</wp:posOffset>
            </wp:positionV>
            <wp:extent cx="7248525" cy="2197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8525" cy="2197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6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Gain (loss) on derivatives recognized in earnings</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r>
      <w:tr>
        <w:trPr>
          <w:trHeight w:val="157"/>
        </w:trPr>
        <w:tc>
          <w:tcPr>
            <w:tcW w:w="296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40" w:type="dxa"/>
            <w:vAlign w:val="bottom"/>
            <w:gridSpan w:val="3"/>
          </w:tcPr>
          <w:p>
            <w:pPr>
              <w:jc w:val="right"/>
              <w:ind w:right="661"/>
              <w:spacing w:after="0" w:line="157" w:lineRule="exact"/>
              <w:rPr>
                <w:sz w:val="20"/>
                <w:szCs w:val="20"/>
                <w:color w:val="auto"/>
              </w:rPr>
            </w:pPr>
            <w:r>
              <w:rPr>
                <w:rFonts w:ascii="Arial" w:cs="Arial" w:eastAsia="Arial" w:hAnsi="Arial"/>
                <w:sz w:val="14"/>
                <w:szCs w:val="14"/>
                <w:color w:val="auto"/>
              </w:rPr>
              <w:t>Three months ended</w:t>
            </w:r>
          </w:p>
        </w:tc>
        <w:tc>
          <w:tcPr>
            <w:tcW w:w="280" w:type="dxa"/>
            <w:vAlign w:val="bottom"/>
          </w:tcPr>
          <w:p>
            <w:pPr>
              <w:spacing w:after="0"/>
              <w:rPr>
                <w:sz w:val="13"/>
                <w:szCs w:val="13"/>
                <w:color w:val="auto"/>
              </w:rPr>
            </w:pPr>
          </w:p>
        </w:tc>
        <w:tc>
          <w:tcPr>
            <w:tcW w:w="2120" w:type="dxa"/>
            <w:vAlign w:val="bottom"/>
            <w:gridSpan w:val="3"/>
          </w:tcPr>
          <w:p>
            <w:pPr>
              <w:jc w:val="right"/>
              <w:ind w:right="581"/>
              <w:spacing w:after="0" w:line="157" w:lineRule="exact"/>
              <w:rPr>
                <w:sz w:val="20"/>
                <w:szCs w:val="20"/>
                <w:color w:val="auto"/>
              </w:rPr>
            </w:pPr>
            <w:r>
              <w:rPr>
                <w:rFonts w:ascii="Arial" w:cs="Arial" w:eastAsia="Arial" w:hAnsi="Arial"/>
                <w:sz w:val="14"/>
                <w:szCs w:val="14"/>
                <w:color w:val="auto"/>
              </w:rPr>
              <w:t>Nine months ended</w:t>
            </w:r>
          </w:p>
        </w:tc>
      </w:tr>
      <w:tr>
        <w:trPr>
          <w:trHeight w:val="155"/>
        </w:trPr>
        <w:tc>
          <w:tcPr>
            <w:tcW w:w="296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September 30,</w:t>
            </w:r>
          </w:p>
        </w:tc>
        <w:tc>
          <w:tcPr>
            <w:tcW w:w="9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September 30,</w:t>
            </w:r>
          </w:p>
        </w:tc>
        <w:tc>
          <w:tcPr>
            <w:tcW w:w="800" w:type="dxa"/>
            <w:vAlign w:val="bottom"/>
            <w:tcBorders>
              <w:bottom w:val="single" w:sz="8" w:color="auto"/>
            </w:tcBorders>
          </w:tcPr>
          <w:p>
            <w:pPr>
              <w:spacing w:after="0"/>
              <w:rPr>
                <w:sz w:val="13"/>
                <w:szCs w:val="13"/>
                <w:color w:val="auto"/>
              </w:rPr>
            </w:pPr>
          </w:p>
        </w:tc>
      </w:tr>
      <w:tr>
        <w:trPr>
          <w:trHeight w:val="206"/>
        </w:trPr>
        <w:tc>
          <w:tcPr>
            <w:tcW w:w="2960" w:type="dxa"/>
            <w:vAlign w:val="bottom"/>
            <w:tcBorders>
              <w:bottom w:val="single" w:sz="8" w:color="auto"/>
            </w:tcBorders>
          </w:tcPr>
          <w:p>
            <w:pPr>
              <w:spacing w:after="0"/>
              <w:rPr>
                <w:sz w:val="17"/>
                <w:szCs w:val="17"/>
                <w:color w:val="auto"/>
              </w:rPr>
            </w:pPr>
          </w:p>
        </w:tc>
        <w:tc>
          <w:tcPr>
            <w:tcW w:w="3400" w:type="dxa"/>
            <w:vAlign w:val="bottom"/>
            <w:tcBorders>
              <w:bottom w:val="single" w:sz="8" w:color="auto"/>
            </w:tcBorders>
          </w:tcPr>
          <w:p>
            <w:pPr>
              <w:ind w:left="1600"/>
              <w:spacing w:after="0"/>
              <w:rPr>
                <w:sz w:val="20"/>
                <w:szCs w:val="20"/>
                <w:color w:val="auto"/>
              </w:rPr>
            </w:pPr>
            <w:r>
              <w:rPr>
                <w:rFonts w:ascii="Arial" w:cs="Arial" w:eastAsia="Arial" w:hAnsi="Arial"/>
                <w:sz w:val="14"/>
                <w:szCs w:val="14"/>
                <w:color w:val="auto"/>
              </w:rPr>
              <w:t>Location</w:t>
            </w: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color w:val="auto"/>
              </w:rPr>
              <w:t>2014</w:t>
            </w: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color w:val="auto"/>
                <w:w w:val="89"/>
              </w:rPr>
              <w:t>2013</w:t>
            </w: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62"/>
              <w:spacing w:after="0"/>
              <w:rPr>
                <w:sz w:val="20"/>
                <w:szCs w:val="20"/>
                <w:color w:val="auto"/>
              </w:rPr>
            </w:pPr>
            <w:r>
              <w:rPr>
                <w:rFonts w:ascii="Arial" w:cs="Arial" w:eastAsia="Arial" w:hAnsi="Arial"/>
                <w:sz w:val="14"/>
                <w:szCs w:val="14"/>
                <w:color w:val="auto"/>
              </w:rPr>
              <w:t>2014</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color w:val="auto"/>
                <w:w w:val="96"/>
              </w:rPr>
              <w:t>2013</w:t>
            </w:r>
          </w:p>
        </w:tc>
      </w:tr>
      <w:tr>
        <w:trPr>
          <w:trHeight w:val="214"/>
        </w:trPr>
        <w:tc>
          <w:tcPr>
            <w:tcW w:w="2960" w:type="dxa"/>
            <w:vAlign w:val="bottom"/>
          </w:tcPr>
          <w:p>
            <w:pPr>
              <w:spacing w:after="0"/>
              <w:rPr>
                <w:sz w:val="20"/>
                <w:szCs w:val="20"/>
                <w:color w:val="auto"/>
              </w:rPr>
            </w:pPr>
            <w:r>
              <w:rPr>
                <w:rFonts w:ascii="Arial" w:cs="Arial" w:eastAsia="Arial" w:hAnsi="Arial"/>
                <w:sz w:val="16"/>
                <w:szCs w:val="16"/>
                <w:b w:val="1"/>
                <w:bCs w:val="1"/>
                <w:color w:val="auto"/>
              </w:rPr>
              <w:t>Sempra Energy Consolidated:</w:t>
            </w:r>
          </w:p>
        </w:tc>
        <w:tc>
          <w:tcPr>
            <w:tcW w:w="3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3"/>
        </w:trPr>
        <w:tc>
          <w:tcPr>
            <w:tcW w:w="2960" w:type="dxa"/>
            <w:vAlign w:val="bottom"/>
          </w:tcPr>
          <w:p>
            <w:pPr>
              <w:ind w:left="180"/>
              <w:spacing w:after="0"/>
              <w:rPr>
                <w:sz w:val="20"/>
                <w:szCs w:val="20"/>
                <w:color w:val="auto"/>
              </w:rPr>
            </w:pPr>
            <w:r>
              <w:rPr>
                <w:rFonts w:ascii="Arial" w:cs="Arial" w:eastAsia="Arial" w:hAnsi="Arial"/>
                <w:sz w:val="16"/>
                <w:szCs w:val="16"/>
                <w:color w:val="auto"/>
              </w:rPr>
              <w:t>Interest rate and foreign exchange</w:t>
            </w:r>
          </w:p>
        </w:tc>
        <w:tc>
          <w:tcPr>
            <w:tcW w:w="3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2"/>
        </w:trPr>
        <w:tc>
          <w:tcPr>
            <w:tcW w:w="2960" w:type="dxa"/>
            <w:vAlign w:val="bottom"/>
          </w:tcPr>
          <w:p>
            <w:pPr>
              <w:ind w:left="400"/>
              <w:spacing w:after="0"/>
              <w:rPr>
                <w:sz w:val="20"/>
                <w:szCs w:val="20"/>
                <w:color w:val="auto"/>
              </w:rPr>
            </w:pPr>
            <w:r>
              <w:rPr>
                <w:rFonts w:ascii="Arial" w:cs="Arial" w:eastAsia="Arial" w:hAnsi="Arial"/>
                <w:sz w:val="16"/>
                <w:szCs w:val="16"/>
                <w:color w:val="auto"/>
              </w:rPr>
              <w:t>instruments</w:t>
            </w:r>
          </w:p>
        </w:tc>
        <w:tc>
          <w:tcPr>
            <w:tcW w:w="3400" w:type="dxa"/>
            <w:vAlign w:val="bottom"/>
          </w:tcPr>
          <w:p>
            <w:pPr>
              <w:ind w:left="340"/>
              <w:spacing w:after="0"/>
              <w:rPr>
                <w:sz w:val="20"/>
                <w:szCs w:val="20"/>
                <w:color w:val="auto"/>
              </w:rPr>
            </w:pPr>
            <w:r>
              <w:rPr>
                <w:rFonts w:ascii="Arial" w:cs="Arial" w:eastAsia="Arial" w:hAnsi="Arial"/>
                <w:sz w:val="16"/>
                <w:szCs w:val="16"/>
                <w:color w:val="auto"/>
              </w:rPr>
              <w:t>Other Income, Net</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63"/>
              <w:spacing w:after="0"/>
              <w:rPr>
                <w:sz w:val="20"/>
                <w:szCs w:val="20"/>
                <w:color w:val="auto"/>
              </w:rPr>
            </w:pPr>
            <w:r>
              <w:rPr>
                <w:rFonts w:ascii="Arial" w:cs="Arial" w:eastAsia="Arial" w:hAnsi="Arial"/>
                <w:sz w:val="16"/>
                <w:szCs w:val="16"/>
                <w:color w:val="auto"/>
              </w:rPr>
              <w:t>(6)</w:t>
            </w:r>
          </w:p>
        </w:tc>
        <w:tc>
          <w:tcPr>
            <w:tcW w:w="3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61"/>
              <w:spacing w:after="0"/>
              <w:rPr>
                <w:sz w:val="20"/>
                <w:szCs w:val="20"/>
                <w:color w:val="auto"/>
              </w:rPr>
            </w:pPr>
            <w:r>
              <w:rPr>
                <w:rFonts w:ascii="Arial" w:cs="Arial" w:eastAsia="Arial" w:hAnsi="Arial"/>
                <w:sz w:val="16"/>
                <w:szCs w:val="16"/>
                <w:color w:val="auto"/>
              </w:rPr>
              <w:t>4</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2"/>
              <w:spacing w:after="0"/>
              <w:rPr>
                <w:sz w:val="20"/>
                <w:szCs w:val="20"/>
                <w:color w:val="auto"/>
              </w:rPr>
            </w:pPr>
            <w:r>
              <w:rPr>
                <w:rFonts w:ascii="Arial" w:cs="Arial" w:eastAsia="Arial" w:hAnsi="Arial"/>
                <w:sz w:val="16"/>
                <w:szCs w:val="16"/>
                <w:color w:val="auto"/>
              </w:rPr>
              <w:t>(6)</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13"/>
        </w:trPr>
        <w:tc>
          <w:tcPr>
            <w:tcW w:w="2960" w:type="dxa"/>
            <w:vAlign w:val="bottom"/>
          </w:tcPr>
          <w:p>
            <w:pPr>
              <w:ind w:left="180"/>
              <w:spacing w:after="0"/>
              <w:rPr>
                <w:sz w:val="20"/>
                <w:szCs w:val="20"/>
                <w:color w:val="auto"/>
              </w:rPr>
            </w:pPr>
            <w:r>
              <w:rPr>
                <w:rFonts w:ascii="Arial" w:cs="Arial" w:eastAsia="Arial" w:hAnsi="Arial"/>
                <w:sz w:val="16"/>
                <w:szCs w:val="16"/>
                <w:color w:val="auto"/>
              </w:rPr>
              <w:t>Foreign exchange instruments</w:t>
            </w:r>
          </w:p>
        </w:tc>
        <w:tc>
          <w:tcPr>
            <w:tcW w:w="3400" w:type="dxa"/>
            <w:vAlign w:val="bottom"/>
          </w:tcPr>
          <w:p>
            <w:pPr>
              <w:ind w:left="340"/>
              <w:spacing w:after="0"/>
              <w:rPr>
                <w:sz w:val="20"/>
                <w:szCs w:val="20"/>
                <w:color w:val="auto"/>
              </w:rPr>
            </w:pPr>
            <w:r>
              <w:rPr>
                <w:rFonts w:ascii="Arial" w:cs="Arial" w:eastAsia="Arial" w:hAnsi="Arial"/>
                <w:sz w:val="16"/>
                <w:szCs w:val="16"/>
                <w:color w:val="auto"/>
              </w:rPr>
              <w:t>Equity Earnings,</w:t>
            </w: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3"/>
        </w:trPr>
        <w:tc>
          <w:tcPr>
            <w:tcW w:w="2960" w:type="dxa"/>
            <w:vAlign w:val="bottom"/>
          </w:tcPr>
          <w:p>
            <w:pPr>
              <w:spacing w:after="0"/>
              <w:rPr>
                <w:sz w:val="18"/>
                <w:szCs w:val="18"/>
                <w:color w:val="auto"/>
              </w:rPr>
            </w:pPr>
          </w:p>
        </w:tc>
        <w:tc>
          <w:tcPr>
            <w:tcW w:w="3400" w:type="dxa"/>
            <w:vAlign w:val="bottom"/>
          </w:tcPr>
          <w:p>
            <w:pPr>
              <w:ind w:left="520"/>
              <w:spacing w:after="0"/>
              <w:rPr>
                <w:sz w:val="20"/>
                <w:szCs w:val="20"/>
                <w:color w:val="auto"/>
              </w:rPr>
            </w:pPr>
            <w:r>
              <w:rPr>
                <w:rFonts w:ascii="Arial" w:cs="Arial" w:eastAsia="Arial" w:hAnsi="Arial"/>
                <w:sz w:val="16"/>
                <w:szCs w:val="16"/>
                <w:color w:val="auto"/>
              </w:rPr>
              <w:t>Net of Income Tax</w:t>
            </w:r>
          </w:p>
        </w:tc>
        <w:tc>
          <w:tcPr>
            <w:tcW w:w="420" w:type="dxa"/>
            <w:vAlign w:val="bottom"/>
          </w:tcPr>
          <w:p>
            <w:pPr>
              <w:spacing w:after="0"/>
              <w:rPr>
                <w:sz w:val="18"/>
                <w:szCs w:val="18"/>
                <w:color w:val="auto"/>
              </w:rPr>
            </w:pPr>
          </w:p>
        </w:tc>
        <w:tc>
          <w:tcPr>
            <w:tcW w:w="980" w:type="dxa"/>
            <w:vAlign w:val="bottom"/>
          </w:tcPr>
          <w:p>
            <w:pPr>
              <w:jc w:val="right"/>
              <w:ind w:right="63"/>
              <w:spacing w:after="0"/>
              <w:rPr>
                <w:sz w:val="20"/>
                <w:szCs w:val="20"/>
                <w:color w:val="auto"/>
              </w:rPr>
            </w:pPr>
            <w:r>
              <w:rPr>
                <w:rFonts w:ascii="Arial" w:cs="Arial" w:eastAsia="Arial" w:hAnsi="Arial"/>
                <w:sz w:val="16"/>
                <w:szCs w:val="16"/>
                <w:color w:val="auto"/>
              </w:rPr>
              <w:t>(2)</w:t>
            </w:r>
          </w:p>
        </w:tc>
        <w:tc>
          <w:tcPr>
            <w:tcW w:w="340" w:type="dxa"/>
            <w:vAlign w:val="bottom"/>
          </w:tcPr>
          <w:p>
            <w:pPr>
              <w:spacing w:after="0"/>
              <w:rPr>
                <w:sz w:val="18"/>
                <w:szCs w:val="18"/>
                <w:color w:val="auto"/>
              </w:rPr>
            </w:pPr>
          </w:p>
        </w:tc>
        <w:tc>
          <w:tcPr>
            <w:tcW w:w="92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20" w:type="dxa"/>
            <w:vAlign w:val="bottom"/>
          </w:tcPr>
          <w:p>
            <w:pPr>
              <w:jc w:val="right"/>
              <w:ind w:right="202"/>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3"/>
        </w:trPr>
        <w:tc>
          <w:tcPr>
            <w:tcW w:w="2960" w:type="dxa"/>
            <w:vAlign w:val="bottom"/>
          </w:tcPr>
          <w:p>
            <w:pPr>
              <w:ind w:left="180"/>
              <w:spacing w:after="0"/>
              <w:rPr>
                <w:sz w:val="20"/>
                <w:szCs w:val="20"/>
                <w:color w:val="auto"/>
              </w:rPr>
            </w:pPr>
            <w:r>
              <w:rPr>
                <w:rFonts w:ascii="Arial" w:cs="Arial" w:eastAsia="Arial" w:hAnsi="Arial"/>
                <w:sz w:val="16"/>
                <w:szCs w:val="16"/>
                <w:color w:val="auto"/>
              </w:rPr>
              <w:t>Commodity contracts not subject</w:t>
            </w:r>
          </w:p>
        </w:tc>
        <w:tc>
          <w:tcPr>
            <w:tcW w:w="3400" w:type="dxa"/>
            <w:vAlign w:val="bottom"/>
          </w:tcPr>
          <w:p>
            <w:pPr>
              <w:ind w:left="340"/>
              <w:spacing w:after="0"/>
              <w:rPr>
                <w:sz w:val="20"/>
                <w:szCs w:val="20"/>
                <w:color w:val="auto"/>
              </w:rPr>
            </w:pPr>
            <w:r>
              <w:rPr>
                <w:rFonts w:ascii="Arial" w:cs="Arial" w:eastAsia="Arial" w:hAnsi="Arial"/>
                <w:sz w:val="16"/>
                <w:szCs w:val="16"/>
                <w:color w:val="auto"/>
              </w:rPr>
              <w:t>Revenues: Energy-Related</w:t>
            </w: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3"/>
        </w:trPr>
        <w:tc>
          <w:tcPr>
            <w:tcW w:w="2960" w:type="dxa"/>
            <w:vAlign w:val="bottom"/>
          </w:tcPr>
          <w:p>
            <w:pPr>
              <w:ind w:left="360"/>
              <w:spacing w:after="0"/>
              <w:rPr>
                <w:sz w:val="20"/>
                <w:szCs w:val="20"/>
                <w:color w:val="auto"/>
              </w:rPr>
            </w:pPr>
            <w:r>
              <w:rPr>
                <w:rFonts w:ascii="Arial" w:cs="Arial" w:eastAsia="Arial" w:hAnsi="Arial"/>
                <w:sz w:val="16"/>
                <w:szCs w:val="16"/>
                <w:color w:val="auto"/>
              </w:rPr>
              <w:t>to rate recovery</w:t>
            </w:r>
          </w:p>
        </w:tc>
        <w:tc>
          <w:tcPr>
            <w:tcW w:w="3400" w:type="dxa"/>
            <w:vAlign w:val="bottom"/>
          </w:tcPr>
          <w:p>
            <w:pPr>
              <w:ind w:left="520"/>
              <w:spacing w:after="0"/>
              <w:rPr>
                <w:sz w:val="20"/>
                <w:szCs w:val="20"/>
                <w:color w:val="auto"/>
              </w:rPr>
            </w:pPr>
            <w:r>
              <w:rPr>
                <w:rFonts w:ascii="Arial" w:cs="Arial" w:eastAsia="Arial" w:hAnsi="Arial"/>
                <w:sz w:val="16"/>
                <w:szCs w:val="16"/>
                <w:color w:val="auto"/>
              </w:rPr>
              <w:t>Businesses</w:t>
            </w:r>
          </w:p>
        </w:tc>
        <w:tc>
          <w:tcPr>
            <w:tcW w:w="420" w:type="dxa"/>
            <w:vAlign w:val="bottom"/>
          </w:tcPr>
          <w:p>
            <w:pPr>
              <w:spacing w:after="0"/>
              <w:rPr>
                <w:sz w:val="18"/>
                <w:szCs w:val="18"/>
                <w:color w:val="auto"/>
              </w:rPr>
            </w:pPr>
          </w:p>
        </w:tc>
        <w:tc>
          <w:tcPr>
            <w:tcW w:w="980" w:type="dxa"/>
            <w:vAlign w:val="bottom"/>
          </w:tcPr>
          <w:p>
            <w:pPr>
              <w:jc w:val="right"/>
              <w:ind w:right="63"/>
              <w:spacing w:after="0"/>
              <w:rPr>
                <w:sz w:val="20"/>
                <w:szCs w:val="20"/>
                <w:color w:val="auto"/>
              </w:rPr>
            </w:pPr>
            <w:r>
              <w:rPr>
                <w:rFonts w:ascii="Arial" w:cs="Arial" w:eastAsia="Arial" w:hAnsi="Arial"/>
                <w:sz w:val="16"/>
                <w:szCs w:val="16"/>
                <w:color w:val="auto"/>
              </w:rPr>
              <w:t>3</w:t>
            </w:r>
          </w:p>
        </w:tc>
        <w:tc>
          <w:tcPr>
            <w:tcW w:w="340" w:type="dxa"/>
            <w:vAlign w:val="bottom"/>
          </w:tcPr>
          <w:p>
            <w:pPr>
              <w:spacing w:after="0"/>
              <w:rPr>
                <w:sz w:val="18"/>
                <w:szCs w:val="18"/>
                <w:color w:val="auto"/>
              </w:rPr>
            </w:pPr>
          </w:p>
        </w:tc>
        <w:tc>
          <w:tcPr>
            <w:tcW w:w="920" w:type="dxa"/>
            <w:vAlign w:val="bottom"/>
          </w:tcPr>
          <w:p>
            <w:pPr>
              <w:jc w:val="right"/>
              <w:ind w:right="61"/>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18"/>
                <w:szCs w:val="18"/>
                <w:color w:val="auto"/>
              </w:rPr>
            </w:pPr>
          </w:p>
        </w:tc>
        <w:tc>
          <w:tcPr>
            <w:tcW w:w="1120" w:type="dxa"/>
            <w:vAlign w:val="bottom"/>
          </w:tcPr>
          <w:p>
            <w:pPr>
              <w:jc w:val="right"/>
              <w:ind w:right="202"/>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3"/>
        </w:trPr>
        <w:tc>
          <w:tcPr>
            <w:tcW w:w="2960" w:type="dxa"/>
            <w:vAlign w:val="bottom"/>
          </w:tcPr>
          <w:p>
            <w:pPr>
              <w:ind w:left="180"/>
              <w:spacing w:after="0"/>
              <w:rPr>
                <w:sz w:val="20"/>
                <w:szCs w:val="20"/>
                <w:color w:val="auto"/>
              </w:rPr>
            </w:pPr>
            <w:r>
              <w:rPr>
                <w:rFonts w:ascii="Arial" w:cs="Arial" w:eastAsia="Arial" w:hAnsi="Arial"/>
                <w:sz w:val="16"/>
                <w:szCs w:val="16"/>
                <w:color w:val="auto"/>
              </w:rPr>
              <w:t>Commodity contracts not subject</w:t>
            </w:r>
          </w:p>
        </w:tc>
        <w:tc>
          <w:tcPr>
            <w:tcW w:w="3400" w:type="dxa"/>
            <w:vAlign w:val="bottom"/>
          </w:tcPr>
          <w:p>
            <w:pPr>
              <w:ind w:left="340"/>
              <w:spacing w:after="0"/>
              <w:rPr>
                <w:sz w:val="20"/>
                <w:szCs w:val="20"/>
                <w:color w:val="auto"/>
              </w:rPr>
            </w:pPr>
            <w:r>
              <w:rPr>
                <w:rFonts w:ascii="Arial" w:cs="Arial" w:eastAsia="Arial" w:hAnsi="Arial"/>
                <w:sz w:val="16"/>
                <w:szCs w:val="16"/>
                <w:color w:val="auto"/>
              </w:rPr>
              <w:t>Cost of Natural Gas, Electric Fuel</w:t>
            </w: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3"/>
        </w:trPr>
        <w:tc>
          <w:tcPr>
            <w:tcW w:w="2960" w:type="dxa"/>
            <w:vAlign w:val="bottom"/>
          </w:tcPr>
          <w:p>
            <w:pPr>
              <w:ind w:left="360"/>
              <w:spacing w:after="0"/>
              <w:rPr>
                <w:sz w:val="20"/>
                <w:szCs w:val="20"/>
                <w:color w:val="auto"/>
              </w:rPr>
            </w:pPr>
            <w:r>
              <w:rPr>
                <w:rFonts w:ascii="Arial" w:cs="Arial" w:eastAsia="Arial" w:hAnsi="Arial"/>
                <w:sz w:val="16"/>
                <w:szCs w:val="16"/>
                <w:color w:val="auto"/>
              </w:rPr>
              <w:t>to rate recovery</w:t>
            </w:r>
          </w:p>
        </w:tc>
        <w:tc>
          <w:tcPr>
            <w:tcW w:w="3400" w:type="dxa"/>
            <w:vAlign w:val="bottom"/>
          </w:tcPr>
          <w:p>
            <w:pPr>
              <w:ind w:left="520"/>
              <w:spacing w:after="0"/>
              <w:rPr>
                <w:sz w:val="20"/>
                <w:szCs w:val="20"/>
                <w:color w:val="auto"/>
              </w:rPr>
            </w:pPr>
            <w:r>
              <w:rPr>
                <w:rFonts w:ascii="Arial" w:cs="Arial" w:eastAsia="Arial" w:hAnsi="Arial"/>
                <w:sz w:val="16"/>
                <w:szCs w:val="16"/>
                <w:color w:val="auto"/>
              </w:rPr>
              <w:t>and Purchased Power</w:t>
            </w:r>
          </w:p>
        </w:tc>
        <w:tc>
          <w:tcPr>
            <w:tcW w:w="420" w:type="dxa"/>
            <w:vAlign w:val="bottom"/>
          </w:tcPr>
          <w:p>
            <w:pPr>
              <w:spacing w:after="0"/>
              <w:rPr>
                <w:sz w:val="18"/>
                <w:szCs w:val="18"/>
                <w:color w:val="auto"/>
              </w:rPr>
            </w:pPr>
          </w:p>
        </w:tc>
        <w:tc>
          <w:tcPr>
            <w:tcW w:w="980" w:type="dxa"/>
            <w:vAlign w:val="bottom"/>
          </w:tcPr>
          <w:p>
            <w:pPr>
              <w:jc w:val="right"/>
              <w:ind w:right="63"/>
              <w:spacing w:after="0"/>
              <w:rPr>
                <w:sz w:val="20"/>
                <w:szCs w:val="20"/>
                <w:color w:val="auto"/>
              </w:rPr>
            </w:pPr>
            <w:r>
              <w:rPr>
                <w:rFonts w:ascii="Arial" w:cs="Arial" w:eastAsia="Arial" w:hAnsi="Arial"/>
                <w:sz w:val="16"/>
                <w:szCs w:val="16"/>
                <w:color w:val="auto"/>
              </w:rPr>
              <w:t>1</w:t>
            </w:r>
          </w:p>
        </w:tc>
        <w:tc>
          <w:tcPr>
            <w:tcW w:w="340" w:type="dxa"/>
            <w:vAlign w:val="bottom"/>
          </w:tcPr>
          <w:p>
            <w:pPr>
              <w:spacing w:after="0"/>
              <w:rPr>
                <w:sz w:val="18"/>
                <w:szCs w:val="18"/>
                <w:color w:val="auto"/>
              </w:rPr>
            </w:pPr>
          </w:p>
        </w:tc>
        <w:tc>
          <w:tcPr>
            <w:tcW w:w="92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20" w:type="dxa"/>
            <w:vAlign w:val="bottom"/>
          </w:tcPr>
          <w:p>
            <w:pPr>
              <w:jc w:val="right"/>
              <w:ind w:right="202"/>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18"/>
                <w:szCs w:val="18"/>
                <w:color w:val="auto"/>
              </w:rPr>
            </w:pPr>
          </w:p>
        </w:tc>
        <w:tc>
          <w:tcPr>
            <w:tcW w:w="800" w:type="dxa"/>
            <w:vAlign w:val="bottom"/>
          </w:tcPr>
          <w:p>
            <w:pPr>
              <w:jc w:val="right"/>
              <w:ind w:right="61"/>
              <w:spacing w:after="0"/>
              <w:rPr>
                <w:sz w:val="20"/>
                <w:szCs w:val="20"/>
                <w:color w:val="auto"/>
              </w:rPr>
            </w:pPr>
            <w:r>
              <w:rPr>
                <w:rFonts w:ascii="Arial" w:cs="Arial" w:eastAsia="Arial" w:hAnsi="Arial"/>
                <w:sz w:val="16"/>
                <w:szCs w:val="16"/>
                <w:color w:val="auto"/>
              </w:rPr>
              <w:t>―</w:t>
            </w:r>
          </w:p>
        </w:tc>
      </w:tr>
      <w:tr>
        <w:trPr>
          <w:trHeight w:val="213"/>
        </w:trPr>
        <w:tc>
          <w:tcPr>
            <w:tcW w:w="2960" w:type="dxa"/>
            <w:vAlign w:val="bottom"/>
          </w:tcPr>
          <w:p>
            <w:pPr>
              <w:ind w:left="180"/>
              <w:spacing w:after="0"/>
              <w:rPr>
                <w:sz w:val="20"/>
                <w:szCs w:val="20"/>
                <w:color w:val="auto"/>
              </w:rPr>
            </w:pPr>
            <w:r>
              <w:rPr>
                <w:rFonts w:ascii="Arial" w:cs="Arial" w:eastAsia="Arial" w:hAnsi="Arial"/>
                <w:sz w:val="16"/>
                <w:szCs w:val="16"/>
                <w:color w:val="auto"/>
              </w:rPr>
              <w:t>Commodity contracts subject</w:t>
            </w:r>
          </w:p>
        </w:tc>
        <w:tc>
          <w:tcPr>
            <w:tcW w:w="3400" w:type="dxa"/>
            <w:vAlign w:val="bottom"/>
          </w:tcPr>
          <w:p>
            <w:pPr>
              <w:ind w:left="340"/>
              <w:spacing w:after="0"/>
              <w:rPr>
                <w:sz w:val="20"/>
                <w:szCs w:val="20"/>
                <w:color w:val="auto"/>
              </w:rPr>
            </w:pPr>
            <w:r>
              <w:rPr>
                <w:rFonts w:ascii="Arial" w:cs="Arial" w:eastAsia="Arial" w:hAnsi="Arial"/>
                <w:sz w:val="16"/>
                <w:szCs w:val="16"/>
                <w:color w:val="auto"/>
              </w:rPr>
              <w:t>Cost of Electric Fuel</w:t>
            </w: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3"/>
        </w:trPr>
        <w:tc>
          <w:tcPr>
            <w:tcW w:w="2960" w:type="dxa"/>
            <w:vAlign w:val="bottom"/>
          </w:tcPr>
          <w:p>
            <w:pPr>
              <w:ind w:left="360"/>
              <w:spacing w:after="0"/>
              <w:rPr>
                <w:sz w:val="20"/>
                <w:szCs w:val="20"/>
                <w:color w:val="auto"/>
              </w:rPr>
            </w:pPr>
            <w:r>
              <w:rPr>
                <w:rFonts w:ascii="Arial" w:cs="Arial" w:eastAsia="Arial" w:hAnsi="Arial"/>
                <w:sz w:val="16"/>
                <w:szCs w:val="16"/>
                <w:color w:val="auto"/>
              </w:rPr>
              <w:t>to rate recovery</w:t>
            </w:r>
          </w:p>
        </w:tc>
        <w:tc>
          <w:tcPr>
            <w:tcW w:w="3400" w:type="dxa"/>
            <w:vAlign w:val="bottom"/>
          </w:tcPr>
          <w:p>
            <w:pPr>
              <w:ind w:left="520"/>
              <w:spacing w:after="0"/>
              <w:rPr>
                <w:sz w:val="20"/>
                <w:szCs w:val="20"/>
                <w:color w:val="auto"/>
              </w:rPr>
            </w:pPr>
            <w:r>
              <w:rPr>
                <w:rFonts w:ascii="Arial" w:cs="Arial" w:eastAsia="Arial" w:hAnsi="Arial"/>
                <w:sz w:val="16"/>
                <w:szCs w:val="16"/>
                <w:color w:val="auto"/>
              </w:rPr>
              <w:t>and Purchased Power</w:t>
            </w:r>
          </w:p>
        </w:tc>
        <w:tc>
          <w:tcPr>
            <w:tcW w:w="420" w:type="dxa"/>
            <w:vAlign w:val="bottom"/>
          </w:tcPr>
          <w:p>
            <w:pPr>
              <w:spacing w:after="0"/>
              <w:rPr>
                <w:sz w:val="18"/>
                <w:szCs w:val="18"/>
                <w:color w:val="auto"/>
              </w:rPr>
            </w:pPr>
          </w:p>
        </w:tc>
        <w:tc>
          <w:tcPr>
            <w:tcW w:w="980" w:type="dxa"/>
            <w:vAlign w:val="bottom"/>
          </w:tcPr>
          <w:p>
            <w:pPr>
              <w:jc w:val="right"/>
              <w:ind w:right="63"/>
              <w:spacing w:after="0"/>
              <w:rPr>
                <w:sz w:val="20"/>
                <w:szCs w:val="20"/>
                <w:color w:val="auto"/>
              </w:rPr>
            </w:pPr>
            <w:r>
              <w:rPr>
                <w:rFonts w:ascii="Arial" w:cs="Arial" w:eastAsia="Arial" w:hAnsi="Arial"/>
                <w:sz w:val="16"/>
                <w:szCs w:val="16"/>
                <w:color w:val="auto"/>
              </w:rPr>
              <w:t>(1)</w:t>
            </w:r>
          </w:p>
        </w:tc>
        <w:tc>
          <w:tcPr>
            <w:tcW w:w="340" w:type="dxa"/>
            <w:vAlign w:val="bottom"/>
          </w:tcPr>
          <w:p>
            <w:pPr>
              <w:spacing w:after="0"/>
              <w:rPr>
                <w:sz w:val="18"/>
                <w:szCs w:val="18"/>
                <w:color w:val="auto"/>
              </w:rPr>
            </w:pPr>
          </w:p>
        </w:tc>
        <w:tc>
          <w:tcPr>
            <w:tcW w:w="92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20" w:type="dxa"/>
            <w:vAlign w:val="bottom"/>
          </w:tcPr>
          <w:p>
            <w:pPr>
              <w:jc w:val="right"/>
              <w:ind w:right="202"/>
              <w:spacing w:after="0"/>
              <w:rPr>
                <w:sz w:val="20"/>
                <w:szCs w:val="20"/>
                <w:color w:val="auto"/>
              </w:rPr>
            </w:pPr>
            <w:r>
              <w:rPr>
                <w:rFonts w:ascii="Arial" w:cs="Arial" w:eastAsia="Arial" w:hAnsi="Arial"/>
                <w:sz w:val="16"/>
                <w:szCs w:val="16"/>
                <w:color w:val="auto"/>
              </w:rPr>
              <w:t>19</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3"/>
        </w:trPr>
        <w:tc>
          <w:tcPr>
            <w:tcW w:w="2960" w:type="dxa"/>
            <w:vAlign w:val="bottom"/>
          </w:tcPr>
          <w:p>
            <w:pPr>
              <w:ind w:left="180"/>
              <w:spacing w:after="0"/>
              <w:rPr>
                <w:sz w:val="20"/>
                <w:szCs w:val="20"/>
                <w:color w:val="auto"/>
              </w:rPr>
            </w:pPr>
            <w:r>
              <w:rPr>
                <w:rFonts w:ascii="Arial" w:cs="Arial" w:eastAsia="Arial" w:hAnsi="Arial"/>
                <w:sz w:val="16"/>
                <w:szCs w:val="16"/>
                <w:color w:val="auto"/>
              </w:rPr>
              <w:t>Commodity contracts subject</w:t>
            </w:r>
          </w:p>
        </w:tc>
        <w:tc>
          <w:tcPr>
            <w:tcW w:w="3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4"/>
        </w:trPr>
        <w:tc>
          <w:tcPr>
            <w:tcW w:w="2960" w:type="dxa"/>
            <w:vAlign w:val="bottom"/>
          </w:tcPr>
          <w:p>
            <w:pPr>
              <w:ind w:left="360"/>
              <w:spacing w:after="0"/>
              <w:rPr>
                <w:sz w:val="20"/>
                <w:szCs w:val="20"/>
                <w:color w:val="auto"/>
              </w:rPr>
            </w:pPr>
            <w:r>
              <w:rPr>
                <w:rFonts w:ascii="Arial" w:cs="Arial" w:eastAsia="Arial" w:hAnsi="Arial"/>
                <w:sz w:val="16"/>
                <w:szCs w:val="16"/>
                <w:color w:val="auto"/>
              </w:rPr>
              <w:t>to rate recovery</w:t>
            </w:r>
          </w:p>
        </w:tc>
        <w:tc>
          <w:tcPr>
            <w:tcW w:w="3400" w:type="dxa"/>
            <w:vAlign w:val="bottom"/>
          </w:tcPr>
          <w:p>
            <w:pPr>
              <w:ind w:left="340"/>
              <w:spacing w:after="0"/>
              <w:rPr>
                <w:sz w:val="20"/>
                <w:szCs w:val="20"/>
                <w:color w:val="auto"/>
              </w:rPr>
            </w:pPr>
            <w:r>
              <w:rPr>
                <w:rFonts w:ascii="Arial" w:cs="Arial" w:eastAsia="Arial" w:hAnsi="Arial"/>
                <w:sz w:val="16"/>
                <w:szCs w:val="16"/>
                <w:color w:val="auto"/>
              </w:rPr>
              <w:t>Cost of Natural Gas</w:t>
            </w: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1</w:t>
            </w: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w:t>
            </w: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2</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r>
      <w:tr>
        <w:trPr>
          <w:trHeight w:val="212"/>
        </w:trPr>
        <w:tc>
          <w:tcPr>
            <w:tcW w:w="296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Total</w:t>
            </w:r>
          </w:p>
        </w:tc>
        <w:tc>
          <w:tcPr>
            <w:tcW w:w="34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(4)</w:t>
            </w:r>
          </w:p>
        </w:tc>
        <w:tc>
          <w:tcPr>
            <w:tcW w:w="3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16</w:t>
            </w: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r>
      <w:tr>
        <w:trPr>
          <w:trHeight w:val="221"/>
        </w:trPr>
        <w:tc>
          <w:tcPr>
            <w:tcW w:w="296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3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193"/>
        </w:trPr>
        <w:tc>
          <w:tcPr>
            <w:tcW w:w="2960" w:type="dxa"/>
            <w:vAlign w:val="bottom"/>
          </w:tcPr>
          <w:p>
            <w:pPr>
              <w:ind w:left="180"/>
              <w:spacing w:after="0"/>
              <w:rPr>
                <w:sz w:val="20"/>
                <w:szCs w:val="20"/>
                <w:color w:val="auto"/>
              </w:rPr>
            </w:pPr>
            <w:r>
              <w:rPr>
                <w:rFonts w:ascii="Arial" w:cs="Arial" w:eastAsia="Arial" w:hAnsi="Arial"/>
                <w:sz w:val="16"/>
                <w:szCs w:val="16"/>
                <w:color w:val="auto"/>
              </w:rPr>
              <w:t>Commodity contracts subject</w:t>
            </w:r>
          </w:p>
        </w:tc>
        <w:tc>
          <w:tcPr>
            <w:tcW w:w="3400" w:type="dxa"/>
            <w:vAlign w:val="bottom"/>
          </w:tcPr>
          <w:p>
            <w:pPr>
              <w:ind w:left="340"/>
              <w:spacing w:after="0"/>
              <w:rPr>
                <w:sz w:val="20"/>
                <w:szCs w:val="20"/>
                <w:color w:val="auto"/>
              </w:rPr>
            </w:pPr>
            <w:r>
              <w:rPr>
                <w:rFonts w:ascii="Arial" w:cs="Arial" w:eastAsia="Arial" w:hAnsi="Arial"/>
                <w:sz w:val="16"/>
                <w:szCs w:val="16"/>
                <w:color w:val="auto"/>
              </w:rPr>
              <w:t>Cost of Electric Fuel</w:t>
            </w: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296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to rate recovery</w:t>
            </w:r>
          </w:p>
        </w:tc>
        <w:tc>
          <w:tcPr>
            <w:tcW w:w="340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and Purchased Power</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(1)</w:t>
            </w:r>
          </w:p>
        </w:tc>
        <w:tc>
          <w:tcPr>
            <w:tcW w:w="3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19</w:t>
            </w: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r>
      <w:tr>
        <w:trPr>
          <w:trHeight w:val="221"/>
        </w:trPr>
        <w:tc>
          <w:tcPr>
            <w:tcW w:w="2960" w:type="dxa"/>
            <w:vAlign w:val="bottom"/>
          </w:tcPr>
          <w:p>
            <w:pPr>
              <w:spacing w:after="0"/>
              <w:rPr>
                <w:sz w:val="20"/>
                <w:szCs w:val="20"/>
                <w:color w:val="auto"/>
              </w:rPr>
            </w:pPr>
            <w:r>
              <w:rPr>
                <w:rFonts w:ascii="Arial" w:cs="Arial" w:eastAsia="Arial" w:hAnsi="Arial"/>
                <w:sz w:val="16"/>
                <w:szCs w:val="16"/>
                <w:b w:val="1"/>
                <w:bCs w:val="1"/>
                <w:color w:val="auto"/>
              </w:rPr>
              <w:t>SoCalGas:</w:t>
            </w:r>
          </w:p>
        </w:tc>
        <w:tc>
          <w:tcPr>
            <w:tcW w:w="3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193"/>
        </w:trPr>
        <w:tc>
          <w:tcPr>
            <w:tcW w:w="2960" w:type="dxa"/>
            <w:vAlign w:val="bottom"/>
          </w:tcPr>
          <w:p>
            <w:pPr>
              <w:ind w:left="180"/>
              <w:spacing w:after="0"/>
              <w:rPr>
                <w:sz w:val="20"/>
                <w:szCs w:val="20"/>
                <w:color w:val="auto"/>
              </w:rPr>
            </w:pPr>
            <w:r>
              <w:rPr>
                <w:rFonts w:ascii="Arial" w:cs="Arial" w:eastAsia="Arial" w:hAnsi="Arial"/>
                <w:sz w:val="16"/>
                <w:szCs w:val="16"/>
                <w:color w:val="auto"/>
              </w:rPr>
              <w:t>Commodity contracts subject</w:t>
            </w:r>
          </w:p>
        </w:tc>
        <w:tc>
          <w:tcPr>
            <w:tcW w:w="3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296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to rate recovery</w:t>
            </w:r>
          </w:p>
        </w:tc>
        <w:tc>
          <w:tcPr>
            <w:tcW w:w="340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Cost of Natural Gas</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1</w:t>
            </w:r>
          </w:p>
        </w:tc>
        <w:tc>
          <w:tcPr>
            <w:tcW w:w="3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2</w:t>
            </w: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r>
    </w:tbl>
    <w:p>
      <w:pPr>
        <w:sectPr>
          <w:pgSz w:w="11900" w:h="16898" w:orient="portrait"/>
          <w:cols w:equalWidth="0" w:num="1">
            <w:col w:w="11420"/>
          </w:cols>
          <w:pgMar w:left="240" w:top="144" w:right="239" w:bottom="0" w:gutter="0" w:footer="0" w:header="0"/>
        </w:sectPr>
      </w:pPr>
    </w:p>
    <w:bookmarkStart w:id="35" w:name="page36"/>
    <w:bookmarkEnd w:id="35"/>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FEATURES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Sempra Energy Consolidated and SDG&amp;E, certain of our derivative instruments contain credit limits which vary depending upon our credit</w:t>
      </w:r>
    </w:p>
    <w:p>
      <w:pPr>
        <w:spacing w:after="0" w:line="17"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auto"/>
        </w:rPr>
        <w:t>ratings. Generally, these provisions, if applicable, may reduce our credit limit if a specified credit rating agency reduces our ratings. In certain cases, if our credit ratings were to fall below investment grade, the counterparty to these derivative liability instruments could request immediate payment or demand immediate and ongoing full collateralization.</w:t>
      </w:r>
    </w:p>
    <w:p>
      <w:pPr>
        <w:spacing w:after="0" w:line="195"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For Sempra Energy Consolidated, the total fair value of this group of derivative instruments in a net liability position at September 30, 2014 and December 31, 2013 is $2 million and $3 million, respectively. At September 30, 2014, if the credit ratings of Sempra Energy were reduced below investment grade, $2 million of additional assets could be required to be posted as collateral for these derivative contracts.</w:t>
      </w:r>
    </w:p>
    <w:p>
      <w:pPr>
        <w:spacing w:after="0" w:line="188"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For SDG&amp;E, the total fair value of this group of derivative instruments in a net liability position was negligible at September 30, 2014 and $3 million at December 31, 2013. At September 30, 2014, if the credit ratings of SDG&amp;E were reduced below investment grade, a negligible amount of additional assets could be required to be posted as collateral for these derivative contracts.</w:t>
      </w:r>
    </w:p>
    <w:p>
      <w:pPr>
        <w:spacing w:after="0" w:line="18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For Sempra Energy Consolidated, SDG&amp;E and SoCalGas, some of our derivative contracts contain a provision that would permit the counterparty, in certain circumstances, to request adequate assurance of our performance under the contracts. Such additional assurance, if needed, is not material and is not included in the amounts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464820</wp:posOffset>
            </wp:positionV>
            <wp:extent cx="72656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5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color w:val="auto"/>
        </w:rPr>
        <w:t>NOTE 8. FAIR VALUE MEASUREMENTS</w:t>
      </w:r>
    </w:p>
    <w:p>
      <w:pPr>
        <w:spacing w:after="0" w:line="198"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discuss the valuation techniques and inputs we use to measure fair value and the definition of the three levels of the fair value hierarchy in Note 1 of the Notes to Consolidated Financial Statements in the Annual Report. We have not changed the valuation techniques or inputs we use to measure fair value during the nine months ended September 30, 2014.</w:t>
      </w:r>
    </w:p>
    <w:p>
      <w:pPr>
        <w:spacing w:after="0" w:line="39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Recurring Fair Value Measures</w:t>
      </w:r>
    </w:p>
    <w:p>
      <w:pPr>
        <w:spacing w:after="0" w:line="211" w:lineRule="exact"/>
        <w:rPr>
          <w:sz w:val="20"/>
          <w:szCs w:val="20"/>
          <w:color w:val="auto"/>
        </w:rPr>
      </w:pPr>
    </w:p>
    <w:p>
      <w:pPr>
        <w:ind w:right="260"/>
        <w:spacing w:after="0" w:line="272" w:lineRule="auto"/>
        <w:rPr>
          <w:sz w:val="20"/>
          <w:szCs w:val="20"/>
          <w:color w:val="auto"/>
        </w:rPr>
      </w:pPr>
      <w:r>
        <w:rPr>
          <w:rFonts w:ascii="Arial" w:cs="Arial" w:eastAsia="Arial" w:hAnsi="Arial"/>
          <w:sz w:val="17"/>
          <w:szCs w:val="17"/>
          <w:color w:val="auto"/>
        </w:rPr>
        <w:t>The three tables below, by level within the fair value hierarchy, set forth our financial assets and liabilities that were accounted for at fair value on a recurring basis at September 30, 2014 and December 31, 2013. We classify financial assets and liabilities in their entirety based on the lowest level of input that is significant to the fair value measurement. Our assessment of the significance of a particular input to the fair value measurement requires judgment, and may affect the valuation of fair value assets and liabilities, and their placement within the fair value hierarchy levels.</w:t>
      </w:r>
    </w:p>
    <w:p>
      <w:pPr>
        <w:spacing w:after="0" w:line="177" w:lineRule="exact"/>
        <w:rPr>
          <w:sz w:val="20"/>
          <w:szCs w:val="20"/>
          <w:color w:val="auto"/>
        </w:rPr>
      </w:pPr>
    </w:p>
    <w:p>
      <w:pPr>
        <w:ind w:right="620"/>
        <w:spacing w:after="0" w:line="266" w:lineRule="auto"/>
        <w:rPr>
          <w:sz w:val="20"/>
          <w:szCs w:val="20"/>
          <w:color w:val="auto"/>
        </w:rPr>
      </w:pPr>
      <w:r>
        <w:rPr>
          <w:rFonts w:ascii="Arial" w:cs="Arial" w:eastAsia="Arial" w:hAnsi="Arial"/>
          <w:sz w:val="18"/>
          <w:szCs w:val="18"/>
          <w:color w:val="auto"/>
        </w:rPr>
        <w:t>The fair value of commodity derivative assets and liabilities is presented in accordance with our netting policy, as we discuss in Note 7 under “Financial Statement Presentation.”</w:t>
      </w:r>
    </w:p>
    <w:p>
      <w:pPr>
        <w:spacing w:after="0" w:line="179"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color w:val="auto"/>
        </w:rPr>
        <w:t>The determination of fair values, shown in the tables below, incorporates various factors, including but not limited to, the credit standing of the counterparties involved and the impact of credit enhancements (such as cash deposits, letters of credit and priority interests).</w:t>
      </w:r>
    </w:p>
    <w:p>
      <w:pPr>
        <w:spacing w:after="0" w:line="179"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color w:val="auto"/>
        </w:rPr>
        <w:t>Our financial assets and liabilities that were accounted for at fair value on a recurring basis at September 30, 2014 and December 31, 2013 in the tables below include the following:</w:t>
      </w:r>
    </w:p>
    <w:p>
      <w:pPr>
        <w:spacing w:after="0" w:line="179" w:lineRule="exact"/>
        <w:rPr>
          <w:sz w:val="20"/>
          <w:szCs w:val="20"/>
          <w:color w:val="auto"/>
        </w:rPr>
      </w:pPr>
    </w:p>
    <w:p>
      <w:pPr>
        <w:jc w:val="both"/>
        <w:ind w:left="320" w:hanging="172"/>
        <w:spacing w:after="0" w:line="269" w:lineRule="auto"/>
        <w:tabs>
          <w:tab w:leader="none" w:pos="3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Nuclear decommissioning trusts reflect the assets of SDG&amp;E’s nuclear decommissioning trusts, excluding cash balances. A third party trustee values the trust assets using prices from a pricing service based on a market approach. We validate these prices by comparison to prices from other independent data sources. Equity and certain debt securities are valued using quoted prices listed on nationally recognized securities exchanges or based on closing prices reported in the active market in which the identical security is traded (Level 1). Other debt securities are valued based on yields that are currently available for comparable securities of issuers with similar credit ratings (Level 2).</w:t>
      </w:r>
    </w:p>
    <w:p>
      <w:pPr>
        <w:spacing w:after="0" w:line="206" w:lineRule="exact"/>
        <w:rPr>
          <w:rFonts w:ascii="Arial" w:cs="Arial" w:eastAsia="Arial" w:hAnsi="Arial"/>
          <w:sz w:val="17"/>
          <w:szCs w:val="17"/>
          <w:color w:val="auto"/>
        </w:rPr>
      </w:pPr>
    </w:p>
    <w:p>
      <w:pPr>
        <w:jc w:val="both"/>
        <w:ind w:left="320" w:hanging="172"/>
        <w:spacing w:after="0" w:line="284" w:lineRule="auto"/>
        <w:tabs>
          <w:tab w:leader="none" w:pos="3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We enter into commodity contracts and interest rate derivatives primarily as a means to manage price exposures. We may also manage foreign exchange rate exposures using derivatives. We primarily use a market approach with market participant assumptions to value these derivatives. Market participant assumptions include those about risk, and the risk inherent in the inputs to the valuation techniques. These inputs can be readily observable, market corroborated, or generally unobservable. We have exchange-traded derivatives that are valued based on quoted prices in active markets for the identical instruments (Level 1). We also may have other commodity derivatives that are valued using industry standard models that consider quoted forward prices for commodities, time value, current market and contractual prices for the underlying instruments, volatility factors, and other relevant economic measures (Level 2). All Level 3 recurring items are related to CRRs at SDG&amp;E, as we discuss below under “Level 3 Information.” We record commodity derivative contracts that are subject to rate recovery as commodity costs that are offset by regulatory account balances and are recovered in rates.</w:t>
      </w:r>
    </w:p>
    <w:p>
      <w:pPr>
        <w:spacing w:after="0" w:line="198" w:lineRule="exact"/>
        <w:rPr>
          <w:rFonts w:ascii="Arial" w:cs="Arial" w:eastAsia="Arial" w:hAnsi="Arial"/>
          <w:sz w:val="16"/>
          <w:szCs w:val="16"/>
          <w:color w:val="auto"/>
        </w:rPr>
      </w:pPr>
    </w:p>
    <w:p>
      <w:pPr>
        <w:ind w:left="320" w:hanging="172"/>
        <w:spacing w:after="0" w:line="266" w:lineRule="auto"/>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Investments include marketable securities that we value using a market approach based on closing prices reported in the active market in which the identical security is traded (Level 1).</w:t>
      </w:r>
    </w:p>
    <w:p>
      <w:pPr>
        <w:spacing w:after="0" w:line="206"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There were no transfers into or out of Level 1, Level 2 or Level 3 for Sempra Energy Consolidated, SDG&amp;E or SoCalGas during the periods presented, nor any changes in valuation techniques used in recurring fair value measurements.</w:t>
      </w:r>
    </w:p>
    <w:p>
      <w:pPr>
        <w:spacing w:after="0" w:line="200" w:lineRule="exact"/>
        <w:rPr>
          <w:sz w:val="20"/>
          <w:szCs w:val="20"/>
          <w:color w:val="auto"/>
        </w:rPr>
      </w:pPr>
    </w:p>
    <w:p>
      <w:pPr>
        <w:spacing w:after="0" w:line="212" w:lineRule="exact"/>
        <w:rPr>
          <w:sz w:val="20"/>
          <w:szCs w:val="20"/>
          <w:color w:val="auto"/>
        </w:rPr>
      </w:pPr>
    </w:p>
    <w:p>
      <w:pPr>
        <w:ind w:right="5640"/>
        <w:spacing w:after="0" w:line="254" w:lineRule="auto"/>
        <w:rPr>
          <w:sz w:val="20"/>
          <w:szCs w:val="20"/>
          <w:color w:val="auto"/>
        </w:rPr>
      </w:pPr>
      <w:r>
        <w:rPr>
          <w:rFonts w:ascii="Arial" w:cs="Arial" w:eastAsia="Arial" w:hAnsi="Arial"/>
          <w:sz w:val="16"/>
          <w:szCs w:val="16"/>
          <w:b w:val="1"/>
          <w:bCs w:val="1"/>
          <w:color w:val="auto"/>
        </w:rPr>
        <w:t xml:space="preserve">RECURRING FAIR VALUE MEASURES – SEMPRA ENERGY CONSOLIDATED </w:t>
      </w: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-234950</wp:posOffset>
            </wp:positionV>
            <wp:extent cx="7248525" cy="2197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8525" cy="2197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Fair value at September 30, 2014</w:t>
            </w:r>
          </w:p>
        </w:tc>
        <w:tc>
          <w:tcPr>
            <w:tcW w:w="9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50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Level 1</w:t>
            </w: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Level 2</w:t>
            </w:r>
          </w:p>
        </w:tc>
        <w:tc>
          <w:tcPr>
            <w:tcW w:w="4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Level 3</w:t>
            </w: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Netting(1)</w:t>
            </w:r>
          </w:p>
        </w:tc>
        <w:tc>
          <w:tcPr>
            <w:tcW w:w="4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21"/>
        </w:trPr>
        <w:tc>
          <w:tcPr>
            <w:tcW w:w="5040" w:type="dxa"/>
            <w:vAlign w:val="bottom"/>
          </w:tcPr>
          <w:p>
            <w:pPr>
              <w:spacing w:after="0"/>
              <w:rPr>
                <w:sz w:val="20"/>
                <w:szCs w:val="20"/>
                <w:color w:val="auto"/>
              </w:rPr>
            </w:pPr>
            <w:r>
              <w:rPr>
                <w:rFonts w:ascii="Arial" w:cs="Arial" w:eastAsia="Arial" w:hAnsi="Arial"/>
                <w:sz w:val="14"/>
                <w:szCs w:val="14"/>
                <w:color w:val="auto"/>
              </w:rPr>
              <w:t>Assets:</w:t>
            </w: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40" w:type="dxa"/>
            <w:vAlign w:val="bottom"/>
          </w:tcPr>
          <w:p>
            <w:pPr>
              <w:ind w:left="160"/>
              <w:spacing w:after="0"/>
              <w:rPr>
                <w:sz w:val="20"/>
                <w:szCs w:val="20"/>
                <w:color w:val="auto"/>
              </w:rPr>
            </w:pPr>
            <w:r>
              <w:rPr>
                <w:rFonts w:ascii="Arial" w:cs="Arial" w:eastAsia="Arial" w:hAnsi="Arial"/>
                <w:sz w:val="14"/>
                <w:szCs w:val="14"/>
                <w:color w:val="auto"/>
              </w:rPr>
              <w:t>Nuclear decommissioning trusts:</w:t>
            </w:r>
          </w:p>
        </w:tc>
        <w:tc>
          <w:tcPr>
            <w:tcW w:w="46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69"/>
              <w:spacing w:after="0"/>
              <w:rPr>
                <w:sz w:val="20"/>
                <w:szCs w:val="20"/>
                <w:color w:val="auto"/>
              </w:rPr>
            </w:pPr>
            <w:r>
              <w:rPr>
                <w:rFonts w:ascii="Arial" w:cs="Arial" w:eastAsia="Arial" w:hAnsi="Arial"/>
                <w:sz w:val="14"/>
                <w:szCs w:val="14"/>
                <w:color w:val="auto"/>
              </w:rPr>
              <w:t>637</w:t>
            </w:r>
          </w:p>
        </w:tc>
        <w:tc>
          <w:tcPr>
            <w:tcW w:w="3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ind w:left="520"/>
              <w:spacing w:after="0"/>
              <w:rPr>
                <w:sz w:val="20"/>
                <w:szCs w:val="20"/>
                <w:color w:val="auto"/>
              </w:rPr>
            </w:pPr>
            <w:r>
              <w:rPr>
                <w:rFonts w:ascii="Arial" w:cs="Arial" w:eastAsia="Arial" w:hAnsi="Arial"/>
                <w:sz w:val="14"/>
                <w:szCs w:val="14"/>
                <w:color w:val="auto"/>
              </w:rPr>
              <w:t>―</w:t>
            </w:r>
          </w:p>
        </w:tc>
        <w:tc>
          <w:tcPr>
            <w:tcW w:w="40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ind w:left="520"/>
              <w:spacing w:after="0"/>
              <w:rPr>
                <w:sz w:val="20"/>
                <w:szCs w:val="20"/>
                <w:color w:val="auto"/>
              </w:rPr>
            </w:pPr>
            <w:r>
              <w:rPr>
                <w:rFonts w:ascii="Arial" w:cs="Arial" w:eastAsia="Arial" w:hAnsi="Arial"/>
                <w:sz w:val="14"/>
                <w:szCs w:val="14"/>
                <w:color w:val="auto"/>
              </w:rPr>
              <w:t>―</w:t>
            </w:r>
          </w:p>
        </w:tc>
        <w:tc>
          <w:tcPr>
            <w:tcW w:w="460" w:type="dxa"/>
            <w:vAlign w:val="bottom"/>
            <w:vMerge w:val="restart"/>
          </w:tcPr>
          <w:p>
            <w:pPr>
              <w:jc w:val="right"/>
              <w:ind w:right="109"/>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ind w:left="580"/>
              <w:spacing w:after="0"/>
              <w:rPr>
                <w:sz w:val="20"/>
                <w:szCs w:val="20"/>
                <w:color w:val="auto"/>
              </w:rPr>
            </w:pPr>
            <w:r>
              <w:rPr>
                <w:rFonts w:ascii="Arial" w:cs="Arial" w:eastAsia="Arial" w:hAnsi="Arial"/>
                <w:sz w:val="14"/>
                <w:szCs w:val="14"/>
                <w:color w:val="auto"/>
              </w:rPr>
              <w:t>―</w:t>
            </w:r>
          </w:p>
        </w:tc>
        <w:tc>
          <w:tcPr>
            <w:tcW w:w="44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637</w:t>
            </w:r>
          </w:p>
        </w:tc>
        <w:tc>
          <w:tcPr>
            <w:tcW w:w="0" w:type="dxa"/>
            <w:vAlign w:val="bottom"/>
          </w:tcPr>
          <w:p>
            <w:pPr>
              <w:spacing w:after="0"/>
              <w:rPr>
                <w:sz w:val="1"/>
                <w:szCs w:val="1"/>
                <w:color w:val="auto"/>
              </w:rPr>
            </w:pPr>
          </w:p>
        </w:tc>
      </w:tr>
      <w:tr>
        <w:trPr>
          <w:trHeight w:val="149"/>
        </w:trPr>
        <w:tc>
          <w:tcPr>
            <w:tcW w:w="5040" w:type="dxa"/>
            <w:vAlign w:val="bottom"/>
          </w:tcPr>
          <w:p>
            <w:pPr>
              <w:ind w:left="400"/>
              <w:spacing w:after="0" w:line="144" w:lineRule="exact"/>
              <w:rPr>
                <w:sz w:val="20"/>
                <w:szCs w:val="20"/>
                <w:color w:val="auto"/>
              </w:rPr>
            </w:pPr>
            <w:r>
              <w:rPr>
                <w:rFonts w:ascii="Arial" w:cs="Arial" w:eastAsia="Arial" w:hAnsi="Arial"/>
                <w:sz w:val="14"/>
                <w:szCs w:val="14"/>
                <w:color w:val="auto"/>
              </w:rPr>
              <w:t>Equity securities</w:t>
            </w:r>
          </w:p>
        </w:tc>
        <w:tc>
          <w:tcPr>
            <w:tcW w:w="460" w:type="dxa"/>
            <w:vAlign w:val="bottom"/>
            <w:tcBorders>
              <w:bottom w:val="single" w:sz="8" w:color="auto"/>
            </w:tcBorders>
            <w:vMerge w:val="continue"/>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320" w:type="dxa"/>
            <w:vAlign w:val="bottom"/>
            <w:tcBorders>
              <w:bottom w:val="single" w:sz="8" w:color="auto"/>
            </w:tcBorders>
            <w:vMerge w:val="continue"/>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400" w:type="dxa"/>
            <w:vAlign w:val="bottom"/>
            <w:tcBorders>
              <w:bottom w:val="single" w:sz="8" w:color="auto"/>
            </w:tcBorders>
            <w:vMerge w:val="continue"/>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460" w:type="dxa"/>
            <w:vAlign w:val="bottom"/>
            <w:tcBorders>
              <w:bottom w:val="single" w:sz="8" w:color="auto"/>
            </w:tcBorders>
            <w:vMerge w:val="continue"/>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440" w:type="dxa"/>
            <w:vAlign w:val="bottom"/>
            <w:tcBorders>
              <w:bottom w:val="single" w:sz="8" w:color="auto"/>
            </w:tcBorders>
            <w:vMerge w:val="continue"/>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400"/>
        <w:spacing w:after="0"/>
        <w:rPr>
          <w:sz w:val="20"/>
          <w:szCs w:val="20"/>
          <w:color w:val="auto"/>
        </w:rPr>
      </w:pPr>
      <w:r>
        <w:rPr>
          <w:rFonts w:ascii="Arial" w:cs="Arial" w:eastAsia="Arial" w:hAnsi="Arial"/>
          <w:sz w:val="14"/>
          <w:szCs w:val="14"/>
          <w:color w:val="auto"/>
        </w:rPr>
        <w:t>Debt securities:</w:t>
      </w:r>
    </w:p>
    <w:p>
      <w:pPr>
        <w:ind w:left="560"/>
        <w:spacing w:after="0"/>
        <w:rPr>
          <w:sz w:val="20"/>
          <w:szCs w:val="20"/>
          <w:color w:val="auto"/>
        </w:rPr>
      </w:pPr>
      <w:r>
        <w:rPr>
          <w:rFonts w:ascii="Arial" w:cs="Arial" w:eastAsia="Arial" w:hAnsi="Arial"/>
          <w:sz w:val="14"/>
          <w:szCs w:val="14"/>
          <w:color w:val="auto"/>
        </w:rPr>
        <w:t>Debt securities issued by the U.S. Treasury and other</w:t>
      </w:r>
    </w:p>
    <w:p>
      <w:pPr>
        <w:sectPr>
          <w:pgSz w:w="11900" w:h="16891" w:orient="portrait"/>
          <w:cols w:equalWidth="0" w:num="1">
            <w:col w:w="11420"/>
          </w:cols>
          <w:pgMar w:left="240" w:top="542" w:right="239" w:bottom="0" w:gutter="0" w:footer="0" w:header="0"/>
        </w:sectPr>
      </w:pPr>
    </w:p>
    <w:bookmarkStart w:id="36" w:name="page37"/>
    <w:bookmarkEnd w:id="36"/>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40" w:type="dxa"/>
            <w:vAlign w:val="bottom"/>
          </w:tcPr>
          <w:p>
            <w:pPr>
              <w:ind w:left="760"/>
              <w:spacing w:after="0"/>
              <w:rPr>
                <w:sz w:val="20"/>
                <w:szCs w:val="20"/>
                <w:color w:val="auto"/>
              </w:rPr>
            </w:pPr>
            <w:r>
              <w:rPr>
                <w:rFonts w:ascii="Arial" w:cs="Arial" w:eastAsia="Arial" w:hAnsi="Arial"/>
                <w:sz w:val="14"/>
                <w:szCs w:val="14"/>
                <w:color w:val="auto"/>
              </w:rPr>
              <w:t>U.S. government corporations and agencies</w:t>
            </w:r>
          </w:p>
        </w:tc>
        <w:tc>
          <w:tcPr>
            <w:tcW w:w="460" w:type="dxa"/>
            <w:vAlign w:val="bottom"/>
          </w:tcPr>
          <w:p>
            <w:pPr>
              <w:spacing w:after="0"/>
              <w:rPr>
                <w:sz w:val="14"/>
                <w:szCs w:val="14"/>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56</w:t>
            </w:r>
          </w:p>
        </w:tc>
        <w:tc>
          <w:tcPr>
            <w:tcW w:w="320" w:type="dxa"/>
            <w:vAlign w:val="bottom"/>
          </w:tcPr>
          <w:p>
            <w:pPr>
              <w:spacing w:after="0"/>
              <w:rPr>
                <w:sz w:val="14"/>
                <w:szCs w:val="14"/>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47</w:t>
            </w:r>
          </w:p>
        </w:tc>
        <w:tc>
          <w:tcPr>
            <w:tcW w:w="340" w:type="dxa"/>
            <w:vAlign w:val="bottom"/>
          </w:tcPr>
          <w:p>
            <w:pPr>
              <w:spacing w:after="0"/>
              <w:rPr>
                <w:sz w:val="14"/>
                <w:szCs w:val="14"/>
                <w:color w:val="auto"/>
              </w:rPr>
            </w:pPr>
          </w:p>
        </w:tc>
        <w:tc>
          <w:tcPr>
            <w:tcW w:w="920" w:type="dxa"/>
            <w:vAlign w:val="bottom"/>
          </w:tcPr>
          <w:p>
            <w:pPr>
              <w:ind w:left="5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100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213"/>
        </w:trPr>
        <w:tc>
          <w:tcPr>
            <w:tcW w:w="5040" w:type="dxa"/>
            <w:vAlign w:val="bottom"/>
          </w:tcPr>
          <w:p>
            <w:pPr>
              <w:ind w:left="560"/>
              <w:spacing w:after="0"/>
              <w:rPr>
                <w:sz w:val="20"/>
                <w:szCs w:val="20"/>
                <w:color w:val="auto"/>
              </w:rPr>
            </w:pPr>
            <w:r>
              <w:rPr>
                <w:rFonts w:ascii="Arial" w:cs="Arial" w:eastAsia="Arial" w:hAnsi="Arial"/>
                <w:sz w:val="14"/>
                <w:szCs w:val="14"/>
                <w:color w:val="auto"/>
              </w:rPr>
              <w:t>Municipal bonds</w:t>
            </w:r>
          </w:p>
        </w:tc>
        <w:tc>
          <w:tcPr>
            <w:tcW w:w="460" w:type="dxa"/>
            <w:vAlign w:val="bottom"/>
          </w:tcPr>
          <w:p>
            <w:pPr>
              <w:spacing w:after="0"/>
              <w:rPr>
                <w:sz w:val="18"/>
                <w:szCs w:val="18"/>
                <w:color w:val="auto"/>
              </w:rPr>
            </w:pPr>
          </w:p>
        </w:tc>
        <w:tc>
          <w:tcPr>
            <w:tcW w:w="92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121</w:t>
            </w:r>
          </w:p>
        </w:tc>
        <w:tc>
          <w:tcPr>
            <w:tcW w:w="340" w:type="dxa"/>
            <w:vAlign w:val="bottom"/>
          </w:tcPr>
          <w:p>
            <w:pPr>
              <w:spacing w:after="0"/>
              <w:rPr>
                <w:sz w:val="18"/>
                <w:szCs w:val="18"/>
                <w:color w:val="auto"/>
              </w:rPr>
            </w:pPr>
          </w:p>
        </w:tc>
        <w:tc>
          <w:tcPr>
            <w:tcW w:w="920" w:type="dxa"/>
            <w:vAlign w:val="bottom"/>
          </w:tcPr>
          <w:p>
            <w:pPr>
              <w:ind w:left="5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100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97"/>
        </w:trPr>
        <w:tc>
          <w:tcPr>
            <w:tcW w:w="5040" w:type="dxa"/>
            <w:vAlign w:val="bottom"/>
          </w:tcPr>
          <w:p>
            <w:pPr>
              <w:ind w:left="560"/>
              <w:spacing w:after="0"/>
              <w:rPr>
                <w:sz w:val="20"/>
                <w:szCs w:val="20"/>
                <w:color w:val="auto"/>
              </w:rPr>
            </w:pPr>
            <w:r>
              <w:rPr>
                <w:rFonts w:ascii="Arial" w:cs="Arial" w:eastAsia="Arial" w:hAnsi="Arial"/>
                <w:sz w:val="14"/>
                <w:szCs w:val="14"/>
                <w:color w:val="auto"/>
              </w:rPr>
              <w:t>Other securities</w:t>
            </w: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200</w:t>
            </w: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206"/>
        </w:trPr>
        <w:tc>
          <w:tcPr>
            <w:tcW w:w="5040" w:type="dxa"/>
            <w:vAlign w:val="bottom"/>
          </w:tcPr>
          <w:p>
            <w:pPr>
              <w:ind w:left="400"/>
              <w:spacing w:after="0"/>
              <w:rPr>
                <w:sz w:val="20"/>
                <w:szCs w:val="20"/>
                <w:color w:val="auto"/>
              </w:rPr>
            </w:pPr>
            <w:r>
              <w:rPr>
                <w:rFonts w:ascii="Arial" w:cs="Arial" w:eastAsia="Arial" w:hAnsi="Arial"/>
                <w:sz w:val="14"/>
                <w:szCs w:val="14"/>
                <w:color w:val="auto"/>
              </w:rPr>
              <w:t>Total debt securities</w:t>
            </w: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56</w:t>
            </w: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368</w:t>
            </w: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424</w:t>
            </w:r>
          </w:p>
        </w:tc>
        <w:tc>
          <w:tcPr>
            <w:tcW w:w="0" w:type="dxa"/>
            <w:vAlign w:val="bottom"/>
          </w:tcPr>
          <w:p>
            <w:pPr>
              <w:spacing w:after="0"/>
              <w:rPr>
                <w:sz w:val="1"/>
                <w:szCs w:val="1"/>
                <w:color w:val="auto"/>
              </w:rPr>
            </w:pPr>
          </w:p>
        </w:tc>
      </w:tr>
      <w:tr>
        <w:trPr>
          <w:trHeight w:val="206"/>
        </w:trPr>
        <w:tc>
          <w:tcPr>
            <w:tcW w:w="5040" w:type="dxa"/>
            <w:vAlign w:val="bottom"/>
          </w:tcPr>
          <w:p>
            <w:pPr>
              <w:ind w:left="160"/>
              <w:spacing w:after="0"/>
              <w:rPr>
                <w:sz w:val="20"/>
                <w:szCs w:val="20"/>
                <w:color w:val="auto"/>
              </w:rPr>
            </w:pPr>
            <w:r>
              <w:rPr>
                <w:rFonts w:ascii="Arial" w:cs="Arial" w:eastAsia="Arial" w:hAnsi="Arial"/>
                <w:sz w:val="14"/>
                <w:szCs w:val="14"/>
                <w:color w:val="auto"/>
              </w:rPr>
              <w:t>Total nuclear decommissioning trusts(2)</w:t>
            </w: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693</w:t>
            </w: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368</w:t>
            </w: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1,061</w:t>
            </w:r>
          </w:p>
        </w:tc>
        <w:tc>
          <w:tcPr>
            <w:tcW w:w="0" w:type="dxa"/>
            <w:vAlign w:val="bottom"/>
          </w:tcPr>
          <w:p>
            <w:pPr>
              <w:spacing w:after="0"/>
              <w:rPr>
                <w:sz w:val="1"/>
                <w:szCs w:val="1"/>
                <w:color w:val="auto"/>
              </w:rPr>
            </w:pPr>
          </w:p>
        </w:tc>
      </w:tr>
      <w:tr>
        <w:trPr>
          <w:trHeight w:val="221"/>
        </w:trPr>
        <w:tc>
          <w:tcPr>
            <w:tcW w:w="5040" w:type="dxa"/>
            <w:vAlign w:val="bottom"/>
          </w:tcPr>
          <w:p>
            <w:pPr>
              <w:ind w:left="160"/>
              <w:spacing w:after="0"/>
              <w:rPr>
                <w:sz w:val="20"/>
                <w:szCs w:val="20"/>
                <w:color w:val="auto"/>
              </w:rPr>
            </w:pPr>
            <w:r>
              <w:rPr>
                <w:rFonts w:ascii="Arial" w:cs="Arial" w:eastAsia="Arial" w:hAnsi="Arial"/>
                <w:sz w:val="14"/>
                <w:szCs w:val="14"/>
                <w:color w:val="auto"/>
              </w:rPr>
              <w:t>Interest rate and foreign exchange instruments</w:t>
            </w:r>
          </w:p>
        </w:tc>
        <w:tc>
          <w:tcPr>
            <w:tcW w:w="460" w:type="dxa"/>
            <w:vAlign w:val="bottom"/>
          </w:tcPr>
          <w:p>
            <w:pPr>
              <w:spacing w:after="0"/>
              <w:rPr>
                <w:sz w:val="19"/>
                <w:szCs w:val="19"/>
                <w:color w:val="auto"/>
              </w:rPr>
            </w:pPr>
          </w:p>
        </w:tc>
        <w:tc>
          <w:tcPr>
            <w:tcW w:w="92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9"/>
                <w:szCs w:val="19"/>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51</w:t>
            </w:r>
          </w:p>
        </w:tc>
        <w:tc>
          <w:tcPr>
            <w:tcW w:w="340" w:type="dxa"/>
            <w:vAlign w:val="bottom"/>
          </w:tcPr>
          <w:p>
            <w:pPr>
              <w:spacing w:after="0"/>
              <w:rPr>
                <w:sz w:val="19"/>
                <w:szCs w:val="19"/>
                <w:color w:val="auto"/>
              </w:rPr>
            </w:pPr>
          </w:p>
        </w:tc>
        <w:tc>
          <w:tcPr>
            <w:tcW w:w="920" w:type="dxa"/>
            <w:vAlign w:val="bottom"/>
          </w:tcPr>
          <w:p>
            <w:pPr>
              <w:ind w:left="5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9"/>
                <w:szCs w:val="19"/>
                <w:color w:val="auto"/>
              </w:rPr>
            </w:pPr>
          </w:p>
        </w:tc>
        <w:tc>
          <w:tcPr>
            <w:tcW w:w="100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13"/>
        </w:trPr>
        <w:tc>
          <w:tcPr>
            <w:tcW w:w="5040" w:type="dxa"/>
            <w:vAlign w:val="bottom"/>
          </w:tcPr>
          <w:p>
            <w:pPr>
              <w:ind w:left="160"/>
              <w:spacing w:after="0"/>
              <w:rPr>
                <w:sz w:val="20"/>
                <w:szCs w:val="20"/>
                <w:color w:val="auto"/>
              </w:rPr>
            </w:pPr>
            <w:r>
              <w:rPr>
                <w:rFonts w:ascii="Arial" w:cs="Arial" w:eastAsia="Arial" w:hAnsi="Arial"/>
                <w:sz w:val="14"/>
                <w:szCs w:val="14"/>
                <w:color w:val="auto"/>
              </w:rPr>
              <w:t>Commodity contracts not subject to rate recovery</w:t>
            </w:r>
          </w:p>
        </w:tc>
        <w:tc>
          <w:tcPr>
            <w:tcW w:w="460" w:type="dxa"/>
            <w:vAlign w:val="bottom"/>
          </w:tcPr>
          <w:p>
            <w:pPr>
              <w:spacing w:after="0"/>
              <w:rPr>
                <w:sz w:val="18"/>
                <w:szCs w:val="18"/>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7</w:t>
            </w:r>
          </w:p>
        </w:tc>
        <w:tc>
          <w:tcPr>
            <w:tcW w:w="320" w:type="dxa"/>
            <w:vAlign w:val="bottom"/>
          </w:tcPr>
          <w:p>
            <w:pPr>
              <w:spacing w:after="0"/>
              <w:rPr>
                <w:sz w:val="18"/>
                <w:szCs w:val="18"/>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4</w:t>
            </w:r>
          </w:p>
        </w:tc>
        <w:tc>
          <w:tcPr>
            <w:tcW w:w="340" w:type="dxa"/>
            <w:vAlign w:val="bottom"/>
          </w:tcPr>
          <w:p>
            <w:pPr>
              <w:spacing w:after="0"/>
              <w:rPr>
                <w:sz w:val="18"/>
                <w:szCs w:val="18"/>
                <w:color w:val="auto"/>
              </w:rPr>
            </w:pPr>
          </w:p>
        </w:tc>
        <w:tc>
          <w:tcPr>
            <w:tcW w:w="920" w:type="dxa"/>
            <w:vAlign w:val="bottom"/>
          </w:tcPr>
          <w:p>
            <w:pPr>
              <w:ind w:left="5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1000" w:type="dxa"/>
            <w:vAlign w:val="bottom"/>
          </w:tcPr>
          <w:p>
            <w:pPr>
              <w:jc w:val="right"/>
              <w:ind w:right="69"/>
              <w:spacing w:after="0"/>
              <w:rPr>
                <w:sz w:val="20"/>
                <w:szCs w:val="20"/>
                <w:color w:val="auto"/>
              </w:rPr>
            </w:pPr>
            <w:r>
              <w:rPr>
                <w:rFonts w:ascii="Arial" w:cs="Arial" w:eastAsia="Arial" w:hAnsi="Arial"/>
                <w:sz w:val="14"/>
                <w:szCs w:val="14"/>
                <w:color w:val="auto"/>
              </w:rPr>
              <w:t>15</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97"/>
        </w:trPr>
        <w:tc>
          <w:tcPr>
            <w:tcW w:w="504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3</w:t>
            </w: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87</w:t>
            </w: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30</w:t>
            </w: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59"/>
        </w:trPr>
        <w:tc>
          <w:tcPr>
            <w:tcW w:w="5040" w:type="dxa"/>
            <w:vAlign w:val="bottom"/>
          </w:tcPr>
          <w:p>
            <w:pPr>
              <w:spacing w:after="0" w:line="139" w:lineRule="exact"/>
              <w:rPr>
                <w:sz w:val="20"/>
                <w:szCs w:val="20"/>
                <w:color w:val="auto"/>
              </w:rPr>
            </w:pPr>
            <w:r>
              <w:rPr>
                <w:rFonts w:ascii="Arial" w:cs="Arial" w:eastAsia="Arial" w:hAnsi="Arial"/>
                <w:sz w:val="14"/>
                <w:szCs w:val="14"/>
                <w:color w:val="auto"/>
              </w:rPr>
              <w:t>Total</w:t>
            </w:r>
          </w:p>
        </w:tc>
        <w:tc>
          <w:tcPr>
            <w:tcW w:w="460" w:type="dxa"/>
            <w:vAlign w:val="bottom"/>
            <w:tcBorders>
              <w:bottom w:val="single" w:sz="8" w:color="auto"/>
            </w:tcBorders>
          </w:tcPr>
          <w:p>
            <w:pPr>
              <w:jc w:val="right"/>
              <w:ind w:right="29"/>
              <w:spacing w:after="0" w:line="139"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69"/>
              <w:spacing w:after="0" w:line="139" w:lineRule="exact"/>
              <w:rPr>
                <w:sz w:val="20"/>
                <w:szCs w:val="20"/>
                <w:color w:val="auto"/>
              </w:rPr>
            </w:pPr>
            <w:r>
              <w:rPr>
                <w:rFonts w:ascii="Arial" w:cs="Arial" w:eastAsia="Arial" w:hAnsi="Arial"/>
                <w:sz w:val="14"/>
                <w:szCs w:val="14"/>
                <w:color w:val="auto"/>
              </w:rPr>
              <w:t>700</w:t>
            </w:r>
          </w:p>
        </w:tc>
        <w:tc>
          <w:tcPr>
            <w:tcW w:w="320" w:type="dxa"/>
            <w:vAlign w:val="bottom"/>
            <w:tcBorders>
              <w:bottom w:val="single" w:sz="8" w:color="auto"/>
            </w:tcBorders>
          </w:tcPr>
          <w:p>
            <w:pPr>
              <w:jc w:val="right"/>
              <w:ind w:right="29"/>
              <w:spacing w:after="0" w:line="139"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69"/>
              <w:spacing w:after="0" w:line="139" w:lineRule="exact"/>
              <w:rPr>
                <w:sz w:val="20"/>
                <w:szCs w:val="20"/>
                <w:color w:val="auto"/>
              </w:rPr>
            </w:pPr>
            <w:r>
              <w:rPr>
                <w:rFonts w:ascii="Arial" w:cs="Arial" w:eastAsia="Arial" w:hAnsi="Arial"/>
                <w:sz w:val="14"/>
                <w:szCs w:val="14"/>
                <w:color w:val="auto"/>
              </w:rPr>
              <w:t>426</w:t>
            </w:r>
          </w:p>
        </w:tc>
        <w:tc>
          <w:tcPr>
            <w:tcW w:w="340" w:type="dxa"/>
            <w:vAlign w:val="bottom"/>
            <w:tcBorders>
              <w:bottom w:val="single" w:sz="8" w:color="auto"/>
            </w:tcBorders>
          </w:tcPr>
          <w:p>
            <w:pPr>
              <w:jc w:val="right"/>
              <w:ind w:right="49"/>
              <w:spacing w:after="0" w:line="139"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ind w:left="620"/>
              <w:spacing w:after="0" w:line="139" w:lineRule="exact"/>
              <w:rPr>
                <w:sz w:val="20"/>
                <w:szCs w:val="20"/>
                <w:color w:val="auto"/>
              </w:rPr>
            </w:pPr>
            <w:r>
              <w:rPr>
                <w:rFonts w:ascii="Arial" w:cs="Arial" w:eastAsia="Arial" w:hAnsi="Arial"/>
                <w:sz w:val="14"/>
                <w:szCs w:val="14"/>
                <w:color w:val="auto"/>
              </w:rPr>
              <w:t>87</w:t>
            </w:r>
          </w:p>
        </w:tc>
        <w:tc>
          <w:tcPr>
            <w:tcW w:w="380" w:type="dxa"/>
            <w:vAlign w:val="bottom"/>
            <w:tcBorders>
              <w:bottom w:val="single" w:sz="8" w:color="auto"/>
            </w:tcBorders>
          </w:tcPr>
          <w:p>
            <w:pPr>
              <w:jc w:val="right"/>
              <w:ind w:right="89"/>
              <w:spacing w:after="0" w:line="139"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9"/>
              <w:spacing w:after="0" w:line="139" w:lineRule="exact"/>
              <w:rPr>
                <w:sz w:val="20"/>
                <w:szCs w:val="20"/>
                <w:color w:val="auto"/>
              </w:rPr>
            </w:pPr>
            <w:r>
              <w:rPr>
                <w:rFonts w:ascii="Arial" w:cs="Arial" w:eastAsia="Arial" w:hAnsi="Arial"/>
                <w:sz w:val="14"/>
                <w:szCs w:val="14"/>
                <w:color w:val="auto"/>
              </w:rPr>
              <w:t>45</w:t>
            </w:r>
          </w:p>
        </w:tc>
        <w:tc>
          <w:tcPr>
            <w:tcW w:w="380" w:type="dxa"/>
            <w:vAlign w:val="bottom"/>
            <w:tcBorders>
              <w:bottom w:val="single" w:sz="8" w:color="auto"/>
            </w:tcBorders>
          </w:tcPr>
          <w:p>
            <w:pPr>
              <w:jc w:val="right"/>
              <w:ind w:right="69"/>
              <w:spacing w:after="0" w:line="139"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1,258</w:t>
            </w:r>
          </w:p>
        </w:tc>
        <w:tc>
          <w:tcPr>
            <w:tcW w:w="0" w:type="dxa"/>
            <w:vAlign w:val="bottom"/>
          </w:tcPr>
          <w:p>
            <w:pPr>
              <w:spacing w:after="0"/>
              <w:rPr>
                <w:sz w:val="1"/>
                <w:szCs w:val="1"/>
                <w:color w:val="auto"/>
              </w:rPr>
            </w:pPr>
          </w:p>
        </w:tc>
      </w:tr>
      <w:tr>
        <w:trPr>
          <w:trHeight w:val="217"/>
        </w:trPr>
        <w:tc>
          <w:tcPr>
            <w:tcW w:w="5040" w:type="dxa"/>
            <w:vAlign w:val="bottom"/>
          </w:tcPr>
          <w:p>
            <w:pPr>
              <w:spacing w:after="0"/>
              <w:rPr>
                <w:sz w:val="20"/>
                <w:szCs w:val="20"/>
                <w:color w:val="auto"/>
              </w:rPr>
            </w:pPr>
            <w:r>
              <w:rPr>
                <w:rFonts w:ascii="Arial" w:cs="Arial" w:eastAsia="Arial" w:hAnsi="Arial"/>
                <w:sz w:val="14"/>
                <w:szCs w:val="14"/>
                <w:color w:val="auto"/>
              </w:rPr>
              <w:t>Liabilities:</w:t>
            </w: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5040" w:type="dxa"/>
            <w:vAlign w:val="bottom"/>
          </w:tcPr>
          <w:p>
            <w:pPr>
              <w:ind w:left="160"/>
              <w:spacing w:after="0"/>
              <w:rPr>
                <w:sz w:val="20"/>
                <w:szCs w:val="20"/>
                <w:color w:val="auto"/>
              </w:rPr>
            </w:pPr>
            <w:r>
              <w:rPr>
                <w:rFonts w:ascii="Arial" w:cs="Arial" w:eastAsia="Arial" w:hAnsi="Arial"/>
                <w:sz w:val="14"/>
                <w:szCs w:val="14"/>
                <w:color w:val="auto"/>
              </w:rPr>
              <w:t>Interest rate and foreign exchange instruments</w:t>
            </w:r>
          </w:p>
        </w:tc>
        <w:tc>
          <w:tcPr>
            <w:tcW w:w="4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121</w:t>
            </w:r>
          </w:p>
        </w:tc>
        <w:tc>
          <w:tcPr>
            <w:tcW w:w="3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920" w:type="dxa"/>
            <w:vAlign w:val="bottom"/>
          </w:tcPr>
          <w:p>
            <w:pPr>
              <w:ind w:left="52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213"/>
        </w:trPr>
        <w:tc>
          <w:tcPr>
            <w:tcW w:w="5040" w:type="dxa"/>
            <w:vAlign w:val="bottom"/>
          </w:tcPr>
          <w:p>
            <w:pPr>
              <w:ind w:left="160"/>
              <w:spacing w:after="0"/>
              <w:rPr>
                <w:sz w:val="20"/>
                <w:szCs w:val="20"/>
                <w:color w:val="auto"/>
              </w:rPr>
            </w:pPr>
            <w:r>
              <w:rPr>
                <w:rFonts w:ascii="Arial" w:cs="Arial" w:eastAsia="Arial" w:hAnsi="Arial"/>
                <w:sz w:val="14"/>
                <w:szCs w:val="14"/>
                <w:color w:val="auto"/>
              </w:rPr>
              <w:t>Commodity contracts not subject to rate recovery</w:t>
            </w:r>
          </w:p>
        </w:tc>
        <w:tc>
          <w:tcPr>
            <w:tcW w:w="460" w:type="dxa"/>
            <w:vAlign w:val="bottom"/>
          </w:tcPr>
          <w:p>
            <w:pPr>
              <w:spacing w:after="0"/>
              <w:rPr>
                <w:sz w:val="18"/>
                <w:szCs w:val="18"/>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2</w:t>
            </w:r>
          </w:p>
        </w:tc>
        <w:tc>
          <w:tcPr>
            <w:tcW w:w="320" w:type="dxa"/>
            <w:vAlign w:val="bottom"/>
          </w:tcPr>
          <w:p>
            <w:pPr>
              <w:spacing w:after="0"/>
              <w:rPr>
                <w:sz w:val="18"/>
                <w:szCs w:val="18"/>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3</w:t>
            </w:r>
          </w:p>
        </w:tc>
        <w:tc>
          <w:tcPr>
            <w:tcW w:w="340" w:type="dxa"/>
            <w:vAlign w:val="bottom"/>
          </w:tcPr>
          <w:p>
            <w:pPr>
              <w:spacing w:after="0"/>
              <w:rPr>
                <w:sz w:val="18"/>
                <w:szCs w:val="18"/>
                <w:color w:val="auto"/>
              </w:rPr>
            </w:pPr>
          </w:p>
        </w:tc>
        <w:tc>
          <w:tcPr>
            <w:tcW w:w="920" w:type="dxa"/>
            <w:vAlign w:val="bottom"/>
          </w:tcPr>
          <w:p>
            <w:pPr>
              <w:ind w:left="5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1000" w:type="dxa"/>
            <w:vAlign w:val="bottom"/>
          </w:tcPr>
          <w:p>
            <w:pPr>
              <w:jc w:val="right"/>
              <w:ind w:right="69"/>
              <w:spacing w:after="0"/>
              <w:rPr>
                <w:sz w:val="20"/>
                <w:szCs w:val="20"/>
                <w:color w:val="auto"/>
              </w:rPr>
            </w:pPr>
            <w:r>
              <w:rPr>
                <w:rFonts w:ascii="Arial" w:cs="Arial" w:eastAsia="Arial" w:hAnsi="Arial"/>
                <w:sz w:val="14"/>
                <w:szCs w:val="14"/>
                <w:color w:val="auto"/>
              </w:rPr>
              <w:t>(2)</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7"/>
        </w:trPr>
        <w:tc>
          <w:tcPr>
            <w:tcW w:w="504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3</w:t>
            </w: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10</w:t>
            </w: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(3)</w:t>
            </w: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59"/>
        </w:trPr>
        <w:tc>
          <w:tcPr>
            <w:tcW w:w="5040" w:type="dxa"/>
            <w:vAlign w:val="bottom"/>
            <w:tcBorders>
              <w:bottom w:val="single" w:sz="8" w:color="auto"/>
            </w:tcBorders>
          </w:tcPr>
          <w:p>
            <w:pPr>
              <w:spacing w:after="0" w:line="153" w:lineRule="exact"/>
              <w:rPr>
                <w:sz w:val="20"/>
                <w:szCs w:val="20"/>
                <w:color w:val="auto"/>
              </w:rPr>
            </w:pPr>
            <w:r>
              <w:rPr>
                <w:rFonts w:ascii="Arial" w:cs="Arial" w:eastAsia="Arial" w:hAnsi="Arial"/>
                <w:sz w:val="14"/>
                <w:szCs w:val="14"/>
                <w:color w:val="auto"/>
              </w:rPr>
              <w:t>Total</w:t>
            </w:r>
          </w:p>
        </w:tc>
        <w:tc>
          <w:tcPr>
            <w:tcW w:w="460" w:type="dxa"/>
            <w:vAlign w:val="bottom"/>
            <w:tcBorders>
              <w:bottom w:val="single" w:sz="8" w:color="auto"/>
            </w:tcBorders>
          </w:tcPr>
          <w:p>
            <w:pPr>
              <w:jc w:val="right"/>
              <w:ind w:right="29"/>
              <w:spacing w:after="0" w:line="153"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69"/>
              <w:spacing w:after="0" w:line="153" w:lineRule="exact"/>
              <w:rPr>
                <w:sz w:val="20"/>
                <w:szCs w:val="20"/>
                <w:color w:val="auto"/>
              </w:rPr>
            </w:pPr>
            <w:r>
              <w:rPr>
                <w:rFonts w:ascii="Arial" w:cs="Arial" w:eastAsia="Arial" w:hAnsi="Arial"/>
                <w:sz w:val="14"/>
                <w:szCs w:val="14"/>
                <w:color w:val="auto"/>
              </w:rPr>
              <w:t>5</w:t>
            </w:r>
          </w:p>
        </w:tc>
        <w:tc>
          <w:tcPr>
            <w:tcW w:w="320" w:type="dxa"/>
            <w:vAlign w:val="bottom"/>
            <w:tcBorders>
              <w:bottom w:val="single" w:sz="8" w:color="auto"/>
            </w:tcBorders>
          </w:tcPr>
          <w:p>
            <w:pPr>
              <w:jc w:val="right"/>
              <w:ind w:right="29"/>
              <w:spacing w:after="0" w:line="153"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69"/>
              <w:spacing w:after="0" w:line="153" w:lineRule="exact"/>
              <w:rPr>
                <w:sz w:val="20"/>
                <w:szCs w:val="20"/>
                <w:color w:val="auto"/>
              </w:rPr>
            </w:pPr>
            <w:r>
              <w:rPr>
                <w:rFonts w:ascii="Arial" w:cs="Arial" w:eastAsia="Arial" w:hAnsi="Arial"/>
                <w:sz w:val="14"/>
                <w:szCs w:val="14"/>
                <w:color w:val="auto"/>
              </w:rPr>
              <w:t>134</w:t>
            </w:r>
          </w:p>
        </w:tc>
        <w:tc>
          <w:tcPr>
            <w:tcW w:w="340" w:type="dxa"/>
            <w:vAlign w:val="bottom"/>
            <w:tcBorders>
              <w:bottom w:val="single" w:sz="8" w:color="auto"/>
            </w:tcBorders>
          </w:tcPr>
          <w:p>
            <w:pPr>
              <w:jc w:val="right"/>
              <w:ind w:right="49"/>
              <w:spacing w:after="0" w:line="153"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ind w:left="520"/>
              <w:spacing w:after="0" w:line="153"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ind w:right="89"/>
              <w:spacing w:after="0" w:line="153"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9"/>
              <w:spacing w:after="0" w:line="153" w:lineRule="exact"/>
              <w:rPr>
                <w:sz w:val="20"/>
                <w:szCs w:val="20"/>
                <w:color w:val="auto"/>
              </w:rPr>
            </w:pPr>
            <w:r>
              <w:rPr>
                <w:rFonts w:ascii="Arial" w:cs="Arial" w:eastAsia="Arial" w:hAnsi="Arial"/>
                <w:sz w:val="14"/>
                <w:szCs w:val="14"/>
                <w:color w:val="auto"/>
              </w:rPr>
              <w:t>(5)</w:t>
            </w:r>
          </w:p>
        </w:tc>
        <w:tc>
          <w:tcPr>
            <w:tcW w:w="380" w:type="dxa"/>
            <w:vAlign w:val="bottom"/>
            <w:tcBorders>
              <w:bottom w:val="single" w:sz="8" w:color="auto"/>
            </w:tcBorders>
          </w:tcPr>
          <w:p>
            <w:pPr>
              <w:jc w:val="right"/>
              <w:ind w:right="69"/>
              <w:spacing w:after="0" w:line="153"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412"/>
        </w:trPr>
        <w:tc>
          <w:tcPr>
            <w:tcW w:w="50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Fair value at December 31, 2013</w:t>
            </w:r>
          </w:p>
        </w:tc>
        <w:tc>
          <w:tcPr>
            <w:tcW w:w="10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50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Level 1</w:t>
            </w: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Level 2</w:t>
            </w: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Level 3</w:t>
            </w: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Netting(1)</w:t>
            </w: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21"/>
        </w:trPr>
        <w:tc>
          <w:tcPr>
            <w:tcW w:w="5040" w:type="dxa"/>
            <w:vAlign w:val="bottom"/>
          </w:tcPr>
          <w:p>
            <w:pPr>
              <w:spacing w:after="0"/>
              <w:rPr>
                <w:sz w:val="20"/>
                <w:szCs w:val="20"/>
                <w:color w:val="auto"/>
              </w:rPr>
            </w:pPr>
            <w:r>
              <w:rPr>
                <w:rFonts w:ascii="Arial" w:cs="Arial" w:eastAsia="Arial" w:hAnsi="Arial"/>
                <w:sz w:val="14"/>
                <w:szCs w:val="14"/>
                <w:color w:val="auto"/>
              </w:rPr>
              <w:t>Assets:</w:t>
            </w: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40" w:type="dxa"/>
            <w:vAlign w:val="bottom"/>
          </w:tcPr>
          <w:p>
            <w:pPr>
              <w:ind w:left="160"/>
              <w:spacing w:after="0"/>
              <w:rPr>
                <w:sz w:val="20"/>
                <w:szCs w:val="20"/>
                <w:color w:val="auto"/>
              </w:rPr>
            </w:pPr>
            <w:r>
              <w:rPr>
                <w:rFonts w:ascii="Arial" w:cs="Arial" w:eastAsia="Arial" w:hAnsi="Arial"/>
                <w:sz w:val="14"/>
                <w:szCs w:val="14"/>
                <w:color w:val="auto"/>
              </w:rPr>
              <w:t>Nuclear decommissioning trusts:</w:t>
            </w:r>
          </w:p>
        </w:tc>
        <w:tc>
          <w:tcPr>
            <w:tcW w:w="46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69"/>
              <w:spacing w:after="0"/>
              <w:rPr>
                <w:sz w:val="20"/>
                <w:szCs w:val="20"/>
                <w:color w:val="auto"/>
              </w:rPr>
            </w:pPr>
            <w:r>
              <w:rPr>
                <w:rFonts w:ascii="Arial" w:cs="Arial" w:eastAsia="Arial" w:hAnsi="Arial"/>
                <w:sz w:val="14"/>
                <w:szCs w:val="14"/>
                <w:color w:val="auto"/>
              </w:rPr>
              <w:t>614</w:t>
            </w:r>
          </w:p>
        </w:tc>
        <w:tc>
          <w:tcPr>
            <w:tcW w:w="3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189"/>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ind w:left="520"/>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jc w:val="right"/>
              <w:ind w:right="89"/>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189"/>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614</w:t>
            </w:r>
          </w:p>
        </w:tc>
        <w:tc>
          <w:tcPr>
            <w:tcW w:w="0" w:type="dxa"/>
            <w:vAlign w:val="bottom"/>
          </w:tcPr>
          <w:p>
            <w:pPr>
              <w:spacing w:after="0"/>
              <w:rPr>
                <w:sz w:val="1"/>
                <w:szCs w:val="1"/>
                <w:color w:val="auto"/>
              </w:rPr>
            </w:pPr>
          </w:p>
        </w:tc>
      </w:tr>
      <w:tr>
        <w:trPr>
          <w:trHeight w:val="149"/>
        </w:trPr>
        <w:tc>
          <w:tcPr>
            <w:tcW w:w="5040" w:type="dxa"/>
            <w:vAlign w:val="bottom"/>
          </w:tcPr>
          <w:p>
            <w:pPr>
              <w:ind w:left="400"/>
              <w:spacing w:after="0" w:line="144" w:lineRule="exact"/>
              <w:rPr>
                <w:sz w:val="20"/>
                <w:szCs w:val="20"/>
                <w:color w:val="auto"/>
              </w:rPr>
            </w:pPr>
            <w:r>
              <w:rPr>
                <w:rFonts w:ascii="Arial" w:cs="Arial" w:eastAsia="Arial" w:hAnsi="Arial"/>
                <w:sz w:val="14"/>
                <w:szCs w:val="14"/>
                <w:color w:val="auto"/>
              </w:rPr>
              <w:t>Equity securities</w:t>
            </w:r>
          </w:p>
        </w:tc>
        <w:tc>
          <w:tcPr>
            <w:tcW w:w="460" w:type="dxa"/>
            <w:vAlign w:val="bottom"/>
            <w:tcBorders>
              <w:bottom w:val="single" w:sz="8" w:color="auto"/>
            </w:tcBorders>
            <w:vMerge w:val="continue"/>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320" w:type="dxa"/>
            <w:vAlign w:val="bottom"/>
            <w:tcBorders>
              <w:bottom w:val="single" w:sz="8" w:color="auto"/>
            </w:tcBorders>
            <w:vMerge w:val="continue"/>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340" w:type="dxa"/>
            <w:vAlign w:val="bottom"/>
            <w:tcBorders>
              <w:bottom w:val="single" w:sz="8" w:color="auto"/>
            </w:tcBorders>
            <w:vMerge w:val="continue"/>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380" w:type="dxa"/>
            <w:vAlign w:val="bottom"/>
            <w:tcBorders>
              <w:bottom w:val="single" w:sz="8" w:color="auto"/>
            </w:tcBorders>
            <w:vMerge w:val="continue"/>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380" w:type="dxa"/>
            <w:vAlign w:val="bottom"/>
            <w:tcBorders>
              <w:bottom w:val="single" w:sz="8" w:color="auto"/>
            </w:tcBorders>
            <w:vMerge w:val="continue"/>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5040" w:type="dxa"/>
            <w:vAlign w:val="bottom"/>
          </w:tcPr>
          <w:p>
            <w:pPr>
              <w:ind w:left="400"/>
              <w:spacing w:after="0"/>
              <w:rPr>
                <w:sz w:val="20"/>
                <w:szCs w:val="20"/>
                <w:color w:val="auto"/>
              </w:rPr>
            </w:pPr>
            <w:r>
              <w:rPr>
                <w:rFonts w:ascii="Arial" w:cs="Arial" w:eastAsia="Arial" w:hAnsi="Arial"/>
                <w:sz w:val="14"/>
                <w:szCs w:val="14"/>
                <w:color w:val="auto"/>
              </w:rPr>
              <w:t>Debt securities:</w:t>
            </w: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40" w:type="dxa"/>
            <w:vAlign w:val="bottom"/>
          </w:tcPr>
          <w:p>
            <w:pPr>
              <w:ind w:left="560"/>
              <w:spacing w:after="0"/>
              <w:rPr>
                <w:sz w:val="20"/>
                <w:szCs w:val="20"/>
                <w:color w:val="auto"/>
              </w:rPr>
            </w:pPr>
            <w:r>
              <w:rPr>
                <w:rFonts w:ascii="Arial" w:cs="Arial" w:eastAsia="Arial" w:hAnsi="Arial"/>
                <w:sz w:val="14"/>
                <w:szCs w:val="14"/>
                <w:color w:val="auto"/>
              </w:rPr>
              <w:t>Debt securities issued by the U.S. Treasury and other</w:t>
            </w: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40" w:type="dxa"/>
            <w:vAlign w:val="bottom"/>
          </w:tcPr>
          <w:p>
            <w:pPr>
              <w:ind w:left="760"/>
              <w:spacing w:after="0"/>
              <w:rPr>
                <w:sz w:val="20"/>
                <w:szCs w:val="20"/>
                <w:color w:val="auto"/>
              </w:rPr>
            </w:pPr>
            <w:r>
              <w:rPr>
                <w:rFonts w:ascii="Arial" w:cs="Arial" w:eastAsia="Arial" w:hAnsi="Arial"/>
                <w:sz w:val="14"/>
                <w:szCs w:val="14"/>
                <w:color w:val="auto"/>
              </w:rPr>
              <w:t>U.S. government corporations and agencies</w:t>
            </w:r>
          </w:p>
        </w:tc>
        <w:tc>
          <w:tcPr>
            <w:tcW w:w="460" w:type="dxa"/>
            <w:vAlign w:val="bottom"/>
          </w:tcPr>
          <w:p>
            <w:pPr>
              <w:spacing w:after="0"/>
              <w:rPr>
                <w:sz w:val="18"/>
                <w:szCs w:val="18"/>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59</w:t>
            </w:r>
          </w:p>
        </w:tc>
        <w:tc>
          <w:tcPr>
            <w:tcW w:w="320" w:type="dxa"/>
            <w:vAlign w:val="bottom"/>
          </w:tcPr>
          <w:p>
            <w:pPr>
              <w:spacing w:after="0"/>
              <w:rPr>
                <w:sz w:val="18"/>
                <w:szCs w:val="18"/>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58</w:t>
            </w:r>
          </w:p>
        </w:tc>
        <w:tc>
          <w:tcPr>
            <w:tcW w:w="340" w:type="dxa"/>
            <w:vAlign w:val="bottom"/>
          </w:tcPr>
          <w:p>
            <w:pPr>
              <w:spacing w:after="0"/>
              <w:rPr>
                <w:sz w:val="18"/>
                <w:szCs w:val="18"/>
                <w:color w:val="auto"/>
              </w:rPr>
            </w:pPr>
          </w:p>
        </w:tc>
        <w:tc>
          <w:tcPr>
            <w:tcW w:w="920" w:type="dxa"/>
            <w:vAlign w:val="bottom"/>
          </w:tcPr>
          <w:p>
            <w:pPr>
              <w:ind w:left="5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100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213"/>
        </w:trPr>
        <w:tc>
          <w:tcPr>
            <w:tcW w:w="5040" w:type="dxa"/>
            <w:vAlign w:val="bottom"/>
          </w:tcPr>
          <w:p>
            <w:pPr>
              <w:ind w:left="560"/>
              <w:spacing w:after="0"/>
              <w:rPr>
                <w:sz w:val="20"/>
                <w:szCs w:val="20"/>
                <w:color w:val="auto"/>
              </w:rPr>
            </w:pPr>
            <w:r>
              <w:rPr>
                <w:rFonts w:ascii="Arial" w:cs="Arial" w:eastAsia="Arial" w:hAnsi="Arial"/>
                <w:sz w:val="14"/>
                <w:szCs w:val="14"/>
                <w:color w:val="auto"/>
              </w:rPr>
              <w:t>Municipal bonds</w:t>
            </w:r>
          </w:p>
        </w:tc>
        <w:tc>
          <w:tcPr>
            <w:tcW w:w="460" w:type="dxa"/>
            <w:vAlign w:val="bottom"/>
          </w:tcPr>
          <w:p>
            <w:pPr>
              <w:spacing w:after="0"/>
              <w:rPr>
                <w:sz w:val="18"/>
                <w:szCs w:val="18"/>
                <w:color w:val="auto"/>
              </w:rPr>
            </w:pPr>
          </w:p>
        </w:tc>
        <w:tc>
          <w:tcPr>
            <w:tcW w:w="92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111</w:t>
            </w:r>
          </w:p>
        </w:tc>
        <w:tc>
          <w:tcPr>
            <w:tcW w:w="340" w:type="dxa"/>
            <w:vAlign w:val="bottom"/>
          </w:tcPr>
          <w:p>
            <w:pPr>
              <w:spacing w:after="0"/>
              <w:rPr>
                <w:sz w:val="18"/>
                <w:szCs w:val="18"/>
                <w:color w:val="auto"/>
              </w:rPr>
            </w:pPr>
          </w:p>
        </w:tc>
        <w:tc>
          <w:tcPr>
            <w:tcW w:w="920" w:type="dxa"/>
            <w:vAlign w:val="bottom"/>
          </w:tcPr>
          <w:p>
            <w:pPr>
              <w:ind w:left="5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100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97"/>
        </w:trPr>
        <w:tc>
          <w:tcPr>
            <w:tcW w:w="5040" w:type="dxa"/>
            <w:vAlign w:val="bottom"/>
          </w:tcPr>
          <w:p>
            <w:pPr>
              <w:ind w:left="560"/>
              <w:spacing w:after="0"/>
              <w:rPr>
                <w:sz w:val="20"/>
                <w:szCs w:val="20"/>
                <w:color w:val="auto"/>
              </w:rPr>
            </w:pPr>
            <w:r>
              <w:rPr>
                <w:rFonts w:ascii="Arial" w:cs="Arial" w:eastAsia="Arial" w:hAnsi="Arial"/>
                <w:sz w:val="14"/>
                <w:szCs w:val="14"/>
                <w:color w:val="auto"/>
              </w:rPr>
              <w:t>Other securities</w:t>
            </w: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153</w:t>
            </w: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206"/>
        </w:trPr>
        <w:tc>
          <w:tcPr>
            <w:tcW w:w="5040" w:type="dxa"/>
            <w:vAlign w:val="bottom"/>
          </w:tcPr>
          <w:p>
            <w:pPr>
              <w:ind w:left="400"/>
              <w:spacing w:after="0"/>
              <w:rPr>
                <w:sz w:val="20"/>
                <w:szCs w:val="20"/>
                <w:color w:val="auto"/>
              </w:rPr>
            </w:pPr>
            <w:r>
              <w:rPr>
                <w:rFonts w:ascii="Arial" w:cs="Arial" w:eastAsia="Arial" w:hAnsi="Arial"/>
                <w:sz w:val="14"/>
                <w:szCs w:val="14"/>
                <w:color w:val="auto"/>
              </w:rPr>
              <w:t>Total debt securities</w:t>
            </w: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59</w:t>
            </w: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322</w:t>
            </w: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381</w:t>
            </w:r>
          </w:p>
        </w:tc>
        <w:tc>
          <w:tcPr>
            <w:tcW w:w="0" w:type="dxa"/>
            <w:vAlign w:val="bottom"/>
          </w:tcPr>
          <w:p>
            <w:pPr>
              <w:spacing w:after="0"/>
              <w:rPr>
                <w:sz w:val="1"/>
                <w:szCs w:val="1"/>
                <w:color w:val="auto"/>
              </w:rPr>
            </w:pPr>
          </w:p>
        </w:tc>
      </w:tr>
      <w:tr>
        <w:trPr>
          <w:trHeight w:val="206"/>
        </w:trPr>
        <w:tc>
          <w:tcPr>
            <w:tcW w:w="5040" w:type="dxa"/>
            <w:vAlign w:val="bottom"/>
          </w:tcPr>
          <w:p>
            <w:pPr>
              <w:ind w:left="160"/>
              <w:spacing w:after="0"/>
              <w:rPr>
                <w:sz w:val="20"/>
                <w:szCs w:val="20"/>
                <w:color w:val="auto"/>
              </w:rPr>
            </w:pPr>
            <w:r>
              <w:rPr>
                <w:rFonts w:ascii="Arial" w:cs="Arial" w:eastAsia="Arial" w:hAnsi="Arial"/>
                <w:sz w:val="14"/>
                <w:szCs w:val="14"/>
                <w:color w:val="auto"/>
              </w:rPr>
              <w:t>Total nuclear decommissioning trusts(2)</w:t>
            </w: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673</w:t>
            </w: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322</w:t>
            </w: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995</w:t>
            </w:r>
          </w:p>
        </w:tc>
        <w:tc>
          <w:tcPr>
            <w:tcW w:w="0" w:type="dxa"/>
            <w:vAlign w:val="bottom"/>
          </w:tcPr>
          <w:p>
            <w:pPr>
              <w:spacing w:after="0"/>
              <w:rPr>
                <w:sz w:val="1"/>
                <w:szCs w:val="1"/>
                <w:color w:val="auto"/>
              </w:rPr>
            </w:pPr>
          </w:p>
        </w:tc>
      </w:tr>
      <w:tr>
        <w:trPr>
          <w:trHeight w:val="221"/>
        </w:trPr>
        <w:tc>
          <w:tcPr>
            <w:tcW w:w="5040" w:type="dxa"/>
            <w:vAlign w:val="bottom"/>
          </w:tcPr>
          <w:p>
            <w:pPr>
              <w:ind w:left="160"/>
              <w:spacing w:after="0"/>
              <w:rPr>
                <w:sz w:val="20"/>
                <w:szCs w:val="20"/>
                <w:color w:val="auto"/>
              </w:rPr>
            </w:pPr>
            <w:r>
              <w:rPr>
                <w:rFonts w:ascii="Arial" w:cs="Arial" w:eastAsia="Arial" w:hAnsi="Arial"/>
                <w:sz w:val="14"/>
                <w:szCs w:val="14"/>
                <w:color w:val="auto"/>
              </w:rPr>
              <w:t>Interest rate and foreign exchange instruments</w:t>
            </w:r>
          </w:p>
        </w:tc>
        <w:tc>
          <w:tcPr>
            <w:tcW w:w="460" w:type="dxa"/>
            <w:vAlign w:val="bottom"/>
          </w:tcPr>
          <w:p>
            <w:pPr>
              <w:spacing w:after="0"/>
              <w:rPr>
                <w:sz w:val="19"/>
                <w:szCs w:val="19"/>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9"/>
                <w:szCs w:val="19"/>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56</w:t>
            </w:r>
          </w:p>
        </w:tc>
        <w:tc>
          <w:tcPr>
            <w:tcW w:w="340" w:type="dxa"/>
            <w:vAlign w:val="bottom"/>
          </w:tcPr>
          <w:p>
            <w:pPr>
              <w:spacing w:after="0"/>
              <w:rPr>
                <w:sz w:val="19"/>
                <w:szCs w:val="19"/>
                <w:color w:val="auto"/>
              </w:rPr>
            </w:pPr>
          </w:p>
        </w:tc>
        <w:tc>
          <w:tcPr>
            <w:tcW w:w="920" w:type="dxa"/>
            <w:vAlign w:val="bottom"/>
          </w:tcPr>
          <w:p>
            <w:pPr>
              <w:ind w:left="5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9"/>
                <w:szCs w:val="19"/>
                <w:color w:val="auto"/>
              </w:rPr>
            </w:pPr>
          </w:p>
        </w:tc>
        <w:tc>
          <w:tcPr>
            <w:tcW w:w="100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13"/>
        </w:trPr>
        <w:tc>
          <w:tcPr>
            <w:tcW w:w="5040" w:type="dxa"/>
            <w:vAlign w:val="bottom"/>
          </w:tcPr>
          <w:p>
            <w:pPr>
              <w:ind w:left="160"/>
              <w:spacing w:after="0"/>
              <w:rPr>
                <w:sz w:val="20"/>
                <w:szCs w:val="20"/>
                <w:color w:val="auto"/>
              </w:rPr>
            </w:pPr>
            <w:r>
              <w:rPr>
                <w:rFonts w:ascii="Arial" w:cs="Arial" w:eastAsia="Arial" w:hAnsi="Arial"/>
                <w:sz w:val="14"/>
                <w:szCs w:val="14"/>
                <w:color w:val="auto"/>
              </w:rPr>
              <w:t>Commodity contracts not subject to rate recovery</w:t>
            </w:r>
          </w:p>
        </w:tc>
        <w:tc>
          <w:tcPr>
            <w:tcW w:w="460" w:type="dxa"/>
            <w:vAlign w:val="bottom"/>
          </w:tcPr>
          <w:p>
            <w:pPr>
              <w:spacing w:after="0"/>
              <w:rPr>
                <w:sz w:val="18"/>
                <w:szCs w:val="18"/>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1</w:t>
            </w:r>
          </w:p>
        </w:tc>
        <w:tc>
          <w:tcPr>
            <w:tcW w:w="320" w:type="dxa"/>
            <w:vAlign w:val="bottom"/>
          </w:tcPr>
          <w:p>
            <w:pPr>
              <w:spacing w:after="0"/>
              <w:rPr>
                <w:sz w:val="18"/>
                <w:szCs w:val="18"/>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5</w:t>
            </w:r>
          </w:p>
        </w:tc>
        <w:tc>
          <w:tcPr>
            <w:tcW w:w="340" w:type="dxa"/>
            <w:vAlign w:val="bottom"/>
          </w:tcPr>
          <w:p>
            <w:pPr>
              <w:spacing w:after="0"/>
              <w:rPr>
                <w:sz w:val="18"/>
                <w:szCs w:val="18"/>
                <w:color w:val="auto"/>
              </w:rPr>
            </w:pPr>
          </w:p>
        </w:tc>
        <w:tc>
          <w:tcPr>
            <w:tcW w:w="920" w:type="dxa"/>
            <w:vAlign w:val="bottom"/>
          </w:tcPr>
          <w:p>
            <w:pPr>
              <w:ind w:left="5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1000" w:type="dxa"/>
            <w:vAlign w:val="bottom"/>
          </w:tcPr>
          <w:p>
            <w:pPr>
              <w:jc w:val="right"/>
              <w:ind w:right="69"/>
              <w:spacing w:after="0"/>
              <w:rPr>
                <w:sz w:val="20"/>
                <w:szCs w:val="20"/>
                <w:color w:val="auto"/>
              </w:rPr>
            </w:pPr>
            <w:r>
              <w:rPr>
                <w:rFonts w:ascii="Arial" w:cs="Arial" w:eastAsia="Arial" w:hAnsi="Arial"/>
                <w:sz w:val="14"/>
                <w:szCs w:val="14"/>
                <w:color w:val="auto"/>
              </w:rPr>
              <w:t>17</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97"/>
        </w:trPr>
        <w:tc>
          <w:tcPr>
            <w:tcW w:w="504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w:t>
            </w: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w:t>
            </w: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99</w:t>
            </w: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31</w:t>
            </w: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159"/>
        </w:trPr>
        <w:tc>
          <w:tcPr>
            <w:tcW w:w="5040" w:type="dxa"/>
            <w:vAlign w:val="bottom"/>
          </w:tcPr>
          <w:p>
            <w:pPr>
              <w:spacing w:after="0" w:line="139" w:lineRule="exact"/>
              <w:rPr>
                <w:sz w:val="20"/>
                <w:szCs w:val="20"/>
                <w:color w:val="auto"/>
              </w:rPr>
            </w:pPr>
            <w:r>
              <w:rPr>
                <w:rFonts w:ascii="Arial" w:cs="Arial" w:eastAsia="Arial" w:hAnsi="Arial"/>
                <w:sz w:val="14"/>
                <w:szCs w:val="14"/>
                <w:color w:val="auto"/>
              </w:rPr>
              <w:t>Total</w:t>
            </w:r>
          </w:p>
        </w:tc>
        <w:tc>
          <w:tcPr>
            <w:tcW w:w="460" w:type="dxa"/>
            <w:vAlign w:val="bottom"/>
            <w:tcBorders>
              <w:bottom w:val="single" w:sz="8" w:color="auto"/>
            </w:tcBorders>
          </w:tcPr>
          <w:p>
            <w:pPr>
              <w:jc w:val="right"/>
              <w:ind w:right="29"/>
              <w:spacing w:after="0" w:line="139"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69"/>
              <w:spacing w:after="0" w:line="139" w:lineRule="exact"/>
              <w:rPr>
                <w:sz w:val="20"/>
                <w:szCs w:val="20"/>
                <w:color w:val="auto"/>
              </w:rPr>
            </w:pPr>
            <w:r>
              <w:rPr>
                <w:rFonts w:ascii="Arial" w:cs="Arial" w:eastAsia="Arial" w:hAnsi="Arial"/>
                <w:sz w:val="14"/>
                <w:szCs w:val="14"/>
                <w:color w:val="auto"/>
              </w:rPr>
              <w:t>676</w:t>
            </w:r>
          </w:p>
        </w:tc>
        <w:tc>
          <w:tcPr>
            <w:tcW w:w="320" w:type="dxa"/>
            <w:vAlign w:val="bottom"/>
            <w:tcBorders>
              <w:bottom w:val="single" w:sz="8" w:color="auto"/>
            </w:tcBorders>
          </w:tcPr>
          <w:p>
            <w:pPr>
              <w:jc w:val="right"/>
              <w:ind w:right="29"/>
              <w:spacing w:after="0" w:line="139"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69"/>
              <w:spacing w:after="0" w:line="139" w:lineRule="exact"/>
              <w:rPr>
                <w:sz w:val="20"/>
                <w:szCs w:val="20"/>
                <w:color w:val="auto"/>
              </w:rPr>
            </w:pPr>
            <w:r>
              <w:rPr>
                <w:rFonts w:ascii="Arial" w:cs="Arial" w:eastAsia="Arial" w:hAnsi="Arial"/>
                <w:sz w:val="14"/>
                <w:szCs w:val="14"/>
                <w:color w:val="auto"/>
              </w:rPr>
              <w:t>384</w:t>
            </w:r>
          </w:p>
        </w:tc>
        <w:tc>
          <w:tcPr>
            <w:tcW w:w="340" w:type="dxa"/>
            <w:vAlign w:val="bottom"/>
            <w:tcBorders>
              <w:bottom w:val="single" w:sz="8" w:color="auto"/>
            </w:tcBorders>
          </w:tcPr>
          <w:p>
            <w:pPr>
              <w:jc w:val="right"/>
              <w:ind w:right="49"/>
              <w:spacing w:after="0" w:line="139"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ind w:left="620"/>
              <w:spacing w:after="0" w:line="139" w:lineRule="exact"/>
              <w:rPr>
                <w:sz w:val="20"/>
                <w:szCs w:val="20"/>
                <w:color w:val="auto"/>
              </w:rPr>
            </w:pPr>
            <w:r>
              <w:rPr>
                <w:rFonts w:ascii="Arial" w:cs="Arial" w:eastAsia="Arial" w:hAnsi="Arial"/>
                <w:sz w:val="14"/>
                <w:szCs w:val="14"/>
                <w:color w:val="auto"/>
              </w:rPr>
              <w:t>99</w:t>
            </w:r>
          </w:p>
        </w:tc>
        <w:tc>
          <w:tcPr>
            <w:tcW w:w="380" w:type="dxa"/>
            <w:vAlign w:val="bottom"/>
            <w:tcBorders>
              <w:bottom w:val="single" w:sz="8" w:color="auto"/>
            </w:tcBorders>
          </w:tcPr>
          <w:p>
            <w:pPr>
              <w:jc w:val="right"/>
              <w:ind w:right="89"/>
              <w:spacing w:after="0" w:line="139"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9"/>
              <w:spacing w:after="0" w:line="139" w:lineRule="exact"/>
              <w:rPr>
                <w:sz w:val="20"/>
                <w:szCs w:val="20"/>
                <w:color w:val="auto"/>
              </w:rPr>
            </w:pPr>
            <w:r>
              <w:rPr>
                <w:rFonts w:ascii="Arial" w:cs="Arial" w:eastAsia="Arial" w:hAnsi="Arial"/>
                <w:sz w:val="14"/>
                <w:szCs w:val="14"/>
                <w:color w:val="auto"/>
              </w:rPr>
              <w:t>48</w:t>
            </w:r>
          </w:p>
        </w:tc>
        <w:tc>
          <w:tcPr>
            <w:tcW w:w="380" w:type="dxa"/>
            <w:vAlign w:val="bottom"/>
            <w:tcBorders>
              <w:bottom w:val="single" w:sz="8" w:color="auto"/>
            </w:tcBorders>
          </w:tcPr>
          <w:p>
            <w:pPr>
              <w:jc w:val="right"/>
              <w:ind w:right="69"/>
              <w:spacing w:after="0" w:line="139"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1,207</w:t>
            </w:r>
          </w:p>
        </w:tc>
        <w:tc>
          <w:tcPr>
            <w:tcW w:w="0" w:type="dxa"/>
            <w:vAlign w:val="bottom"/>
          </w:tcPr>
          <w:p>
            <w:pPr>
              <w:spacing w:after="0"/>
              <w:rPr>
                <w:sz w:val="1"/>
                <w:szCs w:val="1"/>
                <w:color w:val="auto"/>
              </w:rPr>
            </w:pPr>
          </w:p>
        </w:tc>
      </w:tr>
      <w:tr>
        <w:trPr>
          <w:trHeight w:val="217"/>
        </w:trPr>
        <w:tc>
          <w:tcPr>
            <w:tcW w:w="5040" w:type="dxa"/>
            <w:vAlign w:val="bottom"/>
          </w:tcPr>
          <w:p>
            <w:pPr>
              <w:spacing w:after="0"/>
              <w:rPr>
                <w:sz w:val="20"/>
                <w:szCs w:val="20"/>
                <w:color w:val="auto"/>
              </w:rPr>
            </w:pPr>
            <w:r>
              <w:rPr>
                <w:rFonts w:ascii="Arial" w:cs="Arial" w:eastAsia="Arial" w:hAnsi="Arial"/>
                <w:sz w:val="14"/>
                <w:szCs w:val="14"/>
                <w:color w:val="auto"/>
              </w:rPr>
              <w:t>Liabilities:</w:t>
            </w: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5040" w:type="dxa"/>
            <w:vAlign w:val="bottom"/>
          </w:tcPr>
          <w:p>
            <w:pPr>
              <w:ind w:left="160"/>
              <w:spacing w:after="0"/>
              <w:rPr>
                <w:sz w:val="20"/>
                <w:szCs w:val="20"/>
                <w:color w:val="auto"/>
              </w:rPr>
            </w:pPr>
            <w:r>
              <w:rPr>
                <w:rFonts w:ascii="Arial" w:cs="Arial" w:eastAsia="Arial" w:hAnsi="Arial"/>
                <w:sz w:val="14"/>
                <w:szCs w:val="14"/>
                <w:color w:val="auto"/>
              </w:rPr>
              <w:t>Interest rate and foreign exchange instruments</w:t>
            </w:r>
          </w:p>
        </w:tc>
        <w:tc>
          <w:tcPr>
            <w:tcW w:w="4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117</w:t>
            </w:r>
          </w:p>
        </w:tc>
        <w:tc>
          <w:tcPr>
            <w:tcW w:w="3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920" w:type="dxa"/>
            <w:vAlign w:val="bottom"/>
          </w:tcPr>
          <w:p>
            <w:pPr>
              <w:ind w:left="52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213"/>
        </w:trPr>
        <w:tc>
          <w:tcPr>
            <w:tcW w:w="5040" w:type="dxa"/>
            <w:vAlign w:val="bottom"/>
          </w:tcPr>
          <w:p>
            <w:pPr>
              <w:ind w:left="160"/>
              <w:spacing w:after="0"/>
              <w:rPr>
                <w:sz w:val="20"/>
                <w:szCs w:val="20"/>
                <w:color w:val="auto"/>
              </w:rPr>
            </w:pPr>
            <w:r>
              <w:rPr>
                <w:rFonts w:ascii="Arial" w:cs="Arial" w:eastAsia="Arial" w:hAnsi="Arial"/>
                <w:sz w:val="14"/>
                <w:szCs w:val="14"/>
                <w:color w:val="auto"/>
              </w:rPr>
              <w:t>Commodity contracts not subject to rate recovery</w:t>
            </w:r>
          </w:p>
        </w:tc>
        <w:tc>
          <w:tcPr>
            <w:tcW w:w="460" w:type="dxa"/>
            <w:vAlign w:val="bottom"/>
          </w:tcPr>
          <w:p>
            <w:pPr>
              <w:spacing w:after="0"/>
              <w:rPr>
                <w:sz w:val="18"/>
                <w:szCs w:val="18"/>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4</w:t>
            </w:r>
          </w:p>
        </w:tc>
        <w:tc>
          <w:tcPr>
            <w:tcW w:w="320" w:type="dxa"/>
            <w:vAlign w:val="bottom"/>
          </w:tcPr>
          <w:p>
            <w:pPr>
              <w:spacing w:after="0"/>
              <w:rPr>
                <w:sz w:val="18"/>
                <w:szCs w:val="18"/>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8</w:t>
            </w:r>
          </w:p>
        </w:tc>
        <w:tc>
          <w:tcPr>
            <w:tcW w:w="340" w:type="dxa"/>
            <w:vAlign w:val="bottom"/>
          </w:tcPr>
          <w:p>
            <w:pPr>
              <w:spacing w:after="0"/>
              <w:rPr>
                <w:sz w:val="18"/>
                <w:szCs w:val="18"/>
                <w:color w:val="auto"/>
              </w:rPr>
            </w:pPr>
          </w:p>
        </w:tc>
        <w:tc>
          <w:tcPr>
            <w:tcW w:w="920" w:type="dxa"/>
            <w:vAlign w:val="bottom"/>
          </w:tcPr>
          <w:p>
            <w:pPr>
              <w:ind w:left="5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1000" w:type="dxa"/>
            <w:vAlign w:val="bottom"/>
          </w:tcPr>
          <w:p>
            <w:pPr>
              <w:jc w:val="right"/>
              <w:ind w:right="69"/>
              <w:spacing w:after="0"/>
              <w:rPr>
                <w:sz w:val="20"/>
                <w:szCs w:val="20"/>
                <w:color w:val="auto"/>
              </w:rPr>
            </w:pPr>
            <w:r>
              <w:rPr>
                <w:rFonts w:ascii="Arial" w:cs="Arial" w:eastAsia="Arial" w:hAnsi="Arial"/>
                <w:sz w:val="14"/>
                <w:szCs w:val="14"/>
                <w:color w:val="auto"/>
              </w:rPr>
              <w:t>(5)</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97"/>
        </w:trPr>
        <w:tc>
          <w:tcPr>
            <w:tcW w:w="504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13</w:t>
            </w: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59"/>
        </w:trPr>
        <w:tc>
          <w:tcPr>
            <w:tcW w:w="5040" w:type="dxa"/>
            <w:vAlign w:val="bottom"/>
            <w:tcBorders>
              <w:bottom w:val="single" w:sz="8" w:color="auto"/>
            </w:tcBorders>
          </w:tcPr>
          <w:p>
            <w:pPr>
              <w:spacing w:after="0" w:line="153" w:lineRule="exact"/>
              <w:rPr>
                <w:sz w:val="20"/>
                <w:szCs w:val="20"/>
                <w:color w:val="auto"/>
              </w:rPr>
            </w:pPr>
            <w:r>
              <w:rPr>
                <w:rFonts w:ascii="Arial" w:cs="Arial" w:eastAsia="Arial" w:hAnsi="Arial"/>
                <w:sz w:val="14"/>
                <w:szCs w:val="14"/>
                <w:color w:val="auto"/>
              </w:rPr>
              <w:t>Total</w:t>
            </w:r>
          </w:p>
        </w:tc>
        <w:tc>
          <w:tcPr>
            <w:tcW w:w="460" w:type="dxa"/>
            <w:vAlign w:val="bottom"/>
            <w:tcBorders>
              <w:bottom w:val="single" w:sz="8" w:color="auto"/>
            </w:tcBorders>
          </w:tcPr>
          <w:p>
            <w:pPr>
              <w:jc w:val="right"/>
              <w:ind w:right="29"/>
              <w:spacing w:after="0" w:line="153"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69"/>
              <w:spacing w:after="0" w:line="153" w:lineRule="exact"/>
              <w:rPr>
                <w:sz w:val="20"/>
                <w:szCs w:val="20"/>
                <w:color w:val="auto"/>
              </w:rPr>
            </w:pPr>
            <w:r>
              <w:rPr>
                <w:rFonts w:ascii="Arial" w:cs="Arial" w:eastAsia="Arial" w:hAnsi="Arial"/>
                <w:sz w:val="14"/>
                <w:szCs w:val="14"/>
                <w:color w:val="auto"/>
              </w:rPr>
              <w:t>4</w:t>
            </w:r>
          </w:p>
        </w:tc>
        <w:tc>
          <w:tcPr>
            <w:tcW w:w="320" w:type="dxa"/>
            <w:vAlign w:val="bottom"/>
            <w:tcBorders>
              <w:bottom w:val="single" w:sz="8" w:color="auto"/>
            </w:tcBorders>
          </w:tcPr>
          <w:p>
            <w:pPr>
              <w:jc w:val="right"/>
              <w:ind w:right="29"/>
              <w:spacing w:after="0" w:line="153"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69"/>
              <w:spacing w:after="0" w:line="153" w:lineRule="exact"/>
              <w:rPr>
                <w:sz w:val="20"/>
                <w:szCs w:val="20"/>
                <w:color w:val="auto"/>
              </w:rPr>
            </w:pPr>
            <w:r>
              <w:rPr>
                <w:rFonts w:ascii="Arial" w:cs="Arial" w:eastAsia="Arial" w:hAnsi="Arial"/>
                <w:sz w:val="14"/>
                <w:szCs w:val="14"/>
                <w:color w:val="auto"/>
              </w:rPr>
              <w:t>138</w:t>
            </w:r>
          </w:p>
        </w:tc>
        <w:tc>
          <w:tcPr>
            <w:tcW w:w="340" w:type="dxa"/>
            <w:vAlign w:val="bottom"/>
            <w:tcBorders>
              <w:bottom w:val="single" w:sz="8" w:color="auto"/>
            </w:tcBorders>
          </w:tcPr>
          <w:p>
            <w:pPr>
              <w:jc w:val="right"/>
              <w:ind w:right="49"/>
              <w:spacing w:after="0" w:line="153"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ind w:left="520"/>
              <w:spacing w:after="0" w:line="153"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ind w:right="89"/>
              <w:spacing w:after="0" w:line="153"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9"/>
              <w:spacing w:after="0" w:line="153" w:lineRule="exact"/>
              <w:rPr>
                <w:sz w:val="20"/>
                <w:szCs w:val="20"/>
                <w:color w:val="auto"/>
              </w:rPr>
            </w:pPr>
            <w:r>
              <w:rPr>
                <w:rFonts w:ascii="Arial" w:cs="Arial" w:eastAsia="Arial" w:hAnsi="Arial"/>
                <w:sz w:val="14"/>
                <w:szCs w:val="14"/>
                <w:color w:val="auto"/>
              </w:rPr>
              <w:t>(5)</w:t>
            </w:r>
          </w:p>
        </w:tc>
        <w:tc>
          <w:tcPr>
            <w:tcW w:w="380" w:type="dxa"/>
            <w:vAlign w:val="bottom"/>
            <w:tcBorders>
              <w:bottom w:val="single" w:sz="8" w:color="auto"/>
            </w:tcBorders>
          </w:tcPr>
          <w:p>
            <w:pPr>
              <w:jc w:val="right"/>
              <w:ind w:right="69"/>
              <w:spacing w:after="0" w:line="153"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bl>
    <w:p>
      <w:pPr>
        <w:ind w:left="500" w:hanging="494"/>
        <w:spacing w:after="0"/>
        <w:tabs>
          <w:tab w:leader="none" w:pos="500" w:val="left"/>
        </w:tabs>
        <w:numPr>
          <w:ilvl w:val="0"/>
          <w:numId w:val="41"/>
        </w:numPr>
        <w:rPr>
          <w:rFonts w:ascii="Arial" w:cs="Arial" w:eastAsia="Arial" w:hAnsi="Arial"/>
          <w:sz w:val="14"/>
          <w:szCs w:val="14"/>
          <w:i w:val="1"/>
          <w:iCs w:val="1"/>
          <w:color w:val="auto"/>
        </w:rPr>
      </w:pPr>
      <w:r>
        <w:rPr>
          <w:rFonts w:ascii="Arial" w:cs="Arial" w:eastAsia="Arial" w:hAnsi="Arial"/>
          <w:sz w:val="14"/>
          <w:szCs w:val="14"/>
          <w:i w:val="1"/>
          <w:iCs w:val="1"/>
          <w:color w:val="auto"/>
        </w:rPr>
        <w:t>Includes the effect of the contractual ability to settle contracts under master netting agreements and with cash collateral, as well as cash collateral not offset.</w:t>
      </w:r>
    </w:p>
    <w:p>
      <w:pPr>
        <w:spacing w:after="0" w:line="3" w:lineRule="exact"/>
        <w:rPr>
          <w:rFonts w:ascii="Arial" w:cs="Arial" w:eastAsia="Arial" w:hAnsi="Arial"/>
          <w:sz w:val="14"/>
          <w:szCs w:val="14"/>
          <w:i w:val="1"/>
          <w:iCs w:val="1"/>
          <w:color w:val="auto"/>
        </w:rPr>
      </w:pPr>
    </w:p>
    <w:p>
      <w:pPr>
        <w:ind w:left="500" w:hanging="494"/>
        <w:spacing w:after="0"/>
        <w:tabs>
          <w:tab w:leader="none" w:pos="500" w:val="left"/>
        </w:tabs>
        <w:numPr>
          <w:ilvl w:val="0"/>
          <w:numId w:val="41"/>
        </w:numPr>
        <w:rPr>
          <w:rFonts w:ascii="Arial" w:cs="Arial" w:eastAsia="Arial" w:hAnsi="Arial"/>
          <w:sz w:val="14"/>
          <w:szCs w:val="14"/>
          <w:i w:val="1"/>
          <w:iCs w:val="1"/>
          <w:color w:val="auto"/>
        </w:rPr>
      </w:pPr>
      <w:r>
        <w:rPr>
          <w:rFonts w:ascii="Arial" w:cs="Arial" w:eastAsia="Arial" w:hAnsi="Arial"/>
          <w:sz w:val="14"/>
          <w:szCs w:val="14"/>
          <w:i w:val="1"/>
          <w:iCs w:val="1"/>
          <w:color w:val="auto"/>
        </w:rPr>
        <w:t>Excludes cash balances and cash equivalents.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RECURRING FAIR VALUE MEASURES – SDG&amp;E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-104775</wp:posOffset>
            </wp:positionV>
            <wp:extent cx="7248525" cy="2197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8525" cy="21971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Fair value at September 30, 2014</w:t>
            </w:r>
          </w:p>
        </w:tc>
        <w:tc>
          <w:tcPr>
            <w:tcW w:w="9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50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Level 1</w:t>
            </w: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Level 2</w:t>
            </w: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Level 3</w:t>
            </w: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Netting(1)</w:t>
            </w: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21"/>
        </w:trPr>
        <w:tc>
          <w:tcPr>
            <w:tcW w:w="5040" w:type="dxa"/>
            <w:vAlign w:val="bottom"/>
          </w:tcPr>
          <w:p>
            <w:pPr>
              <w:spacing w:after="0"/>
              <w:rPr>
                <w:sz w:val="20"/>
                <w:szCs w:val="20"/>
                <w:color w:val="auto"/>
              </w:rPr>
            </w:pPr>
            <w:r>
              <w:rPr>
                <w:rFonts w:ascii="Arial" w:cs="Arial" w:eastAsia="Arial" w:hAnsi="Arial"/>
                <w:sz w:val="14"/>
                <w:szCs w:val="14"/>
                <w:color w:val="auto"/>
              </w:rPr>
              <w:t>Assets:</w:t>
            </w: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40" w:type="dxa"/>
            <w:vAlign w:val="bottom"/>
          </w:tcPr>
          <w:p>
            <w:pPr>
              <w:ind w:left="160"/>
              <w:spacing w:after="0"/>
              <w:rPr>
                <w:sz w:val="20"/>
                <w:szCs w:val="20"/>
                <w:color w:val="auto"/>
              </w:rPr>
            </w:pPr>
            <w:r>
              <w:rPr>
                <w:rFonts w:ascii="Arial" w:cs="Arial" w:eastAsia="Arial" w:hAnsi="Arial"/>
                <w:sz w:val="14"/>
                <w:szCs w:val="14"/>
                <w:color w:val="auto"/>
              </w:rPr>
              <w:t>Nuclear decommissioning trusts:</w:t>
            </w:r>
          </w:p>
        </w:tc>
        <w:tc>
          <w:tcPr>
            <w:tcW w:w="46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69"/>
              <w:spacing w:after="0"/>
              <w:rPr>
                <w:sz w:val="20"/>
                <w:szCs w:val="20"/>
                <w:color w:val="auto"/>
              </w:rPr>
            </w:pPr>
            <w:r>
              <w:rPr>
                <w:rFonts w:ascii="Arial" w:cs="Arial" w:eastAsia="Arial" w:hAnsi="Arial"/>
                <w:sz w:val="14"/>
                <w:szCs w:val="14"/>
                <w:color w:val="auto"/>
              </w:rPr>
              <w:t>637</w:t>
            </w:r>
          </w:p>
        </w:tc>
        <w:tc>
          <w:tcPr>
            <w:tcW w:w="3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189"/>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ind w:left="520"/>
              <w:spacing w:after="0"/>
              <w:rPr>
                <w:sz w:val="20"/>
                <w:szCs w:val="20"/>
                <w:color w:val="auto"/>
              </w:rPr>
            </w:pPr>
            <w:r>
              <w:rPr>
                <w:rFonts w:ascii="Arial" w:cs="Arial" w:eastAsia="Arial" w:hAnsi="Arial"/>
                <w:sz w:val="14"/>
                <w:szCs w:val="14"/>
                <w:color w:val="auto"/>
              </w:rPr>
              <w:t>―</w:t>
            </w:r>
          </w:p>
        </w:tc>
        <w:tc>
          <w:tcPr>
            <w:tcW w:w="400" w:type="dxa"/>
            <w:vAlign w:val="bottom"/>
            <w:vMerge w:val="restart"/>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189"/>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637</w:t>
            </w:r>
          </w:p>
        </w:tc>
        <w:tc>
          <w:tcPr>
            <w:tcW w:w="0" w:type="dxa"/>
            <w:vAlign w:val="bottom"/>
          </w:tcPr>
          <w:p>
            <w:pPr>
              <w:spacing w:after="0"/>
              <w:rPr>
                <w:sz w:val="1"/>
                <w:szCs w:val="1"/>
                <w:color w:val="auto"/>
              </w:rPr>
            </w:pPr>
          </w:p>
        </w:tc>
      </w:tr>
      <w:tr>
        <w:trPr>
          <w:trHeight w:val="149"/>
        </w:trPr>
        <w:tc>
          <w:tcPr>
            <w:tcW w:w="5040" w:type="dxa"/>
            <w:vAlign w:val="bottom"/>
          </w:tcPr>
          <w:p>
            <w:pPr>
              <w:ind w:left="400"/>
              <w:spacing w:after="0" w:line="144" w:lineRule="exact"/>
              <w:rPr>
                <w:sz w:val="20"/>
                <w:szCs w:val="20"/>
                <w:color w:val="auto"/>
              </w:rPr>
            </w:pPr>
            <w:r>
              <w:rPr>
                <w:rFonts w:ascii="Arial" w:cs="Arial" w:eastAsia="Arial" w:hAnsi="Arial"/>
                <w:sz w:val="14"/>
                <w:szCs w:val="14"/>
                <w:color w:val="auto"/>
              </w:rPr>
              <w:t>Equity securities</w:t>
            </w:r>
          </w:p>
        </w:tc>
        <w:tc>
          <w:tcPr>
            <w:tcW w:w="460" w:type="dxa"/>
            <w:vAlign w:val="bottom"/>
            <w:tcBorders>
              <w:bottom w:val="single" w:sz="8" w:color="auto"/>
            </w:tcBorders>
            <w:vMerge w:val="continue"/>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320" w:type="dxa"/>
            <w:vAlign w:val="bottom"/>
            <w:tcBorders>
              <w:bottom w:val="single" w:sz="8" w:color="auto"/>
            </w:tcBorders>
            <w:vMerge w:val="continue"/>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340" w:type="dxa"/>
            <w:vAlign w:val="bottom"/>
            <w:tcBorders>
              <w:bottom w:val="single" w:sz="8" w:color="auto"/>
            </w:tcBorders>
            <w:vMerge w:val="continue"/>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400" w:type="dxa"/>
            <w:vAlign w:val="bottom"/>
            <w:tcBorders>
              <w:bottom w:val="single" w:sz="8" w:color="auto"/>
            </w:tcBorders>
            <w:vMerge w:val="continue"/>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380" w:type="dxa"/>
            <w:vAlign w:val="bottom"/>
            <w:tcBorders>
              <w:bottom w:val="single" w:sz="8" w:color="auto"/>
            </w:tcBorders>
            <w:vMerge w:val="continue"/>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5040" w:type="dxa"/>
            <w:vAlign w:val="bottom"/>
          </w:tcPr>
          <w:p>
            <w:pPr>
              <w:ind w:left="400"/>
              <w:spacing w:after="0"/>
              <w:rPr>
                <w:sz w:val="20"/>
                <w:szCs w:val="20"/>
                <w:color w:val="auto"/>
              </w:rPr>
            </w:pPr>
            <w:r>
              <w:rPr>
                <w:rFonts w:ascii="Arial" w:cs="Arial" w:eastAsia="Arial" w:hAnsi="Arial"/>
                <w:sz w:val="14"/>
                <w:szCs w:val="14"/>
                <w:color w:val="auto"/>
              </w:rPr>
              <w:t>Debt securities:</w:t>
            </w: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40" w:type="dxa"/>
            <w:vAlign w:val="bottom"/>
          </w:tcPr>
          <w:p>
            <w:pPr>
              <w:ind w:left="560"/>
              <w:spacing w:after="0"/>
              <w:rPr>
                <w:sz w:val="20"/>
                <w:szCs w:val="20"/>
                <w:color w:val="auto"/>
              </w:rPr>
            </w:pPr>
            <w:r>
              <w:rPr>
                <w:rFonts w:ascii="Arial" w:cs="Arial" w:eastAsia="Arial" w:hAnsi="Arial"/>
                <w:sz w:val="14"/>
                <w:szCs w:val="14"/>
                <w:color w:val="auto"/>
              </w:rPr>
              <w:t>Debt securities issued by the U.S. Treasury and other</w:t>
            </w: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40" w:type="dxa"/>
            <w:vAlign w:val="bottom"/>
          </w:tcPr>
          <w:p>
            <w:pPr>
              <w:ind w:left="760"/>
              <w:spacing w:after="0"/>
              <w:rPr>
                <w:sz w:val="20"/>
                <w:szCs w:val="20"/>
                <w:color w:val="auto"/>
              </w:rPr>
            </w:pPr>
            <w:r>
              <w:rPr>
                <w:rFonts w:ascii="Arial" w:cs="Arial" w:eastAsia="Arial" w:hAnsi="Arial"/>
                <w:sz w:val="14"/>
                <w:szCs w:val="14"/>
                <w:color w:val="auto"/>
              </w:rPr>
              <w:t>U.S. government corporations and agencies</w:t>
            </w:r>
          </w:p>
        </w:tc>
        <w:tc>
          <w:tcPr>
            <w:tcW w:w="460" w:type="dxa"/>
            <w:vAlign w:val="bottom"/>
          </w:tcPr>
          <w:p>
            <w:pPr>
              <w:spacing w:after="0"/>
              <w:rPr>
                <w:sz w:val="18"/>
                <w:szCs w:val="18"/>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56</w:t>
            </w:r>
          </w:p>
        </w:tc>
        <w:tc>
          <w:tcPr>
            <w:tcW w:w="320" w:type="dxa"/>
            <w:vAlign w:val="bottom"/>
          </w:tcPr>
          <w:p>
            <w:pPr>
              <w:spacing w:after="0"/>
              <w:rPr>
                <w:sz w:val="18"/>
                <w:szCs w:val="18"/>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47</w:t>
            </w:r>
          </w:p>
        </w:tc>
        <w:tc>
          <w:tcPr>
            <w:tcW w:w="340" w:type="dxa"/>
            <w:vAlign w:val="bottom"/>
          </w:tcPr>
          <w:p>
            <w:pPr>
              <w:spacing w:after="0"/>
              <w:rPr>
                <w:sz w:val="18"/>
                <w:szCs w:val="18"/>
                <w:color w:val="auto"/>
              </w:rPr>
            </w:pPr>
          </w:p>
        </w:tc>
        <w:tc>
          <w:tcPr>
            <w:tcW w:w="920" w:type="dxa"/>
            <w:vAlign w:val="bottom"/>
          </w:tcPr>
          <w:p>
            <w:pPr>
              <w:ind w:left="5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98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213"/>
        </w:trPr>
        <w:tc>
          <w:tcPr>
            <w:tcW w:w="5040" w:type="dxa"/>
            <w:vAlign w:val="bottom"/>
          </w:tcPr>
          <w:p>
            <w:pPr>
              <w:ind w:left="560"/>
              <w:spacing w:after="0"/>
              <w:rPr>
                <w:sz w:val="20"/>
                <w:szCs w:val="20"/>
                <w:color w:val="auto"/>
              </w:rPr>
            </w:pPr>
            <w:r>
              <w:rPr>
                <w:rFonts w:ascii="Arial" w:cs="Arial" w:eastAsia="Arial" w:hAnsi="Arial"/>
                <w:sz w:val="14"/>
                <w:szCs w:val="14"/>
                <w:color w:val="auto"/>
              </w:rPr>
              <w:t>Municipal bonds</w:t>
            </w:r>
          </w:p>
        </w:tc>
        <w:tc>
          <w:tcPr>
            <w:tcW w:w="460" w:type="dxa"/>
            <w:vAlign w:val="bottom"/>
          </w:tcPr>
          <w:p>
            <w:pPr>
              <w:spacing w:after="0"/>
              <w:rPr>
                <w:sz w:val="18"/>
                <w:szCs w:val="18"/>
                <w:color w:val="auto"/>
              </w:rPr>
            </w:pPr>
          </w:p>
        </w:tc>
        <w:tc>
          <w:tcPr>
            <w:tcW w:w="92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121</w:t>
            </w:r>
          </w:p>
        </w:tc>
        <w:tc>
          <w:tcPr>
            <w:tcW w:w="340" w:type="dxa"/>
            <w:vAlign w:val="bottom"/>
          </w:tcPr>
          <w:p>
            <w:pPr>
              <w:spacing w:after="0"/>
              <w:rPr>
                <w:sz w:val="18"/>
                <w:szCs w:val="18"/>
                <w:color w:val="auto"/>
              </w:rPr>
            </w:pPr>
          </w:p>
        </w:tc>
        <w:tc>
          <w:tcPr>
            <w:tcW w:w="920" w:type="dxa"/>
            <w:vAlign w:val="bottom"/>
          </w:tcPr>
          <w:p>
            <w:pPr>
              <w:ind w:left="5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98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97"/>
        </w:trPr>
        <w:tc>
          <w:tcPr>
            <w:tcW w:w="5040" w:type="dxa"/>
            <w:vAlign w:val="bottom"/>
          </w:tcPr>
          <w:p>
            <w:pPr>
              <w:ind w:left="560"/>
              <w:spacing w:after="0"/>
              <w:rPr>
                <w:sz w:val="20"/>
                <w:szCs w:val="20"/>
                <w:color w:val="auto"/>
              </w:rPr>
            </w:pPr>
            <w:r>
              <w:rPr>
                <w:rFonts w:ascii="Arial" w:cs="Arial" w:eastAsia="Arial" w:hAnsi="Arial"/>
                <w:sz w:val="14"/>
                <w:szCs w:val="14"/>
                <w:color w:val="auto"/>
              </w:rPr>
              <w:t>Other securities</w:t>
            </w: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200</w:t>
            </w: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206"/>
        </w:trPr>
        <w:tc>
          <w:tcPr>
            <w:tcW w:w="5040" w:type="dxa"/>
            <w:vAlign w:val="bottom"/>
          </w:tcPr>
          <w:p>
            <w:pPr>
              <w:ind w:left="400"/>
              <w:spacing w:after="0"/>
              <w:rPr>
                <w:sz w:val="20"/>
                <w:szCs w:val="20"/>
                <w:color w:val="auto"/>
              </w:rPr>
            </w:pPr>
            <w:r>
              <w:rPr>
                <w:rFonts w:ascii="Arial" w:cs="Arial" w:eastAsia="Arial" w:hAnsi="Arial"/>
                <w:sz w:val="14"/>
                <w:szCs w:val="14"/>
                <w:color w:val="auto"/>
              </w:rPr>
              <w:t>Total debt securities</w:t>
            </w: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56</w:t>
            </w: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368</w:t>
            </w: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424</w:t>
            </w:r>
          </w:p>
        </w:tc>
        <w:tc>
          <w:tcPr>
            <w:tcW w:w="0" w:type="dxa"/>
            <w:vAlign w:val="bottom"/>
          </w:tcPr>
          <w:p>
            <w:pPr>
              <w:spacing w:after="0"/>
              <w:rPr>
                <w:sz w:val="1"/>
                <w:szCs w:val="1"/>
                <w:color w:val="auto"/>
              </w:rPr>
            </w:pPr>
          </w:p>
        </w:tc>
      </w:tr>
      <w:tr>
        <w:trPr>
          <w:trHeight w:val="206"/>
        </w:trPr>
        <w:tc>
          <w:tcPr>
            <w:tcW w:w="5040" w:type="dxa"/>
            <w:vAlign w:val="bottom"/>
          </w:tcPr>
          <w:p>
            <w:pPr>
              <w:ind w:left="160"/>
              <w:spacing w:after="0"/>
              <w:rPr>
                <w:sz w:val="20"/>
                <w:szCs w:val="20"/>
                <w:color w:val="auto"/>
              </w:rPr>
            </w:pPr>
            <w:r>
              <w:rPr>
                <w:rFonts w:ascii="Arial" w:cs="Arial" w:eastAsia="Arial" w:hAnsi="Arial"/>
                <w:sz w:val="14"/>
                <w:szCs w:val="14"/>
                <w:color w:val="auto"/>
              </w:rPr>
              <w:t>Total nuclear decommissioning trusts(2)</w:t>
            </w: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693</w:t>
            </w: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368</w:t>
            </w: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1,061</w:t>
            </w:r>
          </w:p>
        </w:tc>
        <w:tc>
          <w:tcPr>
            <w:tcW w:w="0" w:type="dxa"/>
            <w:vAlign w:val="bottom"/>
          </w:tcPr>
          <w:p>
            <w:pPr>
              <w:spacing w:after="0"/>
              <w:rPr>
                <w:sz w:val="1"/>
                <w:szCs w:val="1"/>
                <w:color w:val="auto"/>
              </w:rPr>
            </w:pPr>
          </w:p>
        </w:tc>
      </w:tr>
      <w:tr>
        <w:trPr>
          <w:trHeight w:val="221"/>
        </w:trPr>
        <w:tc>
          <w:tcPr>
            <w:tcW w:w="5040" w:type="dxa"/>
            <w:vAlign w:val="bottom"/>
          </w:tcPr>
          <w:p>
            <w:pPr>
              <w:ind w:left="160"/>
              <w:spacing w:after="0"/>
              <w:rPr>
                <w:sz w:val="20"/>
                <w:szCs w:val="20"/>
                <w:color w:val="auto"/>
              </w:rPr>
            </w:pPr>
            <w:r>
              <w:rPr>
                <w:rFonts w:ascii="Arial" w:cs="Arial" w:eastAsia="Arial" w:hAnsi="Arial"/>
                <w:sz w:val="14"/>
                <w:szCs w:val="14"/>
                <w:color w:val="auto"/>
              </w:rPr>
              <w:t>Commodity contracts not subject to rate recovery</w:t>
            </w:r>
          </w:p>
        </w:tc>
        <w:tc>
          <w:tcPr>
            <w:tcW w:w="460" w:type="dxa"/>
            <w:vAlign w:val="bottom"/>
          </w:tcPr>
          <w:p>
            <w:pPr>
              <w:spacing w:after="0"/>
              <w:rPr>
                <w:sz w:val="19"/>
                <w:szCs w:val="19"/>
                <w:color w:val="auto"/>
              </w:rPr>
            </w:pPr>
          </w:p>
        </w:tc>
        <w:tc>
          <w:tcPr>
            <w:tcW w:w="92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9"/>
                <w:szCs w:val="19"/>
                <w:color w:val="auto"/>
              </w:rPr>
            </w:pPr>
          </w:p>
        </w:tc>
        <w:tc>
          <w:tcPr>
            <w:tcW w:w="92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9"/>
                <w:szCs w:val="19"/>
                <w:color w:val="auto"/>
              </w:rPr>
            </w:pPr>
          </w:p>
        </w:tc>
        <w:tc>
          <w:tcPr>
            <w:tcW w:w="920" w:type="dxa"/>
            <w:vAlign w:val="bottom"/>
          </w:tcPr>
          <w:p>
            <w:pPr>
              <w:ind w:left="5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9"/>
                <w:szCs w:val="19"/>
                <w:color w:val="auto"/>
              </w:rPr>
            </w:pPr>
          </w:p>
        </w:tc>
        <w:tc>
          <w:tcPr>
            <w:tcW w:w="980" w:type="dxa"/>
            <w:vAlign w:val="bottom"/>
          </w:tcPr>
          <w:p>
            <w:pPr>
              <w:jc w:val="right"/>
              <w:ind w:right="69"/>
              <w:spacing w:after="0"/>
              <w:rPr>
                <w:sz w:val="20"/>
                <w:szCs w:val="20"/>
                <w:color w:val="auto"/>
              </w:rPr>
            </w:pPr>
            <w:r>
              <w:rPr>
                <w:rFonts w:ascii="Arial" w:cs="Arial" w:eastAsia="Arial" w:hAnsi="Arial"/>
                <w:sz w:val="14"/>
                <w:szCs w:val="14"/>
                <w:color w:val="auto"/>
              </w:rPr>
              <w:t>1</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7"/>
        </w:trPr>
        <w:tc>
          <w:tcPr>
            <w:tcW w:w="504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w:t>
            </w: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87</w:t>
            </w: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28</w:t>
            </w: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59"/>
        </w:trPr>
        <w:tc>
          <w:tcPr>
            <w:tcW w:w="5040" w:type="dxa"/>
            <w:vAlign w:val="bottom"/>
          </w:tcPr>
          <w:p>
            <w:pPr>
              <w:spacing w:after="0" w:line="139" w:lineRule="exact"/>
              <w:rPr>
                <w:sz w:val="20"/>
                <w:szCs w:val="20"/>
                <w:color w:val="auto"/>
              </w:rPr>
            </w:pPr>
            <w:r>
              <w:rPr>
                <w:rFonts w:ascii="Arial" w:cs="Arial" w:eastAsia="Arial" w:hAnsi="Arial"/>
                <w:sz w:val="14"/>
                <w:szCs w:val="14"/>
                <w:color w:val="auto"/>
              </w:rPr>
              <w:t>Total</w:t>
            </w:r>
          </w:p>
        </w:tc>
        <w:tc>
          <w:tcPr>
            <w:tcW w:w="460" w:type="dxa"/>
            <w:vAlign w:val="bottom"/>
            <w:tcBorders>
              <w:bottom w:val="single" w:sz="8" w:color="auto"/>
            </w:tcBorders>
          </w:tcPr>
          <w:p>
            <w:pPr>
              <w:jc w:val="right"/>
              <w:ind w:right="29"/>
              <w:spacing w:after="0" w:line="139"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69"/>
              <w:spacing w:after="0" w:line="139" w:lineRule="exact"/>
              <w:rPr>
                <w:sz w:val="20"/>
                <w:szCs w:val="20"/>
                <w:color w:val="auto"/>
              </w:rPr>
            </w:pPr>
            <w:r>
              <w:rPr>
                <w:rFonts w:ascii="Arial" w:cs="Arial" w:eastAsia="Arial" w:hAnsi="Arial"/>
                <w:sz w:val="14"/>
                <w:szCs w:val="14"/>
                <w:color w:val="auto"/>
              </w:rPr>
              <w:t>693</w:t>
            </w:r>
          </w:p>
        </w:tc>
        <w:tc>
          <w:tcPr>
            <w:tcW w:w="320" w:type="dxa"/>
            <w:vAlign w:val="bottom"/>
            <w:tcBorders>
              <w:bottom w:val="single" w:sz="8" w:color="auto"/>
            </w:tcBorders>
          </w:tcPr>
          <w:p>
            <w:pPr>
              <w:jc w:val="right"/>
              <w:ind w:right="29"/>
              <w:spacing w:after="0" w:line="139"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69"/>
              <w:spacing w:after="0" w:line="139" w:lineRule="exact"/>
              <w:rPr>
                <w:sz w:val="20"/>
                <w:szCs w:val="20"/>
                <w:color w:val="auto"/>
              </w:rPr>
            </w:pPr>
            <w:r>
              <w:rPr>
                <w:rFonts w:ascii="Arial" w:cs="Arial" w:eastAsia="Arial" w:hAnsi="Arial"/>
                <w:sz w:val="14"/>
                <w:szCs w:val="14"/>
                <w:color w:val="auto"/>
              </w:rPr>
              <w:t>370</w:t>
            </w:r>
          </w:p>
        </w:tc>
        <w:tc>
          <w:tcPr>
            <w:tcW w:w="340" w:type="dxa"/>
            <w:vAlign w:val="bottom"/>
            <w:tcBorders>
              <w:bottom w:val="single" w:sz="8" w:color="auto"/>
            </w:tcBorders>
          </w:tcPr>
          <w:p>
            <w:pPr>
              <w:jc w:val="right"/>
              <w:ind w:right="49"/>
              <w:spacing w:after="0" w:line="139"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ind w:left="620"/>
              <w:spacing w:after="0" w:line="139" w:lineRule="exact"/>
              <w:rPr>
                <w:sz w:val="20"/>
                <w:szCs w:val="20"/>
                <w:color w:val="auto"/>
              </w:rPr>
            </w:pPr>
            <w:r>
              <w:rPr>
                <w:rFonts w:ascii="Arial" w:cs="Arial" w:eastAsia="Arial" w:hAnsi="Arial"/>
                <w:sz w:val="14"/>
                <w:szCs w:val="14"/>
                <w:color w:val="auto"/>
              </w:rPr>
              <w:t>87</w:t>
            </w:r>
          </w:p>
        </w:tc>
        <w:tc>
          <w:tcPr>
            <w:tcW w:w="400" w:type="dxa"/>
            <w:vAlign w:val="bottom"/>
            <w:tcBorders>
              <w:bottom w:val="single" w:sz="8" w:color="auto"/>
            </w:tcBorders>
          </w:tcPr>
          <w:p>
            <w:pPr>
              <w:jc w:val="right"/>
              <w:ind w:right="109"/>
              <w:spacing w:after="0" w:line="139"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69"/>
              <w:spacing w:after="0" w:line="139" w:lineRule="exact"/>
              <w:rPr>
                <w:sz w:val="20"/>
                <w:szCs w:val="20"/>
                <w:color w:val="auto"/>
              </w:rPr>
            </w:pPr>
            <w:r>
              <w:rPr>
                <w:rFonts w:ascii="Arial" w:cs="Arial" w:eastAsia="Arial" w:hAnsi="Arial"/>
                <w:sz w:val="14"/>
                <w:szCs w:val="14"/>
                <w:color w:val="auto"/>
              </w:rPr>
              <w:t>29</w:t>
            </w:r>
          </w:p>
        </w:tc>
        <w:tc>
          <w:tcPr>
            <w:tcW w:w="380" w:type="dxa"/>
            <w:vAlign w:val="bottom"/>
            <w:tcBorders>
              <w:bottom w:val="single" w:sz="8" w:color="auto"/>
            </w:tcBorders>
          </w:tcPr>
          <w:p>
            <w:pPr>
              <w:jc w:val="right"/>
              <w:ind w:right="69"/>
              <w:spacing w:after="0" w:line="139"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1,179</w:t>
            </w:r>
          </w:p>
        </w:tc>
        <w:tc>
          <w:tcPr>
            <w:tcW w:w="0" w:type="dxa"/>
            <w:vAlign w:val="bottom"/>
          </w:tcPr>
          <w:p>
            <w:pPr>
              <w:spacing w:after="0"/>
              <w:rPr>
                <w:sz w:val="1"/>
                <w:szCs w:val="1"/>
                <w:color w:val="auto"/>
              </w:rPr>
            </w:pPr>
          </w:p>
        </w:tc>
      </w:tr>
      <w:tr>
        <w:trPr>
          <w:trHeight w:val="217"/>
        </w:trPr>
        <w:tc>
          <w:tcPr>
            <w:tcW w:w="5040" w:type="dxa"/>
            <w:vAlign w:val="bottom"/>
          </w:tcPr>
          <w:p>
            <w:pPr>
              <w:spacing w:after="0"/>
              <w:rPr>
                <w:sz w:val="20"/>
                <w:szCs w:val="20"/>
                <w:color w:val="auto"/>
              </w:rPr>
            </w:pPr>
            <w:r>
              <w:rPr>
                <w:rFonts w:ascii="Arial" w:cs="Arial" w:eastAsia="Arial" w:hAnsi="Arial"/>
                <w:sz w:val="14"/>
                <w:szCs w:val="14"/>
                <w:color w:val="auto"/>
              </w:rPr>
              <w:t>Liabilities:</w:t>
            </w: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5040" w:type="dxa"/>
            <w:vAlign w:val="bottom"/>
          </w:tcPr>
          <w:p>
            <w:pPr>
              <w:ind w:left="160"/>
              <w:spacing w:after="0"/>
              <w:rPr>
                <w:sz w:val="20"/>
                <w:szCs w:val="20"/>
                <w:color w:val="auto"/>
              </w:rPr>
            </w:pPr>
            <w:r>
              <w:rPr>
                <w:rFonts w:ascii="Arial" w:cs="Arial" w:eastAsia="Arial" w:hAnsi="Arial"/>
                <w:sz w:val="14"/>
                <w:szCs w:val="14"/>
                <w:color w:val="auto"/>
              </w:rPr>
              <w:t>Interest rate instruments</w:t>
            </w:r>
          </w:p>
        </w:tc>
        <w:tc>
          <w:tcPr>
            <w:tcW w:w="4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48</w:t>
            </w:r>
          </w:p>
        </w:tc>
        <w:tc>
          <w:tcPr>
            <w:tcW w:w="3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920" w:type="dxa"/>
            <w:vAlign w:val="bottom"/>
          </w:tcPr>
          <w:p>
            <w:pPr>
              <w:ind w:left="520"/>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97"/>
        </w:trPr>
        <w:tc>
          <w:tcPr>
            <w:tcW w:w="504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3</w:t>
            </w: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10</w:t>
            </w: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(3)</w:t>
            </w: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59"/>
        </w:trPr>
        <w:tc>
          <w:tcPr>
            <w:tcW w:w="5040" w:type="dxa"/>
            <w:vAlign w:val="bottom"/>
            <w:tcBorders>
              <w:bottom w:val="single" w:sz="8" w:color="auto"/>
            </w:tcBorders>
          </w:tcPr>
          <w:p>
            <w:pPr>
              <w:spacing w:after="0" w:line="153" w:lineRule="exact"/>
              <w:rPr>
                <w:sz w:val="20"/>
                <w:szCs w:val="20"/>
                <w:color w:val="auto"/>
              </w:rPr>
            </w:pPr>
            <w:r>
              <w:rPr>
                <w:rFonts w:ascii="Arial" w:cs="Arial" w:eastAsia="Arial" w:hAnsi="Arial"/>
                <w:sz w:val="14"/>
                <w:szCs w:val="14"/>
                <w:color w:val="auto"/>
              </w:rPr>
              <w:t>Total</w:t>
            </w:r>
          </w:p>
        </w:tc>
        <w:tc>
          <w:tcPr>
            <w:tcW w:w="460" w:type="dxa"/>
            <w:vAlign w:val="bottom"/>
            <w:tcBorders>
              <w:bottom w:val="single" w:sz="8" w:color="auto"/>
            </w:tcBorders>
          </w:tcPr>
          <w:p>
            <w:pPr>
              <w:jc w:val="right"/>
              <w:ind w:right="29"/>
              <w:spacing w:after="0" w:line="153"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69"/>
              <w:spacing w:after="0" w:line="153" w:lineRule="exact"/>
              <w:rPr>
                <w:sz w:val="20"/>
                <w:szCs w:val="20"/>
                <w:color w:val="auto"/>
              </w:rPr>
            </w:pPr>
            <w:r>
              <w:rPr>
                <w:rFonts w:ascii="Arial" w:cs="Arial" w:eastAsia="Arial" w:hAnsi="Arial"/>
                <w:sz w:val="14"/>
                <w:szCs w:val="14"/>
                <w:color w:val="auto"/>
              </w:rPr>
              <w:t>3</w:t>
            </w:r>
          </w:p>
        </w:tc>
        <w:tc>
          <w:tcPr>
            <w:tcW w:w="320" w:type="dxa"/>
            <w:vAlign w:val="bottom"/>
            <w:tcBorders>
              <w:bottom w:val="single" w:sz="8" w:color="auto"/>
            </w:tcBorders>
          </w:tcPr>
          <w:p>
            <w:pPr>
              <w:jc w:val="right"/>
              <w:ind w:right="29"/>
              <w:spacing w:after="0" w:line="153"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69"/>
              <w:spacing w:after="0" w:line="153" w:lineRule="exact"/>
              <w:rPr>
                <w:sz w:val="20"/>
                <w:szCs w:val="20"/>
                <w:color w:val="auto"/>
              </w:rPr>
            </w:pPr>
            <w:r>
              <w:rPr>
                <w:rFonts w:ascii="Arial" w:cs="Arial" w:eastAsia="Arial" w:hAnsi="Arial"/>
                <w:sz w:val="14"/>
                <w:szCs w:val="14"/>
                <w:color w:val="auto"/>
              </w:rPr>
              <w:t>58</w:t>
            </w:r>
          </w:p>
        </w:tc>
        <w:tc>
          <w:tcPr>
            <w:tcW w:w="340" w:type="dxa"/>
            <w:vAlign w:val="bottom"/>
            <w:tcBorders>
              <w:bottom w:val="single" w:sz="8" w:color="auto"/>
            </w:tcBorders>
          </w:tcPr>
          <w:p>
            <w:pPr>
              <w:jc w:val="right"/>
              <w:ind w:right="49"/>
              <w:spacing w:after="0" w:line="153"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ind w:left="520"/>
              <w:spacing w:after="0" w:line="153" w:lineRule="exact"/>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ind w:right="109"/>
              <w:spacing w:after="0" w:line="153"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69"/>
              <w:spacing w:after="0" w:line="153" w:lineRule="exact"/>
              <w:rPr>
                <w:sz w:val="20"/>
                <w:szCs w:val="20"/>
                <w:color w:val="auto"/>
              </w:rPr>
            </w:pPr>
            <w:r>
              <w:rPr>
                <w:rFonts w:ascii="Arial" w:cs="Arial" w:eastAsia="Arial" w:hAnsi="Arial"/>
                <w:sz w:val="14"/>
                <w:szCs w:val="14"/>
                <w:color w:val="auto"/>
              </w:rPr>
              <w:t>(3)</w:t>
            </w:r>
          </w:p>
        </w:tc>
        <w:tc>
          <w:tcPr>
            <w:tcW w:w="380" w:type="dxa"/>
            <w:vAlign w:val="bottom"/>
            <w:tcBorders>
              <w:bottom w:val="single" w:sz="8" w:color="auto"/>
            </w:tcBorders>
          </w:tcPr>
          <w:p>
            <w:pPr>
              <w:jc w:val="right"/>
              <w:ind w:right="69"/>
              <w:spacing w:after="0" w:line="153"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412"/>
        </w:trPr>
        <w:tc>
          <w:tcPr>
            <w:tcW w:w="50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Fair value at December 31, 2013</w:t>
            </w:r>
          </w:p>
        </w:tc>
        <w:tc>
          <w:tcPr>
            <w:tcW w:w="9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50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Level 1</w:t>
            </w: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Level 2</w:t>
            </w: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Level 3</w:t>
            </w: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Netting(1)</w:t>
            </w: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21"/>
        </w:trPr>
        <w:tc>
          <w:tcPr>
            <w:tcW w:w="5040" w:type="dxa"/>
            <w:vAlign w:val="bottom"/>
          </w:tcPr>
          <w:p>
            <w:pPr>
              <w:spacing w:after="0"/>
              <w:rPr>
                <w:sz w:val="20"/>
                <w:szCs w:val="20"/>
                <w:color w:val="auto"/>
              </w:rPr>
            </w:pPr>
            <w:r>
              <w:rPr>
                <w:rFonts w:ascii="Arial" w:cs="Arial" w:eastAsia="Arial" w:hAnsi="Arial"/>
                <w:sz w:val="14"/>
                <w:szCs w:val="14"/>
                <w:color w:val="auto"/>
              </w:rPr>
              <w:t>Assets:</w:t>
            </w: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40" w:type="dxa"/>
            <w:vAlign w:val="bottom"/>
          </w:tcPr>
          <w:p>
            <w:pPr>
              <w:ind w:left="160"/>
              <w:spacing w:after="0"/>
              <w:rPr>
                <w:sz w:val="20"/>
                <w:szCs w:val="20"/>
                <w:color w:val="auto"/>
              </w:rPr>
            </w:pPr>
            <w:r>
              <w:rPr>
                <w:rFonts w:ascii="Arial" w:cs="Arial" w:eastAsia="Arial" w:hAnsi="Arial"/>
                <w:sz w:val="14"/>
                <w:szCs w:val="14"/>
                <w:color w:val="auto"/>
              </w:rPr>
              <w:t>Nuclear decommissioning trusts:</w:t>
            </w:r>
          </w:p>
        </w:tc>
        <w:tc>
          <w:tcPr>
            <w:tcW w:w="46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69"/>
              <w:spacing w:after="0"/>
              <w:rPr>
                <w:sz w:val="20"/>
                <w:szCs w:val="20"/>
                <w:color w:val="auto"/>
              </w:rPr>
            </w:pPr>
            <w:r>
              <w:rPr>
                <w:rFonts w:ascii="Arial" w:cs="Arial" w:eastAsia="Arial" w:hAnsi="Arial"/>
                <w:sz w:val="14"/>
                <w:szCs w:val="14"/>
                <w:color w:val="auto"/>
              </w:rPr>
              <w:t>614</w:t>
            </w:r>
          </w:p>
        </w:tc>
        <w:tc>
          <w:tcPr>
            <w:tcW w:w="3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189"/>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ind w:left="520"/>
              <w:spacing w:after="0"/>
              <w:rPr>
                <w:sz w:val="20"/>
                <w:szCs w:val="20"/>
                <w:color w:val="auto"/>
              </w:rPr>
            </w:pPr>
            <w:r>
              <w:rPr>
                <w:rFonts w:ascii="Arial" w:cs="Arial" w:eastAsia="Arial" w:hAnsi="Arial"/>
                <w:sz w:val="14"/>
                <w:szCs w:val="14"/>
                <w:color w:val="auto"/>
              </w:rPr>
              <w:t>―</w:t>
            </w:r>
          </w:p>
        </w:tc>
        <w:tc>
          <w:tcPr>
            <w:tcW w:w="400" w:type="dxa"/>
            <w:vAlign w:val="bottom"/>
            <w:vMerge w:val="restart"/>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189"/>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614</w:t>
            </w:r>
          </w:p>
        </w:tc>
        <w:tc>
          <w:tcPr>
            <w:tcW w:w="0" w:type="dxa"/>
            <w:vAlign w:val="bottom"/>
          </w:tcPr>
          <w:p>
            <w:pPr>
              <w:spacing w:after="0"/>
              <w:rPr>
                <w:sz w:val="1"/>
                <w:szCs w:val="1"/>
                <w:color w:val="auto"/>
              </w:rPr>
            </w:pPr>
          </w:p>
        </w:tc>
      </w:tr>
      <w:tr>
        <w:trPr>
          <w:trHeight w:val="149"/>
        </w:trPr>
        <w:tc>
          <w:tcPr>
            <w:tcW w:w="5040" w:type="dxa"/>
            <w:vAlign w:val="bottom"/>
          </w:tcPr>
          <w:p>
            <w:pPr>
              <w:ind w:left="400"/>
              <w:spacing w:after="0" w:line="144" w:lineRule="exact"/>
              <w:rPr>
                <w:sz w:val="20"/>
                <w:szCs w:val="20"/>
                <w:color w:val="auto"/>
              </w:rPr>
            </w:pPr>
            <w:r>
              <w:rPr>
                <w:rFonts w:ascii="Arial" w:cs="Arial" w:eastAsia="Arial" w:hAnsi="Arial"/>
                <w:sz w:val="14"/>
                <w:szCs w:val="14"/>
                <w:color w:val="auto"/>
              </w:rPr>
              <w:t>Equity securities</w:t>
            </w:r>
          </w:p>
        </w:tc>
        <w:tc>
          <w:tcPr>
            <w:tcW w:w="460" w:type="dxa"/>
            <w:vAlign w:val="bottom"/>
            <w:tcBorders>
              <w:bottom w:val="single" w:sz="8" w:color="auto"/>
            </w:tcBorders>
            <w:vMerge w:val="continue"/>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320" w:type="dxa"/>
            <w:vAlign w:val="bottom"/>
            <w:tcBorders>
              <w:bottom w:val="single" w:sz="8" w:color="auto"/>
            </w:tcBorders>
            <w:vMerge w:val="continue"/>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340" w:type="dxa"/>
            <w:vAlign w:val="bottom"/>
            <w:tcBorders>
              <w:bottom w:val="single" w:sz="8" w:color="auto"/>
            </w:tcBorders>
            <w:vMerge w:val="continue"/>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400" w:type="dxa"/>
            <w:vAlign w:val="bottom"/>
            <w:tcBorders>
              <w:bottom w:val="single" w:sz="8" w:color="auto"/>
            </w:tcBorders>
            <w:vMerge w:val="continue"/>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380" w:type="dxa"/>
            <w:vAlign w:val="bottom"/>
            <w:tcBorders>
              <w:bottom w:val="single" w:sz="8" w:color="auto"/>
            </w:tcBorders>
            <w:vMerge w:val="continue"/>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5040" w:type="dxa"/>
            <w:vAlign w:val="bottom"/>
          </w:tcPr>
          <w:p>
            <w:pPr>
              <w:ind w:left="400"/>
              <w:spacing w:after="0"/>
              <w:rPr>
                <w:sz w:val="20"/>
                <w:szCs w:val="20"/>
                <w:color w:val="auto"/>
              </w:rPr>
            </w:pPr>
            <w:r>
              <w:rPr>
                <w:rFonts w:ascii="Arial" w:cs="Arial" w:eastAsia="Arial" w:hAnsi="Arial"/>
                <w:sz w:val="14"/>
                <w:szCs w:val="14"/>
                <w:color w:val="auto"/>
              </w:rPr>
              <w:t>Debt securities:</w:t>
            </w: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40" w:type="dxa"/>
            <w:vAlign w:val="bottom"/>
          </w:tcPr>
          <w:p>
            <w:pPr>
              <w:ind w:left="560"/>
              <w:spacing w:after="0"/>
              <w:rPr>
                <w:sz w:val="20"/>
                <w:szCs w:val="20"/>
                <w:color w:val="auto"/>
              </w:rPr>
            </w:pPr>
            <w:r>
              <w:rPr>
                <w:rFonts w:ascii="Arial" w:cs="Arial" w:eastAsia="Arial" w:hAnsi="Arial"/>
                <w:sz w:val="14"/>
                <w:szCs w:val="14"/>
                <w:color w:val="auto"/>
              </w:rPr>
              <w:t>Debt securities issued by the U.S. Treasury and other</w:t>
            </w: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40" w:type="dxa"/>
            <w:vAlign w:val="bottom"/>
          </w:tcPr>
          <w:p>
            <w:pPr>
              <w:ind w:left="760"/>
              <w:spacing w:after="0"/>
              <w:rPr>
                <w:sz w:val="20"/>
                <w:szCs w:val="20"/>
                <w:color w:val="auto"/>
              </w:rPr>
            </w:pPr>
            <w:r>
              <w:rPr>
                <w:rFonts w:ascii="Arial" w:cs="Arial" w:eastAsia="Arial" w:hAnsi="Arial"/>
                <w:sz w:val="14"/>
                <w:szCs w:val="14"/>
                <w:color w:val="auto"/>
              </w:rPr>
              <w:t>U.S. government corporations and agencies</w:t>
            </w:r>
          </w:p>
        </w:tc>
        <w:tc>
          <w:tcPr>
            <w:tcW w:w="460" w:type="dxa"/>
            <w:vAlign w:val="bottom"/>
          </w:tcPr>
          <w:p>
            <w:pPr>
              <w:spacing w:after="0"/>
              <w:rPr>
                <w:sz w:val="18"/>
                <w:szCs w:val="18"/>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59</w:t>
            </w:r>
          </w:p>
        </w:tc>
        <w:tc>
          <w:tcPr>
            <w:tcW w:w="320" w:type="dxa"/>
            <w:vAlign w:val="bottom"/>
          </w:tcPr>
          <w:p>
            <w:pPr>
              <w:spacing w:after="0"/>
              <w:rPr>
                <w:sz w:val="18"/>
                <w:szCs w:val="18"/>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58</w:t>
            </w:r>
          </w:p>
        </w:tc>
        <w:tc>
          <w:tcPr>
            <w:tcW w:w="340" w:type="dxa"/>
            <w:vAlign w:val="bottom"/>
          </w:tcPr>
          <w:p>
            <w:pPr>
              <w:spacing w:after="0"/>
              <w:rPr>
                <w:sz w:val="18"/>
                <w:szCs w:val="18"/>
                <w:color w:val="auto"/>
              </w:rPr>
            </w:pPr>
          </w:p>
        </w:tc>
        <w:tc>
          <w:tcPr>
            <w:tcW w:w="920" w:type="dxa"/>
            <w:vAlign w:val="bottom"/>
          </w:tcPr>
          <w:p>
            <w:pPr>
              <w:ind w:left="5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98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213"/>
        </w:trPr>
        <w:tc>
          <w:tcPr>
            <w:tcW w:w="5040" w:type="dxa"/>
            <w:vAlign w:val="bottom"/>
          </w:tcPr>
          <w:p>
            <w:pPr>
              <w:ind w:left="560"/>
              <w:spacing w:after="0"/>
              <w:rPr>
                <w:sz w:val="20"/>
                <w:szCs w:val="20"/>
                <w:color w:val="auto"/>
              </w:rPr>
            </w:pPr>
            <w:r>
              <w:rPr>
                <w:rFonts w:ascii="Arial" w:cs="Arial" w:eastAsia="Arial" w:hAnsi="Arial"/>
                <w:sz w:val="14"/>
                <w:szCs w:val="14"/>
                <w:color w:val="auto"/>
              </w:rPr>
              <w:t>Municipal bonds</w:t>
            </w:r>
          </w:p>
        </w:tc>
        <w:tc>
          <w:tcPr>
            <w:tcW w:w="460" w:type="dxa"/>
            <w:vAlign w:val="bottom"/>
          </w:tcPr>
          <w:p>
            <w:pPr>
              <w:spacing w:after="0"/>
              <w:rPr>
                <w:sz w:val="18"/>
                <w:szCs w:val="18"/>
                <w:color w:val="auto"/>
              </w:rPr>
            </w:pPr>
          </w:p>
        </w:tc>
        <w:tc>
          <w:tcPr>
            <w:tcW w:w="92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111</w:t>
            </w:r>
          </w:p>
        </w:tc>
        <w:tc>
          <w:tcPr>
            <w:tcW w:w="340" w:type="dxa"/>
            <w:vAlign w:val="bottom"/>
          </w:tcPr>
          <w:p>
            <w:pPr>
              <w:spacing w:after="0"/>
              <w:rPr>
                <w:sz w:val="18"/>
                <w:szCs w:val="18"/>
                <w:color w:val="auto"/>
              </w:rPr>
            </w:pPr>
          </w:p>
        </w:tc>
        <w:tc>
          <w:tcPr>
            <w:tcW w:w="920" w:type="dxa"/>
            <w:vAlign w:val="bottom"/>
          </w:tcPr>
          <w:p>
            <w:pPr>
              <w:ind w:left="5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98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97"/>
        </w:trPr>
        <w:tc>
          <w:tcPr>
            <w:tcW w:w="5040" w:type="dxa"/>
            <w:vAlign w:val="bottom"/>
          </w:tcPr>
          <w:p>
            <w:pPr>
              <w:ind w:left="560"/>
              <w:spacing w:after="0"/>
              <w:rPr>
                <w:sz w:val="20"/>
                <w:szCs w:val="20"/>
                <w:color w:val="auto"/>
              </w:rPr>
            </w:pPr>
            <w:r>
              <w:rPr>
                <w:rFonts w:ascii="Arial" w:cs="Arial" w:eastAsia="Arial" w:hAnsi="Arial"/>
                <w:sz w:val="14"/>
                <w:szCs w:val="14"/>
                <w:color w:val="auto"/>
              </w:rPr>
              <w:t>Other securities</w:t>
            </w: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153</w:t>
            </w: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206"/>
        </w:trPr>
        <w:tc>
          <w:tcPr>
            <w:tcW w:w="5040" w:type="dxa"/>
            <w:vAlign w:val="bottom"/>
          </w:tcPr>
          <w:p>
            <w:pPr>
              <w:ind w:left="400"/>
              <w:spacing w:after="0"/>
              <w:rPr>
                <w:sz w:val="20"/>
                <w:szCs w:val="20"/>
                <w:color w:val="auto"/>
              </w:rPr>
            </w:pPr>
            <w:r>
              <w:rPr>
                <w:rFonts w:ascii="Arial" w:cs="Arial" w:eastAsia="Arial" w:hAnsi="Arial"/>
                <w:sz w:val="14"/>
                <w:szCs w:val="14"/>
                <w:color w:val="auto"/>
              </w:rPr>
              <w:t>Total debt securities</w:t>
            </w: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59</w:t>
            </w: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322</w:t>
            </w: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381</w:t>
            </w:r>
          </w:p>
        </w:tc>
        <w:tc>
          <w:tcPr>
            <w:tcW w:w="0" w:type="dxa"/>
            <w:vAlign w:val="bottom"/>
          </w:tcPr>
          <w:p>
            <w:pPr>
              <w:spacing w:after="0"/>
              <w:rPr>
                <w:sz w:val="1"/>
                <w:szCs w:val="1"/>
                <w:color w:val="auto"/>
              </w:rPr>
            </w:pPr>
          </w:p>
        </w:tc>
      </w:tr>
      <w:tr>
        <w:trPr>
          <w:trHeight w:val="206"/>
        </w:trPr>
        <w:tc>
          <w:tcPr>
            <w:tcW w:w="5040" w:type="dxa"/>
            <w:vAlign w:val="bottom"/>
          </w:tcPr>
          <w:p>
            <w:pPr>
              <w:ind w:left="160"/>
              <w:spacing w:after="0"/>
              <w:rPr>
                <w:sz w:val="20"/>
                <w:szCs w:val="20"/>
                <w:color w:val="auto"/>
              </w:rPr>
            </w:pPr>
            <w:r>
              <w:rPr>
                <w:rFonts w:ascii="Arial" w:cs="Arial" w:eastAsia="Arial" w:hAnsi="Arial"/>
                <w:sz w:val="14"/>
                <w:szCs w:val="14"/>
                <w:color w:val="auto"/>
              </w:rPr>
              <w:t>Total nuclear decommissioning trusts(2)</w:t>
            </w: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673</w:t>
            </w: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322</w:t>
            </w: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995</w:t>
            </w:r>
          </w:p>
        </w:tc>
        <w:tc>
          <w:tcPr>
            <w:tcW w:w="0" w:type="dxa"/>
            <w:vAlign w:val="bottom"/>
          </w:tcPr>
          <w:p>
            <w:pPr>
              <w:spacing w:after="0"/>
              <w:rPr>
                <w:sz w:val="1"/>
                <w:szCs w:val="1"/>
                <w:color w:val="auto"/>
              </w:rPr>
            </w:pPr>
          </w:p>
        </w:tc>
      </w:tr>
      <w:tr>
        <w:trPr>
          <w:trHeight w:val="221"/>
        </w:trPr>
        <w:tc>
          <w:tcPr>
            <w:tcW w:w="5040" w:type="dxa"/>
            <w:vAlign w:val="bottom"/>
          </w:tcPr>
          <w:p>
            <w:pPr>
              <w:ind w:left="160"/>
              <w:spacing w:after="0"/>
              <w:rPr>
                <w:sz w:val="20"/>
                <w:szCs w:val="20"/>
                <w:color w:val="auto"/>
              </w:rPr>
            </w:pPr>
            <w:r>
              <w:rPr>
                <w:rFonts w:ascii="Arial" w:cs="Arial" w:eastAsia="Arial" w:hAnsi="Arial"/>
                <w:sz w:val="14"/>
                <w:szCs w:val="14"/>
                <w:color w:val="auto"/>
              </w:rPr>
              <w:t>Commodity contracts not subject to rate recovery</w:t>
            </w:r>
          </w:p>
        </w:tc>
        <w:tc>
          <w:tcPr>
            <w:tcW w:w="460" w:type="dxa"/>
            <w:vAlign w:val="bottom"/>
          </w:tcPr>
          <w:p>
            <w:pPr>
              <w:spacing w:after="0"/>
              <w:rPr>
                <w:sz w:val="19"/>
                <w:szCs w:val="19"/>
                <w:color w:val="auto"/>
              </w:rPr>
            </w:pPr>
          </w:p>
        </w:tc>
        <w:tc>
          <w:tcPr>
            <w:tcW w:w="92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9"/>
                <w:szCs w:val="19"/>
                <w:color w:val="auto"/>
              </w:rPr>
            </w:pPr>
          </w:p>
        </w:tc>
        <w:tc>
          <w:tcPr>
            <w:tcW w:w="92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9"/>
                <w:szCs w:val="19"/>
                <w:color w:val="auto"/>
              </w:rPr>
            </w:pPr>
          </w:p>
        </w:tc>
        <w:tc>
          <w:tcPr>
            <w:tcW w:w="920" w:type="dxa"/>
            <w:vAlign w:val="bottom"/>
          </w:tcPr>
          <w:p>
            <w:pPr>
              <w:ind w:left="5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9"/>
                <w:szCs w:val="19"/>
                <w:color w:val="auto"/>
              </w:rPr>
            </w:pPr>
          </w:p>
        </w:tc>
        <w:tc>
          <w:tcPr>
            <w:tcW w:w="980" w:type="dxa"/>
            <w:vAlign w:val="bottom"/>
          </w:tcPr>
          <w:p>
            <w:pPr>
              <w:jc w:val="right"/>
              <w:ind w:right="69"/>
              <w:spacing w:after="0"/>
              <w:rPr>
                <w:sz w:val="20"/>
                <w:szCs w:val="20"/>
                <w:color w:val="auto"/>
              </w:rPr>
            </w:pPr>
            <w:r>
              <w:rPr>
                <w:rFonts w:ascii="Arial" w:cs="Arial" w:eastAsia="Arial" w:hAnsi="Arial"/>
                <w:sz w:val="14"/>
                <w:szCs w:val="14"/>
                <w:color w:val="auto"/>
              </w:rPr>
              <w:t>1</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7"/>
        </w:trPr>
        <w:tc>
          <w:tcPr>
            <w:tcW w:w="504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w:t>
            </w: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w:t>
            </w: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99</w:t>
            </w: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29</w:t>
            </w: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153"/>
        </w:trPr>
        <w:tc>
          <w:tcPr>
            <w:tcW w:w="5040" w:type="dxa"/>
            <w:vAlign w:val="bottom"/>
          </w:tcPr>
          <w:p>
            <w:pPr>
              <w:spacing w:after="0" w:line="139" w:lineRule="exact"/>
              <w:rPr>
                <w:sz w:val="20"/>
                <w:szCs w:val="20"/>
                <w:color w:val="auto"/>
              </w:rPr>
            </w:pPr>
            <w:r>
              <w:rPr>
                <w:rFonts w:ascii="Arial" w:cs="Arial" w:eastAsia="Arial" w:hAnsi="Arial"/>
                <w:sz w:val="14"/>
                <w:szCs w:val="14"/>
                <w:color w:val="auto"/>
              </w:rPr>
              <w:t>Total</w:t>
            </w:r>
          </w:p>
        </w:tc>
        <w:tc>
          <w:tcPr>
            <w:tcW w:w="460" w:type="dxa"/>
            <w:vAlign w:val="bottom"/>
            <w:tcBorders>
              <w:bottom w:val="single" w:sz="8" w:color="auto"/>
            </w:tcBorders>
          </w:tcPr>
          <w:p>
            <w:pPr>
              <w:jc w:val="right"/>
              <w:ind w:right="29"/>
              <w:spacing w:after="0" w:line="139"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69"/>
              <w:spacing w:after="0" w:line="139" w:lineRule="exact"/>
              <w:rPr>
                <w:sz w:val="20"/>
                <w:szCs w:val="20"/>
                <w:color w:val="auto"/>
              </w:rPr>
            </w:pPr>
            <w:r>
              <w:rPr>
                <w:rFonts w:ascii="Arial" w:cs="Arial" w:eastAsia="Arial" w:hAnsi="Arial"/>
                <w:sz w:val="14"/>
                <w:szCs w:val="14"/>
                <w:color w:val="auto"/>
              </w:rPr>
              <w:t>674</w:t>
            </w:r>
          </w:p>
        </w:tc>
        <w:tc>
          <w:tcPr>
            <w:tcW w:w="320" w:type="dxa"/>
            <w:vAlign w:val="bottom"/>
            <w:tcBorders>
              <w:bottom w:val="single" w:sz="8" w:color="auto"/>
            </w:tcBorders>
          </w:tcPr>
          <w:p>
            <w:pPr>
              <w:jc w:val="right"/>
              <w:ind w:right="29"/>
              <w:spacing w:after="0" w:line="139"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69"/>
              <w:spacing w:after="0" w:line="139" w:lineRule="exact"/>
              <w:rPr>
                <w:sz w:val="20"/>
                <w:szCs w:val="20"/>
                <w:color w:val="auto"/>
              </w:rPr>
            </w:pPr>
            <w:r>
              <w:rPr>
                <w:rFonts w:ascii="Arial" w:cs="Arial" w:eastAsia="Arial" w:hAnsi="Arial"/>
                <w:sz w:val="14"/>
                <w:szCs w:val="14"/>
                <w:color w:val="auto"/>
              </w:rPr>
              <w:t>323</w:t>
            </w:r>
          </w:p>
        </w:tc>
        <w:tc>
          <w:tcPr>
            <w:tcW w:w="340" w:type="dxa"/>
            <w:vAlign w:val="bottom"/>
            <w:tcBorders>
              <w:bottom w:val="single" w:sz="8" w:color="auto"/>
            </w:tcBorders>
          </w:tcPr>
          <w:p>
            <w:pPr>
              <w:jc w:val="right"/>
              <w:ind w:right="49"/>
              <w:spacing w:after="0" w:line="139"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ind w:left="620"/>
              <w:spacing w:after="0" w:line="139" w:lineRule="exact"/>
              <w:rPr>
                <w:sz w:val="20"/>
                <w:szCs w:val="20"/>
                <w:color w:val="auto"/>
              </w:rPr>
            </w:pPr>
            <w:r>
              <w:rPr>
                <w:rFonts w:ascii="Arial" w:cs="Arial" w:eastAsia="Arial" w:hAnsi="Arial"/>
                <w:sz w:val="14"/>
                <w:szCs w:val="14"/>
                <w:color w:val="auto"/>
              </w:rPr>
              <w:t>99</w:t>
            </w:r>
          </w:p>
        </w:tc>
        <w:tc>
          <w:tcPr>
            <w:tcW w:w="400" w:type="dxa"/>
            <w:vAlign w:val="bottom"/>
            <w:tcBorders>
              <w:bottom w:val="single" w:sz="8" w:color="auto"/>
            </w:tcBorders>
          </w:tcPr>
          <w:p>
            <w:pPr>
              <w:jc w:val="right"/>
              <w:ind w:right="109"/>
              <w:spacing w:after="0" w:line="139"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69"/>
              <w:spacing w:after="0" w:line="139" w:lineRule="exact"/>
              <w:rPr>
                <w:sz w:val="20"/>
                <w:szCs w:val="20"/>
                <w:color w:val="auto"/>
              </w:rPr>
            </w:pPr>
            <w:r>
              <w:rPr>
                <w:rFonts w:ascii="Arial" w:cs="Arial" w:eastAsia="Arial" w:hAnsi="Arial"/>
                <w:sz w:val="14"/>
                <w:szCs w:val="14"/>
                <w:color w:val="auto"/>
              </w:rPr>
              <w:t>30</w:t>
            </w:r>
          </w:p>
        </w:tc>
        <w:tc>
          <w:tcPr>
            <w:tcW w:w="380" w:type="dxa"/>
            <w:vAlign w:val="bottom"/>
            <w:tcBorders>
              <w:bottom w:val="single" w:sz="8" w:color="auto"/>
            </w:tcBorders>
          </w:tcPr>
          <w:p>
            <w:pPr>
              <w:jc w:val="right"/>
              <w:ind w:right="69"/>
              <w:spacing w:after="0" w:line="139"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1,126</w:t>
            </w:r>
          </w:p>
        </w:tc>
        <w:tc>
          <w:tcPr>
            <w:tcW w:w="0" w:type="dxa"/>
            <w:vAlign w:val="bottom"/>
          </w:tcPr>
          <w:p>
            <w:pPr>
              <w:spacing w:after="0"/>
              <w:rPr>
                <w:sz w:val="1"/>
                <w:szCs w:val="1"/>
                <w:color w:val="auto"/>
              </w:rPr>
            </w:pPr>
          </w:p>
        </w:tc>
      </w:tr>
    </w:tbl>
    <w:p>
      <w:pPr>
        <w:sectPr>
          <w:pgSz w:w="11900" w:h="16900" w:orient="portrait"/>
          <w:cols w:equalWidth="0" w:num="1">
            <w:col w:w="11420"/>
          </w:cols>
          <w:pgMar w:left="240" w:top="410" w:right="239" w:bottom="0" w:gutter="0" w:footer="0" w:header="0"/>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20"/>
                <w:szCs w:val="20"/>
                <w:color w:val="auto"/>
              </w:rPr>
            </w:pPr>
            <w:r>
              <w:rPr>
                <w:rFonts w:ascii="Arial" w:cs="Arial" w:eastAsia="Arial" w:hAnsi="Arial"/>
                <w:sz w:val="14"/>
                <w:szCs w:val="14"/>
                <w:color w:val="auto"/>
              </w:rPr>
              <w:t>Liabilities:</w:t>
            </w: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5040" w:type="dxa"/>
            <w:vAlign w:val="bottom"/>
          </w:tcPr>
          <w:p>
            <w:pPr>
              <w:ind w:left="160"/>
              <w:spacing w:after="0"/>
              <w:rPr>
                <w:sz w:val="20"/>
                <w:szCs w:val="20"/>
                <w:color w:val="auto"/>
              </w:rPr>
            </w:pPr>
            <w:r>
              <w:rPr>
                <w:rFonts w:ascii="Arial" w:cs="Arial" w:eastAsia="Arial" w:hAnsi="Arial"/>
                <w:sz w:val="14"/>
                <w:szCs w:val="14"/>
                <w:color w:val="auto"/>
              </w:rPr>
              <w:t>Interest rate instruments</w:t>
            </w:r>
          </w:p>
        </w:tc>
        <w:tc>
          <w:tcPr>
            <w:tcW w:w="68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640" w:type="dxa"/>
            <w:vAlign w:val="bottom"/>
          </w:tcPr>
          <w:p>
            <w:pPr>
              <w:ind w:left="30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9"/>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69"/>
              <w:spacing w:after="0"/>
              <w:rPr>
                <w:sz w:val="20"/>
                <w:szCs w:val="20"/>
                <w:color w:val="auto"/>
              </w:rPr>
            </w:pPr>
            <w:r>
              <w:rPr>
                <w:rFonts w:ascii="Arial" w:cs="Arial" w:eastAsia="Arial" w:hAnsi="Arial"/>
                <w:sz w:val="14"/>
                <w:szCs w:val="14"/>
                <w:color w:val="auto"/>
              </w:rPr>
              <w:t>55</w:t>
            </w:r>
          </w:p>
        </w:tc>
        <w:tc>
          <w:tcPr>
            <w:tcW w:w="54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720" w:type="dxa"/>
            <w:vAlign w:val="bottom"/>
          </w:tcPr>
          <w:p>
            <w:pPr>
              <w:ind w:left="3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309"/>
              <w:spacing w:after="0"/>
              <w:rPr>
                <w:sz w:val="20"/>
                <w:szCs w:val="20"/>
                <w:color w:val="auto"/>
              </w:rPr>
            </w:pPr>
            <w:r>
              <w:rPr>
                <w:rFonts w:ascii="Arial" w:cs="Arial" w:eastAsia="Arial" w:hAnsi="Arial"/>
                <w:sz w:val="14"/>
                <w:szCs w:val="14"/>
                <w:color w:val="auto"/>
              </w:rPr>
              <w:t>$</w:t>
            </w:r>
          </w:p>
        </w:tc>
        <w:tc>
          <w:tcPr>
            <w:tcW w:w="720" w:type="dxa"/>
            <w:vAlign w:val="bottom"/>
          </w:tcPr>
          <w:p>
            <w:pPr>
              <w:ind w:left="38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9"/>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197"/>
        </w:trPr>
        <w:tc>
          <w:tcPr>
            <w:tcW w:w="504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6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12</w:t>
            </w:r>
          </w:p>
        </w:tc>
        <w:tc>
          <w:tcPr>
            <w:tcW w:w="5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r>
      <w:tr>
        <w:trPr>
          <w:trHeight w:val="159"/>
        </w:trPr>
        <w:tc>
          <w:tcPr>
            <w:tcW w:w="5040" w:type="dxa"/>
            <w:vAlign w:val="bottom"/>
            <w:tcBorders>
              <w:bottom w:val="single" w:sz="8" w:color="auto"/>
            </w:tcBorders>
          </w:tcPr>
          <w:p>
            <w:pPr>
              <w:spacing w:after="0" w:line="153" w:lineRule="exact"/>
              <w:rPr>
                <w:sz w:val="20"/>
                <w:szCs w:val="20"/>
                <w:color w:val="auto"/>
              </w:rPr>
            </w:pPr>
            <w:r>
              <w:rPr>
                <w:rFonts w:ascii="Arial" w:cs="Arial" w:eastAsia="Arial" w:hAnsi="Arial"/>
                <w:sz w:val="14"/>
                <w:szCs w:val="14"/>
                <w:color w:val="auto"/>
              </w:rPr>
              <w:t>Total</w:t>
            </w:r>
          </w:p>
        </w:tc>
        <w:tc>
          <w:tcPr>
            <w:tcW w:w="680" w:type="dxa"/>
            <w:vAlign w:val="bottom"/>
            <w:tcBorders>
              <w:bottom w:val="single" w:sz="8" w:color="auto"/>
            </w:tcBorders>
          </w:tcPr>
          <w:p>
            <w:pPr>
              <w:jc w:val="right"/>
              <w:ind w:right="249"/>
              <w:spacing w:after="0" w:line="153"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ind w:left="300"/>
              <w:spacing w:after="0" w:line="153"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289"/>
              <w:spacing w:after="0" w:line="153"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69"/>
              <w:spacing w:after="0" w:line="153" w:lineRule="exact"/>
              <w:rPr>
                <w:sz w:val="20"/>
                <w:szCs w:val="20"/>
                <w:color w:val="auto"/>
              </w:rPr>
            </w:pPr>
            <w:r>
              <w:rPr>
                <w:rFonts w:ascii="Arial" w:cs="Arial" w:eastAsia="Arial" w:hAnsi="Arial"/>
                <w:sz w:val="14"/>
                <w:szCs w:val="14"/>
                <w:color w:val="auto"/>
              </w:rPr>
              <w:t>67</w:t>
            </w:r>
          </w:p>
        </w:tc>
        <w:tc>
          <w:tcPr>
            <w:tcW w:w="540" w:type="dxa"/>
            <w:vAlign w:val="bottom"/>
            <w:tcBorders>
              <w:bottom w:val="single" w:sz="8" w:color="auto"/>
            </w:tcBorders>
          </w:tcPr>
          <w:p>
            <w:pPr>
              <w:jc w:val="right"/>
              <w:ind w:right="249"/>
              <w:spacing w:after="0" w:line="153"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ind w:left="320"/>
              <w:spacing w:after="0" w:line="153"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309"/>
              <w:spacing w:after="0" w:line="153"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ind w:left="380"/>
              <w:spacing w:after="0" w:line="153"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289"/>
              <w:spacing w:after="0" w:line="153"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67</w:t>
            </w:r>
          </w:p>
        </w:tc>
      </w:tr>
    </w:tbl>
    <w:p>
      <w:pPr>
        <w:ind w:left="500" w:hanging="494"/>
        <w:spacing w:after="0"/>
        <w:tabs>
          <w:tab w:leader="none" w:pos="500" w:val="left"/>
        </w:tabs>
        <w:numPr>
          <w:ilvl w:val="0"/>
          <w:numId w:val="42"/>
        </w:numPr>
        <w:rPr>
          <w:rFonts w:ascii="Arial" w:cs="Arial" w:eastAsia="Arial" w:hAnsi="Arial"/>
          <w:sz w:val="14"/>
          <w:szCs w:val="14"/>
          <w:i w:val="1"/>
          <w:iCs w:val="1"/>
          <w:color w:val="auto"/>
        </w:rPr>
      </w:pPr>
      <w:r>
        <w:rPr>
          <w:rFonts w:ascii="Arial" w:cs="Arial" w:eastAsia="Arial" w:hAnsi="Arial"/>
          <w:sz w:val="14"/>
          <w:szCs w:val="14"/>
          <w:i w:val="1"/>
          <w:iCs w:val="1"/>
          <w:color w:val="auto"/>
        </w:rPr>
        <w:t>Includes the effect of the contractual ability to settle contracts under master netting agreements and with cash collateral, as well as cash collateral not offset.</w:t>
      </w:r>
    </w:p>
    <w:p>
      <w:pPr>
        <w:spacing w:after="0" w:line="3" w:lineRule="exact"/>
        <w:rPr>
          <w:rFonts w:ascii="Arial" w:cs="Arial" w:eastAsia="Arial" w:hAnsi="Arial"/>
          <w:sz w:val="14"/>
          <w:szCs w:val="14"/>
          <w:i w:val="1"/>
          <w:iCs w:val="1"/>
          <w:color w:val="auto"/>
        </w:rPr>
      </w:pPr>
    </w:p>
    <w:p>
      <w:pPr>
        <w:ind w:left="500" w:hanging="494"/>
        <w:spacing w:after="0"/>
        <w:tabs>
          <w:tab w:leader="none" w:pos="500" w:val="left"/>
        </w:tabs>
        <w:numPr>
          <w:ilvl w:val="0"/>
          <w:numId w:val="42"/>
        </w:numPr>
        <w:rPr>
          <w:rFonts w:ascii="Arial" w:cs="Arial" w:eastAsia="Arial" w:hAnsi="Arial"/>
          <w:sz w:val="14"/>
          <w:szCs w:val="14"/>
          <w:i w:val="1"/>
          <w:iCs w:val="1"/>
          <w:color w:val="auto"/>
        </w:rPr>
      </w:pPr>
      <w:r>
        <w:rPr>
          <w:rFonts w:ascii="Arial" w:cs="Arial" w:eastAsia="Arial" w:hAnsi="Arial"/>
          <w:sz w:val="14"/>
          <w:szCs w:val="14"/>
          <w:i w:val="1"/>
          <w:iCs w:val="1"/>
          <w:color w:val="auto"/>
        </w:rPr>
        <w:t>Excludes cash balances and cash equivalents.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RECURRING FAIR VALUE MEASURES – SOCALGAS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-104775</wp:posOffset>
            </wp:positionV>
            <wp:extent cx="7248525" cy="2197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8525" cy="21971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color w:val="auto"/>
              </w:rPr>
              <w:t>Fair value at September 30, 2014</w:t>
            </w:r>
          </w:p>
        </w:tc>
        <w:tc>
          <w:tcPr>
            <w:tcW w:w="9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8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Level 1</w:t>
            </w: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Level 2</w:t>
            </w: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Level 3</w:t>
            </w: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w w:val="97"/>
              </w:rPr>
              <w:t>Netting(1)</w:t>
            </w:r>
          </w:p>
        </w:tc>
        <w:tc>
          <w:tcPr>
            <w:tcW w:w="4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1"/>
        </w:trPr>
        <w:tc>
          <w:tcPr>
            <w:tcW w:w="4840" w:type="dxa"/>
            <w:vAlign w:val="bottom"/>
          </w:tcPr>
          <w:p>
            <w:pPr>
              <w:spacing w:after="0"/>
              <w:rPr>
                <w:sz w:val="20"/>
                <w:szCs w:val="20"/>
                <w:color w:val="auto"/>
              </w:rPr>
            </w:pPr>
            <w:r>
              <w:rPr>
                <w:rFonts w:ascii="Arial" w:cs="Arial" w:eastAsia="Arial" w:hAnsi="Arial"/>
                <w:sz w:val="14"/>
                <w:szCs w:val="14"/>
                <w:color w:val="auto"/>
              </w:rPr>
              <w:t>Assets:</w:t>
            </w: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4840" w:type="dxa"/>
            <w:vAlign w:val="bottom"/>
          </w:tcPr>
          <w:p>
            <w:pPr>
              <w:ind w:left="160"/>
              <w:spacing w:after="0"/>
              <w:rPr>
                <w:sz w:val="20"/>
                <w:szCs w:val="20"/>
                <w:color w:val="auto"/>
              </w:rPr>
            </w:pPr>
            <w:r>
              <w:rPr>
                <w:rFonts w:ascii="Arial" w:cs="Arial" w:eastAsia="Arial" w:hAnsi="Arial"/>
                <w:sz w:val="14"/>
                <w:szCs w:val="14"/>
                <w:color w:val="auto"/>
              </w:rPr>
              <w:t>Commodity contracts not subject to rate recovery</w:t>
            </w:r>
          </w:p>
        </w:tc>
        <w:tc>
          <w:tcPr>
            <w:tcW w:w="4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40" w:type="dxa"/>
            <w:vAlign w:val="bottom"/>
          </w:tcPr>
          <w:p>
            <w:pPr>
              <w:ind w:left="52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40" w:type="dxa"/>
            <w:vAlign w:val="bottom"/>
          </w:tcPr>
          <w:p>
            <w:pPr>
              <w:ind w:left="52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80" w:type="dxa"/>
            <w:vAlign w:val="bottom"/>
          </w:tcPr>
          <w:p>
            <w:pPr>
              <w:ind w:left="54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9"/>
              <w:spacing w:after="0"/>
              <w:rPr>
                <w:sz w:val="20"/>
                <w:szCs w:val="20"/>
                <w:color w:val="auto"/>
              </w:rPr>
            </w:pPr>
            <w:r>
              <w:rPr>
                <w:rFonts w:ascii="Arial" w:cs="Arial" w:eastAsia="Arial" w:hAnsi="Arial"/>
                <w:sz w:val="14"/>
                <w:szCs w:val="14"/>
                <w:color w:val="auto"/>
              </w:rPr>
              <w:t>2</w:t>
            </w:r>
          </w:p>
        </w:tc>
        <w:tc>
          <w:tcPr>
            <w:tcW w:w="40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7"/>
        </w:trPr>
        <w:tc>
          <w:tcPr>
            <w:tcW w:w="484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ind w:left="720"/>
              <w:spacing w:after="0"/>
              <w:rPr>
                <w:sz w:val="20"/>
                <w:szCs w:val="20"/>
                <w:color w:val="auto"/>
              </w:rPr>
            </w:pPr>
            <w:r>
              <w:rPr>
                <w:rFonts w:ascii="Arial" w:cs="Arial" w:eastAsia="Arial" w:hAnsi="Arial"/>
                <w:sz w:val="14"/>
                <w:szCs w:val="14"/>
                <w:color w:val="auto"/>
              </w:rPr>
              <w:t>1</w:t>
            </w: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ind w:left="54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w:t>
            </w:r>
          </w:p>
        </w:tc>
        <w:tc>
          <w:tcPr>
            <w:tcW w:w="4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59"/>
        </w:trPr>
        <w:tc>
          <w:tcPr>
            <w:tcW w:w="4840" w:type="dxa"/>
            <w:vAlign w:val="bottom"/>
          </w:tcPr>
          <w:p>
            <w:pPr>
              <w:spacing w:after="0" w:line="139" w:lineRule="exact"/>
              <w:rPr>
                <w:sz w:val="20"/>
                <w:szCs w:val="20"/>
                <w:color w:val="auto"/>
              </w:rPr>
            </w:pPr>
            <w:r>
              <w:rPr>
                <w:rFonts w:ascii="Arial" w:cs="Arial" w:eastAsia="Arial" w:hAnsi="Arial"/>
                <w:sz w:val="14"/>
                <w:szCs w:val="14"/>
                <w:color w:val="auto"/>
              </w:rPr>
              <w:t>Total</w:t>
            </w:r>
          </w:p>
        </w:tc>
        <w:tc>
          <w:tcPr>
            <w:tcW w:w="480" w:type="dxa"/>
            <w:vAlign w:val="bottom"/>
            <w:tcBorders>
              <w:bottom w:val="single" w:sz="8" w:color="auto"/>
            </w:tcBorders>
          </w:tcPr>
          <w:p>
            <w:pPr>
              <w:jc w:val="right"/>
              <w:ind w:right="29"/>
              <w:spacing w:after="0" w:line="139"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ind w:left="520"/>
              <w:spacing w:after="0" w:line="13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jc w:val="right"/>
              <w:ind w:right="29"/>
              <w:spacing w:after="0" w:line="139"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ind w:left="720"/>
              <w:spacing w:after="0" w:line="139" w:lineRule="exact"/>
              <w:rPr>
                <w:sz w:val="20"/>
                <w:szCs w:val="20"/>
                <w:color w:val="auto"/>
              </w:rPr>
            </w:pPr>
            <w:r>
              <w:rPr>
                <w:rFonts w:ascii="Arial" w:cs="Arial" w:eastAsia="Arial" w:hAnsi="Arial"/>
                <w:sz w:val="14"/>
                <w:szCs w:val="14"/>
                <w:color w:val="auto"/>
              </w:rPr>
              <w:t>1</w:t>
            </w:r>
          </w:p>
        </w:tc>
        <w:tc>
          <w:tcPr>
            <w:tcW w:w="320" w:type="dxa"/>
            <w:vAlign w:val="bottom"/>
            <w:tcBorders>
              <w:bottom w:val="single" w:sz="8" w:color="auto"/>
            </w:tcBorders>
          </w:tcPr>
          <w:p>
            <w:pPr>
              <w:jc w:val="right"/>
              <w:ind w:right="29"/>
              <w:spacing w:after="0" w:line="139"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ind w:left="540"/>
              <w:spacing w:after="0" w:line="139" w:lineRule="exact"/>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ind w:right="129"/>
              <w:spacing w:after="0" w:line="139"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69"/>
              <w:spacing w:after="0" w:line="139" w:lineRule="exact"/>
              <w:rPr>
                <w:sz w:val="20"/>
                <w:szCs w:val="20"/>
                <w:color w:val="auto"/>
              </w:rPr>
            </w:pPr>
            <w:r>
              <w:rPr>
                <w:rFonts w:ascii="Arial" w:cs="Arial" w:eastAsia="Arial" w:hAnsi="Arial"/>
                <w:sz w:val="14"/>
                <w:szCs w:val="14"/>
                <w:color w:val="auto"/>
              </w:rPr>
              <w:t>4</w:t>
            </w:r>
          </w:p>
        </w:tc>
        <w:tc>
          <w:tcPr>
            <w:tcW w:w="400" w:type="dxa"/>
            <w:vAlign w:val="bottom"/>
            <w:tcBorders>
              <w:bottom w:val="single" w:sz="8" w:color="auto"/>
            </w:tcBorders>
          </w:tcPr>
          <w:p>
            <w:pPr>
              <w:jc w:val="right"/>
              <w:ind w:right="109"/>
              <w:spacing w:after="0" w:line="139"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28"/>
        </w:trPr>
        <w:tc>
          <w:tcPr>
            <w:tcW w:w="4840" w:type="dxa"/>
            <w:vAlign w:val="bottom"/>
          </w:tcPr>
          <w:p>
            <w:pPr>
              <w:spacing w:after="0"/>
              <w:rPr>
                <w:sz w:val="20"/>
                <w:szCs w:val="20"/>
                <w:color w:val="auto"/>
              </w:rPr>
            </w:pPr>
            <w:r>
              <w:rPr>
                <w:rFonts w:ascii="Arial" w:cs="Arial" w:eastAsia="Arial" w:hAnsi="Arial"/>
                <w:sz w:val="14"/>
                <w:szCs w:val="14"/>
                <w:color w:val="auto"/>
              </w:rPr>
              <w:t>Liabilities:</w:t>
            </w:r>
          </w:p>
        </w:tc>
        <w:tc>
          <w:tcPr>
            <w:tcW w:w="48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ind w:left="520"/>
              <w:spacing w:after="0"/>
              <w:rPr>
                <w:sz w:val="20"/>
                <w:szCs w:val="20"/>
                <w:color w:val="auto"/>
              </w:rPr>
            </w:pPr>
            <w:r>
              <w:rPr>
                <w:rFonts w:ascii="Arial" w:cs="Arial" w:eastAsia="Arial" w:hAnsi="Arial"/>
                <w:sz w:val="14"/>
                <w:szCs w:val="14"/>
                <w:color w:val="auto"/>
              </w:rPr>
              <w:t>―</w:t>
            </w:r>
          </w:p>
        </w:tc>
        <w:tc>
          <w:tcPr>
            <w:tcW w:w="3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ind w:left="520"/>
              <w:spacing w:after="0"/>
              <w:rPr>
                <w:sz w:val="20"/>
                <w:szCs w:val="20"/>
                <w:color w:val="auto"/>
              </w:rPr>
            </w:pPr>
            <w:r>
              <w:rPr>
                <w:rFonts w:ascii="Arial" w:cs="Arial" w:eastAsia="Arial" w:hAnsi="Arial"/>
                <w:sz w:val="14"/>
                <w:szCs w:val="14"/>
                <w:color w:val="auto"/>
              </w:rPr>
              <w:t>―</w:t>
            </w:r>
          </w:p>
        </w:tc>
        <w:tc>
          <w:tcPr>
            <w:tcW w:w="3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ind w:left="540"/>
              <w:spacing w:after="0"/>
              <w:rPr>
                <w:sz w:val="20"/>
                <w:szCs w:val="20"/>
                <w:color w:val="auto"/>
              </w:rPr>
            </w:pPr>
            <w:r>
              <w:rPr>
                <w:rFonts w:ascii="Arial" w:cs="Arial" w:eastAsia="Arial" w:hAnsi="Arial"/>
                <w:sz w:val="14"/>
                <w:szCs w:val="14"/>
                <w:color w:val="auto"/>
              </w:rPr>
              <w:t>―</w:t>
            </w:r>
          </w:p>
        </w:tc>
        <w:tc>
          <w:tcPr>
            <w:tcW w:w="480" w:type="dxa"/>
            <w:vAlign w:val="bottom"/>
            <w:vMerge w:val="restart"/>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400" w:type="dxa"/>
            <w:vAlign w:val="bottom"/>
            <w:vMerge w:val="restart"/>
          </w:tcPr>
          <w:p>
            <w:pPr>
              <w:jc w:val="right"/>
              <w:ind w:right="109"/>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840" w:type="dxa"/>
            <w:vAlign w:val="bottom"/>
          </w:tcPr>
          <w:p>
            <w:pPr>
              <w:ind w:left="160"/>
              <w:spacing w:after="0" w:line="144" w:lineRule="exact"/>
              <w:rPr>
                <w:sz w:val="20"/>
                <w:szCs w:val="20"/>
                <w:color w:val="auto"/>
              </w:rPr>
            </w:pPr>
            <w:r>
              <w:rPr>
                <w:rFonts w:ascii="Arial" w:cs="Arial" w:eastAsia="Arial" w:hAnsi="Arial"/>
                <w:sz w:val="14"/>
                <w:szCs w:val="14"/>
                <w:color w:val="auto"/>
              </w:rPr>
              <w:t>Commodity contracts subject to rate recovery</w:t>
            </w:r>
          </w:p>
        </w:tc>
        <w:tc>
          <w:tcPr>
            <w:tcW w:w="480" w:type="dxa"/>
            <w:vAlign w:val="bottom"/>
            <w:tcBorders>
              <w:bottom w:val="single" w:sz="8" w:color="auto"/>
            </w:tcBorders>
            <w:vMerge w:val="continue"/>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320" w:type="dxa"/>
            <w:vAlign w:val="bottom"/>
            <w:tcBorders>
              <w:bottom w:val="single" w:sz="8" w:color="auto"/>
            </w:tcBorders>
            <w:vMerge w:val="continue"/>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320" w:type="dxa"/>
            <w:vAlign w:val="bottom"/>
            <w:tcBorders>
              <w:bottom w:val="single" w:sz="8" w:color="auto"/>
            </w:tcBorders>
            <w:vMerge w:val="continue"/>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480" w:type="dxa"/>
            <w:vAlign w:val="bottom"/>
            <w:tcBorders>
              <w:bottom w:val="single" w:sz="8" w:color="auto"/>
            </w:tcBorders>
            <w:vMerge w:val="continue"/>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400" w:type="dxa"/>
            <w:vAlign w:val="bottom"/>
            <w:tcBorders>
              <w:bottom w:val="single" w:sz="8" w:color="auto"/>
            </w:tcBorders>
            <w:vMerge w:val="continue"/>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840" w:type="dxa"/>
            <w:vAlign w:val="bottom"/>
            <w:tcBorders>
              <w:bottom w:val="single" w:sz="8" w:color="auto"/>
            </w:tcBorders>
          </w:tcPr>
          <w:p>
            <w:pPr>
              <w:spacing w:after="0" w:line="153" w:lineRule="exact"/>
              <w:rPr>
                <w:sz w:val="20"/>
                <w:szCs w:val="20"/>
                <w:color w:val="auto"/>
              </w:rPr>
            </w:pPr>
            <w:r>
              <w:rPr>
                <w:rFonts w:ascii="Arial" w:cs="Arial" w:eastAsia="Arial" w:hAnsi="Arial"/>
                <w:sz w:val="14"/>
                <w:szCs w:val="14"/>
                <w:color w:val="auto"/>
              </w:rPr>
              <w:t>Total</w:t>
            </w:r>
          </w:p>
        </w:tc>
        <w:tc>
          <w:tcPr>
            <w:tcW w:w="480" w:type="dxa"/>
            <w:vAlign w:val="bottom"/>
            <w:tcBorders>
              <w:bottom w:val="single" w:sz="8" w:color="auto"/>
            </w:tcBorders>
          </w:tcPr>
          <w:p>
            <w:pPr>
              <w:jc w:val="right"/>
              <w:ind w:right="29"/>
              <w:spacing w:after="0" w:line="153"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ind w:left="520"/>
              <w:spacing w:after="0" w:line="153"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jc w:val="right"/>
              <w:ind w:right="29"/>
              <w:spacing w:after="0" w:line="153"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ind w:left="520"/>
              <w:spacing w:after="0" w:line="153"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jc w:val="right"/>
              <w:ind w:right="29"/>
              <w:spacing w:after="0" w:line="153"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ind w:left="540"/>
              <w:spacing w:after="0" w:line="153" w:lineRule="exact"/>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ind w:right="129"/>
              <w:spacing w:after="0" w:line="153"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89"/>
              <w:spacing w:after="0" w:line="153" w:lineRule="exact"/>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ind w:right="109"/>
              <w:spacing w:after="0" w:line="153"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49"/>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12"/>
        </w:trPr>
        <w:tc>
          <w:tcPr>
            <w:tcW w:w="484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color w:val="auto"/>
              </w:rPr>
              <w:t>Fair value at December 31, 2013</w:t>
            </w:r>
          </w:p>
        </w:tc>
        <w:tc>
          <w:tcPr>
            <w:tcW w:w="9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8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Level 1</w:t>
            </w: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Level 2</w:t>
            </w: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Level 3</w:t>
            </w: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w w:val="97"/>
              </w:rPr>
              <w:t>Netting(1)</w:t>
            </w:r>
          </w:p>
        </w:tc>
        <w:tc>
          <w:tcPr>
            <w:tcW w:w="4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1"/>
        </w:trPr>
        <w:tc>
          <w:tcPr>
            <w:tcW w:w="4840" w:type="dxa"/>
            <w:vAlign w:val="bottom"/>
          </w:tcPr>
          <w:p>
            <w:pPr>
              <w:spacing w:after="0"/>
              <w:rPr>
                <w:sz w:val="20"/>
                <w:szCs w:val="20"/>
                <w:color w:val="auto"/>
              </w:rPr>
            </w:pPr>
            <w:r>
              <w:rPr>
                <w:rFonts w:ascii="Arial" w:cs="Arial" w:eastAsia="Arial" w:hAnsi="Arial"/>
                <w:sz w:val="14"/>
                <w:szCs w:val="14"/>
                <w:color w:val="auto"/>
              </w:rPr>
              <w:t>Assets:</w:t>
            </w: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4840" w:type="dxa"/>
            <w:vAlign w:val="bottom"/>
          </w:tcPr>
          <w:p>
            <w:pPr>
              <w:ind w:left="160"/>
              <w:spacing w:after="0"/>
              <w:rPr>
                <w:sz w:val="20"/>
                <w:szCs w:val="20"/>
                <w:color w:val="auto"/>
              </w:rPr>
            </w:pPr>
            <w:r>
              <w:rPr>
                <w:rFonts w:ascii="Arial" w:cs="Arial" w:eastAsia="Arial" w:hAnsi="Arial"/>
                <w:sz w:val="14"/>
                <w:szCs w:val="14"/>
                <w:color w:val="auto"/>
              </w:rPr>
              <w:t>Commodity contracts not subject to rate recovery</w:t>
            </w:r>
          </w:p>
        </w:tc>
        <w:tc>
          <w:tcPr>
            <w:tcW w:w="4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40" w:type="dxa"/>
            <w:vAlign w:val="bottom"/>
          </w:tcPr>
          <w:p>
            <w:pPr>
              <w:ind w:left="52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40" w:type="dxa"/>
            <w:vAlign w:val="bottom"/>
          </w:tcPr>
          <w:p>
            <w:pPr>
              <w:ind w:left="52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80" w:type="dxa"/>
            <w:vAlign w:val="bottom"/>
          </w:tcPr>
          <w:p>
            <w:pPr>
              <w:ind w:left="54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9"/>
              <w:spacing w:after="0"/>
              <w:rPr>
                <w:sz w:val="20"/>
                <w:szCs w:val="20"/>
                <w:color w:val="auto"/>
              </w:rPr>
            </w:pPr>
            <w:r>
              <w:rPr>
                <w:rFonts w:ascii="Arial" w:cs="Arial" w:eastAsia="Arial" w:hAnsi="Arial"/>
                <w:sz w:val="14"/>
                <w:szCs w:val="14"/>
                <w:color w:val="auto"/>
              </w:rPr>
              <w:t>2</w:t>
            </w:r>
          </w:p>
        </w:tc>
        <w:tc>
          <w:tcPr>
            <w:tcW w:w="40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7"/>
        </w:trPr>
        <w:tc>
          <w:tcPr>
            <w:tcW w:w="484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ind w:left="700"/>
              <w:spacing w:after="0"/>
              <w:rPr>
                <w:sz w:val="20"/>
                <w:szCs w:val="20"/>
                <w:color w:val="auto"/>
              </w:rPr>
            </w:pPr>
            <w:r>
              <w:rPr>
                <w:rFonts w:ascii="Arial" w:cs="Arial" w:eastAsia="Arial" w:hAnsi="Arial"/>
                <w:sz w:val="14"/>
                <w:szCs w:val="14"/>
                <w:color w:val="auto"/>
              </w:rPr>
              <w:t>1</w:t>
            </w: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ind w:left="54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w:t>
            </w:r>
          </w:p>
        </w:tc>
        <w:tc>
          <w:tcPr>
            <w:tcW w:w="4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59"/>
        </w:trPr>
        <w:tc>
          <w:tcPr>
            <w:tcW w:w="4840" w:type="dxa"/>
            <w:vAlign w:val="bottom"/>
          </w:tcPr>
          <w:p>
            <w:pPr>
              <w:spacing w:after="0" w:line="139" w:lineRule="exact"/>
              <w:rPr>
                <w:sz w:val="20"/>
                <w:szCs w:val="20"/>
                <w:color w:val="auto"/>
              </w:rPr>
            </w:pPr>
            <w:r>
              <w:rPr>
                <w:rFonts w:ascii="Arial" w:cs="Arial" w:eastAsia="Arial" w:hAnsi="Arial"/>
                <w:sz w:val="14"/>
                <w:szCs w:val="14"/>
                <w:color w:val="auto"/>
              </w:rPr>
              <w:t>Total</w:t>
            </w:r>
          </w:p>
        </w:tc>
        <w:tc>
          <w:tcPr>
            <w:tcW w:w="480" w:type="dxa"/>
            <w:vAlign w:val="bottom"/>
            <w:tcBorders>
              <w:bottom w:val="single" w:sz="8" w:color="auto"/>
            </w:tcBorders>
          </w:tcPr>
          <w:p>
            <w:pPr>
              <w:jc w:val="right"/>
              <w:ind w:right="29"/>
              <w:spacing w:after="0" w:line="139"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ind w:left="700"/>
              <w:spacing w:after="0" w:line="139" w:lineRule="exact"/>
              <w:rPr>
                <w:sz w:val="20"/>
                <w:szCs w:val="20"/>
                <w:color w:val="auto"/>
              </w:rPr>
            </w:pPr>
            <w:r>
              <w:rPr>
                <w:rFonts w:ascii="Arial" w:cs="Arial" w:eastAsia="Arial" w:hAnsi="Arial"/>
                <w:sz w:val="14"/>
                <w:szCs w:val="14"/>
                <w:color w:val="auto"/>
              </w:rPr>
              <w:t>1</w:t>
            </w:r>
          </w:p>
        </w:tc>
        <w:tc>
          <w:tcPr>
            <w:tcW w:w="320" w:type="dxa"/>
            <w:vAlign w:val="bottom"/>
            <w:tcBorders>
              <w:bottom w:val="single" w:sz="8" w:color="auto"/>
            </w:tcBorders>
          </w:tcPr>
          <w:p>
            <w:pPr>
              <w:jc w:val="right"/>
              <w:ind w:right="29"/>
              <w:spacing w:after="0" w:line="139"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ind w:left="520"/>
              <w:spacing w:after="0" w:line="139"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jc w:val="right"/>
              <w:ind w:right="29"/>
              <w:spacing w:after="0" w:line="139"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ind w:left="540"/>
              <w:spacing w:after="0" w:line="139" w:lineRule="exact"/>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ind w:right="129"/>
              <w:spacing w:after="0" w:line="139"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69"/>
              <w:spacing w:after="0" w:line="139" w:lineRule="exact"/>
              <w:rPr>
                <w:sz w:val="20"/>
                <w:szCs w:val="20"/>
                <w:color w:val="auto"/>
              </w:rPr>
            </w:pPr>
            <w:r>
              <w:rPr>
                <w:rFonts w:ascii="Arial" w:cs="Arial" w:eastAsia="Arial" w:hAnsi="Arial"/>
                <w:sz w:val="14"/>
                <w:szCs w:val="14"/>
                <w:color w:val="auto"/>
              </w:rPr>
              <w:t>4</w:t>
            </w:r>
          </w:p>
        </w:tc>
        <w:tc>
          <w:tcPr>
            <w:tcW w:w="400" w:type="dxa"/>
            <w:vAlign w:val="bottom"/>
            <w:tcBorders>
              <w:bottom w:val="single" w:sz="8" w:color="auto"/>
            </w:tcBorders>
          </w:tcPr>
          <w:p>
            <w:pPr>
              <w:jc w:val="right"/>
              <w:ind w:right="109"/>
              <w:spacing w:after="0" w:line="139"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28"/>
        </w:trPr>
        <w:tc>
          <w:tcPr>
            <w:tcW w:w="4840" w:type="dxa"/>
            <w:vAlign w:val="bottom"/>
          </w:tcPr>
          <w:p>
            <w:pPr>
              <w:spacing w:after="0"/>
              <w:rPr>
                <w:sz w:val="20"/>
                <w:szCs w:val="20"/>
                <w:color w:val="auto"/>
              </w:rPr>
            </w:pPr>
            <w:r>
              <w:rPr>
                <w:rFonts w:ascii="Arial" w:cs="Arial" w:eastAsia="Arial" w:hAnsi="Arial"/>
                <w:sz w:val="14"/>
                <w:szCs w:val="14"/>
                <w:color w:val="auto"/>
              </w:rPr>
              <w:t>Liabilities:</w:t>
            </w:r>
          </w:p>
        </w:tc>
        <w:tc>
          <w:tcPr>
            <w:tcW w:w="48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ind w:left="520"/>
              <w:spacing w:after="0"/>
              <w:rPr>
                <w:sz w:val="20"/>
                <w:szCs w:val="20"/>
                <w:color w:val="auto"/>
              </w:rPr>
            </w:pPr>
            <w:r>
              <w:rPr>
                <w:rFonts w:ascii="Arial" w:cs="Arial" w:eastAsia="Arial" w:hAnsi="Arial"/>
                <w:sz w:val="14"/>
                <w:szCs w:val="14"/>
                <w:color w:val="auto"/>
              </w:rPr>
              <w:t>―</w:t>
            </w:r>
          </w:p>
        </w:tc>
        <w:tc>
          <w:tcPr>
            <w:tcW w:w="3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ind w:left="720"/>
              <w:spacing w:after="0"/>
              <w:rPr>
                <w:sz w:val="20"/>
                <w:szCs w:val="20"/>
                <w:color w:val="auto"/>
              </w:rPr>
            </w:pPr>
            <w:r>
              <w:rPr>
                <w:rFonts w:ascii="Arial" w:cs="Arial" w:eastAsia="Arial" w:hAnsi="Arial"/>
                <w:sz w:val="14"/>
                <w:szCs w:val="14"/>
                <w:color w:val="auto"/>
              </w:rPr>
              <w:t>1</w:t>
            </w:r>
          </w:p>
        </w:tc>
        <w:tc>
          <w:tcPr>
            <w:tcW w:w="3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ind w:left="540"/>
              <w:spacing w:after="0"/>
              <w:rPr>
                <w:sz w:val="20"/>
                <w:szCs w:val="20"/>
                <w:color w:val="auto"/>
              </w:rPr>
            </w:pPr>
            <w:r>
              <w:rPr>
                <w:rFonts w:ascii="Arial" w:cs="Arial" w:eastAsia="Arial" w:hAnsi="Arial"/>
                <w:sz w:val="14"/>
                <w:szCs w:val="14"/>
                <w:color w:val="auto"/>
              </w:rPr>
              <w:t>―</w:t>
            </w:r>
          </w:p>
        </w:tc>
        <w:tc>
          <w:tcPr>
            <w:tcW w:w="480" w:type="dxa"/>
            <w:vAlign w:val="bottom"/>
            <w:vMerge w:val="restart"/>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189"/>
              <w:spacing w:after="0"/>
              <w:rPr>
                <w:sz w:val="20"/>
                <w:szCs w:val="20"/>
                <w:color w:val="auto"/>
              </w:rPr>
            </w:pPr>
            <w:r>
              <w:rPr>
                <w:rFonts w:ascii="Arial" w:cs="Arial" w:eastAsia="Arial" w:hAnsi="Arial"/>
                <w:sz w:val="14"/>
                <w:szCs w:val="14"/>
                <w:color w:val="auto"/>
              </w:rPr>
              <w:t>―</w:t>
            </w:r>
          </w:p>
        </w:tc>
        <w:tc>
          <w:tcPr>
            <w:tcW w:w="400" w:type="dxa"/>
            <w:vAlign w:val="bottom"/>
            <w:vMerge w:val="restart"/>
          </w:tcPr>
          <w:p>
            <w:pPr>
              <w:jc w:val="right"/>
              <w:ind w:right="109"/>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4840" w:type="dxa"/>
            <w:vAlign w:val="bottom"/>
          </w:tcPr>
          <w:p>
            <w:pPr>
              <w:ind w:left="160"/>
              <w:spacing w:after="0" w:line="144" w:lineRule="exact"/>
              <w:rPr>
                <w:sz w:val="20"/>
                <w:szCs w:val="20"/>
                <w:color w:val="auto"/>
              </w:rPr>
            </w:pPr>
            <w:r>
              <w:rPr>
                <w:rFonts w:ascii="Arial" w:cs="Arial" w:eastAsia="Arial" w:hAnsi="Arial"/>
                <w:sz w:val="14"/>
                <w:szCs w:val="14"/>
                <w:color w:val="auto"/>
              </w:rPr>
              <w:t>Commodity contracts subject to rate recovery</w:t>
            </w:r>
          </w:p>
        </w:tc>
        <w:tc>
          <w:tcPr>
            <w:tcW w:w="480" w:type="dxa"/>
            <w:vAlign w:val="bottom"/>
            <w:tcBorders>
              <w:bottom w:val="single" w:sz="8" w:color="auto"/>
            </w:tcBorders>
            <w:vMerge w:val="continue"/>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320" w:type="dxa"/>
            <w:vAlign w:val="bottom"/>
            <w:tcBorders>
              <w:bottom w:val="single" w:sz="8" w:color="auto"/>
            </w:tcBorders>
            <w:vMerge w:val="continue"/>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320" w:type="dxa"/>
            <w:vAlign w:val="bottom"/>
            <w:tcBorders>
              <w:bottom w:val="single" w:sz="8" w:color="auto"/>
            </w:tcBorders>
            <w:vMerge w:val="continue"/>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480" w:type="dxa"/>
            <w:vAlign w:val="bottom"/>
            <w:tcBorders>
              <w:bottom w:val="single" w:sz="8" w:color="auto"/>
            </w:tcBorders>
            <w:vMerge w:val="continue"/>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400" w:type="dxa"/>
            <w:vAlign w:val="bottom"/>
            <w:tcBorders>
              <w:bottom w:val="single" w:sz="8" w:color="auto"/>
            </w:tcBorders>
            <w:vMerge w:val="continue"/>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840" w:type="dxa"/>
            <w:vAlign w:val="bottom"/>
            <w:tcBorders>
              <w:bottom w:val="single" w:sz="8" w:color="auto"/>
            </w:tcBorders>
          </w:tcPr>
          <w:p>
            <w:pPr>
              <w:spacing w:after="0" w:line="153" w:lineRule="exact"/>
              <w:rPr>
                <w:sz w:val="20"/>
                <w:szCs w:val="20"/>
                <w:color w:val="auto"/>
              </w:rPr>
            </w:pPr>
            <w:r>
              <w:rPr>
                <w:rFonts w:ascii="Arial" w:cs="Arial" w:eastAsia="Arial" w:hAnsi="Arial"/>
                <w:sz w:val="14"/>
                <w:szCs w:val="14"/>
                <w:color w:val="auto"/>
              </w:rPr>
              <w:t>Total</w:t>
            </w:r>
          </w:p>
        </w:tc>
        <w:tc>
          <w:tcPr>
            <w:tcW w:w="480" w:type="dxa"/>
            <w:vAlign w:val="bottom"/>
            <w:tcBorders>
              <w:bottom w:val="single" w:sz="8" w:color="auto"/>
            </w:tcBorders>
          </w:tcPr>
          <w:p>
            <w:pPr>
              <w:jc w:val="right"/>
              <w:ind w:right="29"/>
              <w:spacing w:after="0" w:line="153"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ind w:left="520"/>
              <w:spacing w:after="0" w:line="153"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jc w:val="right"/>
              <w:ind w:right="29"/>
              <w:spacing w:after="0" w:line="153"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ind w:left="720"/>
              <w:spacing w:after="0" w:line="153" w:lineRule="exact"/>
              <w:rPr>
                <w:sz w:val="20"/>
                <w:szCs w:val="20"/>
                <w:color w:val="auto"/>
              </w:rPr>
            </w:pPr>
            <w:r>
              <w:rPr>
                <w:rFonts w:ascii="Arial" w:cs="Arial" w:eastAsia="Arial" w:hAnsi="Arial"/>
                <w:sz w:val="14"/>
                <w:szCs w:val="14"/>
                <w:color w:val="auto"/>
              </w:rPr>
              <w:t>1</w:t>
            </w:r>
          </w:p>
        </w:tc>
        <w:tc>
          <w:tcPr>
            <w:tcW w:w="320" w:type="dxa"/>
            <w:vAlign w:val="bottom"/>
            <w:tcBorders>
              <w:bottom w:val="single" w:sz="8" w:color="auto"/>
            </w:tcBorders>
          </w:tcPr>
          <w:p>
            <w:pPr>
              <w:jc w:val="right"/>
              <w:ind w:right="29"/>
              <w:spacing w:after="0" w:line="153"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ind w:left="540"/>
              <w:spacing w:after="0" w:line="153" w:lineRule="exact"/>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ind w:right="129"/>
              <w:spacing w:after="0" w:line="153"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89"/>
              <w:spacing w:after="0" w:line="153" w:lineRule="exact"/>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ind w:right="109"/>
              <w:spacing w:after="0" w:line="153"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bl>
    <w:p>
      <w:pPr>
        <w:ind w:left="520" w:hanging="474"/>
        <w:spacing w:after="0"/>
        <w:tabs>
          <w:tab w:leader="none" w:pos="520" w:val="left"/>
        </w:tabs>
        <w:numPr>
          <w:ilvl w:val="0"/>
          <w:numId w:val="43"/>
        </w:numPr>
        <w:rPr>
          <w:rFonts w:ascii="Arial" w:cs="Arial" w:eastAsia="Arial" w:hAnsi="Arial"/>
          <w:sz w:val="14"/>
          <w:szCs w:val="14"/>
          <w:i w:val="1"/>
          <w:iCs w:val="1"/>
          <w:color w:val="auto"/>
        </w:rPr>
      </w:pPr>
      <w:r>
        <w:rPr>
          <w:rFonts w:ascii="Arial" w:cs="Arial" w:eastAsia="Arial" w:hAnsi="Arial"/>
          <w:sz w:val="14"/>
          <w:szCs w:val="14"/>
          <w:i w:val="1"/>
          <w:iCs w:val="1"/>
          <w:color w:val="auto"/>
        </w:rPr>
        <w:t>Includes the effect of the contractual ability to settle contracts under master netting agreements and with cash collateral, as well as cash collateral not offset.</w:t>
      </w:r>
    </w:p>
    <w:p>
      <w:pPr>
        <w:spacing w:after="0" w:line="39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Level 3 Information</w:t>
      </w:r>
    </w:p>
    <w:p>
      <w:pPr>
        <w:spacing w:after="0" w:line="211"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The following table sets forth reconciliations of changes in the fair value of Congestion Revenue Rights (CRRs) classified as Level 3 in the fair value hierarchy for Sempra Energy Consolidated and SDG&amp;E:</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LEVEL 3 RECONCILIATIONS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-104775</wp:posOffset>
            </wp:positionV>
            <wp:extent cx="7248525" cy="2197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8525" cy="21971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3720" w:type="dxa"/>
            <w:vAlign w:val="bottom"/>
            <w:tcBorders>
              <w:bottom w:val="single" w:sz="8" w:color="auto"/>
            </w:tcBorders>
            <w:gridSpan w:val="3"/>
          </w:tcPr>
          <w:p>
            <w:pPr>
              <w:jc w:val="right"/>
              <w:ind w:right="342"/>
              <w:spacing w:after="0"/>
              <w:rPr>
                <w:sz w:val="20"/>
                <w:szCs w:val="20"/>
                <w:color w:val="auto"/>
              </w:rPr>
            </w:pPr>
            <w:r>
              <w:rPr>
                <w:rFonts w:ascii="Arial" w:cs="Arial" w:eastAsia="Arial" w:hAnsi="Arial"/>
                <w:sz w:val="14"/>
                <w:szCs w:val="14"/>
                <w:color w:val="auto"/>
              </w:rPr>
              <w:t>Three months ended September 30,</w:t>
            </w:r>
          </w:p>
        </w:tc>
        <w:tc>
          <w:tcPr>
            <w:tcW w:w="6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71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color w:val="auto"/>
              </w:rPr>
              <w:t>2014</w:t>
            </w:r>
          </w:p>
        </w:tc>
        <w:tc>
          <w:tcPr>
            <w:tcW w:w="8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color w:val="auto"/>
              </w:rPr>
              <w:t>2013</w:t>
            </w:r>
          </w:p>
        </w:tc>
        <w:tc>
          <w:tcPr>
            <w:tcW w:w="6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86"/>
        </w:trPr>
        <w:tc>
          <w:tcPr>
            <w:tcW w:w="7100" w:type="dxa"/>
            <w:vAlign w:val="bottom"/>
          </w:tcPr>
          <w:p>
            <w:pPr>
              <w:spacing w:after="0"/>
              <w:rPr>
                <w:sz w:val="20"/>
                <w:szCs w:val="20"/>
                <w:color w:val="auto"/>
              </w:rPr>
            </w:pPr>
            <w:r>
              <w:rPr>
                <w:rFonts w:ascii="Arial" w:cs="Arial" w:eastAsia="Arial" w:hAnsi="Arial"/>
                <w:sz w:val="16"/>
                <w:szCs w:val="16"/>
                <w:color w:val="auto"/>
              </w:rPr>
              <w:t>Balance at July 1</w:t>
            </w:r>
          </w:p>
        </w:tc>
        <w:tc>
          <w:tcPr>
            <w:tcW w:w="1540" w:type="dxa"/>
            <w:vAlign w:val="bottom"/>
          </w:tcPr>
          <w:p>
            <w:pPr>
              <w:jc w:val="right"/>
              <w:ind w:right="884"/>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80"/>
              <w:spacing w:after="0"/>
              <w:rPr>
                <w:sz w:val="20"/>
                <w:szCs w:val="20"/>
                <w:color w:val="auto"/>
              </w:rPr>
            </w:pPr>
            <w:r>
              <w:rPr>
                <w:rFonts w:ascii="Arial" w:cs="Arial" w:eastAsia="Arial" w:hAnsi="Arial"/>
                <w:sz w:val="16"/>
                <w:szCs w:val="16"/>
                <w:color w:val="auto"/>
              </w:rPr>
              <w:t>85</w:t>
            </w:r>
          </w:p>
        </w:tc>
        <w:tc>
          <w:tcPr>
            <w:tcW w:w="1320" w:type="dxa"/>
            <w:vAlign w:val="bottom"/>
          </w:tcPr>
          <w:p>
            <w:pPr>
              <w:jc w:val="right"/>
              <w:ind w:right="922"/>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47</w:t>
            </w:r>
          </w:p>
        </w:tc>
        <w:tc>
          <w:tcPr>
            <w:tcW w:w="20" w:type="dxa"/>
            <w:vAlign w:val="bottom"/>
          </w:tcPr>
          <w:p>
            <w:pPr>
              <w:spacing w:after="0"/>
              <w:rPr>
                <w:sz w:val="16"/>
                <w:szCs w:val="16"/>
                <w:color w:val="auto"/>
              </w:rPr>
            </w:pPr>
          </w:p>
        </w:tc>
      </w:tr>
      <w:tr>
        <w:trPr>
          <w:trHeight w:val="201"/>
        </w:trPr>
        <w:tc>
          <w:tcPr>
            <w:tcW w:w="7100" w:type="dxa"/>
            <w:vAlign w:val="bottom"/>
          </w:tcPr>
          <w:p>
            <w:pPr>
              <w:ind w:left="180"/>
              <w:spacing w:after="0"/>
              <w:rPr>
                <w:sz w:val="20"/>
                <w:szCs w:val="20"/>
                <w:color w:val="auto"/>
              </w:rPr>
            </w:pPr>
            <w:r>
              <w:rPr>
                <w:rFonts w:ascii="Arial" w:cs="Arial" w:eastAsia="Arial" w:hAnsi="Arial"/>
                <w:sz w:val="16"/>
                <w:szCs w:val="16"/>
                <w:color w:val="auto"/>
              </w:rPr>
              <w:t>Realized and unrealized gains</w:t>
            </w:r>
          </w:p>
        </w:tc>
        <w:tc>
          <w:tcPr>
            <w:tcW w:w="1540" w:type="dxa"/>
            <w:vAlign w:val="bottom"/>
          </w:tcPr>
          <w:p>
            <w:pPr>
              <w:spacing w:after="0"/>
              <w:rPr>
                <w:sz w:val="17"/>
                <w:szCs w:val="17"/>
                <w:color w:val="auto"/>
              </w:rPr>
            </w:pPr>
          </w:p>
        </w:tc>
        <w:tc>
          <w:tcPr>
            <w:tcW w:w="860" w:type="dxa"/>
            <w:vAlign w:val="bottom"/>
          </w:tcPr>
          <w:p>
            <w:pPr>
              <w:jc w:val="right"/>
              <w:ind w:right="180"/>
              <w:spacing w:after="0"/>
              <w:rPr>
                <w:sz w:val="20"/>
                <w:szCs w:val="20"/>
                <w:color w:val="auto"/>
              </w:rPr>
            </w:pPr>
            <w:r>
              <w:rPr>
                <w:rFonts w:ascii="Arial" w:cs="Arial" w:eastAsia="Arial" w:hAnsi="Arial"/>
                <w:sz w:val="16"/>
                <w:szCs w:val="16"/>
                <w:color w:val="auto"/>
              </w:rPr>
              <w:t>3</w:t>
            </w:r>
          </w:p>
        </w:tc>
        <w:tc>
          <w:tcPr>
            <w:tcW w:w="1320" w:type="dxa"/>
            <w:vAlign w:val="bottom"/>
          </w:tcPr>
          <w:p>
            <w:pPr>
              <w:spacing w:after="0"/>
              <w:rPr>
                <w:sz w:val="17"/>
                <w:szCs w:val="17"/>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6"/>
                <w:szCs w:val="16"/>
                <w:color w:val="auto"/>
              </w:rPr>
              <w:t>1</w:t>
            </w:r>
          </w:p>
        </w:tc>
      </w:tr>
      <w:tr>
        <w:trPr>
          <w:trHeight w:val="213"/>
        </w:trPr>
        <w:tc>
          <w:tcPr>
            <w:tcW w:w="7100" w:type="dxa"/>
            <w:vAlign w:val="bottom"/>
          </w:tcPr>
          <w:p>
            <w:pPr>
              <w:ind w:left="180"/>
              <w:spacing w:after="0"/>
              <w:rPr>
                <w:sz w:val="20"/>
                <w:szCs w:val="20"/>
                <w:color w:val="auto"/>
              </w:rPr>
            </w:pPr>
            <w:r>
              <w:rPr>
                <w:rFonts w:ascii="Arial" w:cs="Arial" w:eastAsia="Arial" w:hAnsi="Arial"/>
                <w:sz w:val="16"/>
                <w:szCs w:val="16"/>
                <w:color w:val="auto"/>
              </w:rPr>
              <w:t>Allocated transmission instruments</w:t>
            </w:r>
          </w:p>
        </w:tc>
        <w:tc>
          <w:tcPr>
            <w:tcW w:w="1540" w:type="dxa"/>
            <w:vAlign w:val="bottom"/>
          </w:tcPr>
          <w:p>
            <w:pPr>
              <w:spacing w:after="0"/>
              <w:rPr>
                <w:sz w:val="18"/>
                <w:szCs w:val="18"/>
                <w:color w:val="auto"/>
              </w:rPr>
            </w:pPr>
          </w:p>
        </w:tc>
        <w:tc>
          <w:tcPr>
            <w:tcW w:w="860" w:type="dxa"/>
            <w:vAlign w:val="bottom"/>
          </w:tcPr>
          <w:p>
            <w:pPr>
              <w:jc w:val="right"/>
              <w:ind w:right="180"/>
              <w:spacing w:after="0"/>
              <w:rPr>
                <w:sz w:val="20"/>
                <w:szCs w:val="20"/>
                <w:color w:val="auto"/>
              </w:rPr>
            </w:pPr>
            <w:r>
              <w:rPr>
                <w:rFonts w:ascii="Arial" w:cs="Arial" w:eastAsia="Arial" w:hAnsi="Arial"/>
                <w:sz w:val="16"/>
                <w:szCs w:val="16"/>
                <w:color w:val="auto"/>
              </w:rPr>
              <w:t>9</w:t>
            </w:r>
          </w:p>
        </w:tc>
        <w:tc>
          <w:tcPr>
            <w:tcW w:w="13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6"/>
                <w:szCs w:val="16"/>
                <w:color w:val="auto"/>
              </w:rPr>
              <w:t>15</w:t>
            </w:r>
          </w:p>
        </w:tc>
      </w:tr>
      <w:tr>
        <w:trPr>
          <w:trHeight w:val="204"/>
        </w:trPr>
        <w:tc>
          <w:tcPr>
            <w:tcW w:w="7100" w:type="dxa"/>
            <w:vAlign w:val="bottom"/>
          </w:tcPr>
          <w:p>
            <w:pPr>
              <w:ind w:left="180"/>
              <w:spacing w:after="0"/>
              <w:rPr>
                <w:sz w:val="20"/>
                <w:szCs w:val="20"/>
                <w:color w:val="auto"/>
              </w:rPr>
            </w:pPr>
            <w:r>
              <w:rPr>
                <w:rFonts w:ascii="Arial" w:cs="Arial" w:eastAsia="Arial" w:hAnsi="Arial"/>
                <w:sz w:val="16"/>
                <w:szCs w:val="16"/>
                <w:color w:val="auto"/>
              </w:rPr>
              <w:t>Settlements</w:t>
            </w:r>
          </w:p>
        </w:tc>
        <w:tc>
          <w:tcPr>
            <w:tcW w:w="1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(10)</w:t>
            </w:r>
          </w:p>
        </w:tc>
        <w:tc>
          <w:tcPr>
            <w:tcW w:w="13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20" w:type="dxa"/>
            <w:vAlign w:val="bottom"/>
          </w:tcPr>
          <w:p>
            <w:pPr>
              <w:spacing w:after="0"/>
              <w:rPr>
                <w:sz w:val="17"/>
                <w:szCs w:val="17"/>
                <w:color w:val="auto"/>
              </w:rPr>
            </w:pPr>
          </w:p>
        </w:tc>
      </w:tr>
      <w:tr>
        <w:trPr>
          <w:trHeight w:val="173"/>
        </w:trPr>
        <w:tc>
          <w:tcPr>
            <w:tcW w:w="7100" w:type="dxa"/>
            <w:vAlign w:val="bottom"/>
          </w:tcPr>
          <w:p>
            <w:pPr>
              <w:spacing w:after="0" w:line="166" w:lineRule="exact"/>
              <w:rPr>
                <w:sz w:val="20"/>
                <w:szCs w:val="20"/>
                <w:color w:val="auto"/>
              </w:rPr>
            </w:pPr>
            <w:r>
              <w:rPr>
                <w:rFonts w:ascii="Arial" w:cs="Arial" w:eastAsia="Arial" w:hAnsi="Arial"/>
                <w:sz w:val="16"/>
                <w:szCs w:val="16"/>
                <w:color w:val="auto"/>
              </w:rPr>
              <w:t>Balance at September 30</w:t>
            </w:r>
          </w:p>
        </w:tc>
        <w:tc>
          <w:tcPr>
            <w:tcW w:w="1540" w:type="dxa"/>
            <w:vAlign w:val="bottom"/>
            <w:tcBorders>
              <w:bottom w:val="single" w:sz="8" w:color="auto"/>
            </w:tcBorders>
          </w:tcPr>
          <w:p>
            <w:pPr>
              <w:jc w:val="right"/>
              <w:ind w:right="884"/>
              <w:spacing w:after="0" w:line="166"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80"/>
              <w:spacing w:after="0" w:line="166" w:lineRule="exact"/>
              <w:rPr>
                <w:sz w:val="20"/>
                <w:szCs w:val="20"/>
                <w:color w:val="auto"/>
              </w:rPr>
            </w:pPr>
            <w:r>
              <w:rPr>
                <w:rFonts w:ascii="Arial" w:cs="Arial" w:eastAsia="Arial" w:hAnsi="Arial"/>
                <w:sz w:val="16"/>
                <w:szCs w:val="16"/>
                <w:color w:val="auto"/>
              </w:rPr>
              <w:t>87</w:t>
            </w:r>
          </w:p>
        </w:tc>
        <w:tc>
          <w:tcPr>
            <w:tcW w:w="1320" w:type="dxa"/>
            <w:vAlign w:val="bottom"/>
            <w:tcBorders>
              <w:bottom w:val="single" w:sz="8" w:color="auto"/>
            </w:tcBorders>
          </w:tcPr>
          <w:p>
            <w:pPr>
              <w:jc w:val="right"/>
              <w:ind w:right="922"/>
              <w:spacing w:after="0" w:line="166" w:lineRule="exact"/>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57</w:t>
            </w:r>
          </w:p>
        </w:tc>
        <w:tc>
          <w:tcPr>
            <w:tcW w:w="20" w:type="dxa"/>
            <w:vAlign w:val="bottom"/>
          </w:tcPr>
          <w:p>
            <w:pPr>
              <w:spacing w:after="0"/>
              <w:rPr>
                <w:sz w:val="15"/>
                <w:szCs w:val="15"/>
                <w:color w:val="auto"/>
              </w:rPr>
            </w:pPr>
          </w:p>
        </w:tc>
      </w:tr>
      <w:tr>
        <w:trPr>
          <w:trHeight w:val="201"/>
        </w:trPr>
        <w:tc>
          <w:tcPr>
            <w:tcW w:w="7100" w:type="dxa"/>
            <w:vAlign w:val="bottom"/>
          </w:tcPr>
          <w:p>
            <w:pPr>
              <w:spacing w:after="0"/>
              <w:rPr>
                <w:sz w:val="20"/>
                <w:szCs w:val="20"/>
                <w:color w:val="auto"/>
              </w:rPr>
            </w:pPr>
            <w:r>
              <w:rPr>
                <w:rFonts w:ascii="Arial" w:cs="Arial" w:eastAsia="Arial" w:hAnsi="Arial"/>
                <w:sz w:val="16"/>
                <w:szCs w:val="16"/>
                <w:color w:val="auto"/>
              </w:rPr>
              <w:t>Change in unrealized gains or losses relating to</w:t>
            </w:r>
          </w:p>
        </w:tc>
        <w:tc>
          <w:tcPr>
            <w:tcW w:w="1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1"/>
        </w:trPr>
        <w:tc>
          <w:tcPr>
            <w:tcW w:w="7100" w:type="dxa"/>
            <w:vAlign w:val="bottom"/>
          </w:tcPr>
          <w:p>
            <w:pPr>
              <w:ind w:left="180"/>
              <w:spacing w:after="0"/>
              <w:rPr>
                <w:sz w:val="20"/>
                <w:szCs w:val="20"/>
                <w:color w:val="auto"/>
              </w:rPr>
            </w:pPr>
            <w:r>
              <w:rPr>
                <w:rFonts w:ascii="Arial" w:cs="Arial" w:eastAsia="Arial" w:hAnsi="Arial"/>
                <w:sz w:val="16"/>
                <w:szCs w:val="16"/>
                <w:color w:val="auto"/>
              </w:rPr>
              <w:t>instruments still held at September 30</w:t>
            </w:r>
          </w:p>
        </w:tc>
        <w:tc>
          <w:tcPr>
            <w:tcW w:w="1540" w:type="dxa"/>
            <w:vAlign w:val="bottom"/>
          </w:tcPr>
          <w:p>
            <w:pPr>
              <w:jc w:val="right"/>
              <w:ind w:right="884"/>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2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922"/>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6"/>
                <w:szCs w:val="16"/>
                <w:color w:val="auto"/>
              </w:rPr>
              <w:t>2</w:t>
            </w:r>
          </w:p>
        </w:tc>
      </w:tr>
      <w:tr>
        <w:trPr>
          <w:trHeight w:val="439"/>
        </w:trPr>
        <w:tc>
          <w:tcPr>
            <w:tcW w:w="7100" w:type="dxa"/>
            <w:vAlign w:val="bottom"/>
            <w:tcBorders>
              <w:top w:val="single" w:sz="8" w:color="C0C0C0"/>
            </w:tcBorders>
          </w:tcPr>
          <w:p>
            <w:pPr>
              <w:spacing w:after="0"/>
              <w:rPr>
                <w:sz w:val="24"/>
                <w:szCs w:val="24"/>
                <w:color w:val="auto"/>
              </w:rPr>
            </w:pPr>
          </w:p>
        </w:tc>
        <w:tc>
          <w:tcPr>
            <w:tcW w:w="3720" w:type="dxa"/>
            <w:vAlign w:val="bottom"/>
            <w:tcBorders>
              <w:top w:val="single" w:sz="8" w:color="C0C0C0"/>
              <w:bottom w:val="single" w:sz="8" w:color="auto"/>
            </w:tcBorders>
            <w:gridSpan w:val="3"/>
          </w:tcPr>
          <w:p>
            <w:pPr>
              <w:jc w:val="right"/>
              <w:ind w:right="382"/>
              <w:spacing w:after="0"/>
              <w:rPr>
                <w:sz w:val="20"/>
                <w:szCs w:val="20"/>
                <w:color w:val="auto"/>
              </w:rPr>
            </w:pPr>
            <w:r>
              <w:rPr>
                <w:rFonts w:ascii="Arial" w:cs="Arial" w:eastAsia="Arial" w:hAnsi="Arial"/>
                <w:sz w:val="14"/>
                <w:szCs w:val="14"/>
                <w:color w:val="auto"/>
              </w:rPr>
              <w:t>Nine months ended September 30,</w:t>
            </w:r>
          </w:p>
        </w:tc>
        <w:tc>
          <w:tcPr>
            <w:tcW w:w="600" w:type="dxa"/>
            <w:vAlign w:val="bottom"/>
            <w:tcBorders>
              <w:top w:val="single" w:sz="8" w:color="C0C0C0"/>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6"/>
        </w:trPr>
        <w:tc>
          <w:tcPr>
            <w:tcW w:w="71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color w:val="auto"/>
              </w:rPr>
              <w:t>2014</w:t>
            </w:r>
          </w:p>
        </w:tc>
        <w:tc>
          <w:tcPr>
            <w:tcW w:w="8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color w:val="auto"/>
              </w:rPr>
              <w:t>2013</w:t>
            </w:r>
          </w:p>
        </w:tc>
        <w:tc>
          <w:tcPr>
            <w:tcW w:w="6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86"/>
        </w:trPr>
        <w:tc>
          <w:tcPr>
            <w:tcW w:w="7100" w:type="dxa"/>
            <w:vAlign w:val="bottom"/>
          </w:tcPr>
          <w:p>
            <w:pPr>
              <w:spacing w:after="0"/>
              <w:rPr>
                <w:sz w:val="20"/>
                <w:szCs w:val="20"/>
                <w:color w:val="auto"/>
              </w:rPr>
            </w:pPr>
            <w:r>
              <w:rPr>
                <w:rFonts w:ascii="Arial" w:cs="Arial" w:eastAsia="Arial" w:hAnsi="Arial"/>
                <w:sz w:val="16"/>
                <w:szCs w:val="16"/>
                <w:color w:val="auto"/>
              </w:rPr>
              <w:t>Balance as of January 1</w:t>
            </w:r>
          </w:p>
        </w:tc>
        <w:tc>
          <w:tcPr>
            <w:tcW w:w="1540" w:type="dxa"/>
            <w:vAlign w:val="bottom"/>
          </w:tcPr>
          <w:p>
            <w:pPr>
              <w:jc w:val="right"/>
              <w:ind w:right="884"/>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80"/>
              <w:spacing w:after="0"/>
              <w:rPr>
                <w:sz w:val="20"/>
                <w:szCs w:val="20"/>
                <w:color w:val="auto"/>
              </w:rPr>
            </w:pPr>
            <w:r>
              <w:rPr>
                <w:rFonts w:ascii="Arial" w:cs="Arial" w:eastAsia="Arial" w:hAnsi="Arial"/>
                <w:sz w:val="16"/>
                <w:szCs w:val="16"/>
                <w:color w:val="auto"/>
              </w:rPr>
              <w:t>99</w:t>
            </w:r>
          </w:p>
        </w:tc>
        <w:tc>
          <w:tcPr>
            <w:tcW w:w="1320" w:type="dxa"/>
            <w:vAlign w:val="bottom"/>
          </w:tcPr>
          <w:p>
            <w:pPr>
              <w:jc w:val="right"/>
              <w:ind w:right="922"/>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61</w:t>
            </w:r>
          </w:p>
        </w:tc>
        <w:tc>
          <w:tcPr>
            <w:tcW w:w="20" w:type="dxa"/>
            <w:vAlign w:val="bottom"/>
          </w:tcPr>
          <w:p>
            <w:pPr>
              <w:spacing w:after="0"/>
              <w:rPr>
                <w:sz w:val="16"/>
                <w:szCs w:val="16"/>
                <w:color w:val="auto"/>
              </w:rPr>
            </w:pPr>
          </w:p>
        </w:tc>
      </w:tr>
      <w:tr>
        <w:trPr>
          <w:trHeight w:val="201"/>
        </w:trPr>
        <w:tc>
          <w:tcPr>
            <w:tcW w:w="7100" w:type="dxa"/>
            <w:vAlign w:val="bottom"/>
          </w:tcPr>
          <w:p>
            <w:pPr>
              <w:ind w:left="180"/>
              <w:spacing w:after="0"/>
              <w:rPr>
                <w:sz w:val="20"/>
                <w:szCs w:val="20"/>
                <w:color w:val="auto"/>
              </w:rPr>
            </w:pPr>
            <w:r>
              <w:rPr>
                <w:rFonts w:ascii="Arial" w:cs="Arial" w:eastAsia="Arial" w:hAnsi="Arial"/>
                <w:sz w:val="16"/>
                <w:szCs w:val="16"/>
                <w:color w:val="auto"/>
              </w:rPr>
              <w:t>Realized and unrealized gains (losses)</w:t>
            </w:r>
          </w:p>
        </w:tc>
        <w:tc>
          <w:tcPr>
            <w:tcW w:w="1540" w:type="dxa"/>
            <w:vAlign w:val="bottom"/>
          </w:tcPr>
          <w:p>
            <w:pPr>
              <w:spacing w:after="0"/>
              <w:rPr>
                <w:sz w:val="17"/>
                <w:szCs w:val="17"/>
                <w:color w:val="auto"/>
              </w:rPr>
            </w:pPr>
          </w:p>
        </w:tc>
        <w:tc>
          <w:tcPr>
            <w:tcW w:w="860" w:type="dxa"/>
            <w:vAlign w:val="bottom"/>
          </w:tcPr>
          <w:p>
            <w:pPr>
              <w:jc w:val="right"/>
              <w:ind w:right="180"/>
              <w:spacing w:after="0"/>
              <w:rPr>
                <w:sz w:val="20"/>
                <w:szCs w:val="20"/>
                <w:color w:val="auto"/>
              </w:rPr>
            </w:pPr>
            <w:r>
              <w:rPr>
                <w:rFonts w:ascii="Arial" w:cs="Arial" w:eastAsia="Arial" w:hAnsi="Arial"/>
                <w:sz w:val="16"/>
                <w:szCs w:val="16"/>
                <w:color w:val="auto"/>
              </w:rPr>
              <w:t>9</w:t>
            </w:r>
          </w:p>
        </w:tc>
        <w:tc>
          <w:tcPr>
            <w:tcW w:w="13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7"/>
                <w:szCs w:val="17"/>
                <w:color w:val="auto"/>
              </w:rPr>
            </w:pPr>
          </w:p>
        </w:tc>
      </w:tr>
      <w:tr>
        <w:trPr>
          <w:trHeight w:val="213"/>
        </w:trPr>
        <w:tc>
          <w:tcPr>
            <w:tcW w:w="7100" w:type="dxa"/>
            <w:vAlign w:val="bottom"/>
          </w:tcPr>
          <w:p>
            <w:pPr>
              <w:ind w:left="180"/>
              <w:spacing w:after="0"/>
              <w:rPr>
                <w:sz w:val="20"/>
                <w:szCs w:val="20"/>
                <w:color w:val="auto"/>
              </w:rPr>
            </w:pPr>
            <w:r>
              <w:rPr>
                <w:rFonts w:ascii="Arial" w:cs="Arial" w:eastAsia="Arial" w:hAnsi="Arial"/>
                <w:sz w:val="16"/>
                <w:szCs w:val="16"/>
                <w:color w:val="auto"/>
              </w:rPr>
              <w:t>Allocated transmission instruments</w:t>
            </w:r>
          </w:p>
        </w:tc>
        <w:tc>
          <w:tcPr>
            <w:tcW w:w="1540" w:type="dxa"/>
            <w:vAlign w:val="bottom"/>
          </w:tcPr>
          <w:p>
            <w:pPr>
              <w:spacing w:after="0"/>
              <w:rPr>
                <w:sz w:val="18"/>
                <w:szCs w:val="18"/>
                <w:color w:val="auto"/>
              </w:rPr>
            </w:pPr>
          </w:p>
        </w:tc>
        <w:tc>
          <w:tcPr>
            <w:tcW w:w="860" w:type="dxa"/>
            <w:vAlign w:val="bottom"/>
          </w:tcPr>
          <w:p>
            <w:pPr>
              <w:jc w:val="right"/>
              <w:ind w:right="180"/>
              <w:spacing w:after="0"/>
              <w:rPr>
                <w:sz w:val="20"/>
                <w:szCs w:val="20"/>
                <w:color w:val="auto"/>
              </w:rPr>
            </w:pPr>
            <w:r>
              <w:rPr>
                <w:rFonts w:ascii="Arial" w:cs="Arial" w:eastAsia="Arial" w:hAnsi="Arial"/>
                <w:sz w:val="16"/>
                <w:szCs w:val="16"/>
                <w:color w:val="auto"/>
              </w:rPr>
              <w:t>10</w:t>
            </w:r>
          </w:p>
        </w:tc>
        <w:tc>
          <w:tcPr>
            <w:tcW w:w="13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6"/>
                <w:szCs w:val="16"/>
                <w:color w:val="auto"/>
              </w:rPr>
              <w:t>15</w:t>
            </w:r>
          </w:p>
        </w:tc>
      </w:tr>
      <w:tr>
        <w:trPr>
          <w:trHeight w:val="204"/>
        </w:trPr>
        <w:tc>
          <w:tcPr>
            <w:tcW w:w="7100" w:type="dxa"/>
            <w:vAlign w:val="bottom"/>
          </w:tcPr>
          <w:p>
            <w:pPr>
              <w:ind w:left="180"/>
              <w:spacing w:after="0"/>
              <w:rPr>
                <w:sz w:val="20"/>
                <w:szCs w:val="20"/>
                <w:color w:val="auto"/>
              </w:rPr>
            </w:pPr>
            <w:r>
              <w:rPr>
                <w:rFonts w:ascii="Arial" w:cs="Arial" w:eastAsia="Arial" w:hAnsi="Arial"/>
                <w:sz w:val="16"/>
                <w:szCs w:val="16"/>
                <w:color w:val="auto"/>
              </w:rPr>
              <w:t>Settlements</w:t>
            </w:r>
          </w:p>
        </w:tc>
        <w:tc>
          <w:tcPr>
            <w:tcW w:w="1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(31)</w:t>
            </w:r>
          </w:p>
        </w:tc>
        <w:tc>
          <w:tcPr>
            <w:tcW w:w="13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20" w:type="dxa"/>
            <w:vAlign w:val="bottom"/>
          </w:tcPr>
          <w:p>
            <w:pPr>
              <w:spacing w:after="0"/>
              <w:rPr>
                <w:sz w:val="17"/>
                <w:szCs w:val="17"/>
                <w:color w:val="auto"/>
              </w:rPr>
            </w:pPr>
          </w:p>
        </w:tc>
      </w:tr>
      <w:tr>
        <w:trPr>
          <w:trHeight w:val="173"/>
        </w:trPr>
        <w:tc>
          <w:tcPr>
            <w:tcW w:w="7100" w:type="dxa"/>
            <w:vAlign w:val="bottom"/>
          </w:tcPr>
          <w:p>
            <w:pPr>
              <w:spacing w:after="0" w:line="166" w:lineRule="exact"/>
              <w:rPr>
                <w:sz w:val="20"/>
                <w:szCs w:val="20"/>
                <w:color w:val="auto"/>
              </w:rPr>
            </w:pPr>
            <w:r>
              <w:rPr>
                <w:rFonts w:ascii="Arial" w:cs="Arial" w:eastAsia="Arial" w:hAnsi="Arial"/>
                <w:sz w:val="16"/>
                <w:szCs w:val="16"/>
                <w:color w:val="auto"/>
              </w:rPr>
              <w:t>Balance as of September 30</w:t>
            </w:r>
          </w:p>
        </w:tc>
        <w:tc>
          <w:tcPr>
            <w:tcW w:w="1540" w:type="dxa"/>
            <w:vAlign w:val="bottom"/>
            <w:tcBorders>
              <w:bottom w:val="single" w:sz="8" w:color="auto"/>
            </w:tcBorders>
          </w:tcPr>
          <w:p>
            <w:pPr>
              <w:jc w:val="right"/>
              <w:ind w:right="884"/>
              <w:spacing w:after="0" w:line="166"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80"/>
              <w:spacing w:after="0" w:line="166" w:lineRule="exact"/>
              <w:rPr>
                <w:sz w:val="20"/>
                <w:szCs w:val="20"/>
                <w:color w:val="auto"/>
              </w:rPr>
            </w:pPr>
            <w:r>
              <w:rPr>
                <w:rFonts w:ascii="Arial" w:cs="Arial" w:eastAsia="Arial" w:hAnsi="Arial"/>
                <w:sz w:val="16"/>
                <w:szCs w:val="16"/>
                <w:color w:val="auto"/>
              </w:rPr>
              <w:t>87</w:t>
            </w:r>
          </w:p>
        </w:tc>
        <w:tc>
          <w:tcPr>
            <w:tcW w:w="1320" w:type="dxa"/>
            <w:vAlign w:val="bottom"/>
            <w:tcBorders>
              <w:bottom w:val="single" w:sz="8" w:color="auto"/>
            </w:tcBorders>
          </w:tcPr>
          <w:p>
            <w:pPr>
              <w:jc w:val="right"/>
              <w:ind w:right="922"/>
              <w:spacing w:after="0" w:line="166" w:lineRule="exact"/>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57</w:t>
            </w:r>
          </w:p>
        </w:tc>
        <w:tc>
          <w:tcPr>
            <w:tcW w:w="20" w:type="dxa"/>
            <w:vAlign w:val="bottom"/>
          </w:tcPr>
          <w:p>
            <w:pPr>
              <w:spacing w:after="0"/>
              <w:rPr>
                <w:sz w:val="15"/>
                <w:szCs w:val="15"/>
                <w:color w:val="auto"/>
              </w:rPr>
            </w:pPr>
          </w:p>
        </w:tc>
      </w:tr>
      <w:tr>
        <w:trPr>
          <w:trHeight w:val="201"/>
        </w:trPr>
        <w:tc>
          <w:tcPr>
            <w:tcW w:w="7100" w:type="dxa"/>
            <w:vAlign w:val="bottom"/>
          </w:tcPr>
          <w:p>
            <w:pPr>
              <w:spacing w:after="0"/>
              <w:rPr>
                <w:sz w:val="20"/>
                <w:szCs w:val="20"/>
                <w:color w:val="auto"/>
              </w:rPr>
            </w:pPr>
            <w:r>
              <w:rPr>
                <w:rFonts w:ascii="Arial" w:cs="Arial" w:eastAsia="Arial" w:hAnsi="Arial"/>
                <w:sz w:val="16"/>
                <w:szCs w:val="16"/>
                <w:color w:val="auto"/>
              </w:rPr>
              <w:t>Change in unrealized gains or losses relating to</w:t>
            </w:r>
          </w:p>
        </w:tc>
        <w:tc>
          <w:tcPr>
            <w:tcW w:w="1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1"/>
        </w:trPr>
        <w:tc>
          <w:tcPr>
            <w:tcW w:w="7100" w:type="dxa"/>
            <w:vAlign w:val="bottom"/>
            <w:tcBorders>
              <w:bottom w:val="single" w:sz="8" w:color="C0C0C0"/>
            </w:tcBorders>
          </w:tcPr>
          <w:p>
            <w:pPr>
              <w:ind w:left="180"/>
              <w:spacing w:after="0"/>
              <w:rPr>
                <w:sz w:val="20"/>
                <w:szCs w:val="20"/>
                <w:color w:val="auto"/>
              </w:rPr>
            </w:pPr>
            <w:r>
              <w:rPr>
                <w:rFonts w:ascii="Arial" w:cs="Arial" w:eastAsia="Arial" w:hAnsi="Arial"/>
                <w:sz w:val="16"/>
                <w:szCs w:val="16"/>
                <w:color w:val="auto"/>
              </w:rPr>
              <w:t>instruments still held at September 30</w:t>
            </w:r>
          </w:p>
        </w:tc>
        <w:tc>
          <w:tcPr>
            <w:tcW w:w="1540" w:type="dxa"/>
            <w:vAlign w:val="bottom"/>
            <w:tcBorders>
              <w:bottom w:val="single" w:sz="8" w:color="C0C0C0"/>
            </w:tcBorders>
          </w:tcPr>
          <w:p>
            <w:pPr>
              <w:jc w:val="right"/>
              <w:ind w:right="884"/>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0C0C0"/>
            </w:tcBorders>
          </w:tcPr>
          <w:p>
            <w:pPr>
              <w:jc w:val="right"/>
              <w:ind w:right="3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0C0C0"/>
            </w:tcBorders>
          </w:tcPr>
          <w:p>
            <w:pPr>
              <w:jc w:val="right"/>
              <w:ind w:right="922"/>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0C0C0"/>
            </w:tcBorders>
            <w:gridSpan w:val="2"/>
          </w:tcPr>
          <w:p>
            <w:pPr>
              <w:jc w:val="right"/>
              <w:ind w:right="20"/>
              <w:spacing w:after="0"/>
              <w:rPr>
                <w:sz w:val="20"/>
                <w:szCs w:val="20"/>
                <w:color w:val="auto"/>
              </w:rPr>
            </w:pPr>
            <w:r>
              <w:rPr>
                <w:rFonts w:ascii="Arial" w:cs="Arial" w:eastAsia="Arial" w:hAnsi="Arial"/>
                <w:sz w:val="16"/>
                <w:szCs w:val="16"/>
                <w:color w:val="auto"/>
              </w:rPr>
              <w:t>1</w:t>
            </w:r>
          </w:p>
        </w:tc>
      </w:tr>
    </w:tbl>
    <w:p>
      <w:pPr>
        <w:spacing w:after="0" w:line="227"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SDG&amp;E’s Energy and Fuel Procurement department, in conjunction with SDG&amp;E’s finance group, is responsible for determining the appropriate fair value methodologies used to value and classify CRRs on an ongoing basis. Inputs used to determine the fair value of CRRs are reviewed and compared with market conditions to determine reasonableness. SDG&amp;E expects all costs related to CRRs to be recoverable through customer rates. As such, there is no impact to earnings from changes in the fair value of these instruments.</w:t>
      </w:r>
    </w:p>
    <w:p>
      <w:pPr>
        <w:spacing w:after="0" w:line="190"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CRRs are recorded at fair value based almost entirely on the most current auction prices published by the California Independent System Operator (CAISO), an objective source. The impact associated with discounting is negligible. Because auction prices are a less observable input, these instruments are classified as Level 3. At September 30, 2014 the auction prices ranged from $(6) per MWh to $12 per MWh at a given location, and the fair value of these instruments is derived from auction price differences between two locations. At September 30, 2013 the auction prices ranged from $(8) per MWh to $8 per MWh. Positive values between two locations represent expected future reductions in congestion costs, whereas negative values between two locations represent expected future charges. Valuation of our CRRs is sensitive to a change in auction price. If auction prices at one location increase (decrease) relative to another location, this could result in a higher (lower) fair value measurement. We summarize CRR volumes in Note 7. Realized gains and losses associated with CRRs are recorded in Cost of Electric Fuel and Purchased Power, which is recoverable in rates, on the Condensed Consolidated Statements of Operations. Unrealized gains and losses are recorded as regulatory assets and liabilities and therefore also do not affect earnings.</w:t>
      </w:r>
    </w:p>
    <w:p>
      <w:pPr>
        <w:spacing w:after="0" w:line="38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Fair Value of Financial Instruments</w:t>
      </w:r>
    </w:p>
    <w:p>
      <w:pPr>
        <w:sectPr>
          <w:pgSz w:w="11900" w:h="16838" w:orient="portrait"/>
          <w:cols w:equalWidth="0" w:num="1">
            <w:col w:w="11420"/>
          </w:cols>
          <w:pgMar w:left="240" w:top="196" w:right="239" w:bottom="65" w:gutter="0" w:footer="0" w:header="0"/>
        </w:sectPr>
      </w:pPr>
    </w:p>
    <w:bookmarkStart w:id="38" w:name="page39"/>
    <w:bookmarkEnd w:id="38"/>
    <w:p>
      <w:pPr>
        <w:spacing w:after="0" w:line="34" w:lineRule="exact"/>
        <w:rPr>
          <w:sz w:val="20"/>
          <w:szCs w:val="20"/>
          <w:color w:val="auto"/>
        </w:rPr>
      </w:pPr>
    </w:p>
    <w:p>
      <w:pPr>
        <w:jc w:val="both"/>
        <w:ind w:right="100"/>
        <w:spacing w:after="0" w:line="251" w:lineRule="auto"/>
        <w:rPr>
          <w:sz w:val="20"/>
          <w:szCs w:val="20"/>
          <w:color w:val="auto"/>
        </w:rPr>
      </w:pPr>
      <w:r>
        <w:rPr>
          <w:rFonts w:ascii="Arial" w:cs="Arial" w:eastAsia="Arial" w:hAnsi="Arial"/>
          <w:sz w:val="18"/>
          <w:szCs w:val="18"/>
          <w:color w:val="auto"/>
        </w:rPr>
        <w:t>The fair values of certain of our financial instruments (cash, temporary investments, accounts and notes receivable, dividends and accounts payable, short-term debt and customer deposits) approximate their carrying amounts. Investments in life insurance contracts that we hold in support of our Supplemental Executive Retirement, Cash Balance Restoration and Deferred Compensation Plans are carried at cash surrender values, which represent the amount of cash that could be realized under the contracts. The following table provides the carrying amounts and fair values of certain other financial instruments at September 30, 2014 and December 31, 2013:</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OF FINANCIAL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-104775</wp:posOffset>
            </wp:positionV>
            <wp:extent cx="7248525" cy="2197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8525" cy="21971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jc w:val="right"/>
              <w:ind w:right="223"/>
              <w:spacing w:after="0"/>
              <w:rPr>
                <w:sz w:val="20"/>
                <w:szCs w:val="20"/>
                <w:color w:val="auto"/>
              </w:rPr>
            </w:pPr>
            <w:r>
              <w:rPr>
                <w:rFonts w:ascii="Arial" w:cs="Arial" w:eastAsia="Arial" w:hAnsi="Arial"/>
                <w:sz w:val="14"/>
                <w:szCs w:val="14"/>
                <w:color w:val="auto"/>
              </w:rPr>
              <w:t>September 30, 2014</w:t>
            </w: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93"/>
        </w:trPr>
        <w:tc>
          <w:tcPr>
            <w:tcW w:w="4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center"/>
              <w:ind w:right="523"/>
              <w:spacing w:after="0"/>
              <w:rPr>
                <w:sz w:val="20"/>
                <w:szCs w:val="20"/>
                <w:color w:val="auto"/>
              </w:rPr>
            </w:pPr>
            <w:r>
              <w:rPr>
                <w:rFonts w:ascii="Arial" w:cs="Arial" w:eastAsia="Arial" w:hAnsi="Arial"/>
                <w:sz w:val="14"/>
                <w:szCs w:val="14"/>
                <w:color w:val="auto"/>
              </w:rPr>
              <w:t>Carrying</w:t>
            </w: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Fair Value</w:t>
            </w:r>
          </w:p>
        </w:tc>
        <w:tc>
          <w:tcPr>
            <w:tcW w:w="10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206"/>
        </w:trPr>
        <w:tc>
          <w:tcPr>
            <w:tcW w:w="44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523"/>
              <w:spacing w:after="0"/>
              <w:rPr>
                <w:sz w:val="20"/>
                <w:szCs w:val="20"/>
                <w:color w:val="auto"/>
              </w:rPr>
            </w:pPr>
            <w:r>
              <w:rPr>
                <w:rFonts w:ascii="Arial" w:cs="Arial" w:eastAsia="Arial" w:hAnsi="Arial"/>
                <w:sz w:val="14"/>
                <w:szCs w:val="14"/>
                <w:color w:val="auto"/>
              </w:rPr>
              <w:t>Amount</w:t>
            </w: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Level 1</w:t>
            </w:r>
          </w:p>
        </w:tc>
        <w:tc>
          <w:tcPr>
            <w:tcW w:w="4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color w:val="auto"/>
              </w:rPr>
              <w:t>Level 2</w:t>
            </w: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Level 3</w:t>
            </w: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color w:val="auto"/>
              </w:rPr>
              <w:t>Total</w:t>
            </w:r>
          </w:p>
        </w:tc>
      </w:tr>
      <w:tr>
        <w:trPr>
          <w:trHeight w:val="214"/>
        </w:trPr>
        <w:tc>
          <w:tcPr>
            <w:tcW w:w="4460" w:type="dxa"/>
            <w:vAlign w:val="bottom"/>
          </w:tcPr>
          <w:p>
            <w:pPr>
              <w:spacing w:after="0"/>
              <w:rPr>
                <w:sz w:val="20"/>
                <w:szCs w:val="20"/>
                <w:color w:val="auto"/>
              </w:rPr>
            </w:pPr>
            <w:r>
              <w:rPr>
                <w:rFonts w:ascii="Arial" w:cs="Arial" w:eastAsia="Arial" w:hAnsi="Arial"/>
                <w:sz w:val="16"/>
                <w:szCs w:val="16"/>
                <w:b w:val="1"/>
                <w:bCs w:val="1"/>
                <w:color w:val="auto"/>
              </w:rPr>
              <w:t>Sempra Energy Consolidated:</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3"/>
        </w:trPr>
        <w:tc>
          <w:tcPr>
            <w:tcW w:w="4460" w:type="dxa"/>
            <w:vAlign w:val="bottom"/>
          </w:tcPr>
          <w:p>
            <w:pPr>
              <w:spacing w:after="0"/>
              <w:rPr>
                <w:sz w:val="20"/>
                <w:szCs w:val="20"/>
                <w:color w:val="auto"/>
              </w:rPr>
            </w:pPr>
            <w:r>
              <w:rPr>
                <w:rFonts w:ascii="Arial" w:cs="Arial" w:eastAsia="Arial" w:hAnsi="Arial"/>
                <w:sz w:val="16"/>
                <w:szCs w:val="16"/>
                <w:color w:val="auto"/>
              </w:rPr>
              <w:t>Total long-term debt</w:t>
            </w:r>
            <w:r>
              <w:rPr>
                <w:rFonts w:ascii="Arial" w:cs="Arial" w:eastAsia="Arial" w:hAnsi="Arial"/>
                <w:sz w:val="14"/>
                <w:szCs w:val="14"/>
                <w:color w:val="auto"/>
              </w:rPr>
              <w:t>(1)</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63"/>
              <w:spacing w:after="0"/>
              <w:rPr>
                <w:sz w:val="20"/>
                <w:szCs w:val="20"/>
                <w:color w:val="auto"/>
              </w:rPr>
            </w:pPr>
            <w:r>
              <w:rPr>
                <w:rFonts w:ascii="Arial" w:cs="Arial" w:eastAsia="Arial" w:hAnsi="Arial"/>
                <w:sz w:val="16"/>
                <w:szCs w:val="16"/>
                <w:color w:val="auto"/>
              </w:rPr>
              <w:t>12,346</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ind w:left="620"/>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3"/>
              <w:spacing w:after="0"/>
              <w:rPr>
                <w:sz w:val="20"/>
                <w:szCs w:val="20"/>
                <w:color w:val="auto"/>
              </w:rPr>
            </w:pPr>
            <w:r>
              <w:rPr>
                <w:rFonts w:ascii="Arial" w:cs="Arial" w:eastAsia="Arial" w:hAnsi="Arial"/>
                <w:sz w:val="16"/>
                <w:szCs w:val="16"/>
                <w:color w:val="auto"/>
              </w:rPr>
              <w:t>12,626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ind w:left="680"/>
              <w:spacing w:after="0"/>
              <w:rPr>
                <w:sz w:val="20"/>
                <w:szCs w:val="20"/>
                <w:color w:val="auto"/>
              </w:rPr>
            </w:pPr>
            <w:r>
              <w:rPr>
                <w:rFonts w:ascii="Arial" w:cs="Arial" w:eastAsia="Arial" w:hAnsi="Arial"/>
                <w:sz w:val="16"/>
                <w:szCs w:val="16"/>
                <w:color w:val="auto"/>
              </w:rPr>
              <w:t>873</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13,499</w:t>
            </w:r>
          </w:p>
        </w:tc>
      </w:tr>
      <w:tr>
        <w:trPr>
          <w:trHeight w:val="211"/>
        </w:trPr>
        <w:tc>
          <w:tcPr>
            <w:tcW w:w="4460" w:type="dxa"/>
            <w:vAlign w:val="bottom"/>
            <w:tcBorders>
              <w:bottom w:val="single" w:sz="8" w:color="ACACAC"/>
            </w:tcBorders>
          </w:tcPr>
          <w:p>
            <w:pPr>
              <w:spacing w:after="0"/>
              <w:rPr>
                <w:sz w:val="20"/>
                <w:szCs w:val="20"/>
                <w:color w:val="auto"/>
              </w:rPr>
            </w:pPr>
            <w:r>
              <w:rPr>
                <w:rFonts w:ascii="Arial" w:cs="Arial" w:eastAsia="Arial" w:hAnsi="Arial"/>
                <w:sz w:val="16"/>
                <w:szCs w:val="16"/>
                <w:color w:val="auto"/>
              </w:rPr>
              <w:t>Preferred stock of subsidiary</w:t>
            </w:r>
          </w:p>
        </w:tc>
        <w:tc>
          <w:tcPr>
            <w:tcW w:w="360" w:type="dxa"/>
            <w:vAlign w:val="bottom"/>
            <w:tcBorders>
              <w:bottom w:val="single" w:sz="8" w:color="ACACAC"/>
            </w:tcBorders>
          </w:tcPr>
          <w:p>
            <w:pPr>
              <w:spacing w:after="0"/>
              <w:rPr>
                <w:sz w:val="18"/>
                <w:szCs w:val="18"/>
                <w:color w:val="auto"/>
              </w:rPr>
            </w:pPr>
          </w:p>
        </w:tc>
        <w:tc>
          <w:tcPr>
            <w:tcW w:w="1180" w:type="dxa"/>
            <w:vAlign w:val="bottom"/>
            <w:tcBorders>
              <w:bottom w:val="single" w:sz="8" w:color="ACACAC"/>
            </w:tcBorders>
          </w:tcPr>
          <w:p>
            <w:pPr>
              <w:jc w:val="right"/>
              <w:ind w:right="163"/>
              <w:spacing w:after="0"/>
              <w:rPr>
                <w:sz w:val="20"/>
                <w:szCs w:val="20"/>
                <w:color w:val="auto"/>
              </w:rPr>
            </w:pPr>
            <w:r>
              <w:rPr>
                <w:rFonts w:ascii="Arial" w:cs="Arial" w:eastAsia="Arial" w:hAnsi="Arial"/>
                <w:sz w:val="16"/>
                <w:szCs w:val="16"/>
                <w:color w:val="auto"/>
              </w:rPr>
              <w:t>20</w:t>
            </w:r>
          </w:p>
        </w:tc>
        <w:tc>
          <w:tcPr>
            <w:tcW w:w="380" w:type="dxa"/>
            <w:vAlign w:val="bottom"/>
            <w:tcBorders>
              <w:bottom w:val="single" w:sz="8" w:color="ACACAC"/>
            </w:tcBorders>
          </w:tcPr>
          <w:p>
            <w:pPr>
              <w:spacing w:after="0"/>
              <w:rPr>
                <w:sz w:val="18"/>
                <w:szCs w:val="18"/>
                <w:color w:val="auto"/>
              </w:rPr>
            </w:pPr>
          </w:p>
        </w:tc>
        <w:tc>
          <w:tcPr>
            <w:tcW w:w="860" w:type="dxa"/>
            <w:vAlign w:val="bottom"/>
            <w:tcBorders>
              <w:bottom w:val="single" w:sz="8" w:color="ACACAC"/>
            </w:tcBorders>
          </w:tcPr>
          <w:p>
            <w:pPr>
              <w:ind w:left="62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CACAC"/>
            </w:tcBorders>
          </w:tcPr>
          <w:p>
            <w:pPr>
              <w:spacing w:after="0"/>
              <w:rPr>
                <w:sz w:val="18"/>
                <w:szCs w:val="18"/>
                <w:color w:val="auto"/>
              </w:rPr>
            </w:pPr>
          </w:p>
        </w:tc>
        <w:tc>
          <w:tcPr>
            <w:tcW w:w="1160" w:type="dxa"/>
            <w:vAlign w:val="bottom"/>
            <w:tcBorders>
              <w:bottom w:val="single" w:sz="8" w:color="ACACAC"/>
            </w:tcBorders>
          </w:tcPr>
          <w:p>
            <w:pPr>
              <w:jc w:val="right"/>
              <w:ind w:right="43"/>
              <w:spacing w:after="0"/>
              <w:rPr>
                <w:sz w:val="20"/>
                <w:szCs w:val="20"/>
                <w:color w:val="auto"/>
              </w:rPr>
            </w:pPr>
            <w:r>
              <w:rPr>
                <w:rFonts w:ascii="Arial" w:cs="Arial" w:eastAsia="Arial" w:hAnsi="Arial"/>
                <w:sz w:val="16"/>
                <w:szCs w:val="16"/>
                <w:color w:val="auto"/>
              </w:rPr>
              <w:t>23</w:t>
            </w:r>
          </w:p>
        </w:tc>
        <w:tc>
          <w:tcPr>
            <w:tcW w:w="260" w:type="dxa"/>
            <w:vAlign w:val="bottom"/>
            <w:tcBorders>
              <w:bottom w:val="single" w:sz="8" w:color="ACACAC"/>
            </w:tcBorders>
          </w:tcPr>
          <w:p>
            <w:pPr>
              <w:spacing w:after="0"/>
              <w:rPr>
                <w:sz w:val="18"/>
                <w:szCs w:val="18"/>
                <w:color w:val="auto"/>
              </w:rPr>
            </w:pPr>
          </w:p>
        </w:tc>
        <w:tc>
          <w:tcPr>
            <w:tcW w:w="1080" w:type="dxa"/>
            <w:vAlign w:val="bottom"/>
            <w:tcBorders>
              <w:bottom w:val="single" w:sz="8" w:color="ACACAC"/>
            </w:tcBorders>
          </w:tcPr>
          <w:p>
            <w:pPr>
              <w:ind w:left="6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CACAC"/>
            </w:tcBorders>
          </w:tcPr>
          <w:p>
            <w:pPr>
              <w:spacing w:after="0"/>
              <w:rPr>
                <w:sz w:val="18"/>
                <w:szCs w:val="18"/>
                <w:color w:val="auto"/>
              </w:rPr>
            </w:pPr>
          </w:p>
        </w:tc>
        <w:tc>
          <w:tcPr>
            <w:tcW w:w="90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23</w:t>
            </w:r>
          </w:p>
        </w:tc>
      </w:tr>
      <w:tr>
        <w:trPr>
          <w:trHeight w:val="221"/>
        </w:trPr>
        <w:tc>
          <w:tcPr>
            <w:tcW w:w="446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11"/>
        </w:trPr>
        <w:tc>
          <w:tcPr>
            <w:tcW w:w="4460" w:type="dxa"/>
            <w:vAlign w:val="bottom"/>
            <w:tcBorders>
              <w:bottom w:val="single" w:sz="8" w:color="ACACAC"/>
            </w:tcBorders>
          </w:tcPr>
          <w:p>
            <w:pPr>
              <w:spacing w:after="0"/>
              <w:rPr>
                <w:sz w:val="20"/>
                <w:szCs w:val="20"/>
                <w:color w:val="auto"/>
              </w:rPr>
            </w:pPr>
            <w:r>
              <w:rPr>
                <w:rFonts w:ascii="Arial" w:cs="Arial" w:eastAsia="Arial" w:hAnsi="Arial"/>
                <w:sz w:val="16"/>
                <w:szCs w:val="16"/>
                <w:color w:val="auto"/>
              </w:rPr>
              <w:t>Total long-term debt</w:t>
            </w:r>
            <w:r>
              <w:rPr>
                <w:rFonts w:ascii="Arial" w:cs="Arial" w:eastAsia="Arial" w:hAnsi="Arial"/>
                <w:sz w:val="14"/>
                <w:szCs w:val="14"/>
                <w:color w:val="auto"/>
              </w:rPr>
              <w:t>(2)</w:t>
            </w:r>
          </w:p>
        </w:tc>
        <w:tc>
          <w:tcPr>
            <w:tcW w:w="36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CACAC"/>
            </w:tcBorders>
          </w:tcPr>
          <w:p>
            <w:pPr>
              <w:jc w:val="right"/>
              <w:ind w:right="163"/>
              <w:spacing w:after="0"/>
              <w:rPr>
                <w:sz w:val="20"/>
                <w:szCs w:val="20"/>
                <w:color w:val="auto"/>
              </w:rPr>
            </w:pPr>
            <w:r>
              <w:rPr>
                <w:rFonts w:ascii="Arial" w:cs="Arial" w:eastAsia="Arial" w:hAnsi="Arial"/>
                <w:sz w:val="16"/>
                <w:szCs w:val="16"/>
                <w:color w:val="auto"/>
              </w:rPr>
              <w:t>4,463</w:t>
            </w:r>
          </w:p>
        </w:tc>
        <w:tc>
          <w:tcPr>
            <w:tcW w:w="38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CACAC"/>
            </w:tcBorders>
          </w:tcPr>
          <w:p>
            <w:pPr>
              <w:ind w:left="62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CACAC"/>
            </w:tcBorders>
          </w:tcPr>
          <w:p>
            <w:pPr>
              <w:jc w:val="right"/>
              <w:ind w:right="2"/>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CACAC"/>
            </w:tcBorders>
          </w:tcPr>
          <w:p>
            <w:pPr>
              <w:jc w:val="right"/>
              <w:ind w:right="43"/>
              <w:spacing w:after="0"/>
              <w:rPr>
                <w:sz w:val="20"/>
                <w:szCs w:val="20"/>
                <w:color w:val="auto"/>
              </w:rPr>
            </w:pPr>
            <w:r>
              <w:rPr>
                <w:rFonts w:ascii="Arial" w:cs="Arial" w:eastAsia="Arial" w:hAnsi="Arial"/>
                <w:sz w:val="16"/>
                <w:szCs w:val="16"/>
                <w:color w:val="auto"/>
              </w:rPr>
              <w:t>4,463</w:t>
            </w:r>
          </w:p>
        </w:tc>
        <w:tc>
          <w:tcPr>
            <w:tcW w:w="26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CACAC"/>
            </w:tcBorders>
          </w:tcPr>
          <w:p>
            <w:pPr>
              <w:ind w:left="680"/>
              <w:spacing w:after="0"/>
              <w:rPr>
                <w:sz w:val="20"/>
                <w:szCs w:val="20"/>
                <w:color w:val="auto"/>
              </w:rPr>
            </w:pPr>
            <w:r>
              <w:rPr>
                <w:rFonts w:ascii="Arial" w:cs="Arial" w:eastAsia="Arial" w:hAnsi="Arial"/>
                <w:sz w:val="16"/>
                <w:szCs w:val="16"/>
                <w:color w:val="auto"/>
              </w:rPr>
              <w:t>427</w:t>
            </w:r>
          </w:p>
        </w:tc>
        <w:tc>
          <w:tcPr>
            <w:tcW w:w="30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4,890</w:t>
            </w:r>
          </w:p>
        </w:tc>
      </w:tr>
      <w:tr>
        <w:trPr>
          <w:trHeight w:val="221"/>
        </w:trPr>
        <w:tc>
          <w:tcPr>
            <w:tcW w:w="4460" w:type="dxa"/>
            <w:vAlign w:val="bottom"/>
          </w:tcPr>
          <w:p>
            <w:pPr>
              <w:spacing w:after="0"/>
              <w:rPr>
                <w:sz w:val="20"/>
                <w:szCs w:val="20"/>
                <w:color w:val="auto"/>
              </w:rPr>
            </w:pPr>
            <w:r>
              <w:rPr>
                <w:rFonts w:ascii="Arial" w:cs="Arial" w:eastAsia="Arial" w:hAnsi="Arial"/>
                <w:sz w:val="16"/>
                <w:szCs w:val="16"/>
                <w:b w:val="1"/>
                <w:bCs w:val="1"/>
                <w:color w:val="auto"/>
              </w:rPr>
              <w:t>SoCalGas: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13"/>
        </w:trPr>
        <w:tc>
          <w:tcPr>
            <w:tcW w:w="4460" w:type="dxa"/>
            <w:vAlign w:val="bottom"/>
          </w:tcPr>
          <w:p>
            <w:pPr>
              <w:spacing w:after="0"/>
              <w:rPr>
                <w:sz w:val="20"/>
                <w:szCs w:val="20"/>
                <w:color w:val="auto"/>
              </w:rPr>
            </w:pPr>
            <w:r>
              <w:rPr>
                <w:rFonts w:ascii="Arial" w:cs="Arial" w:eastAsia="Arial" w:hAnsi="Arial"/>
                <w:sz w:val="16"/>
                <w:szCs w:val="16"/>
                <w:color w:val="auto"/>
              </w:rPr>
              <w:t>Total long-term debt</w:t>
            </w:r>
            <w:r>
              <w:rPr>
                <w:rFonts w:ascii="Arial" w:cs="Arial" w:eastAsia="Arial" w:hAnsi="Arial"/>
                <w:sz w:val="14"/>
                <w:szCs w:val="14"/>
                <w:color w:val="auto"/>
              </w:rPr>
              <w:t>(3)</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63"/>
              <w:spacing w:after="0"/>
              <w:rPr>
                <w:sz w:val="20"/>
                <w:szCs w:val="20"/>
                <w:color w:val="auto"/>
              </w:rPr>
            </w:pPr>
            <w:r>
              <w:rPr>
                <w:rFonts w:ascii="Arial" w:cs="Arial" w:eastAsia="Arial" w:hAnsi="Arial"/>
                <w:sz w:val="16"/>
                <w:szCs w:val="16"/>
                <w:color w:val="auto"/>
              </w:rPr>
              <w:t>1,913</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ind w:left="620"/>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3"/>
              <w:spacing w:after="0"/>
              <w:rPr>
                <w:sz w:val="20"/>
                <w:szCs w:val="20"/>
                <w:color w:val="auto"/>
              </w:rPr>
            </w:pPr>
            <w:r>
              <w:rPr>
                <w:rFonts w:ascii="Arial" w:cs="Arial" w:eastAsia="Arial" w:hAnsi="Arial"/>
                <w:sz w:val="16"/>
                <w:szCs w:val="16"/>
                <w:color w:val="auto"/>
              </w:rPr>
              <w:t>2,053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ind w:left="640"/>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2,053</w:t>
            </w:r>
          </w:p>
        </w:tc>
      </w:tr>
      <w:tr>
        <w:trPr>
          <w:trHeight w:val="211"/>
        </w:trPr>
        <w:tc>
          <w:tcPr>
            <w:tcW w:w="4460" w:type="dxa"/>
            <w:vAlign w:val="bottom"/>
            <w:tcBorders>
              <w:bottom w:val="single" w:sz="8" w:color="ACACAC"/>
            </w:tcBorders>
          </w:tcPr>
          <w:p>
            <w:pPr>
              <w:spacing w:after="0"/>
              <w:rPr>
                <w:sz w:val="20"/>
                <w:szCs w:val="20"/>
                <w:color w:val="auto"/>
              </w:rPr>
            </w:pPr>
            <w:r>
              <w:rPr>
                <w:rFonts w:ascii="Arial" w:cs="Arial" w:eastAsia="Arial" w:hAnsi="Arial"/>
                <w:sz w:val="16"/>
                <w:szCs w:val="16"/>
                <w:color w:val="auto"/>
              </w:rPr>
              <w:t>Preferred stock</w:t>
            </w:r>
          </w:p>
        </w:tc>
        <w:tc>
          <w:tcPr>
            <w:tcW w:w="360" w:type="dxa"/>
            <w:vAlign w:val="bottom"/>
            <w:tcBorders>
              <w:bottom w:val="single" w:sz="8" w:color="ACACAC"/>
            </w:tcBorders>
          </w:tcPr>
          <w:p>
            <w:pPr>
              <w:spacing w:after="0"/>
              <w:rPr>
                <w:sz w:val="18"/>
                <w:szCs w:val="18"/>
                <w:color w:val="auto"/>
              </w:rPr>
            </w:pPr>
          </w:p>
        </w:tc>
        <w:tc>
          <w:tcPr>
            <w:tcW w:w="1180" w:type="dxa"/>
            <w:vAlign w:val="bottom"/>
            <w:tcBorders>
              <w:bottom w:val="single" w:sz="8" w:color="ACACAC"/>
            </w:tcBorders>
          </w:tcPr>
          <w:p>
            <w:pPr>
              <w:jc w:val="right"/>
              <w:ind w:right="163"/>
              <w:spacing w:after="0"/>
              <w:rPr>
                <w:sz w:val="20"/>
                <w:szCs w:val="20"/>
                <w:color w:val="auto"/>
              </w:rPr>
            </w:pPr>
            <w:r>
              <w:rPr>
                <w:rFonts w:ascii="Arial" w:cs="Arial" w:eastAsia="Arial" w:hAnsi="Arial"/>
                <w:sz w:val="16"/>
                <w:szCs w:val="16"/>
                <w:color w:val="auto"/>
              </w:rPr>
              <w:t>22</w:t>
            </w:r>
          </w:p>
        </w:tc>
        <w:tc>
          <w:tcPr>
            <w:tcW w:w="380" w:type="dxa"/>
            <w:vAlign w:val="bottom"/>
            <w:tcBorders>
              <w:bottom w:val="single" w:sz="8" w:color="ACACAC"/>
            </w:tcBorders>
          </w:tcPr>
          <w:p>
            <w:pPr>
              <w:spacing w:after="0"/>
              <w:rPr>
                <w:sz w:val="18"/>
                <w:szCs w:val="18"/>
                <w:color w:val="auto"/>
              </w:rPr>
            </w:pPr>
          </w:p>
        </w:tc>
        <w:tc>
          <w:tcPr>
            <w:tcW w:w="860" w:type="dxa"/>
            <w:vAlign w:val="bottom"/>
            <w:tcBorders>
              <w:bottom w:val="single" w:sz="8" w:color="ACACAC"/>
            </w:tcBorders>
          </w:tcPr>
          <w:p>
            <w:pPr>
              <w:ind w:left="62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CACAC"/>
            </w:tcBorders>
          </w:tcPr>
          <w:p>
            <w:pPr>
              <w:spacing w:after="0"/>
              <w:rPr>
                <w:sz w:val="18"/>
                <w:szCs w:val="18"/>
                <w:color w:val="auto"/>
              </w:rPr>
            </w:pPr>
          </w:p>
        </w:tc>
        <w:tc>
          <w:tcPr>
            <w:tcW w:w="1160" w:type="dxa"/>
            <w:vAlign w:val="bottom"/>
            <w:tcBorders>
              <w:bottom w:val="single" w:sz="8" w:color="ACACAC"/>
            </w:tcBorders>
          </w:tcPr>
          <w:p>
            <w:pPr>
              <w:jc w:val="right"/>
              <w:ind w:right="43"/>
              <w:spacing w:after="0"/>
              <w:rPr>
                <w:sz w:val="20"/>
                <w:szCs w:val="20"/>
                <w:color w:val="auto"/>
              </w:rPr>
            </w:pPr>
            <w:r>
              <w:rPr>
                <w:rFonts w:ascii="Arial" w:cs="Arial" w:eastAsia="Arial" w:hAnsi="Arial"/>
                <w:sz w:val="16"/>
                <w:szCs w:val="16"/>
                <w:color w:val="auto"/>
              </w:rPr>
              <w:t>24</w:t>
            </w:r>
          </w:p>
        </w:tc>
        <w:tc>
          <w:tcPr>
            <w:tcW w:w="260" w:type="dxa"/>
            <w:vAlign w:val="bottom"/>
            <w:tcBorders>
              <w:bottom w:val="single" w:sz="8" w:color="ACACAC"/>
            </w:tcBorders>
          </w:tcPr>
          <w:p>
            <w:pPr>
              <w:spacing w:after="0"/>
              <w:rPr>
                <w:sz w:val="18"/>
                <w:szCs w:val="18"/>
                <w:color w:val="auto"/>
              </w:rPr>
            </w:pPr>
          </w:p>
        </w:tc>
        <w:tc>
          <w:tcPr>
            <w:tcW w:w="1080" w:type="dxa"/>
            <w:vAlign w:val="bottom"/>
            <w:tcBorders>
              <w:bottom w:val="single" w:sz="8" w:color="ACACAC"/>
            </w:tcBorders>
          </w:tcPr>
          <w:p>
            <w:pPr>
              <w:ind w:left="6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CACAC"/>
            </w:tcBorders>
          </w:tcPr>
          <w:p>
            <w:pPr>
              <w:spacing w:after="0"/>
              <w:rPr>
                <w:sz w:val="18"/>
                <w:szCs w:val="18"/>
                <w:color w:val="auto"/>
              </w:rPr>
            </w:pPr>
          </w:p>
        </w:tc>
        <w:tc>
          <w:tcPr>
            <w:tcW w:w="90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24</w:t>
            </w:r>
          </w:p>
        </w:tc>
      </w:tr>
      <w:tr>
        <w:trPr>
          <w:trHeight w:val="412"/>
        </w:trPr>
        <w:tc>
          <w:tcPr>
            <w:tcW w:w="44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right"/>
              <w:ind w:right="243"/>
              <w:spacing w:after="0"/>
              <w:rPr>
                <w:sz w:val="20"/>
                <w:szCs w:val="20"/>
                <w:color w:val="auto"/>
              </w:rPr>
            </w:pPr>
            <w:r>
              <w:rPr>
                <w:rFonts w:ascii="Arial" w:cs="Arial" w:eastAsia="Arial" w:hAnsi="Arial"/>
                <w:sz w:val="14"/>
                <w:szCs w:val="14"/>
                <w:color w:val="auto"/>
              </w:rPr>
              <w:t>December 31, 2013</w:t>
            </w: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193"/>
        </w:trPr>
        <w:tc>
          <w:tcPr>
            <w:tcW w:w="4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center"/>
              <w:ind w:right="523"/>
              <w:spacing w:after="0"/>
              <w:rPr>
                <w:sz w:val="20"/>
                <w:szCs w:val="20"/>
                <w:color w:val="auto"/>
              </w:rPr>
            </w:pPr>
            <w:r>
              <w:rPr>
                <w:rFonts w:ascii="Arial" w:cs="Arial" w:eastAsia="Arial" w:hAnsi="Arial"/>
                <w:sz w:val="14"/>
                <w:szCs w:val="14"/>
                <w:color w:val="auto"/>
              </w:rPr>
              <w:t>Carrying</w:t>
            </w: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Fair Value</w:t>
            </w:r>
          </w:p>
        </w:tc>
        <w:tc>
          <w:tcPr>
            <w:tcW w:w="10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206"/>
        </w:trPr>
        <w:tc>
          <w:tcPr>
            <w:tcW w:w="44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523"/>
              <w:spacing w:after="0"/>
              <w:rPr>
                <w:sz w:val="20"/>
                <w:szCs w:val="20"/>
                <w:color w:val="auto"/>
              </w:rPr>
            </w:pPr>
            <w:r>
              <w:rPr>
                <w:rFonts w:ascii="Arial" w:cs="Arial" w:eastAsia="Arial" w:hAnsi="Arial"/>
                <w:sz w:val="14"/>
                <w:szCs w:val="14"/>
                <w:color w:val="auto"/>
              </w:rPr>
              <w:t>Amount</w:t>
            </w: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Level 1</w:t>
            </w:r>
          </w:p>
        </w:tc>
        <w:tc>
          <w:tcPr>
            <w:tcW w:w="4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color w:val="auto"/>
              </w:rPr>
              <w:t>Level 2</w:t>
            </w: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Level 3</w:t>
            </w: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color w:val="auto"/>
              </w:rPr>
              <w:t>Total</w:t>
            </w:r>
          </w:p>
        </w:tc>
      </w:tr>
      <w:tr>
        <w:trPr>
          <w:trHeight w:val="214"/>
        </w:trPr>
        <w:tc>
          <w:tcPr>
            <w:tcW w:w="4460" w:type="dxa"/>
            <w:vAlign w:val="bottom"/>
          </w:tcPr>
          <w:p>
            <w:pPr>
              <w:spacing w:after="0"/>
              <w:rPr>
                <w:sz w:val="20"/>
                <w:szCs w:val="20"/>
                <w:color w:val="auto"/>
              </w:rPr>
            </w:pPr>
            <w:r>
              <w:rPr>
                <w:rFonts w:ascii="Arial" w:cs="Arial" w:eastAsia="Arial" w:hAnsi="Arial"/>
                <w:sz w:val="16"/>
                <w:szCs w:val="16"/>
                <w:b w:val="1"/>
                <w:bCs w:val="1"/>
                <w:color w:val="auto"/>
              </w:rPr>
              <w:t>Sempra Energy Consolidated:</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3"/>
        </w:trPr>
        <w:tc>
          <w:tcPr>
            <w:tcW w:w="4460" w:type="dxa"/>
            <w:vAlign w:val="bottom"/>
          </w:tcPr>
          <w:p>
            <w:pPr>
              <w:spacing w:after="0"/>
              <w:rPr>
                <w:sz w:val="20"/>
                <w:szCs w:val="20"/>
                <w:color w:val="auto"/>
              </w:rPr>
            </w:pPr>
            <w:r>
              <w:rPr>
                <w:rFonts w:ascii="Arial" w:cs="Arial" w:eastAsia="Arial" w:hAnsi="Arial"/>
                <w:sz w:val="16"/>
                <w:szCs w:val="16"/>
                <w:color w:val="auto"/>
              </w:rPr>
              <w:t>Total long-term debt</w:t>
            </w:r>
            <w:r>
              <w:rPr>
                <w:rFonts w:ascii="Arial" w:cs="Arial" w:eastAsia="Arial" w:hAnsi="Arial"/>
                <w:sz w:val="14"/>
                <w:szCs w:val="14"/>
                <w:color w:val="auto"/>
              </w:rPr>
              <w:t>(1)</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63"/>
              <w:spacing w:after="0"/>
              <w:rPr>
                <w:sz w:val="20"/>
                <w:szCs w:val="20"/>
                <w:color w:val="auto"/>
              </w:rPr>
            </w:pPr>
            <w:r>
              <w:rPr>
                <w:rFonts w:ascii="Arial" w:cs="Arial" w:eastAsia="Arial" w:hAnsi="Arial"/>
                <w:sz w:val="16"/>
                <w:szCs w:val="16"/>
                <w:color w:val="auto"/>
              </w:rPr>
              <w:t>12,022</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ind w:left="620"/>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3"/>
              <w:spacing w:after="0"/>
              <w:rPr>
                <w:sz w:val="20"/>
                <w:szCs w:val="20"/>
                <w:color w:val="auto"/>
              </w:rPr>
            </w:pPr>
            <w:r>
              <w:rPr>
                <w:rFonts w:ascii="Arial" w:cs="Arial" w:eastAsia="Arial" w:hAnsi="Arial"/>
                <w:sz w:val="16"/>
                <w:szCs w:val="16"/>
                <w:color w:val="auto"/>
              </w:rPr>
              <w:t>11,925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ind w:left="680"/>
              <w:spacing w:after="0"/>
              <w:rPr>
                <w:sz w:val="20"/>
                <w:szCs w:val="20"/>
                <w:color w:val="auto"/>
              </w:rPr>
            </w:pPr>
            <w:r>
              <w:rPr>
                <w:rFonts w:ascii="Arial" w:cs="Arial" w:eastAsia="Arial" w:hAnsi="Arial"/>
                <w:sz w:val="16"/>
                <w:szCs w:val="16"/>
                <w:color w:val="auto"/>
              </w:rPr>
              <w:t>751</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12,676</w:t>
            </w:r>
          </w:p>
        </w:tc>
      </w:tr>
      <w:tr>
        <w:trPr>
          <w:trHeight w:val="211"/>
        </w:trPr>
        <w:tc>
          <w:tcPr>
            <w:tcW w:w="4460" w:type="dxa"/>
            <w:vAlign w:val="bottom"/>
            <w:tcBorders>
              <w:bottom w:val="single" w:sz="8" w:color="ACACAC"/>
            </w:tcBorders>
          </w:tcPr>
          <w:p>
            <w:pPr>
              <w:spacing w:after="0"/>
              <w:rPr>
                <w:sz w:val="20"/>
                <w:szCs w:val="20"/>
                <w:color w:val="auto"/>
              </w:rPr>
            </w:pPr>
            <w:r>
              <w:rPr>
                <w:rFonts w:ascii="Arial" w:cs="Arial" w:eastAsia="Arial" w:hAnsi="Arial"/>
                <w:sz w:val="16"/>
                <w:szCs w:val="16"/>
                <w:color w:val="auto"/>
              </w:rPr>
              <w:t>Preferred stock of subsidiary</w:t>
            </w:r>
          </w:p>
        </w:tc>
        <w:tc>
          <w:tcPr>
            <w:tcW w:w="360" w:type="dxa"/>
            <w:vAlign w:val="bottom"/>
            <w:tcBorders>
              <w:bottom w:val="single" w:sz="8" w:color="ACACAC"/>
            </w:tcBorders>
          </w:tcPr>
          <w:p>
            <w:pPr>
              <w:spacing w:after="0"/>
              <w:rPr>
                <w:sz w:val="18"/>
                <w:szCs w:val="18"/>
                <w:color w:val="auto"/>
              </w:rPr>
            </w:pPr>
          </w:p>
        </w:tc>
        <w:tc>
          <w:tcPr>
            <w:tcW w:w="1180" w:type="dxa"/>
            <w:vAlign w:val="bottom"/>
            <w:tcBorders>
              <w:bottom w:val="single" w:sz="8" w:color="ACACAC"/>
            </w:tcBorders>
          </w:tcPr>
          <w:p>
            <w:pPr>
              <w:jc w:val="right"/>
              <w:ind w:right="163"/>
              <w:spacing w:after="0"/>
              <w:rPr>
                <w:sz w:val="20"/>
                <w:szCs w:val="20"/>
                <w:color w:val="auto"/>
              </w:rPr>
            </w:pPr>
            <w:r>
              <w:rPr>
                <w:rFonts w:ascii="Arial" w:cs="Arial" w:eastAsia="Arial" w:hAnsi="Arial"/>
                <w:sz w:val="16"/>
                <w:szCs w:val="16"/>
                <w:color w:val="auto"/>
              </w:rPr>
              <w:t>20</w:t>
            </w:r>
          </w:p>
        </w:tc>
        <w:tc>
          <w:tcPr>
            <w:tcW w:w="380" w:type="dxa"/>
            <w:vAlign w:val="bottom"/>
            <w:tcBorders>
              <w:bottom w:val="single" w:sz="8" w:color="ACACAC"/>
            </w:tcBorders>
          </w:tcPr>
          <w:p>
            <w:pPr>
              <w:spacing w:after="0"/>
              <w:rPr>
                <w:sz w:val="18"/>
                <w:szCs w:val="18"/>
                <w:color w:val="auto"/>
              </w:rPr>
            </w:pPr>
          </w:p>
        </w:tc>
        <w:tc>
          <w:tcPr>
            <w:tcW w:w="860" w:type="dxa"/>
            <w:vAlign w:val="bottom"/>
            <w:tcBorders>
              <w:bottom w:val="single" w:sz="8" w:color="ACACAC"/>
            </w:tcBorders>
          </w:tcPr>
          <w:p>
            <w:pPr>
              <w:ind w:left="62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CACAC"/>
            </w:tcBorders>
          </w:tcPr>
          <w:p>
            <w:pPr>
              <w:spacing w:after="0"/>
              <w:rPr>
                <w:sz w:val="18"/>
                <w:szCs w:val="18"/>
                <w:color w:val="auto"/>
              </w:rPr>
            </w:pPr>
          </w:p>
        </w:tc>
        <w:tc>
          <w:tcPr>
            <w:tcW w:w="1160" w:type="dxa"/>
            <w:vAlign w:val="bottom"/>
            <w:tcBorders>
              <w:bottom w:val="single" w:sz="8" w:color="ACACAC"/>
            </w:tcBorders>
          </w:tcPr>
          <w:p>
            <w:pPr>
              <w:jc w:val="right"/>
              <w:ind w:right="43"/>
              <w:spacing w:after="0"/>
              <w:rPr>
                <w:sz w:val="20"/>
                <w:szCs w:val="20"/>
                <w:color w:val="auto"/>
              </w:rPr>
            </w:pPr>
            <w:r>
              <w:rPr>
                <w:rFonts w:ascii="Arial" w:cs="Arial" w:eastAsia="Arial" w:hAnsi="Arial"/>
                <w:sz w:val="16"/>
                <w:szCs w:val="16"/>
                <w:color w:val="auto"/>
              </w:rPr>
              <w:t>20</w:t>
            </w:r>
          </w:p>
        </w:tc>
        <w:tc>
          <w:tcPr>
            <w:tcW w:w="260" w:type="dxa"/>
            <w:vAlign w:val="bottom"/>
            <w:tcBorders>
              <w:bottom w:val="single" w:sz="8" w:color="ACACAC"/>
            </w:tcBorders>
          </w:tcPr>
          <w:p>
            <w:pPr>
              <w:spacing w:after="0"/>
              <w:rPr>
                <w:sz w:val="18"/>
                <w:szCs w:val="18"/>
                <w:color w:val="auto"/>
              </w:rPr>
            </w:pPr>
          </w:p>
        </w:tc>
        <w:tc>
          <w:tcPr>
            <w:tcW w:w="1080" w:type="dxa"/>
            <w:vAlign w:val="bottom"/>
            <w:tcBorders>
              <w:bottom w:val="single" w:sz="8" w:color="ACACAC"/>
            </w:tcBorders>
          </w:tcPr>
          <w:p>
            <w:pPr>
              <w:ind w:left="6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CACAC"/>
            </w:tcBorders>
          </w:tcPr>
          <w:p>
            <w:pPr>
              <w:spacing w:after="0"/>
              <w:rPr>
                <w:sz w:val="18"/>
                <w:szCs w:val="18"/>
                <w:color w:val="auto"/>
              </w:rPr>
            </w:pPr>
          </w:p>
        </w:tc>
        <w:tc>
          <w:tcPr>
            <w:tcW w:w="90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20</w:t>
            </w:r>
          </w:p>
        </w:tc>
      </w:tr>
      <w:tr>
        <w:trPr>
          <w:trHeight w:val="221"/>
        </w:trPr>
        <w:tc>
          <w:tcPr>
            <w:tcW w:w="446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11"/>
        </w:trPr>
        <w:tc>
          <w:tcPr>
            <w:tcW w:w="4460" w:type="dxa"/>
            <w:vAlign w:val="bottom"/>
            <w:tcBorders>
              <w:bottom w:val="single" w:sz="8" w:color="ACACAC"/>
            </w:tcBorders>
          </w:tcPr>
          <w:p>
            <w:pPr>
              <w:spacing w:after="0"/>
              <w:rPr>
                <w:sz w:val="20"/>
                <w:szCs w:val="20"/>
                <w:color w:val="auto"/>
              </w:rPr>
            </w:pPr>
            <w:r>
              <w:rPr>
                <w:rFonts w:ascii="Arial" w:cs="Arial" w:eastAsia="Arial" w:hAnsi="Arial"/>
                <w:sz w:val="16"/>
                <w:szCs w:val="16"/>
                <w:color w:val="auto"/>
              </w:rPr>
              <w:t>Total long-term debt</w:t>
            </w:r>
            <w:r>
              <w:rPr>
                <w:rFonts w:ascii="Arial" w:cs="Arial" w:eastAsia="Arial" w:hAnsi="Arial"/>
                <w:sz w:val="14"/>
                <w:szCs w:val="14"/>
                <w:color w:val="auto"/>
              </w:rPr>
              <w:t>(2)</w:t>
            </w:r>
          </w:p>
        </w:tc>
        <w:tc>
          <w:tcPr>
            <w:tcW w:w="36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CACAC"/>
            </w:tcBorders>
          </w:tcPr>
          <w:p>
            <w:pPr>
              <w:jc w:val="right"/>
              <w:ind w:right="163"/>
              <w:spacing w:after="0"/>
              <w:rPr>
                <w:sz w:val="20"/>
                <w:szCs w:val="20"/>
                <w:color w:val="auto"/>
              </w:rPr>
            </w:pPr>
            <w:r>
              <w:rPr>
                <w:rFonts w:ascii="Arial" w:cs="Arial" w:eastAsia="Arial" w:hAnsi="Arial"/>
                <w:sz w:val="16"/>
                <w:szCs w:val="16"/>
                <w:color w:val="auto"/>
              </w:rPr>
              <w:t>4,386</w:t>
            </w:r>
          </w:p>
        </w:tc>
        <w:tc>
          <w:tcPr>
            <w:tcW w:w="38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CACAC"/>
            </w:tcBorders>
          </w:tcPr>
          <w:p>
            <w:pPr>
              <w:ind w:left="62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CACAC"/>
            </w:tcBorders>
          </w:tcPr>
          <w:p>
            <w:pPr>
              <w:jc w:val="right"/>
              <w:ind w:right="2"/>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CACAC"/>
            </w:tcBorders>
          </w:tcPr>
          <w:p>
            <w:pPr>
              <w:jc w:val="right"/>
              <w:ind w:right="43"/>
              <w:spacing w:after="0"/>
              <w:rPr>
                <w:sz w:val="20"/>
                <w:szCs w:val="20"/>
                <w:color w:val="auto"/>
              </w:rPr>
            </w:pPr>
            <w:r>
              <w:rPr>
                <w:rFonts w:ascii="Arial" w:cs="Arial" w:eastAsia="Arial" w:hAnsi="Arial"/>
                <w:sz w:val="16"/>
                <w:szCs w:val="16"/>
                <w:color w:val="auto"/>
              </w:rPr>
              <w:t>4,226</w:t>
            </w:r>
          </w:p>
        </w:tc>
        <w:tc>
          <w:tcPr>
            <w:tcW w:w="26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CACAC"/>
            </w:tcBorders>
          </w:tcPr>
          <w:p>
            <w:pPr>
              <w:ind w:left="680"/>
              <w:spacing w:after="0"/>
              <w:rPr>
                <w:sz w:val="20"/>
                <w:szCs w:val="20"/>
                <w:color w:val="auto"/>
              </w:rPr>
            </w:pPr>
            <w:r>
              <w:rPr>
                <w:rFonts w:ascii="Arial" w:cs="Arial" w:eastAsia="Arial" w:hAnsi="Arial"/>
                <w:sz w:val="16"/>
                <w:szCs w:val="16"/>
                <w:color w:val="auto"/>
              </w:rPr>
              <w:t>335</w:t>
            </w:r>
          </w:p>
        </w:tc>
        <w:tc>
          <w:tcPr>
            <w:tcW w:w="30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4,561</w:t>
            </w:r>
          </w:p>
        </w:tc>
      </w:tr>
      <w:tr>
        <w:trPr>
          <w:trHeight w:val="221"/>
        </w:trPr>
        <w:tc>
          <w:tcPr>
            <w:tcW w:w="4460" w:type="dxa"/>
            <w:vAlign w:val="bottom"/>
          </w:tcPr>
          <w:p>
            <w:pPr>
              <w:spacing w:after="0"/>
              <w:rPr>
                <w:sz w:val="20"/>
                <w:szCs w:val="20"/>
                <w:color w:val="auto"/>
              </w:rPr>
            </w:pPr>
            <w:r>
              <w:rPr>
                <w:rFonts w:ascii="Arial" w:cs="Arial" w:eastAsia="Arial" w:hAnsi="Arial"/>
                <w:sz w:val="16"/>
                <w:szCs w:val="16"/>
                <w:b w:val="1"/>
                <w:bCs w:val="1"/>
                <w:color w:val="auto"/>
              </w:rPr>
              <w:t>SoCalGas: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13"/>
        </w:trPr>
        <w:tc>
          <w:tcPr>
            <w:tcW w:w="4460" w:type="dxa"/>
            <w:vAlign w:val="bottom"/>
          </w:tcPr>
          <w:p>
            <w:pPr>
              <w:spacing w:after="0"/>
              <w:rPr>
                <w:sz w:val="20"/>
                <w:szCs w:val="20"/>
                <w:color w:val="auto"/>
              </w:rPr>
            </w:pPr>
            <w:r>
              <w:rPr>
                <w:rFonts w:ascii="Arial" w:cs="Arial" w:eastAsia="Arial" w:hAnsi="Arial"/>
                <w:sz w:val="16"/>
                <w:szCs w:val="16"/>
                <w:color w:val="auto"/>
              </w:rPr>
              <w:t>Total long-term debt</w:t>
            </w:r>
            <w:r>
              <w:rPr>
                <w:rFonts w:ascii="Arial" w:cs="Arial" w:eastAsia="Arial" w:hAnsi="Arial"/>
                <w:sz w:val="14"/>
                <w:szCs w:val="14"/>
                <w:color w:val="auto"/>
              </w:rPr>
              <w:t>(3)</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63"/>
              <w:spacing w:after="0"/>
              <w:rPr>
                <w:sz w:val="20"/>
                <w:szCs w:val="20"/>
                <w:color w:val="auto"/>
              </w:rPr>
            </w:pPr>
            <w:r>
              <w:rPr>
                <w:rFonts w:ascii="Arial" w:cs="Arial" w:eastAsia="Arial" w:hAnsi="Arial"/>
                <w:sz w:val="16"/>
                <w:szCs w:val="16"/>
                <w:color w:val="auto"/>
              </w:rPr>
              <w:t>1,413</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ind w:left="620"/>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3"/>
              <w:spacing w:after="0"/>
              <w:rPr>
                <w:sz w:val="20"/>
                <w:szCs w:val="20"/>
                <w:color w:val="auto"/>
              </w:rPr>
            </w:pPr>
            <w:r>
              <w:rPr>
                <w:rFonts w:ascii="Arial" w:cs="Arial" w:eastAsia="Arial" w:hAnsi="Arial"/>
                <w:sz w:val="16"/>
                <w:szCs w:val="16"/>
                <w:color w:val="auto"/>
              </w:rPr>
              <w:t>1,469</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ind w:left="640"/>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1,469</w:t>
            </w:r>
          </w:p>
        </w:tc>
      </w:tr>
      <w:tr>
        <w:trPr>
          <w:trHeight w:val="213"/>
        </w:trPr>
        <w:tc>
          <w:tcPr>
            <w:tcW w:w="4460" w:type="dxa"/>
            <w:vAlign w:val="bottom"/>
          </w:tcPr>
          <w:p>
            <w:pPr>
              <w:spacing w:after="0"/>
              <w:rPr>
                <w:sz w:val="20"/>
                <w:szCs w:val="20"/>
                <w:color w:val="auto"/>
              </w:rPr>
            </w:pPr>
            <w:r>
              <w:rPr>
                <w:rFonts w:ascii="Arial" w:cs="Arial" w:eastAsia="Arial" w:hAnsi="Arial"/>
                <w:sz w:val="16"/>
                <w:szCs w:val="16"/>
                <w:color w:val="auto"/>
              </w:rPr>
              <w:t>Preferred stock</w:t>
            </w:r>
          </w:p>
        </w:tc>
        <w:tc>
          <w:tcPr>
            <w:tcW w:w="360" w:type="dxa"/>
            <w:vAlign w:val="bottom"/>
          </w:tcPr>
          <w:p>
            <w:pPr>
              <w:spacing w:after="0"/>
              <w:rPr>
                <w:sz w:val="18"/>
                <w:szCs w:val="18"/>
                <w:color w:val="auto"/>
              </w:rPr>
            </w:pPr>
          </w:p>
        </w:tc>
        <w:tc>
          <w:tcPr>
            <w:tcW w:w="1180" w:type="dxa"/>
            <w:vAlign w:val="bottom"/>
          </w:tcPr>
          <w:p>
            <w:pPr>
              <w:jc w:val="right"/>
              <w:ind w:right="163"/>
              <w:spacing w:after="0"/>
              <w:rPr>
                <w:sz w:val="20"/>
                <w:szCs w:val="20"/>
                <w:color w:val="auto"/>
              </w:rPr>
            </w:pPr>
            <w:r>
              <w:rPr>
                <w:rFonts w:ascii="Arial" w:cs="Arial" w:eastAsia="Arial" w:hAnsi="Arial"/>
                <w:sz w:val="16"/>
                <w:szCs w:val="16"/>
                <w:color w:val="auto"/>
              </w:rPr>
              <w:t>22</w:t>
            </w:r>
          </w:p>
        </w:tc>
        <w:tc>
          <w:tcPr>
            <w:tcW w:w="380" w:type="dxa"/>
            <w:vAlign w:val="bottom"/>
          </w:tcPr>
          <w:p>
            <w:pPr>
              <w:spacing w:after="0"/>
              <w:rPr>
                <w:sz w:val="18"/>
                <w:szCs w:val="18"/>
                <w:color w:val="auto"/>
              </w:rPr>
            </w:pPr>
          </w:p>
        </w:tc>
        <w:tc>
          <w:tcPr>
            <w:tcW w:w="860" w:type="dxa"/>
            <w:vAlign w:val="bottom"/>
          </w:tcPr>
          <w:p>
            <w:pPr>
              <w:ind w:left="6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1160" w:type="dxa"/>
            <w:vAlign w:val="bottom"/>
          </w:tcPr>
          <w:p>
            <w:pPr>
              <w:jc w:val="right"/>
              <w:ind w:right="43"/>
              <w:spacing w:after="0"/>
              <w:rPr>
                <w:sz w:val="20"/>
                <w:szCs w:val="20"/>
                <w:color w:val="auto"/>
              </w:rPr>
            </w:pPr>
            <w:r>
              <w:rPr>
                <w:rFonts w:ascii="Arial" w:cs="Arial" w:eastAsia="Arial" w:hAnsi="Arial"/>
                <w:sz w:val="16"/>
                <w:szCs w:val="16"/>
                <w:color w:val="auto"/>
              </w:rPr>
              <w:t>22</w:t>
            </w:r>
          </w:p>
        </w:tc>
        <w:tc>
          <w:tcPr>
            <w:tcW w:w="260" w:type="dxa"/>
            <w:vAlign w:val="bottom"/>
          </w:tcPr>
          <w:p>
            <w:pPr>
              <w:spacing w:after="0"/>
              <w:rPr>
                <w:sz w:val="18"/>
                <w:szCs w:val="18"/>
                <w:color w:val="auto"/>
              </w:rPr>
            </w:pPr>
          </w:p>
        </w:tc>
        <w:tc>
          <w:tcPr>
            <w:tcW w:w="1080" w:type="dxa"/>
            <w:vAlign w:val="bottom"/>
          </w:tcPr>
          <w:p>
            <w:pPr>
              <w:ind w:left="6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724852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8525" cy="17145"/>
                    </a:xfrm>
                    <a:prstGeom prst="rect">
                      <a:avLst/>
                    </a:prstGeom>
                    <a:noFill/>
                  </pic:spPr>
                </pic:pic>
              </a:graphicData>
            </a:graphic>
          </wp:anchor>
        </w:drawing>
      </w:r>
    </w:p>
    <w:p>
      <w:pPr>
        <w:ind w:left="600" w:right="120" w:hanging="594"/>
        <w:spacing w:after="0" w:line="242" w:lineRule="auto"/>
        <w:tabs>
          <w:tab w:leader="none" w:pos="600" w:val="left"/>
        </w:tabs>
        <w:numPr>
          <w:ilvl w:val="0"/>
          <w:numId w:val="44"/>
        </w:numPr>
        <w:rPr>
          <w:rFonts w:ascii="Arial" w:cs="Arial" w:eastAsia="Arial" w:hAnsi="Arial"/>
          <w:sz w:val="14"/>
          <w:szCs w:val="14"/>
          <w:i w:val="1"/>
          <w:iCs w:val="1"/>
          <w:color w:val="auto"/>
        </w:rPr>
      </w:pPr>
      <w:r>
        <w:rPr>
          <w:rFonts w:ascii="Arial" w:cs="Arial" w:eastAsia="Arial" w:hAnsi="Arial"/>
          <w:sz w:val="14"/>
          <w:szCs w:val="14"/>
          <w:i w:val="1"/>
          <w:iCs w:val="1"/>
          <w:color w:val="auto"/>
        </w:rPr>
        <w:t>Before reductions for unamortized discount (net of premium) of $21 million and $17 million at September 30, 2014 and December 31, 2013, respectively, and excluding build-to-suit and capital leases of $300 million and $195 million at September 30, 2014 and December 31, 2013, respectively, and commercial paper classified as long-term debt of $200 million at December 31, 2013. We discuss our long-term debt in Note 6 above and in Note 5 of the Notes to Consolidated Financial Statements in the Annual Report.</w:t>
      </w:r>
    </w:p>
    <w:p>
      <w:pPr>
        <w:spacing w:after="0" w:line="2" w:lineRule="exact"/>
        <w:rPr>
          <w:rFonts w:ascii="Arial" w:cs="Arial" w:eastAsia="Arial" w:hAnsi="Arial"/>
          <w:sz w:val="14"/>
          <w:szCs w:val="14"/>
          <w:i w:val="1"/>
          <w:iCs w:val="1"/>
          <w:color w:val="auto"/>
        </w:rPr>
      </w:pPr>
    </w:p>
    <w:p>
      <w:pPr>
        <w:ind w:left="600" w:right="40" w:hanging="594"/>
        <w:spacing w:after="0" w:line="237" w:lineRule="auto"/>
        <w:tabs>
          <w:tab w:leader="none" w:pos="600" w:val="left"/>
        </w:tabs>
        <w:numPr>
          <w:ilvl w:val="0"/>
          <w:numId w:val="44"/>
        </w:numPr>
        <w:rPr>
          <w:rFonts w:ascii="Arial" w:cs="Arial" w:eastAsia="Arial" w:hAnsi="Arial"/>
          <w:sz w:val="14"/>
          <w:szCs w:val="14"/>
          <w:i w:val="1"/>
          <w:iCs w:val="1"/>
          <w:color w:val="auto"/>
        </w:rPr>
      </w:pPr>
      <w:r>
        <w:rPr>
          <w:rFonts w:ascii="Arial" w:cs="Arial" w:eastAsia="Arial" w:hAnsi="Arial"/>
          <w:sz w:val="14"/>
          <w:szCs w:val="14"/>
          <w:i w:val="1"/>
          <w:iCs w:val="1"/>
          <w:color w:val="auto"/>
        </w:rPr>
        <w:t>Before reductions for unamortized discount of $10 million and $11 million at September 30, 2014 and December 31, 2013, respectively, and excluding capital leases of $235 million and $179 million at September 30, 2014 and December 31, 2013, respectively.</w:t>
      </w:r>
    </w:p>
    <w:p>
      <w:pPr>
        <w:ind w:left="600" w:right="360" w:hanging="594"/>
        <w:spacing w:after="0" w:line="251" w:lineRule="auto"/>
        <w:tabs>
          <w:tab w:leader="none" w:pos="600" w:val="left"/>
        </w:tabs>
        <w:numPr>
          <w:ilvl w:val="0"/>
          <w:numId w:val="44"/>
        </w:numPr>
        <w:rPr>
          <w:rFonts w:ascii="Arial" w:cs="Arial" w:eastAsia="Arial" w:hAnsi="Arial"/>
          <w:sz w:val="14"/>
          <w:szCs w:val="14"/>
          <w:i w:val="1"/>
          <w:iCs w:val="1"/>
          <w:color w:val="auto"/>
        </w:rPr>
      </w:pPr>
      <w:r>
        <w:rPr>
          <w:rFonts w:ascii="Arial" w:cs="Arial" w:eastAsia="Arial" w:hAnsi="Arial"/>
          <w:sz w:val="14"/>
          <w:szCs w:val="14"/>
          <w:i w:val="1"/>
          <w:iCs w:val="1"/>
          <w:color w:val="auto"/>
        </w:rPr>
        <w:t>Before reductions for unamortized discount of $7 million and $4 million at September 30, 2014 and December 31, 2013, respectively, and excluding capital leases of $2 million at December 31, 2013.</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We base the fair value of certain long-term debt and preferred stock on a market approach using quoted market prices for identical or similar securities in thinly-traded markets (Level 2). We value other long-term debt using an income approach based on the present value of estimated future cash flows discounted at rates available for similar securities (Level 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provide the fair values for the securities held in the nuclear decommissioning trust funds related to SONGS in Note 9 below.</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Non-Recurring Fair Value Measures – Sempra Energy Consolidated</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Energía Sierra Juárez</w:t>
      </w:r>
    </w:p>
    <w:p>
      <w:pPr>
        <w:spacing w:after="0" w:line="21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 July 2014, Sempra Mexico completed the sale of a 50-percent interest in the 155-MW first phase of its Energía Sierra Juárez wind project to a wholly owned subsidiary of InterGen N.V. for cash proceeds of $24 million, net of $2 million cash sold, as discussed in Note 3 above. Sempra Mexico recognized a pretax gain on the sale of $19 million ($14 million after-tax). Upon deconsolidation, our equity method investment in Energía Sierra Juárez was measured at fair value, which resulted in a $7 million after-tax gain attributable to a remeasurement of the retained investment to fair value. The fair value measurement was based on the cash sales price of $26 million paid by InterGen N.V., a nonrelated party and market participant. Use of this market participant input as the indicator of fair value is a Level 2 measurement in the fair value hierarchy.</w:t>
      </w:r>
    </w:p>
    <w:p>
      <w:pPr>
        <w:spacing w:after="0" w:line="200" w:lineRule="exact"/>
        <w:rPr>
          <w:sz w:val="20"/>
          <w:szCs w:val="20"/>
          <w:color w:val="auto"/>
        </w:rPr>
      </w:pPr>
    </w:p>
    <w:p>
      <w:pPr>
        <w:spacing w:after="0" w:line="212" w:lineRule="exact"/>
        <w:rPr>
          <w:sz w:val="20"/>
          <w:szCs w:val="20"/>
          <w:color w:val="auto"/>
        </w:rPr>
      </w:pPr>
    </w:p>
    <w:p>
      <w:pPr>
        <w:ind w:right="5220"/>
        <w:spacing w:after="0" w:line="254" w:lineRule="auto"/>
        <w:rPr>
          <w:sz w:val="20"/>
          <w:szCs w:val="20"/>
          <w:color w:val="auto"/>
        </w:rPr>
      </w:pPr>
      <w:r>
        <w:rPr>
          <w:rFonts w:ascii="Arial" w:cs="Arial" w:eastAsia="Arial" w:hAnsi="Arial"/>
          <w:sz w:val="16"/>
          <w:szCs w:val="16"/>
          <w:b w:val="1"/>
          <w:bCs w:val="1"/>
          <w:color w:val="auto"/>
        </w:rPr>
        <w:t xml:space="preserve">NON-RECURRING FAIR VALUE MEASURES – SEMPRA ENERGY CONSOLIDATED </w:t>
      </w: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-234950</wp:posOffset>
            </wp:positionV>
            <wp:extent cx="7248525" cy="2197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8525" cy="219710"/>
                    </a:xfrm>
                    <a:prstGeom prst="rect">
                      <a:avLst/>
                    </a:prstGeom>
                    <a:noFill/>
                  </pic:spPr>
                </pic:pic>
              </a:graphicData>
            </a:graphic>
          </wp:anchor>
        </w:drawing>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jc w:val="center"/>
              <w:ind w:right="89"/>
              <w:spacing w:after="0"/>
              <w:rPr>
                <w:sz w:val="20"/>
                <w:szCs w:val="20"/>
                <w:color w:val="auto"/>
              </w:rPr>
            </w:pPr>
            <w:r>
              <w:rPr>
                <w:rFonts w:ascii="Arial" w:cs="Arial" w:eastAsia="Arial" w:hAnsi="Arial"/>
                <w:sz w:val="14"/>
                <w:szCs w:val="14"/>
                <w:color w:val="auto"/>
              </w:rPr>
              <w:t>Estimated</w:t>
            </w:r>
          </w:p>
        </w:tc>
        <w:tc>
          <w:tcPr>
            <w:tcW w:w="1760" w:type="dxa"/>
            <w:vAlign w:val="bottom"/>
          </w:tcPr>
          <w:p>
            <w:pPr>
              <w:spacing w:after="0"/>
              <w:rPr>
                <w:sz w:val="14"/>
                <w:szCs w:val="14"/>
                <w:color w:val="auto"/>
              </w:rPr>
            </w:pPr>
          </w:p>
        </w:tc>
        <w:tc>
          <w:tcPr>
            <w:tcW w:w="1060" w:type="dxa"/>
            <w:vAlign w:val="bottom"/>
          </w:tcPr>
          <w:p>
            <w:pPr>
              <w:jc w:val="center"/>
              <w:ind w:left="9"/>
              <w:spacing w:after="0"/>
              <w:rPr>
                <w:sz w:val="20"/>
                <w:szCs w:val="20"/>
                <w:color w:val="auto"/>
              </w:rPr>
            </w:pPr>
            <w:r>
              <w:rPr>
                <w:rFonts w:ascii="Arial" w:cs="Arial" w:eastAsia="Arial" w:hAnsi="Arial"/>
                <w:sz w:val="14"/>
                <w:szCs w:val="14"/>
                <w:color w:val="auto"/>
              </w:rPr>
              <w:t>Fair</w:t>
            </w:r>
          </w:p>
        </w:tc>
        <w:tc>
          <w:tcPr>
            <w:tcW w:w="15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13"/>
        </w:trPr>
        <w:tc>
          <w:tcPr>
            <w:tcW w:w="1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jc w:val="center"/>
              <w:ind w:right="89"/>
              <w:spacing w:after="0"/>
              <w:rPr>
                <w:sz w:val="20"/>
                <w:szCs w:val="20"/>
                <w:color w:val="auto"/>
              </w:rPr>
            </w:pPr>
            <w:r>
              <w:rPr>
                <w:rFonts w:ascii="Arial" w:cs="Arial" w:eastAsia="Arial" w:hAnsi="Arial"/>
                <w:sz w:val="14"/>
                <w:szCs w:val="14"/>
                <w:color w:val="auto"/>
                <w:w w:val="99"/>
              </w:rPr>
              <w:t>Fair</w:t>
            </w:r>
          </w:p>
        </w:tc>
        <w:tc>
          <w:tcPr>
            <w:tcW w:w="1760" w:type="dxa"/>
            <w:vAlign w:val="bottom"/>
          </w:tcPr>
          <w:p>
            <w:pPr>
              <w:spacing w:after="0"/>
              <w:rPr>
                <w:sz w:val="18"/>
                <w:szCs w:val="18"/>
                <w:color w:val="auto"/>
              </w:rPr>
            </w:pPr>
          </w:p>
        </w:tc>
        <w:tc>
          <w:tcPr>
            <w:tcW w:w="1060" w:type="dxa"/>
            <w:vAlign w:val="bottom"/>
          </w:tcPr>
          <w:p>
            <w:pPr>
              <w:jc w:val="center"/>
              <w:ind w:left="9"/>
              <w:spacing w:after="0"/>
              <w:rPr>
                <w:sz w:val="20"/>
                <w:szCs w:val="20"/>
                <w:color w:val="auto"/>
              </w:rPr>
            </w:pPr>
            <w:r>
              <w:rPr>
                <w:rFonts w:ascii="Arial" w:cs="Arial" w:eastAsia="Arial" w:hAnsi="Arial"/>
                <w:sz w:val="14"/>
                <w:szCs w:val="14"/>
                <w:color w:val="auto"/>
                <w:w w:val="94"/>
              </w:rPr>
              <w:t>Value</w:t>
            </w:r>
          </w:p>
        </w:tc>
        <w:tc>
          <w:tcPr>
            <w:tcW w:w="1520" w:type="dxa"/>
            <w:vAlign w:val="bottom"/>
          </w:tcPr>
          <w:p>
            <w:pPr>
              <w:jc w:val="center"/>
              <w:ind w:right="89"/>
              <w:spacing w:after="0"/>
              <w:rPr>
                <w:sz w:val="20"/>
                <w:szCs w:val="20"/>
                <w:color w:val="auto"/>
              </w:rPr>
            </w:pPr>
            <w:r>
              <w:rPr>
                <w:rFonts w:ascii="Arial" w:cs="Arial" w:eastAsia="Arial" w:hAnsi="Arial"/>
                <w:sz w:val="14"/>
                <w:szCs w:val="14"/>
                <w:color w:val="auto"/>
              </w:rPr>
              <w:t>% of Fair Value</w:t>
            </w:r>
          </w:p>
        </w:tc>
        <w:tc>
          <w:tcPr>
            <w:tcW w:w="3140" w:type="dxa"/>
            <w:vAlign w:val="bottom"/>
          </w:tcPr>
          <w:p>
            <w:pPr>
              <w:spacing w:after="0"/>
              <w:rPr>
                <w:sz w:val="18"/>
                <w:szCs w:val="18"/>
                <w:color w:val="auto"/>
              </w:rPr>
            </w:pPr>
          </w:p>
        </w:tc>
        <w:tc>
          <w:tcPr>
            <w:tcW w:w="1140" w:type="dxa"/>
            <w:vAlign w:val="bottom"/>
          </w:tcPr>
          <w:p>
            <w:pPr>
              <w:jc w:val="center"/>
              <w:ind w:left="89"/>
              <w:spacing w:after="0"/>
              <w:rPr>
                <w:sz w:val="20"/>
                <w:szCs w:val="20"/>
                <w:color w:val="auto"/>
              </w:rPr>
            </w:pPr>
            <w:r>
              <w:rPr>
                <w:rFonts w:ascii="Arial" w:cs="Arial" w:eastAsia="Arial" w:hAnsi="Arial"/>
                <w:sz w:val="14"/>
                <w:szCs w:val="14"/>
                <w:color w:val="auto"/>
              </w:rPr>
              <w:t>Range of</w:t>
            </w:r>
          </w:p>
        </w:tc>
      </w:tr>
      <w:tr>
        <w:trPr>
          <w:trHeight w:val="197"/>
        </w:trPr>
        <w:tc>
          <w:tcPr>
            <w:tcW w:w="13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color w:val="auto"/>
              </w:rPr>
              <w:t>Value</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Valuation Technique</w:t>
            </w:r>
          </w:p>
        </w:tc>
        <w:tc>
          <w:tcPr>
            <w:tcW w:w="1060" w:type="dxa"/>
            <w:vAlign w:val="bottom"/>
            <w:tcBorders>
              <w:bottom w:val="single" w:sz="8" w:color="auto"/>
            </w:tcBorders>
          </w:tcPr>
          <w:p>
            <w:pPr>
              <w:jc w:val="center"/>
              <w:ind w:left="9"/>
              <w:spacing w:after="0"/>
              <w:rPr>
                <w:sz w:val="20"/>
                <w:szCs w:val="20"/>
                <w:color w:val="auto"/>
              </w:rPr>
            </w:pPr>
            <w:r>
              <w:rPr>
                <w:rFonts w:ascii="Arial" w:cs="Arial" w:eastAsia="Arial" w:hAnsi="Arial"/>
                <w:sz w:val="14"/>
                <w:szCs w:val="14"/>
                <w:color w:val="auto"/>
              </w:rPr>
              <w:t>Hierarchy</w:t>
            </w:r>
          </w:p>
        </w:tc>
        <w:tc>
          <w:tcPr>
            <w:tcW w:w="152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color w:val="auto"/>
              </w:rPr>
              <w:t>Measurement</w:t>
            </w:r>
          </w:p>
        </w:tc>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Inputs Used to Develop Measurement</w:t>
            </w:r>
          </w:p>
        </w:tc>
        <w:tc>
          <w:tcPr>
            <w:tcW w:w="1140" w:type="dxa"/>
            <w:vAlign w:val="bottom"/>
            <w:tcBorders>
              <w:bottom w:val="single" w:sz="8" w:color="auto"/>
            </w:tcBorders>
          </w:tcPr>
          <w:p>
            <w:pPr>
              <w:jc w:val="center"/>
              <w:ind w:left="89"/>
              <w:spacing w:after="0"/>
              <w:rPr>
                <w:sz w:val="20"/>
                <w:szCs w:val="20"/>
                <w:color w:val="auto"/>
              </w:rPr>
            </w:pPr>
            <w:r>
              <w:rPr>
                <w:rFonts w:ascii="Arial" w:cs="Arial" w:eastAsia="Arial" w:hAnsi="Arial"/>
                <w:sz w:val="14"/>
                <w:szCs w:val="14"/>
                <w:color w:val="auto"/>
                <w:w w:val="99"/>
              </w:rPr>
              <w:t>Inputs</w:t>
            </w:r>
          </w:p>
        </w:tc>
      </w:tr>
      <w:tr>
        <w:trPr>
          <w:trHeight w:val="221"/>
        </w:trPr>
        <w:tc>
          <w:tcPr>
            <w:tcW w:w="1300" w:type="dxa"/>
            <w:vAlign w:val="bottom"/>
          </w:tcPr>
          <w:p>
            <w:pPr>
              <w:spacing w:after="0"/>
              <w:rPr>
                <w:sz w:val="20"/>
                <w:szCs w:val="20"/>
                <w:color w:val="auto"/>
              </w:rPr>
            </w:pPr>
            <w:r>
              <w:rPr>
                <w:rFonts w:ascii="Arial" w:cs="Arial" w:eastAsia="Arial" w:hAnsi="Arial"/>
                <w:sz w:val="14"/>
                <w:szCs w:val="14"/>
                <w:color w:val="auto"/>
              </w:rPr>
              <w:t>Investment in</w:t>
            </w: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02"/>
        </w:trPr>
        <w:tc>
          <w:tcPr>
            <w:tcW w:w="1300" w:type="dxa"/>
            <w:vAlign w:val="bottom"/>
          </w:tcPr>
          <w:p>
            <w:pPr>
              <w:spacing w:after="0"/>
              <w:rPr>
                <w:sz w:val="20"/>
                <w:szCs w:val="20"/>
                <w:color w:val="auto"/>
              </w:rPr>
            </w:pPr>
            <w:r>
              <w:rPr>
                <w:rFonts w:ascii="Arial" w:cs="Arial" w:eastAsia="Arial" w:hAnsi="Arial"/>
                <w:sz w:val="14"/>
                <w:szCs w:val="14"/>
                <w:color w:val="auto"/>
              </w:rPr>
              <w:t>Energía Sierra</w:t>
            </w: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70"/>
        </w:trPr>
        <w:tc>
          <w:tcPr>
            <w:tcW w:w="1300" w:type="dxa"/>
            <w:vAlign w:val="bottom"/>
          </w:tcPr>
          <w:p>
            <w:pPr>
              <w:spacing w:after="0"/>
              <w:rPr>
                <w:sz w:val="20"/>
                <w:szCs w:val="20"/>
                <w:color w:val="auto"/>
              </w:rPr>
            </w:pPr>
            <w:r>
              <w:rPr>
                <w:rFonts w:ascii="Arial" w:cs="Arial" w:eastAsia="Arial" w:hAnsi="Arial"/>
                <w:sz w:val="14"/>
                <w:szCs w:val="14"/>
                <w:color w:val="auto"/>
              </w:rPr>
              <w:t>Juárez</w:t>
            </w:r>
          </w:p>
        </w:tc>
        <w:tc>
          <w:tcPr>
            <w:tcW w:w="5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960" w:type="dxa"/>
            <w:vAlign w:val="bottom"/>
          </w:tcPr>
          <w:p>
            <w:pPr>
              <w:jc w:val="center"/>
              <w:ind w:right="89"/>
              <w:spacing w:after="0"/>
              <w:rPr>
                <w:sz w:val="20"/>
                <w:szCs w:val="20"/>
                <w:color w:val="auto"/>
              </w:rPr>
            </w:pPr>
            <w:r>
              <w:rPr>
                <w:rFonts w:ascii="Arial" w:cs="Arial" w:eastAsia="Arial" w:hAnsi="Arial"/>
                <w:sz w:val="14"/>
                <w:szCs w:val="14"/>
                <w:color w:val="auto"/>
                <w:w w:val="97"/>
              </w:rPr>
              <w:t>26(1)</w:t>
            </w:r>
          </w:p>
        </w:tc>
        <w:tc>
          <w:tcPr>
            <w:tcW w:w="1760" w:type="dxa"/>
            <w:vAlign w:val="bottom"/>
          </w:tcPr>
          <w:p>
            <w:pPr>
              <w:jc w:val="center"/>
              <w:spacing w:after="0"/>
              <w:rPr>
                <w:sz w:val="20"/>
                <w:szCs w:val="20"/>
                <w:color w:val="auto"/>
              </w:rPr>
            </w:pPr>
            <w:r>
              <w:rPr>
                <w:rFonts w:ascii="Arial" w:cs="Arial" w:eastAsia="Arial" w:hAnsi="Arial"/>
                <w:sz w:val="14"/>
                <w:szCs w:val="14"/>
                <w:color w:val="auto"/>
              </w:rPr>
              <w:t>Market approach</w:t>
            </w:r>
          </w:p>
        </w:tc>
        <w:tc>
          <w:tcPr>
            <w:tcW w:w="1060" w:type="dxa"/>
            <w:vAlign w:val="bottom"/>
          </w:tcPr>
          <w:p>
            <w:pPr>
              <w:jc w:val="center"/>
              <w:ind w:left="9"/>
              <w:spacing w:after="0"/>
              <w:rPr>
                <w:sz w:val="20"/>
                <w:szCs w:val="20"/>
                <w:color w:val="auto"/>
              </w:rPr>
            </w:pPr>
            <w:r>
              <w:rPr>
                <w:rFonts w:ascii="Arial" w:cs="Arial" w:eastAsia="Arial" w:hAnsi="Arial"/>
                <w:sz w:val="14"/>
                <w:szCs w:val="14"/>
                <w:color w:val="auto"/>
              </w:rPr>
              <w:t>Level 2</w:t>
            </w:r>
          </w:p>
        </w:tc>
        <w:tc>
          <w:tcPr>
            <w:tcW w:w="1520" w:type="dxa"/>
            <w:vAlign w:val="bottom"/>
          </w:tcPr>
          <w:p>
            <w:pPr>
              <w:jc w:val="center"/>
              <w:ind w:right="89"/>
              <w:spacing w:after="0"/>
              <w:rPr>
                <w:sz w:val="20"/>
                <w:szCs w:val="20"/>
                <w:color w:val="auto"/>
              </w:rPr>
            </w:pPr>
            <w:r>
              <w:rPr>
                <w:rFonts w:ascii="Arial" w:cs="Arial" w:eastAsia="Arial" w:hAnsi="Arial"/>
                <w:sz w:val="14"/>
                <w:szCs w:val="14"/>
                <w:color w:val="auto"/>
              </w:rPr>
              <w:t>100%</w:t>
            </w:r>
          </w:p>
        </w:tc>
        <w:tc>
          <w:tcPr>
            <w:tcW w:w="3140" w:type="dxa"/>
            <w:vAlign w:val="bottom"/>
          </w:tcPr>
          <w:p>
            <w:pPr>
              <w:jc w:val="center"/>
              <w:spacing w:after="0"/>
              <w:rPr>
                <w:sz w:val="20"/>
                <w:szCs w:val="20"/>
                <w:color w:val="auto"/>
              </w:rPr>
            </w:pPr>
            <w:r>
              <w:rPr>
                <w:rFonts w:ascii="Arial" w:cs="Arial" w:eastAsia="Arial" w:hAnsi="Arial"/>
                <w:sz w:val="14"/>
                <w:szCs w:val="14"/>
                <w:color w:val="auto"/>
              </w:rPr>
              <w:t>Equity sale offer price</w:t>
            </w:r>
          </w:p>
        </w:tc>
        <w:tc>
          <w:tcPr>
            <w:tcW w:w="1140" w:type="dxa"/>
            <w:vAlign w:val="bottom"/>
          </w:tcPr>
          <w:p>
            <w:pPr>
              <w:jc w:val="center"/>
              <w:ind w:left="89"/>
              <w:spacing w:after="0"/>
              <w:rPr>
                <w:sz w:val="20"/>
                <w:szCs w:val="20"/>
                <w:color w:val="auto"/>
              </w:rPr>
            </w:pPr>
            <w:r>
              <w:rPr>
                <w:rFonts w:ascii="Arial" w:cs="Arial" w:eastAsia="Arial" w:hAnsi="Arial"/>
                <w:sz w:val="14"/>
                <w:szCs w:val="14"/>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72485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ind w:left="560" w:hanging="554"/>
        <w:spacing w:after="0"/>
        <w:tabs>
          <w:tab w:leader="none" w:pos="560" w:val="left"/>
        </w:tabs>
        <w:numPr>
          <w:ilvl w:val="0"/>
          <w:numId w:val="45"/>
        </w:numPr>
        <w:rPr>
          <w:rFonts w:ascii="Arial" w:cs="Arial" w:eastAsia="Arial" w:hAnsi="Arial"/>
          <w:sz w:val="14"/>
          <w:szCs w:val="14"/>
          <w:i w:val="1"/>
          <w:iCs w:val="1"/>
          <w:color w:val="auto"/>
        </w:rPr>
      </w:pPr>
      <w:r>
        <w:rPr>
          <w:rFonts w:ascii="Arial" w:cs="Arial" w:eastAsia="Arial" w:hAnsi="Arial"/>
          <w:sz w:val="14"/>
          <w:szCs w:val="14"/>
          <w:i w:val="1"/>
          <w:iCs w:val="1"/>
          <w:color w:val="auto"/>
        </w:rPr>
        <w:t>At measurement date of July 16,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470535</wp:posOffset>
            </wp:positionV>
            <wp:extent cx="72656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5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9"/>
          <w:szCs w:val="19"/>
          <w:color w:val="auto"/>
        </w:rPr>
        <w:t>NOTE 9. SAN ONOFRE NUCLEAR GENERATING STATION (SONGS)</w:t>
      </w:r>
    </w:p>
    <w:p>
      <w:pPr>
        <w:sectPr>
          <w:pgSz w:w="11900" w:h="16872" w:orient="portrait"/>
          <w:cols w:equalWidth="0" w:num="1">
            <w:col w:w="11420"/>
          </w:cols>
          <w:pgMar w:left="240" w:top="127" w:right="239" w:bottom="0" w:gutter="0" w:footer="0" w:header="0"/>
        </w:sectPr>
      </w:pPr>
    </w:p>
    <w:p>
      <w:pPr>
        <w:spacing w:after="0" w:line="198" w:lineRule="exact"/>
        <w:rPr>
          <w:sz w:val="20"/>
          <w:szCs w:val="20"/>
          <w:color w:val="auto"/>
        </w:rPr>
      </w:pPr>
    </w:p>
    <w:p>
      <w:pPr>
        <w:ind w:right="120"/>
        <w:spacing w:after="0" w:line="329" w:lineRule="auto"/>
        <w:rPr>
          <w:sz w:val="20"/>
          <w:szCs w:val="20"/>
          <w:color w:val="auto"/>
        </w:rPr>
      </w:pPr>
      <w:r>
        <w:rPr>
          <w:rFonts w:ascii="Arial" w:cs="Arial" w:eastAsia="Arial" w:hAnsi="Arial"/>
          <w:sz w:val="16"/>
          <w:szCs w:val="16"/>
          <w:color w:val="auto"/>
        </w:rPr>
        <w:t>SDG&amp;E has a 20-percent ownership interest in SONGS, a nuclear generating facility near San Clemente, California, which ceased operations in June 2013. On June 6, 2013, Southern California Edison Company (Edison), the majority owner and operator of SONGS, notified SDG&amp;E that it had reached a decision to</w:t>
      </w:r>
    </w:p>
    <w:p>
      <w:pPr>
        <w:sectPr>
          <w:pgSz w:w="11900" w:h="16872" w:orient="portrait"/>
          <w:cols w:equalWidth="0" w:num="1">
            <w:col w:w="11420"/>
          </w:cols>
          <w:pgMar w:left="240" w:top="127" w:right="239" w:bottom="0" w:gutter="0" w:footer="0" w:header="0"/>
          <w:type w:val="continuous"/>
        </w:sectPr>
      </w:pPr>
    </w:p>
    <w:bookmarkStart w:id="39" w:name="page40"/>
    <w:bookmarkEnd w:id="39"/>
    <w:p>
      <w:pPr>
        <w:spacing w:after="0"/>
        <w:rPr>
          <w:sz w:val="20"/>
          <w:szCs w:val="20"/>
          <w:color w:val="auto"/>
        </w:rPr>
      </w:pPr>
      <w:r>
        <w:rPr>
          <w:rFonts w:ascii="Arial" w:cs="Arial" w:eastAsia="Arial" w:hAnsi="Arial"/>
          <w:sz w:val="16"/>
          <w:szCs w:val="16"/>
          <w:color w:val="auto"/>
        </w:rPr>
        <w:t>permanently retire SONGS and seek approval from the Nuclear Regulatory Commission (NRC) to start the decommissioning activities for the entire facility.</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SONGS is subject to the jurisdiction of the NRC and the CPUC.</w:t>
      </w:r>
    </w:p>
    <w:p>
      <w:pPr>
        <w:spacing w:after="0" w:line="20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SDG&amp;E, and each of the other owners, holds its undivided interest as a tenant in common in the property. Each owner is responsible for financing its share of expenses and capital expenditures. SDG&amp;E’s share of operating expenses is included in Sempra Energy’s and SDG&amp;E’s Condensed Consolidated Statements of Operations.</w:t>
      </w:r>
    </w:p>
    <w:p>
      <w:pPr>
        <w:spacing w:after="0" w:line="39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SONGS Outage and Retirement</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Background</w:t>
      </w:r>
    </w:p>
    <w:p>
      <w:pPr>
        <w:spacing w:after="0" w:line="211"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As part of the Steam Generator Replacement Project (SGRP), the steam generators were replaced in SONGS Units 2 and 3, and the Units returned to service in 2010 and 2011, respectively. Both Units were shut down in early 2012 after a water leak occurred in the Unit 3 steam generator. Edison concluded that the leak was due to unexpected wear from tube-to-tube contact. At the time the leak was identified, Edison also inspected and tested Unit 2 and subsequently found unexpected tube wear in Unit 2’s steam generators. In March 2012, in response to the shutdown of SONGS, the NRC issued a Confirmatory Action Letter (CAL) which, among other things, outlined the requirements for Edison to meet before the NRC would approve a restart of either of the Units.</w:t>
      </w:r>
    </w:p>
    <w:p>
      <w:pPr>
        <w:spacing w:after="0" w:line="164"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In October 2012, Edison submitted a restart plan to the NRC proposing to operate Unit 2 at a reduced power level for a period of five months, at which time the Unit would be brought down for further inspection. Edison did not file a restart plan for Unit 3, pending further inspection and analysis of what repairs or modifications would be required to return the Unit to service in a safe manner. The NRC was reviewing the restart plan for Unit 2 proposed by Edison when in May 2013, the Atomic Safety and Licensing Board (ASLB), an adjudicatory arm of the NRC, concluded that the CAL process constituted a de facto license amendment proceeding that was subject to a public hearing. This conclusion by the ASLB resulted in further uncertainty regarding when a final decision might be made on restarting Unit 2.</w:t>
      </w:r>
    </w:p>
    <w:p>
      <w:pPr>
        <w:spacing w:after="0" w:line="19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replacement steam generators were designed and provided by Mitsubishi Heavy Industries, Ltd., Mitsubishi Nuclear Energy Systems, Inc., and Mitsubishi Heavy Industries America, Inc. (collectively MHI). In July 2013, SDG&amp;E filed a lawsuit against MHI seeking to recover damages SDG&amp;E has incurred and will incur related to the design defects in the steam generators. In October 2013, Edison instituted arbitration proceedings against MHI seeking damages as well. We discuss these proceedings in Note 11.</w:t>
      </w:r>
    </w:p>
    <w:p>
      <w:pPr>
        <w:spacing w:after="0" w:line="399" w:lineRule="exact"/>
        <w:rPr>
          <w:sz w:val="20"/>
          <w:szCs w:val="20"/>
          <w:color w:val="auto"/>
        </w:rPr>
      </w:pPr>
    </w:p>
    <w:p>
      <w:pPr>
        <w:ind w:right="940"/>
        <w:spacing w:after="0" w:line="469" w:lineRule="auto"/>
        <w:rPr>
          <w:sz w:val="20"/>
          <w:szCs w:val="20"/>
          <w:color w:val="auto"/>
        </w:rPr>
      </w:pPr>
      <w:r>
        <w:rPr>
          <w:rFonts w:ascii="Arial" w:cs="Arial" w:eastAsia="Arial" w:hAnsi="Arial"/>
          <w:sz w:val="19"/>
          <w:szCs w:val="19"/>
          <w:b w:val="1"/>
          <w:bCs w:val="1"/>
          <w:i w:val="1"/>
          <w:iCs w:val="1"/>
          <w:color w:val="auto"/>
        </w:rPr>
        <w:t xml:space="preserve">Pending Settlement Agreement to Resolve the CPUC’s Order Instituting Investigation (OII) into the SONGS Outage (SONGS OII) </w:t>
      </w:r>
      <w:r>
        <w:rPr>
          <w:rFonts w:ascii="Arial" w:cs="Arial" w:eastAsia="Arial" w:hAnsi="Arial"/>
          <w:sz w:val="19"/>
          <w:szCs w:val="19"/>
          <w:i w:val="1"/>
          <w:iCs w:val="1"/>
          <w:color w:val="auto"/>
        </w:rPr>
        <w:t>SONGS OII</w:t>
      </w:r>
    </w:p>
    <w:p>
      <w:pPr>
        <w:spacing w:after="0" w:line="1"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In November 2012, in response to the outage, the CPUC issued the SONGS OII, pursuant to California Public Utilities’ Code Section 455.5, which applies to cost recovery issues resulting from long-term outages of operating assets. The SONGS OII consolidated most SONGS outage-related issues into a single proceeding. The SONGS OII, among other things, designated all revenues associated with the investment in, and operation of, SONGS since January 1, 2012 as subject to refund to customers, pending the outcome of all phases of the proceeding. The SONGS OII proceeding is also intended to determine the ultimate recovery of the investment in SONGS and the costs incurred since the commencement of this outage, including purchased replacement power costs, which are typically recovered through the Energy Resource Recovery Account (ERRA). We provide additional information on the SONGS OII in Notes 13 and 15 of the Notes to Consolidated Financial Statements in the Annual Report.</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Entry Into Settlement Agreement</w:t>
      </w:r>
    </w:p>
    <w:p>
      <w:pPr>
        <w:spacing w:after="0" w:line="211"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Pursuant to CPUC rules concerning settlements, SDG&amp;E, Edison, The Utility Reform Network (TURN), and the CPUC Office of Ratepayer Advocates (ORA) held a settlement conference in March 2014 to discuss the terms to resolve the SONGS OII, and in April 2014, SDG&amp;E, along with Edison, TURN, ORA and two other intervenors who joined the Settlement Agreement to the SONGS OII proceeding (collectively, the Settling Parties), filed a Settlement Agreement with the CPUC. On September 5, 2014, the CPUC issued a ruling proposing specific changes that included, as they relate to SDG&amp;E, greater ratepayer benefit from third party cost recoveries, funding of a 5-year research program to reduce greenhouse gas emissions at a shareholder cost of $1 million per year, and equal sharing of future refinance savings.</w:t>
      </w:r>
    </w:p>
    <w:p>
      <w:pPr>
        <w:spacing w:after="0" w:line="19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On September 23, 2014, the Settling Parties executed an Amended and Restated Settlement Agreement (Amended Settlement Agreement), which incorporates the terms of a Settlement Amendment and reflects changes to adopt all the modifications and clarifications requested in the ruling issued on September 5, 2014. On October 9, 2014, the CPUC issued a proposed decision (SONGS PD) approving the Amended Settlement Agreement. We anticipate a final decision by the CPUC by the end of 2014.</w:t>
      </w:r>
    </w:p>
    <w:p>
      <w:pPr>
        <w:spacing w:after="0" w:line="190"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If the SONGS PD is ultimately approved by the CPUC, the Amended Settlement Agreement will constitute a complete and final resolution of the SONGS OII and related CPUC proceedings regarding the SGRP at SONGS and the related outage and subsequent shutdown of SONGS. The Amended Settlement Agreement does not affect on-going or future proceedings before the NRC, or litigation or arbitration related to potential future recoveries from third parties (except for the allocation to ratepayers of any recoveries as described below) or proceedings addressing decommissioning activities and costs.</w:t>
      </w:r>
    </w:p>
    <w:p>
      <w:pPr>
        <w:spacing w:after="0" w:line="162"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The Settling Parties have agreed to exercise their best efforts to obtain CPUC approval. However, the Amended Settlement Agreement is subject to termination by any of the Settling Parties if CPUC approval has not been issued before December 23, 2014, and there is no assurance that one or more of the Settling Parties won’t do so.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Amended Settlement Agreement as it relates to SDG&amp;E.</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Disallowances, Refunds and Rate Recoveries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the Amended Settlement Agreement is approved as proposed in the SONGS PD, SDG&amp;E will</w:t>
      </w:r>
    </w:p>
    <w:p>
      <w:pPr>
        <w:spacing w:after="0" w:line="218" w:lineRule="exact"/>
        <w:rPr>
          <w:sz w:val="20"/>
          <w:szCs w:val="20"/>
          <w:color w:val="auto"/>
        </w:rPr>
      </w:pPr>
    </w:p>
    <w:p>
      <w:pPr>
        <w:ind w:left="320" w:right="20" w:hanging="172"/>
        <w:spacing w:after="0" w:line="329" w:lineRule="auto"/>
        <w:tabs>
          <w:tab w:leader="none" w:pos="3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remove from rate base, as of February 1, 2012, its investment in the SGRP and refund to its customers the amount collected for its investment in and any return on its investment in the SGRP since such date. As of February 1, 2012, SDG&amp;E’s net book value in the SGRP was approximately $160 million;</w:t>
      </w:r>
    </w:p>
    <w:p>
      <w:pPr>
        <w:spacing w:after="0" w:line="160" w:lineRule="exact"/>
        <w:rPr>
          <w:rFonts w:ascii="Arial" w:cs="Arial" w:eastAsia="Arial" w:hAnsi="Arial"/>
          <w:sz w:val="16"/>
          <w:szCs w:val="16"/>
          <w:color w:val="auto"/>
        </w:rPr>
      </w:pPr>
    </w:p>
    <w:p>
      <w:pPr>
        <w:ind w:left="320" w:hanging="172"/>
        <w:spacing w:after="0" w:line="266" w:lineRule="auto"/>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be authorized to recover in rates its remaining investment in SONGS, including base plant and construction work in progress (CWIP), generally over a ten-year period commencing February 1, 2012, together with a return on investment at a reduced rate equal to:</w:t>
      </w:r>
    </w:p>
    <w:p>
      <w:pPr>
        <w:sectPr>
          <w:pgSz w:w="11900" w:h="16838" w:orient="portrait"/>
          <w:cols w:equalWidth="0" w:num="1">
            <w:col w:w="11420"/>
          </w:cols>
          <w:pgMar w:left="240" w:top="127" w:right="239" w:bottom="0" w:gutter="0" w:footer="0" w:header="0"/>
        </w:sectPr>
      </w:pPr>
    </w:p>
    <w:bookmarkStart w:id="40" w:name="page41"/>
    <w:bookmarkEnd w:id="40"/>
    <w:p>
      <w:pPr>
        <w:ind w:left="360" w:hanging="190"/>
        <w:spacing w:after="0"/>
        <w:tabs>
          <w:tab w:leader="none" w:pos="3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SDG&amp;E’s weighted average return on debt, plus</w:t>
      </w:r>
    </w:p>
    <w:p>
      <w:pPr>
        <w:spacing w:after="0" w:line="16" w:lineRule="exact"/>
        <w:rPr>
          <w:rFonts w:ascii="Arial" w:cs="Arial" w:eastAsia="Arial" w:hAnsi="Arial"/>
          <w:sz w:val="18"/>
          <w:szCs w:val="18"/>
          <w:color w:val="auto"/>
        </w:rPr>
      </w:pPr>
    </w:p>
    <w:p>
      <w:pPr>
        <w:ind w:left="360" w:hanging="190"/>
        <w:spacing w:after="0" w:line="253" w:lineRule="auto"/>
        <w:tabs>
          <w:tab w:leader="none" w:pos="3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50 percent of SDG&amp;E’s weighted average return on preferred stock, as authorized in the CPUC’s Cost of Capital proceeding then in effect (collectively, SONGS rate of return or SONGS ROR).</w:t>
      </w:r>
    </w:p>
    <w:p>
      <w:pPr>
        <w:spacing w:after="0" w:line="217" w:lineRule="exact"/>
        <w:rPr>
          <w:sz w:val="20"/>
          <w:szCs w:val="20"/>
          <w:color w:val="auto"/>
        </w:rPr>
      </w:pPr>
    </w:p>
    <w:p>
      <w:pPr>
        <w:ind w:left="320" w:right="1400"/>
        <w:spacing w:after="0" w:line="278" w:lineRule="auto"/>
        <w:rPr>
          <w:sz w:val="20"/>
          <w:szCs w:val="20"/>
          <w:color w:val="auto"/>
        </w:rPr>
      </w:pPr>
      <w:r>
        <w:rPr>
          <w:rFonts w:ascii="Arial" w:cs="Arial" w:eastAsia="Arial" w:hAnsi="Arial"/>
          <w:sz w:val="17"/>
          <w:szCs w:val="17"/>
          <w:color w:val="auto"/>
        </w:rPr>
        <w:t>This results in a SONGS ROR of 2.75 percent for the period from February 1, 2012 through December 31, 2012 and 2.35 percent for the period from January 1, 2013 through December 31, 2014. The SONGS ROR for future periods will fluctuate based on SDG&amp;E’s authorized weighted average returns on debt and preferred stock in effect for those future periods;</w:t>
      </w:r>
    </w:p>
    <w:p>
      <w:pPr>
        <w:spacing w:after="0" w:line="171" w:lineRule="exact"/>
        <w:rPr>
          <w:sz w:val="20"/>
          <w:szCs w:val="20"/>
          <w:color w:val="auto"/>
        </w:rPr>
      </w:pPr>
    </w:p>
    <w:p>
      <w:pPr>
        <w:ind w:left="320" w:hanging="172"/>
        <w:spacing w:after="0" w:line="266" w:lineRule="auto"/>
        <w:tabs>
          <w:tab w:leader="none" w:pos="3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be authorized to recover in rates its recorded 2012 and 2013 operations and maintenance expenses; in addition, SDG&amp;E will be authorized to recover in rates the recorded costs for the 2012 refueling outage of Unit 2, subject to customary prudency review;</w:t>
      </w:r>
    </w:p>
    <w:p>
      <w:pPr>
        <w:spacing w:after="0" w:line="205" w:lineRule="exact"/>
        <w:rPr>
          <w:rFonts w:ascii="Arial" w:cs="Arial" w:eastAsia="Arial" w:hAnsi="Arial"/>
          <w:sz w:val="18"/>
          <w:szCs w:val="18"/>
          <w:color w:val="auto"/>
        </w:rPr>
      </w:pPr>
    </w:p>
    <w:p>
      <w:pPr>
        <w:ind w:left="320" w:hanging="172"/>
        <w:spacing w:after="0" w:line="266" w:lineRule="auto"/>
        <w:tabs>
          <w:tab w:leader="none" w:pos="3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be required to file an application in 2015 to recover in rates its 2014 recorded operation and maintenance expenses and non-operating operations and maintenance expenses;</w:t>
      </w:r>
    </w:p>
    <w:p>
      <w:pPr>
        <w:spacing w:after="0" w:line="205" w:lineRule="exact"/>
        <w:rPr>
          <w:rFonts w:ascii="Arial" w:cs="Arial" w:eastAsia="Arial" w:hAnsi="Arial"/>
          <w:sz w:val="18"/>
          <w:szCs w:val="18"/>
          <w:color w:val="auto"/>
        </w:rPr>
      </w:pPr>
    </w:p>
    <w:p>
      <w:pPr>
        <w:ind w:left="320" w:right="20" w:hanging="172"/>
        <w:spacing w:after="0" w:line="266" w:lineRule="auto"/>
        <w:tabs>
          <w:tab w:leader="none" w:pos="3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be authorized to recover in rates its remaining investment in materials and supplies over a ten-year period commencing February 1, 2012, together with a return on investment at the SONGS ROR;</w:t>
      </w:r>
    </w:p>
    <w:p>
      <w:pPr>
        <w:spacing w:after="0" w:line="205" w:lineRule="exact"/>
        <w:rPr>
          <w:rFonts w:ascii="Arial" w:cs="Arial" w:eastAsia="Arial" w:hAnsi="Arial"/>
          <w:sz w:val="18"/>
          <w:szCs w:val="18"/>
          <w:color w:val="auto"/>
        </w:rPr>
      </w:pPr>
    </w:p>
    <w:p>
      <w:pPr>
        <w:ind w:left="320" w:hanging="172"/>
        <w:spacing w:after="0" w:line="266" w:lineRule="auto"/>
        <w:tabs>
          <w:tab w:leader="none" w:pos="3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be authorized to recover in rates its remaining investment in nuclear fuel inventory and any costs incurred, or to be incurred, associated with nuclear fuel supply contracts over a ten-year period, together with a return equal to SDG&amp;E’s commercial paper borrowing rate;</w:t>
      </w:r>
    </w:p>
    <w:p>
      <w:pPr>
        <w:spacing w:after="0" w:line="205" w:lineRule="exact"/>
        <w:rPr>
          <w:rFonts w:ascii="Arial" w:cs="Arial" w:eastAsia="Arial" w:hAnsi="Arial"/>
          <w:sz w:val="18"/>
          <w:szCs w:val="18"/>
          <w:color w:val="auto"/>
        </w:rPr>
      </w:pPr>
    </w:p>
    <w:p>
      <w:pPr>
        <w:jc w:val="both"/>
        <w:ind w:left="320" w:hanging="172"/>
        <w:spacing w:after="0" w:line="294" w:lineRule="auto"/>
        <w:tabs>
          <w:tab w:leader="none" w:pos="3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be authorized to recover in rates through its fuel and purchased power balancing account (ERRA), subject to the normal CPUC compliance reviews, all costs incurred to purchase power in the market to replace the power that would have been generated at SONGS if not for the outage and shutdown of SONGS, and to recover by December 31, 2015 any SONGS-related ERRA undercollections. SDG&amp;E’s replacement power purchase costs through June 6, 2013 (the date of SONGS’ retirement) were approximately $165 million, using the methodology followed in the SONGS OII; and</w:t>
      </w:r>
    </w:p>
    <w:p>
      <w:pPr>
        <w:spacing w:after="0" w:line="188" w:lineRule="exact"/>
        <w:rPr>
          <w:rFonts w:ascii="Arial" w:cs="Arial" w:eastAsia="Arial" w:hAnsi="Arial"/>
          <w:sz w:val="16"/>
          <w:szCs w:val="16"/>
          <w:color w:val="auto"/>
        </w:rPr>
      </w:pPr>
    </w:p>
    <w:p>
      <w:pPr>
        <w:jc w:val="both"/>
        <w:ind w:left="320" w:hanging="172"/>
        <w:spacing w:after="0" w:line="253" w:lineRule="auto"/>
        <w:tabs>
          <w:tab w:leader="none" w:pos="3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have a five-year funding commitment of $1 million per year to the University of California (UC) Energy Institute (or other existing UC entity engaged in energy technology development) to create a Research Development and Demonstration program, whose goal would be to deploy new technologies, methodologies, and /or design modifications to reduce greenhouse gas (GHG) emissions, particularly at current and future generating plants in California. This term was a modification suggested by the CPUC.</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Potential Third Party Recoveries</w:t>
      </w:r>
    </w:p>
    <w:p>
      <w:pPr>
        <w:spacing w:after="0" w:line="211" w:lineRule="exact"/>
        <w:rPr>
          <w:sz w:val="20"/>
          <w:szCs w:val="20"/>
          <w:color w:val="auto"/>
        </w:rPr>
      </w:pPr>
    </w:p>
    <w:p>
      <w:pPr>
        <w:ind w:right="600"/>
        <w:spacing w:after="0" w:line="266" w:lineRule="auto"/>
        <w:rPr>
          <w:sz w:val="20"/>
          <w:szCs w:val="20"/>
          <w:color w:val="auto"/>
        </w:rPr>
      </w:pPr>
      <w:r>
        <w:rPr>
          <w:rFonts w:ascii="Arial" w:cs="Arial" w:eastAsia="Arial" w:hAnsi="Arial"/>
          <w:sz w:val="18"/>
          <w:szCs w:val="18"/>
          <w:color w:val="auto"/>
        </w:rPr>
        <w:t>The Amended Settlement Agreement also addresses how potential recoveries from third parties will be allocated between ratepayers and SDG&amp;E, as we describe below.</w:t>
      </w:r>
    </w:p>
    <w:p>
      <w:pPr>
        <w:spacing w:after="0" w:line="179"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color w:val="auto"/>
        </w:rPr>
        <w:t>As we discuss in more detail in Note 11, SDG&amp;E and the other owners of SONGS carry accidental property damage and accidental outage insurance issued by Nuclear Electric Insurance Limited (NEIL), a mutual insurance company. Edison, on behalf of itself and the other minority owners in SONGS (including SDG&amp;E), has placed NEIL on notice of claims under both policies. Under the Amended Settlement Agreement, recoveries from NEIL, if any, will first be applied to reimburse costs incurred in pursuing such recoveries, including litigation costs. To the extent SDG&amp;E’s share of recoveries from NEIL attributable to the NEIL accidental outage policy exceeds such costs, recoveries will be allocated 95 percent to ratepayers and 5 percent to SDG&amp;E. To the extent SDG&amp;E’s share of recoveries from other NEIL policies (such as the accidental property damage policy) exceeds such costs, recoveries will be allocated 82.5 percent to ratepayers and 17.5 percent to SDG&amp;E.</w:t>
      </w:r>
    </w:p>
    <w:p>
      <w:pPr>
        <w:spacing w:after="0" w:line="19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As we discuss in more detail in Note 11, SDG&amp;E has filed a lawsuit against MHI, which designed and provided the steam generators that failed. This proceeding was stayed in favor of an arbitration proceeding instituted by Edison. Under the Amended Settlement Agreement, recoveries from MHI, if any, will first be applied to reimburse costs incurred in pursuing such recoveries, including litigation costs. To the extent SDG&amp;E’s share of recoveries from MHI exceeds such costs, they will be allocated 50 percent to SDG&amp;E and 50 percent to ratepayers.</w:t>
      </w:r>
    </w:p>
    <w:p>
      <w:pPr>
        <w:spacing w:after="0" w:line="190" w:lineRule="exact"/>
        <w:rPr>
          <w:sz w:val="20"/>
          <w:szCs w:val="20"/>
          <w:color w:val="auto"/>
        </w:rPr>
      </w:pPr>
    </w:p>
    <w:p>
      <w:pPr>
        <w:ind w:right="460"/>
        <w:spacing w:after="0" w:line="266" w:lineRule="auto"/>
        <w:rPr>
          <w:sz w:val="20"/>
          <w:szCs w:val="20"/>
          <w:color w:val="auto"/>
        </w:rPr>
      </w:pPr>
      <w:r>
        <w:rPr>
          <w:rFonts w:ascii="Arial" w:cs="Arial" w:eastAsia="Arial" w:hAnsi="Arial"/>
          <w:sz w:val="18"/>
          <w:szCs w:val="18"/>
          <w:color w:val="auto"/>
        </w:rPr>
        <w:t>The Amended Settlement Agreement provides for the resolution of the claims with NEIL and the dispute with MHI without requiring CPUC approval, but requires that Edison and SDG&amp;E:</w:t>
      </w:r>
    </w:p>
    <w:p>
      <w:pPr>
        <w:spacing w:after="0" w:line="179" w:lineRule="exact"/>
        <w:rPr>
          <w:sz w:val="20"/>
          <w:szCs w:val="20"/>
          <w:color w:val="auto"/>
        </w:rPr>
      </w:pPr>
    </w:p>
    <w:p>
      <w:pPr>
        <w:ind w:left="320" w:right="20" w:hanging="172"/>
        <w:spacing w:after="0" w:line="266" w:lineRule="auto"/>
        <w:tabs>
          <w:tab w:leader="none" w:pos="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use their best efforts to inform the CPUC of any settlements or resolutions of the issues to the extent possible without compromising any aspect of such settlements or resolutions, and</w:t>
      </w:r>
    </w:p>
    <w:p>
      <w:pPr>
        <w:spacing w:after="0" w:line="205" w:lineRule="exact"/>
        <w:rPr>
          <w:rFonts w:ascii="Arial" w:cs="Arial" w:eastAsia="Arial" w:hAnsi="Arial"/>
          <w:sz w:val="18"/>
          <w:szCs w:val="18"/>
          <w:color w:val="auto"/>
        </w:rPr>
      </w:pPr>
    </w:p>
    <w:p>
      <w:pPr>
        <w:ind w:left="320" w:hanging="172"/>
        <w:spacing w:after="0" w:line="266" w:lineRule="auto"/>
        <w:tabs>
          <w:tab w:leader="none" w:pos="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allow the CPUC to review documentation of final resolution of third-party litigation and litigation costs to ensure that the ratepayer refund calculations are accurately calculated and that the litigation costs are not exorbitant in relation to the recovery obtained.</w:t>
      </w:r>
    </w:p>
    <w:p>
      <w:pPr>
        <w:spacing w:after="0" w:line="206" w:lineRule="exact"/>
        <w:rPr>
          <w:sz w:val="20"/>
          <w:szCs w:val="20"/>
          <w:color w:val="auto"/>
        </w:rPr>
      </w:pPr>
    </w:p>
    <w:p>
      <w:pPr>
        <w:jc w:val="both"/>
        <w:ind w:right="80"/>
        <w:spacing w:after="0" w:line="278" w:lineRule="auto"/>
        <w:rPr>
          <w:sz w:val="20"/>
          <w:szCs w:val="20"/>
          <w:color w:val="auto"/>
        </w:rPr>
      </w:pPr>
      <w:r>
        <w:rPr>
          <w:rFonts w:ascii="Arial" w:cs="Arial" w:eastAsia="Arial" w:hAnsi="Arial"/>
          <w:sz w:val="17"/>
          <w:szCs w:val="17"/>
          <w:color w:val="auto"/>
        </w:rPr>
        <w:t>There is no assurance that there will be any recoveries from NEIL or MHI or that if there are recoveries, that they will exceed the costs incurred to pursue them. Were there to be recoveries, SDG&amp;E cannot provide any assurance as to when they would be received or the amount of any such recoveries. SDG&amp;E currently expects that NEIL will make a coverage determination regarding the accidental outage policy in the first quarter of 2015.</w:t>
      </w:r>
    </w:p>
    <w:p>
      <w:pPr>
        <w:spacing w:after="0" w:line="171"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The Amended Settlement Agreement also provides SDG&amp;E with an incentive in the event proceeds are secured from the sale of materials and supplies and/or nuclear fuel, as well as in the event that nuclear fuel investments are reduced by contract cancellations. This incentive allows SDG&amp;E to retain 5 percent of its proportionate share of any sales proceeds and to recover 5 percent of its proportionate share of the excess of cancelled contract obligations over cancellation costs. The balance of the sale proceeds and cancellation benefits would be credited to ratepayers.</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Accounting and Financial Impacts</w:t>
      </w:r>
    </w:p>
    <w:p>
      <w:pPr>
        <w:spacing w:after="0" w:line="211"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As a result of the execution of the Amended Settlement Agreement by the Settling Parties and the issuance of the SONGS PD by the CPUC, SDG&amp;E has concluded that the probable outcome of the SONGS OII is the approval and implementation of the Amended Settlement Agreement, although such outcome is dependent on final approval by the CPUC.</w:t>
      </w:r>
    </w:p>
    <w:p>
      <w:pPr>
        <w:spacing w:after="0" w:line="188" w:lineRule="exact"/>
        <w:rPr>
          <w:sz w:val="20"/>
          <w:szCs w:val="20"/>
          <w:color w:val="auto"/>
        </w:rPr>
      </w:pPr>
    </w:p>
    <w:p>
      <w:pPr>
        <w:ind w:right="400"/>
        <w:spacing w:after="0" w:line="329" w:lineRule="auto"/>
        <w:rPr>
          <w:sz w:val="20"/>
          <w:szCs w:val="20"/>
          <w:color w:val="auto"/>
        </w:rPr>
      </w:pPr>
      <w:r>
        <w:rPr>
          <w:rFonts w:ascii="Arial" w:cs="Arial" w:eastAsia="Arial" w:hAnsi="Arial"/>
          <w:sz w:val="16"/>
          <w:szCs w:val="16"/>
          <w:color w:val="auto"/>
        </w:rPr>
        <w:t>As disclosed in Note 13 of the Notes to Consolidated Financial Statements in the Annual Report, SDG&amp;E reported a pretax loss from plant closure of $200 million ($119 million after-tax) in the second quarter of 2013 as a result of its initial assessment of the financial impact of the outcome of the SONGS OII</w:t>
      </w:r>
    </w:p>
    <w:p>
      <w:pPr>
        <w:sectPr>
          <w:pgSz w:w="11900" w:h="16838" w:orient="portrait"/>
          <w:cols w:equalWidth="0" w:num="1">
            <w:col w:w="11420"/>
          </w:cols>
          <w:pgMar w:left="240" w:top="366" w:right="239" w:bottom="0" w:gutter="0" w:footer="0" w:header="0"/>
        </w:sectPr>
      </w:pPr>
    </w:p>
    <w:bookmarkStart w:id="41" w:name="page42"/>
    <w:bookmarkEnd w:id="41"/>
    <w:p>
      <w:pPr>
        <w:ind w:right="60"/>
        <w:spacing w:after="0" w:line="286" w:lineRule="auto"/>
        <w:rPr>
          <w:sz w:val="20"/>
          <w:szCs w:val="20"/>
          <w:color w:val="auto"/>
        </w:rPr>
      </w:pPr>
      <w:r>
        <w:rPr>
          <w:rFonts w:ascii="Arial" w:cs="Arial" w:eastAsia="Arial" w:hAnsi="Arial"/>
          <w:sz w:val="16"/>
          <w:szCs w:val="16"/>
          <w:color w:val="auto"/>
        </w:rPr>
        <w:t>proceeding. As a result of entering into the Settlement Agreement in the first quarter of 2014, SDG&amp;E recorded a $13 million reduction to the pretax loss from plant closure, but a $9 million increase in the after-tax loss from plant closure. The after-tax loss includes a $17 million charge to reduce certain tax regulatory assets which may no longer be recoverable in rates pursuant to the Settlement Agreement. After adjustment for the Amended Settlement Agreement, SDG&amp;E’s total loss from plant closure, including amounts previously recorded in 2013, is $187 million pretax ($128 million after-tax). A regulatory asset for the expected recovery of SONGS costs, consistent with the Amended Settlement Agreement, is recorded on the Condensed Consolidated Balance Sheets of Sempra Energy and SDG&amp;E in Other Regulatory Assets (long-term). The amount of this regulatory asset is $192 million as of September 30, 2014. The impact of the modifications and clarifications in the Amended Settlement Agreement on the regulatory asset was recorded in the third quarter of 2014 and was not material.</w:t>
      </w:r>
    </w:p>
    <w:p>
      <w:pPr>
        <w:spacing w:after="0" w:line="166"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Assuming the Amended Settlement Agreement is approved, and except for the impact of the amount and timing of any potential future recoveries from third parties, which SDG&amp;E cannot estimate at this time, SDG&amp;E does not expect that implementation of the Amended Settlement Agreement will have a material adverse impact on its future results of operations or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Procedure</w:t>
      </w:r>
    </w:p>
    <w:p>
      <w:pPr>
        <w:spacing w:after="0" w:line="211"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Under the Amended Settlement Agreement, the Settling Parties are required to use their best efforts to obtain CPUC approval. In April 2014, the Settling Parties filed a Motion requesting the CPUC to:</w:t>
      </w:r>
    </w:p>
    <w:p>
      <w:pPr>
        <w:spacing w:after="0" w:line="179" w:lineRule="exact"/>
        <w:rPr>
          <w:sz w:val="20"/>
          <w:szCs w:val="20"/>
          <w:color w:val="auto"/>
        </w:rPr>
      </w:pPr>
    </w:p>
    <w:p>
      <w:pPr>
        <w:ind w:left="320" w:hanging="172"/>
        <w:spacing w:after="0"/>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approve the Settlement Agreement without change;</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find the Settlement Agreement reasonable;</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withdraw the November 19, 2013 Proposed Decision on Phase 1 and Phase 1A issues in the SONGS OII; and</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expedite consideration of the Settlement Agreement in order to provide its benefits to ratepayers as soon as possible.</w:t>
      </w:r>
    </w:p>
    <w:p>
      <w:pPr>
        <w:spacing w:after="0" w:line="245"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color w:val="auto"/>
        </w:rPr>
        <w:t>Subject to the right of any settling party to terminate the Amended Settlement Agreement if it is not approved by the CPUC by December 23, 2014, the Settling Parties are further bound to:</w:t>
      </w:r>
    </w:p>
    <w:p>
      <w:pPr>
        <w:spacing w:after="0" w:line="179" w:lineRule="exact"/>
        <w:rPr>
          <w:sz w:val="20"/>
          <w:szCs w:val="20"/>
          <w:color w:val="auto"/>
        </w:rPr>
      </w:pPr>
    </w:p>
    <w:p>
      <w:pPr>
        <w:ind w:left="320" w:hanging="172"/>
        <w:spacing w:after="0"/>
        <w:tabs>
          <w:tab w:leader="none" w:pos="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support and mutually defend the Amended Settlement Agreement in its entirety;</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oppose any modifications proposed by any non-settling party to the SONGS OII unless all Settling Parties agree; and</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cooperate reasonably on all submissions necessary to achieve CPUC approval.</w:t>
      </w:r>
    </w:p>
    <w:p>
      <w:pPr>
        <w:spacing w:after="0" w:line="245"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The Settling Parties further agree to review any CPUC orders regarding the Amended Settlement Agreement to determine if the CPUC has changed or modified it, deleted a term or imposed a new term. If any Settling Party is unwilling to accept any such change, modification, deletion or addition of a new term, then the Settling Parties will negotiate in good faith to seek a resolution acceptable to all Settling Parties. If they are unable to resolve the matter to the satisfaction of all Settling Parties, or to obtain prompt CPUC approval of an agreed upon resolution, then any Settling Party can terminate the Amended Settlement Agreement upon prompt notice.</w:t>
      </w:r>
    </w:p>
    <w:p>
      <w:pPr>
        <w:spacing w:after="0" w:line="193" w:lineRule="exact"/>
        <w:rPr>
          <w:sz w:val="20"/>
          <w:szCs w:val="20"/>
          <w:color w:val="auto"/>
        </w:rPr>
      </w:pPr>
    </w:p>
    <w:p>
      <w:pPr>
        <w:ind w:right="120"/>
        <w:spacing w:after="0" w:line="303" w:lineRule="auto"/>
        <w:rPr>
          <w:sz w:val="20"/>
          <w:szCs w:val="20"/>
          <w:color w:val="auto"/>
        </w:rPr>
      </w:pPr>
      <w:r>
        <w:rPr>
          <w:rFonts w:ascii="Arial" w:cs="Arial" w:eastAsia="Arial" w:hAnsi="Arial"/>
          <w:sz w:val="16"/>
          <w:szCs w:val="16"/>
          <w:color w:val="auto"/>
        </w:rPr>
        <w:t>Pursuant to the CPUC’s rules, no settlement becomes binding unless the CPUC approves the settlement based on a finding that it is reasonable in light of the whole record, consistent with law, and in the public interest. The CPUC has discretion to approve or disapprove a settlement, or to condition its approval on changes to the settlement, which the parties may accept or reject. CPUC rules do not provide for any fixed time period for the CPUC to act on the SONGS PD.</w:t>
      </w:r>
    </w:p>
    <w:p>
      <w:pPr>
        <w:spacing w:after="0" w:line="154" w:lineRule="exact"/>
        <w:rPr>
          <w:sz w:val="20"/>
          <w:szCs w:val="20"/>
          <w:color w:val="auto"/>
        </w:rPr>
      </w:pPr>
    </w:p>
    <w:p>
      <w:pPr>
        <w:ind w:right="220"/>
        <w:spacing w:after="0" w:line="250" w:lineRule="auto"/>
        <w:rPr>
          <w:sz w:val="20"/>
          <w:szCs w:val="20"/>
          <w:color w:val="auto"/>
        </w:rPr>
      </w:pPr>
      <w:r>
        <w:rPr>
          <w:rFonts w:ascii="Arial" w:cs="Arial" w:eastAsia="Arial" w:hAnsi="Arial"/>
          <w:sz w:val="18"/>
          <w:szCs w:val="18"/>
          <w:color w:val="auto"/>
        </w:rPr>
        <w:t>Unless and until the CPUC approves the Amended Settlement Agreement as proposed in the SONGS PD, there can be no assurance that the SONGS OII proceeding will provide for recoveries as currently estimated by SDG&amp;E in accordance with the Amended Settlement Agreement, including the recovery of costs recorded as a regulatory asset, or that the CPUC will not order refunds to customers above those contemplated by the Amended Settlement Agreement. Therefore, the regulatory asset of $192 million in Other Regulatory Assets (long-term) on the Condensed Consolidated Balance Sheets of Sempra Energy and SDG&amp;E at September 30, 2014 related to the SONGS plant closure could be subject to further change based upon future developments and the application of SDG&amp;E’s judgment to those events.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NRC Proceedings</w:t>
      </w:r>
    </w:p>
    <w:p>
      <w:pPr>
        <w:spacing w:after="0" w:line="21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 December 2013, Edison received a final NRC Inspection Report that identified a violation for the failure to verify the adequacy of the thermal-hydraulic and flow-induced vibration design of the Unit 3 replacement steam generators. In January 2014, Edison provided a response to the NRC Inspection Report stating that MHI, as contracted by Edison to prepare the SONGS replacement steam generator design, was the party responsible for validating the design of the steam generators.</w:t>
      </w:r>
    </w:p>
    <w:p>
      <w:pPr>
        <w:spacing w:after="0" w:line="190" w:lineRule="exact"/>
        <w:rPr>
          <w:sz w:val="20"/>
          <w:szCs w:val="20"/>
          <w:color w:val="auto"/>
        </w:rPr>
      </w:pPr>
    </w:p>
    <w:p>
      <w:pPr>
        <w:ind w:right="620"/>
        <w:spacing w:after="0" w:line="266" w:lineRule="auto"/>
        <w:rPr>
          <w:sz w:val="20"/>
          <w:szCs w:val="20"/>
          <w:color w:val="auto"/>
        </w:rPr>
      </w:pPr>
      <w:r>
        <w:rPr>
          <w:rFonts w:ascii="Arial" w:cs="Arial" w:eastAsia="Arial" w:hAnsi="Arial"/>
          <w:sz w:val="18"/>
          <w:szCs w:val="18"/>
          <w:color w:val="auto"/>
        </w:rPr>
        <w:t>In addition, the NRC issued an Inspection Report to MHI containing a Notice of Nonconformance for its flawed computer modeling in the design of the replacement steam generators.</w:t>
      </w:r>
    </w:p>
    <w:p>
      <w:pPr>
        <w:spacing w:after="0" w:line="17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Because SONGS has ceased operation, NRC inspection oversight of SONGS will now be continued through the NRC’s Decommissioning Power Reactor Inspection Program to verify that decommissioning activities are being conducted safely, that spent fuel is safely stored onsite or transferred to another licensed location, and that the site operations and licensee termination activities conform to applicable regulatory requirements, licensee commitments and management controls.</w:t>
      </w:r>
    </w:p>
    <w:p>
      <w:pPr>
        <w:spacing w:after="0" w:line="39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Nuclear Decommissioning and Funding</w:t>
      </w:r>
    </w:p>
    <w:p>
      <w:pPr>
        <w:spacing w:after="0" w:line="21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As a result of Edison’s decision to permanently retire SONGS Units 2 and 3, Edison has begun the decommissioning phase of the plant. The process of decommissioning a nuclear power plant is governed by the regulations of various governmental and other agencies, including but not limited to, those of the NRC, the U.S. Department of the Navy (the land owner) and the CPUC. The NRC regulations generally categorize the decommissioning activities into three phases: initial activities, major decommissioning and storage activities, and license termination. Initial activities include providing notice of permanent cessation of operations (provided by Edison to the NRC on June 12, 2013) and notice of permanent removal of fuel from the reactor vessels (provided by Edison on June 28 and July 22, 2013 for Units 3 and 2, respectively). Within two years after the cessation of operations, the licensee (Edison) must submit a post-shutdown</w:t>
      </w:r>
    </w:p>
    <w:p>
      <w:pPr>
        <w:sectPr>
          <w:pgSz w:w="11900" w:h="16838" w:orient="portrait"/>
          <w:cols w:equalWidth="0" w:num="1">
            <w:col w:w="11400"/>
          </w:cols>
          <w:pgMar w:left="240" w:top="127" w:right="259" w:bottom="0" w:gutter="0" w:footer="0" w:header="0"/>
        </w:sectPr>
      </w:pPr>
    </w:p>
    <w:bookmarkStart w:id="42" w:name="page43"/>
    <w:bookmarkEnd w:id="42"/>
    <w:p>
      <w:pPr>
        <w:ind w:right="420"/>
        <w:spacing w:after="0" w:line="266" w:lineRule="auto"/>
        <w:rPr>
          <w:sz w:val="20"/>
          <w:szCs w:val="20"/>
          <w:color w:val="auto"/>
        </w:rPr>
      </w:pPr>
      <w:r>
        <w:rPr>
          <w:rFonts w:ascii="Arial" w:cs="Arial" w:eastAsia="Arial" w:hAnsi="Arial"/>
          <w:sz w:val="18"/>
          <w:szCs w:val="18"/>
          <w:color w:val="auto"/>
        </w:rPr>
        <w:t>decommissioning activities report (PSDAR), an irradiated fuel management plan (IFMP) and a site-specific decommissioning cost estimate (DCE). Edison submitted each of the PSDAR, the IFMP and the DCE to the NRC in September 2014.</w:t>
      </w:r>
    </w:p>
    <w:p>
      <w:pPr>
        <w:spacing w:after="0" w:line="179"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In accordance with state and federal requirements and regulations, SDG&amp;E has assets held in trusts, referred to as the Nuclear Decommissioning Trusts (NDT), to fund decommissioning costs for SONGS Units 1, 2 and 3. At September 30, 2014, the fair value of SDG&amp;E’s NDT assets was $1.1 billion. Except for the use of funds for the planning of decommissioning activities or NDT administrative costs, CPUC approval is required for SDG&amp;E to access the NDT assets to fund SONGS decommissioning costs. In February 2014, SDG&amp;E filed a request with the CPUC for such authorization for costs incurred in 2013. Until CPUC approval to access the NDT to pay for such costs is received, SDG&amp;E will use working capital to pay for any SONGS Units 2 and 3 decommissioning costs incurred, and such expenditures will be reimbursed from the NDT upon that approval.</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SDG&amp;E currently anticipates a decision regarding its ability to use the monies in the NDT by the end of 2014.</w:t>
      </w:r>
    </w:p>
    <w:p>
      <w:pPr>
        <w:spacing w:after="0" w:line="218"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SDG&amp;E and Edison have a joint application pending with the CPUC requesting continued rate recovery to fund the NDT to ensure that the NDT has sufficient funding to pay for the estimated cost of decommissioning SONGS. SDG&amp;E is currently authorized to recover $8 million annually to fund additional investments in the NDT. In its pending application with the CPUC, SDG&amp;E is requesting to recover $16 million on an annual basis to fund additional investments in the NDT. We expect a decision on this application by the end of 2014.</w:t>
      </w:r>
    </w:p>
    <w:p>
      <w:pPr>
        <w:spacing w:after="0" w:line="190"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On September 5, 2014, the NRC approved Edison’s February 2014 request (made on behalf of SONGS co-owners) for exemptions from various federal decommissioning requirements. The approved exemptions provide NRC approval for SONGS co-owners to use NDT funds for all types of decommissioning activity costs, including fuel management and site restoration costs. As noted above, however, CPUC approval to access the NDT to pay for such costs is still required for the SONGS co-owners to use NDT funds.</w:t>
      </w:r>
    </w:p>
    <w:p>
      <w:pPr>
        <w:spacing w:after="0" w:line="190" w:lineRule="exact"/>
        <w:rPr>
          <w:sz w:val="20"/>
          <w:szCs w:val="20"/>
          <w:color w:val="auto"/>
        </w:rPr>
      </w:pPr>
    </w:p>
    <w:p>
      <w:pPr>
        <w:ind w:right="100"/>
        <w:spacing w:after="0" w:line="278" w:lineRule="auto"/>
        <w:rPr>
          <w:sz w:val="20"/>
          <w:szCs w:val="20"/>
          <w:color w:val="auto"/>
        </w:rPr>
      </w:pPr>
      <w:r>
        <w:rPr>
          <w:rFonts w:ascii="Arial" w:cs="Arial" w:eastAsia="Arial" w:hAnsi="Arial"/>
          <w:sz w:val="17"/>
          <w:szCs w:val="17"/>
          <w:color w:val="auto"/>
        </w:rPr>
        <w:t>Edison’s submission of the PSDAR and the DCE in September 2014 allows the SONGS co-owners to commence major decommissioning activities, and submission of the DCE provides the NRC authorization for the SONGS co-owners to access the majority of their decommissioning trust funds, both starting 90 days after the NRC receives the documents, unless the NRC staff raises objections. No objections have been received to date.</w:t>
      </w:r>
    </w:p>
    <w:p>
      <w:pPr>
        <w:spacing w:after="0" w:line="37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Nuclear Decommissioning Trusts</w:t>
      </w:r>
    </w:p>
    <w:p>
      <w:pPr>
        <w:spacing w:after="0" w:line="211"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amounts collected in rates for SONGS’ decommissioning are invested in externally managed trust funds. Amounts held by the trusts are invested in accordance with CPUC regulations. CPUC approval is required for SDG&amp;E to access the NDT assets to fund SONGS decommissioning costs. These trusts are shown on the Sempra Energy and SDG&amp;E Condensed Consolidated Balance Sheets at fair value with the offsetting credits recorded in Regulatory Liabilities Arising from Removal Obligations.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fair values and gross unrealized gains and losses for the securities held in the trust funds: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NUCLEAR DECOMMISSIONING TRUSTS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-104775</wp:posOffset>
            </wp:positionV>
            <wp:extent cx="7248525" cy="2197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8525" cy="21971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center"/>
              <w:ind w:right="249"/>
              <w:spacing w:after="0"/>
              <w:rPr>
                <w:sz w:val="20"/>
                <w:szCs w:val="20"/>
                <w:color w:val="auto"/>
              </w:rPr>
            </w:pPr>
            <w:r>
              <w:rPr>
                <w:rFonts w:ascii="Arial" w:cs="Arial" w:eastAsia="Arial" w:hAnsi="Arial"/>
                <w:sz w:val="14"/>
                <w:szCs w:val="14"/>
                <w:color w:val="auto"/>
              </w:rPr>
              <w:t>Gross</w:t>
            </w:r>
          </w:p>
        </w:tc>
        <w:tc>
          <w:tcPr>
            <w:tcW w:w="380" w:type="dxa"/>
            <w:vAlign w:val="bottom"/>
          </w:tcPr>
          <w:p>
            <w:pPr>
              <w:spacing w:after="0"/>
              <w:rPr>
                <w:sz w:val="14"/>
                <w:szCs w:val="14"/>
                <w:color w:val="auto"/>
              </w:rPr>
            </w:pPr>
          </w:p>
        </w:tc>
        <w:tc>
          <w:tcPr>
            <w:tcW w:w="1280" w:type="dxa"/>
            <w:vAlign w:val="bottom"/>
          </w:tcPr>
          <w:p>
            <w:pPr>
              <w:jc w:val="center"/>
              <w:ind w:right="229"/>
              <w:spacing w:after="0"/>
              <w:rPr>
                <w:sz w:val="20"/>
                <w:szCs w:val="20"/>
                <w:color w:val="auto"/>
              </w:rPr>
            </w:pPr>
            <w:r>
              <w:rPr>
                <w:rFonts w:ascii="Arial" w:cs="Arial" w:eastAsia="Arial" w:hAnsi="Arial"/>
                <w:sz w:val="14"/>
                <w:szCs w:val="14"/>
                <w:color w:val="auto"/>
              </w:rPr>
              <w:t>Gross</w:t>
            </w:r>
          </w:p>
        </w:tc>
        <w:tc>
          <w:tcPr>
            <w:tcW w:w="400" w:type="dxa"/>
            <w:vAlign w:val="bottom"/>
          </w:tcPr>
          <w:p>
            <w:pPr>
              <w:spacing w:after="0"/>
              <w:rPr>
                <w:sz w:val="14"/>
                <w:szCs w:val="14"/>
                <w:color w:val="auto"/>
              </w:rPr>
            </w:pPr>
          </w:p>
        </w:tc>
        <w:tc>
          <w:tcPr>
            <w:tcW w:w="1100" w:type="dxa"/>
            <w:vAlign w:val="bottom"/>
          </w:tcPr>
          <w:p>
            <w:pPr>
              <w:jc w:val="center"/>
              <w:ind w:right="89"/>
              <w:spacing w:after="0"/>
              <w:rPr>
                <w:sz w:val="20"/>
                <w:szCs w:val="20"/>
                <w:color w:val="auto"/>
              </w:rPr>
            </w:pPr>
            <w:r>
              <w:rPr>
                <w:rFonts w:ascii="Arial" w:cs="Arial" w:eastAsia="Arial" w:hAnsi="Arial"/>
                <w:sz w:val="14"/>
                <w:szCs w:val="14"/>
                <w:color w:val="auto"/>
                <w:w w:val="99"/>
              </w:rPr>
              <w:t>Estimated</w:t>
            </w:r>
          </w:p>
        </w:tc>
      </w:tr>
      <w:tr>
        <w:trPr>
          <w:trHeight w:val="213"/>
        </w:trPr>
        <w:tc>
          <w:tcPr>
            <w:tcW w:w="34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center"/>
              <w:ind w:right="229"/>
              <w:spacing w:after="0"/>
              <w:rPr>
                <w:sz w:val="20"/>
                <w:szCs w:val="20"/>
                <w:color w:val="auto"/>
              </w:rPr>
            </w:pPr>
            <w:r>
              <w:rPr>
                <w:rFonts w:ascii="Arial" w:cs="Arial" w:eastAsia="Arial" w:hAnsi="Arial"/>
                <w:sz w:val="14"/>
                <w:szCs w:val="14"/>
                <w:color w:val="auto"/>
              </w:rPr>
              <w:t>Unrealized</w:t>
            </w:r>
          </w:p>
        </w:tc>
        <w:tc>
          <w:tcPr>
            <w:tcW w:w="380" w:type="dxa"/>
            <w:vAlign w:val="bottom"/>
          </w:tcPr>
          <w:p>
            <w:pPr>
              <w:spacing w:after="0"/>
              <w:rPr>
                <w:sz w:val="18"/>
                <w:szCs w:val="18"/>
                <w:color w:val="auto"/>
              </w:rPr>
            </w:pPr>
          </w:p>
        </w:tc>
        <w:tc>
          <w:tcPr>
            <w:tcW w:w="1280" w:type="dxa"/>
            <w:vAlign w:val="bottom"/>
          </w:tcPr>
          <w:p>
            <w:pPr>
              <w:jc w:val="center"/>
              <w:ind w:right="249"/>
              <w:spacing w:after="0"/>
              <w:rPr>
                <w:sz w:val="20"/>
                <w:szCs w:val="20"/>
                <w:color w:val="auto"/>
              </w:rPr>
            </w:pPr>
            <w:r>
              <w:rPr>
                <w:rFonts w:ascii="Arial" w:cs="Arial" w:eastAsia="Arial" w:hAnsi="Arial"/>
                <w:sz w:val="14"/>
                <w:szCs w:val="14"/>
                <w:color w:val="auto"/>
              </w:rPr>
              <w:t>Unrealized</w:t>
            </w:r>
          </w:p>
        </w:tc>
        <w:tc>
          <w:tcPr>
            <w:tcW w:w="400" w:type="dxa"/>
            <w:vAlign w:val="bottom"/>
          </w:tcPr>
          <w:p>
            <w:pPr>
              <w:spacing w:after="0"/>
              <w:rPr>
                <w:sz w:val="18"/>
                <w:szCs w:val="18"/>
                <w:color w:val="auto"/>
              </w:rPr>
            </w:pPr>
          </w:p>
        </w:tc>
        <w:tc>
          <w:tcPr>
            <w:tcW w:w="1100" w:type="dxa"/>
            <w:vAlign w:val="bottom"/>
          </w:tcPr>
          <w:p>
            <w:pPr>
              <w:jc w:val="center"/>
              <w:ind w:right="89"/>
              <w:spacing w:after="0"/>
              <w:rPr>
                <w:sz w:val="20"/>
                <w:szCs w:val="20"/>
                <w:color w:val="auto"/>
              </w:rPr>
            </w:pPr>
            <w:r>
              <w:rPr>
                <w:rFonts w:ascii="Arial" w:cs="Arial" w:eastAsia="Arial" w:hAnsi="Arial"/>
                <w:sz w:val="14"/>
                <w:szCs w:val="14"/>
                <w:color w:val="auto"/>
              </w:rPr>
              <w:t>Fair</w:t>
            </w:r>
          </w:p>
        </w:tc>
      </w:tr>
      <w:tr>
        <w:trPr>
          <w:trHeight w:val="197"/>
        </w:trPr>
        <w:tc>
          <w:tcPr>
            <w:tcW w:w="340" w:type="dxa"/>
            <w:vAlign w:val="bottom"/>
            <w:tcBorders>
              <w:bottom w:val="single" w:sz="8" w:color="auto"/>
            </w:tcBorders>
          </w:tcPr>
          <w:p>
            <w:pPr>
              <w:spacing w:after="0"/>
              <w:rPr>
                <w:sz w:val="17"/>
                <w:szCs w:val="17"/>
                <w:color w:val="auto"/>
              </w:rPr>
            </w:pPr>
          </w:p>
        </w:tc>
        <w:tc>
          <w:tcPr>
            <w:tcW w:w="46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Cost</w:t>
            </w:r>
          </w:p>
        </w:tc>
        <w:tc>
          <w:tcPr>
            <w:tcW w:w="4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249"/>
              <w:spacing w:after="0"/>
              <w:rPr>
                <w:sz w:val="20"/>
                <w:szCs w:val="20"/>
                <w:color w:val="auto"/>
              </w:rPr>
            </w:pPr>
            <w:r>
              <w:rPr>
                <w:rFonts w:ascii="Arial" w:cs="Arial" w:eastAsia="Arial" w:hAnsi="Arial"/>
                <w:sz w:val="14"/>
                <w:szCs w:val="14"/>
                <w:color w:val="auto"/>
              </w:rPr>
              <w:t>Gains</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249"/>
              <w:spacing w:after="0"/>
              <w:rPr>
                <w:sz w:val="20"/>
                <w:szCs w:val="20"/>
                <w:color w:val="auto"/>
              </w:rPr>
            </w:pPr>
            <w:r>
              <w:rPr>
                <w:rFonts w:ascii="Arial" w:cs="Arial" w:eastAsia="Arial" w:hAnsi="Arial"/>
                <w:sz w:val="14"/>
                <w:szCs w:val="14"/>
                <w:color w:val="auto"/>
                <w:w w:val="99"/>
              </w:rPr>
              <w:t>Losses</w:t>
            </w:r>
          </w:p>
        </w:tc>
        <w:tc>
          <w:tcPr>
            <w:tcW w:w="4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color w:val="auto"/>
                <w:w w:val="94"/>
              </w:rPr>
              <w:t>Value</w:t>
            </w:r>
          </w:p>
        </w:tc>
      </w:tr>
      <w:tr>
        <w:trPr>
          <w:trHeight w:val="221"/>
        </w:trPr>
        <w:tc>
          <w:tcPr>
            <w:tcW w:w="4960" w:type="dxa"/>
            <w:vAlign w:val="bottom"/>
            <w:gridSpan w:val="2"/>
          </w:tcPr>
          <w:p>
            <w:pPr>
              <w:spacing w:after="0"/>
              <w:rPr>
                <w:sz w:val="20"/>
                <w:szCs w:val="20"/>
                <w:color w:val="auto"/>
              </w:rPr>
            </w:pPr>
            <w:r>
              <w:rPr>
                <w:rFonts w:ascii="Arial" w:cs="Arial" w:eastAsia="Arial" w:hAnsi="Arial"/>
                <w:sz w:val="14"/>
                <w:szCs w:val="14"/>
                <w:b w:val="1"/>
                <w:bCs w:val="1"/>
                <w:color w:val="auto"/>
              </w:rPr>
              <w:t>At September 30, 2014:</w:t>
            </w:r>
          </w:p>
        </w:tc>
        <w:tc>
          <w:tcPr>
            <w:tcW w:w="1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3"/>
        </w:trPr>
        <w:tc>
          <w:tcPr>
            <w:tcW w:w="4960" w:type="dxa"/>
            <w:vAlign w:val="bottom"/>
            <w:gridSpan w:val="2"/>
          </w:tcPr>
          <w:p>
            <w:pPr>
              <w:spacing w:after="0"/>
              <w:rPr>
                <w:sz w:val="20"/>
                <w:szCs w:val="20"/>
                <w:color w:val="auto"/>
              </w:rPr>
            </w:pPr>
            <w:r>
              <w:rPr>
                <w:rFonts w:ascii="Arial" w:cs="Arial" w:eastAsia="Arial" w:hAnsi="Arial"/>
                <w:sz w:val="14"/>
                <w:szCs w:val="14"/>
                <w:color w:val="auto"/>
              </w:rPr>
              <w:t>Debt securities:</w:t>
            </w: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2"/>
        </w:trPr>
        <w:tc>
          <w:tcPr>
            <w:tcW w:w="4960" w:type="dxa"/>
            <w:vAlign w:val="bottom"/>
            <w:gridSpan w:val="2"/>
          </w:tcPr>
          <w:p>
            <w:pPr>
              <w:ind w:left="160"/>
              <w:spacing w:after="0"/>
              <w:rPr>
                <w:sz w:val="20"/>
                <w:szCs w:val="20"/>
                <w:color w:val="auto"/>
              </w:rPr>
            </w:pPr>
            <w:r>
              <w:rPr>
                <w:rFonts w:ascii="Arial" w:cs="Arial" w:eastAsia="Arial" w:hAnsi="Arial"/>
                <w:sz w:val="14"/>
                <w:szCs w:val="14"/>
                <w:color w:val="auto"/>
              </w:rPr>
              <w:t>Debt securities issued by the U.S. Treasury and other</w:t>
            </w:r>
          </w:p>
        </w:tc>
        <w:tc>
          <w:tcPr>
            <w:tcW w:w="1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70"/>
        </w:trPr>
        <w:tc>
          <w:tcPr>
            <w:tcW w:w="340" w:type="dxa"/>
            <w:vAlign w:val="bottom"/>
          </w:tcPr>
          <w:p>
            <w:pPr>
              <w:spacing w:after="0"/>
              <w:rPr>
                <w:sz w:val="14"/>
                <w:szCs w:val="14"/>
                <w:color w:val="auto"/>
              </w:rPr>
            </w:pPr>
          </w:p>
        </w:tc>
        <w:tc>
          <w:tcPr>
            <w:tcW w:w="4620" w:type="dxa"/>
            <w:vAlign w:val="bottom"/>
          </w:tcPr>
          <w:p>
            <w:pPr>
              <w:ind w:left="20"/>
              <w:spacing w:after="0"/>
              <w:rPr>
                <w:sz w:val="20"/>
                <w:szCs w:val="20"/>
                <w:color w:val="auto"/>
              </w:rPr>
            </w:pPr>
            <w:r>
              <w:rPr>
                <w:rFonts w:ascii="Arial" w:cs="Arial" w:eastAsia="Arial" w:hAnsi="Arial"/>
                <w:sz w:val="14"/>
                <w:szCs w:val="14"/>
                <w:color w:val="auto"/>
              </w:rPr>
              <w:t>U.S. government corporations and agencies(1)</w:t>
            </w:r>
          </w:p>
        </w:tc>
        <w:tc>
          <w:tcPr>
            <w:tcW w:w="1180" w:type="dxa"/>
            <w:vAlign w:val="bottom"/>
          </w:tcPr>
          <w:p>
            <w:pPr>
              <w:jc w:val="right"/>
              <w:ind w:right="709"/>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89"/>
              <w:spacing w:after="0"/>
              <w:rPr>
                <w:sz w:val="20"/>
                <w:szCs w:val="20"/>
                <w:color w:val="auto"/>
              </w:rPr>
            </w:pPr>
            <w:r>
              <w:rPr>
                <w:rFonts w:ascii="Arial" w:cs="Arial" w:eastAsia="Arial" w:hAnsi="Arial"/>
                <w:sz w:val="14"/>
                <w:szCs w:val="14"/>
                <w:color w:val="auto"/>
              </w:rPr>
              <w:t>99</w:t>
            </w:r>
          </w:p>
        </w:tc>
        <w:tc>
          <w:tcPr>
            <w:tcW w:w="3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89"/>
              <w:spacing w:after="0"/>
              <w:rPr>
                <w:sz w:val="20"/>
                <w:szCs w:val="20"/>
                <w:color w:val="auto"/>
              </w:rPr>
            </w:pPr>
            <w:r>
              <w:rPr>
                <w:rFonts w:ascii="Arial" w:cs="Arial" w:eastAsia="Arial" w:hAnsi="Arial"/>
                <w:sz w:val="14"/>
                <w:szCs w:val="14"/>
                <w:color w:val="auto"/>
              </w:rPr>
              <w:t>4</w:t>
            </w:r>
          </w:p>
        </w:tc>
        <w:tc>
          <w:tcPr>
            <w:tcW w:w="3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103</w:t>
            </w:r>
          </w:p>
        </w:tc>
      </w:tr>
      <w:tr>
        <w:trPr>
          <w:trHeight w:val="213"/>
        </w:trPr>
        <w:tc>
          <w:tcPr>
            <w:tcW w:w="4960" w:type="dxa"/>
            <w:vAlign w:val="bottom"/>
            <w:gridSpan w:val="2"/>
          </w:tcPr>
          <w:p>
            <w:pPr>
              <w:ind w:left="160"/>
              <w:spacing w:after="0"/>
              <w:rPr>
                <w:sz w:val="20"/>
                <w:szCs w:val="20"/>
                <w:color w:val="auto"/>
              </w:rPr>
            </w:pPr>
            <w:r>
              <w:rPr>
                <w:rFonts w:ascii="Arial" w:cs="Arial" w:eastAsia="Arial" w:hAnsi="Arial"/>
                <w:sz w:val="14"/>
                <w:szCs w:val="14"/>
                <w:color w:val="auto"/>
              </w:rPr>
              <w:t>Municipal bonds(2)</w:t>
            </w:r>
          </w:p>
        </w:tc>
        <w:tc>
          <w:tcPr>
            <w:tcW w:w="1180" w:type="dxa"/>
            <w:vAlign w:val="bottom"/>
          </w:tcPr>
          <w:p>
            <w:pPr>
              <w:spacing w:after="0"/>
              <w:rPr>
                <w:sz w:val="18"/>
                <w:szCs w:val="18"/>
                <w:color w:val="auto"/>
              </w:rPr>
            </w:pPr>
          </w:p>
        </w:tc>
        <w:tc>
          <w:tcPr>
            <w:tcW w:w="480" w:type="dxa"/>
            <w:vAlign w:val="bottom"/>
          </w:tcPr>
          <w:p>
            <w:pPr>
              <w:jc w:val="right"/>
              <w:ind w:right="89"/>
              <w:spacing w:after="0"/>
              <w:rPr>
                <w:sz w:val="20"/>
                <w:szCs w:val="20"/>
                <w:color w:val="auto"/>
              </w:rPr>
            </w:pPr>
            <w:r>
              <w:rPr>
                <w:rFonts w:ascii="Arial" w:cs="Arial" w:eastAsia="Arial" w:hAnsi="Arial"/>
                <w:sz w:val="14"/>
                <w:szCs w:val="14"/>
                <w:color w:val="auto"/>
              </w:rPr>
              <w:t>114</w:t>
            </w:r>
          </w:p>
        </w:tc>
        <w:tc>
          <w:tcPr>
            <w:tcW w:w="380" w:type="dxa"/>
            <w:vAlign w:val="bottom"/>
          </w:tcPr>
          <w:p>
            <w:pPr>
              <w:spacing w:after="0"/>
              <w:rPr>
                <w:sz w:val="18"/>
                <w:szCs w:val="18"/>
                <w:color w:val="auto"/>
              </w:rPr>
            </w:pPr>
          </w:p>
        </w:tc>
        <w:tc>
          <w:tcPr>
            <w:tcW w:w="1260" w:type="dxa"/>
            <w:vAlign w:val="bottom"/>
          </w:tcPr>
          <w:p>
            <w:pPr>
              <w:jc w:val="right"/>
              <w:ind w:right="89"/>
              <w:spacing w:after="0"/>
              <w:rPr>
                <w:sz w:val="20"/>
                <w:szCs w:val="20"/>
                <w:color w:val="auto"/>
              </w:rPr>
            </w:pPr>
            <w:r>
              <w:rPr>
                <w:rFonts w:ascii="Arial" w:cs="Arial" w:eastAsia="Arial" w:hAnsi="Arial"/>
                <w:sz w:val="14"/>
                <w:szCs w:val="14"/>
                <w:color w:val="auto"/>
              </w:rPr>
              <w:t>7</w:t>
            </w:r>
          </w:p>
        </w:tc>
        <w:tc>
          <w:tcPr>
            <w:tcW w:w="380" w:type="dxa"/>
            <w:vAlign w:val="bottom"/>
          </w:tcPr>
          <w:p>
            <w:pPr>
              <w:spacing w:after="0"/>
              <w:rPr>
                <w:sz w:val="18"/>
                <w:szCs w:val="18"/>
                <w:color w:val="auto"/>
              </w:rPr>
            </w:pPr>
          </w:p>
        </w:tc>
        <w:tc>
          <w:tcPr>
            <w:tcW w:w="128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121</w:t>
            </w:r>
          </w:p>
        </w:tc>
      </w:tr>
      <w:tr>
        <w:trPr>
          <w:trHeight w:val="197"/>
        </w:trPr>
        <w:tc>
          <w:tcPr>
            <w:tcW w:w="4960" w:type="dxa"/>
            <w:vAlign w:val="bottom"/>
            <w:gridSpan w:val="2"/>
          </w:tcPr>
          <w:p>
            <w:pPr>
              <w:ind w:left="160"/>
              <w:spacing w:after="0"/>
              <w:rPr>
                <w:sz w:val="20"/>
                <w:szCs w:val="20"/>
                <w:color w:val="auto"/>
              </w:rPr>
            </w:pPr>
            <w:r>
              <w:rPr>
                <w:rFonts w:ascii="Arial" w:cs="Arial" w:eastAsia="Arial" w:hAnsi="Arial"/>
                <w:sz w:val="14"/>
                <w:szCs w:val="14"/>
                <w:color w:val="auto"/>
              </w:rPr>
              <w:t>Other securities(3)</w:t>
            </w:r>
          </w:p>
        </w:tc>
        <w:tc>
          <w:tcPr>
            <w:tcW w:w="11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198</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6</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(4)</w:t>
            </w:r>
          </w:p>
        </w:tc>
        <w:tc>
          <w:tcPr>
            <w:tcW w:w="4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w:t>
            </w:r>
          </w:p>
        </w:tc>
      </w:tr>
      <w:tr>
        <w:trPr>
          <w:trHeight w:val="221"/>
        </w:trPr>
        <w:tc>
          <w:tcPr>
            <w:tcW w:w="4960" w:type="dxa"/>
            <w:vAlign w:val="bottom"/>
            <w:gridSpan w:val="2"/>
          </w:tcPr>
          <w:p>
            <w:pPr>
              <w:spacing w:after="0"/>
              <w:rPr>
                <w:sz w:val="20"/>
                <w:szCs w:val="20"/>
                <w:color w:val="auto"/>
              </w:rPr>
            </w:pPr>
            <w:r>
              <w:rPr>
                <w:rFonts w:ascii="Arial" w:cs="Arial" w:eastAsia="Arial" w:hAnsi="Arial"/>
                <w:sz w:val="14"/>
                <w:szCs w:val="14"/>
                <w:color w:val="auto"/>
              </w:rPr>
              <w:t>Total debt securities</w:t>
            </w:r>
          </w:p>
        </w:tc>
        <w:tc>
          <w:tcPr>
            <w:tcW w:w="1180" w:type="dxa"/>
            <w:vAlign w:val="bottom"/>
          </w:tcPr>
          <w:p>
            <w:pPr>
              <w:spacing w:after="0"/>
              <w:rPr>
                <w:sz w:val="19"/>
                <w:szCs w:val="19"/>
                <w:color w:val="auto"/>
              </w:rPr>
            </w:pPr>
          </w:p>
        </w:tc>
        <w:tc>
          <w:tcPr>
            <w:tcW w:w="480" w:type="dxa"/>
            <w:vAlign w:val="bottom"/>
          </w:tcPr>
          <w:p>
            <w:pPr>
              <w:jc w:val="right"/>
              <w:ind w:right="89"/>
              <w:spacing w:after="0"/>
              <w:rPr>
                <w:sz w:val="20"/>
                <w:szCs w:val="20"/>
                <w:color w:val="auto"/>
              </w:rPr>
            </w:pPr>
            <w:r>
              <w:rPr>
                <w:rFonts w:ascii="Arial" w:cs="Arial" w:eastAsia="Arial" w:hAnsi="Arial"/>
                <w:sz w:val="14"/>
                <w:szCs w:val="14"/>
                <w:color w:val="auto"/>
              </w:rPr>
              <w:t>411</w:t>
            </w:r>
          </w:p>
        </w:tc>
        <w:tc>
          <w:tcPr>
            <w:tcW w:w="380" w:type="dxa"/>
            <w:vAlign w:val="bottom"/>
          </w:tcPr>
          <w:p>
            <w:pPr>
              <w:spacing w:after="0"/>
              <w:rPr>
                <w:sz w:val="19"/>
                <w:szCs w:val="19"/>
                <w:color w:val="auto"/>
              </w:rPr>
            </w:pPr>
          </w:p>
        </w:tc>
        <w:tc>
          <w:tcPr>
            <w:tcW w:w="1260" w:type="dxa"/>
            <w:vAlign w:val="bottom"/>
          </w:tcPr>
          <w:p>
            <w:pPr>
              <w:jc w:val="right"/>
              <w:ind w:right="89"/>
              <w:spacing w:after="0"/>
              <w:rPr>
                <w:sz w:val="20"/>
                <w:szCs w:val="20"/>
                <w:color w:val="auto"/>
              </w:rPr>
            </w:pPr>
            <w:r>
              <w:rPr>
                <w:rFonts w:ascii="Arial" w:cs="Arial" w:eastAsia="Arial" w:hAnsi="Arial"/>
                <w:sz w:val="14"/>
                <w:szCs w:val="14"/>
                <w:color w:val="auto"/>
              </w:rPr>
              <w:t>17</w:t>
            </w:r>
          </w:p>
        </w:tc>
        <w:tc>
          <w:tcPr>
            <w:tcW w:w="380" w:type="dxa"/>
            <w:vAlign w:val="bottom"/>
          </w:tcPr>
          <w:p>
            <w:pPr>
              <w:spacing w:after="0"/>
              <w:rPr>
                <w:sz w:val="19"/>
                <w:szCs w:val="19"/>
                <w:color w:val="auto"/>
              </w:rPr>
            </w:pPr>
          </w:p>
        </w:tc>
        <w:tc>
          <w:tcPr>
            <w:tcW w:w="1280" w:type="dxa"/>
            <w:vAlign w:val="bottom"/>
          </w:tcPr>
          <w:p>
            <w:pPr>
              <w:jc w:val="right"/>
              <w:ind w:right="109"/>
              <w:spacing w:after="0"/>
              <w:rPr>
                <w:sz w:val="20"/>
                <w:szCs w:val="20"/>
                <w:color w:val="auto"/>
              </w:rPr>
            </w:pPr>
            <w:r>
              <w:rPr>
                <w:rFonts w:ascii="Arial" w:cs="Arial" w:eastAsia="Arial" w:hAnsi="Arial"/>
                <w:sz w:val="14"/>
                <w:szCs w:val="14"/>
                <w:color w:val="auto"/>
              </w:rPr>
              <w:t>(4)</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424</w:t>
            </w:r>
          </w:p>
        </w:tc>
      </w:tr>
      <w:tr>
        <w:trPr>
          <w:trHeight w:val="213"/>
        </w:trPr>
        <w:tc>
          <w:tcPr>
            <w:tcW w:w="4960" w:type="dxa"/>
            <w:vAlign w:val="bottom"/>
            <w:gridSpan w:val="2"/>
          </w:tcPr>
          <w:p>
            <w:pPr>
              <w:spacing w:after="0"/>
              <w:rPr>
                <w:sz w:val="20"/>
                <w:szCs w:val="20"/>
                <w:color w:val="auto"/>
              </w:rPr>
            </w:pPr>
            <w:r>
              <w:rPr>
                <w:rFonts w:ascii="Arial" w:cs="Arial" w:eastAsia="Arial" w:hAnsi="Arial"/>
                <w:sz w:val="14"/>
                <w:szCs w:val="14"/>
                <w:color w:val="auto"/>
              </w:rPr>
              <w:t>Equity securities</w:t>
            </w:r>
          </w:p>
        </w:tc>
        <w:tc>
          <w:tcPr>
            <w:tcW w:w="1180" w:type="dxa"/>
            <w:vAlign w:val="bottom"/>
          </w:tcPr>
          <w:p>
            <w:pPr>
              <w:spacing w:after="0"/>
              <w:rPr>
                <w:sz w:val="18"/>
                <w:szCs w:val="18"/>
                <w:color w:val="auto"/>
              </w:rPr>
            </w:pPr>
          </w:p>
        </w:tc>
        <w:tc>
          <w:tcPr>
            <w:tcW w:w="480" w:type="dxa"/>
            <w:vAlign w:val="bottom"/>
          </w:tcPr>
          <w:p>
            <w:pPr>
              <w:jc w:val="right"/>
              <w:ind w:right="89"/>
              <w:spacing w:after="0"/>
              <w:rPr>
                <w:sz w:val="20"/>
                <w:szCs w:val="20"/>
                <w:color w:val="auto"/>
              </w:rPr>
            </w:pPr>
            <w:r>
              <w:rPr>
                <w:rFonts w:ascii="Arial" w:cs="Arial" w:eastAsia="Arial" w:hAnsi="Arial"/>
                <w:sz w:val="14"/>
                <w:szCs w:val="14"/>
                <w:color w:val="auto"/>
              </w:rPr>
              <w:t>212</w:t>
            </w:r>
          </w:p>
        </w:tc>
        <w:tc>
          <w:tcPr>
            <w:tcW w:w="380" w:type="dxa"/>
            <w:vAlign w:val="bottom"/>
          </w:tcPr>
          <w:p>
            <w:pPr>
              <w:spacing w:after="0"/>
              <w:rPr>
                <w:sz w:val="18"/>
                <w:szCs w:val="18"/>
                <w:color w:val="auto"/>
              </w:rPr>
            </w:pPr>
          </w:p>
        </w:tc>
        <w:tc>
          <w:tcPr>
            <w:tcW w:w="1260" w:type="dxa"/>
            <w:vAlign w:val="bottom"/>
          </w:tcPr>
          <w:p>
            <w:pPr>
              <w:jc w:val="right"/>
              <w:ind w:right="89"/>
              <w:spacing w:after="0"/>
              <w:rPr>
                <w:sz w:val="20"/>
                <w:szCs w:val="20"/>
                <w:color w:val="auto"/>
              </w:rPr>
            </w:pPr>
            <w:r>
              <w:rPr>
                <w:rFonts w:ascii="Arial" w:cs="Arial" w:eastAsia="Arial" w:hAnsi="Arial"/>
                <w:sz w:val="14"/>
                <w:szCs w:val="14"/>
                <w:color w:val="auto"/>
              </w:rPr>
              <w:t>427</w:t>
            </w:r>
          </w:p>
        </w:tc>
        <w:tc>
          <w:tcPr>
            <w:tcW w:w="380" w:type="dxa"/>
            <w:vAlign w:val="bottom"/>
          </w:tcPr>
          <w:p>
            <w:pPr>
              <w:spacing w:after="0"/>
              <w:rPr>
                <w:sz w:val="18"/>
                <w:szCs w:val="18"/>
                <w:color w:val="auto"/>
              </w:rPr>
            </w:pPr>
          </w:p>
        </w:tc>
        <w:tc>
          <w:tcPr>
            <w:tcW w:w="1280" w:type="dxa"/>
            <w:vAlign w:val="bottom"/>
          </w:tcPr>
          <w:p>
            <w:pPr>
              <w:jc w:val="right"/>
              <w:ind w:right="109"/>
              <w:spacing w:after="0"/>
              <w:rPr>
                <w:sz w:val="20"/>
                <w:szCs w:val="20"/>
                <w:color w:val="auto"/>
              </w:rPr>
            </w:pPr>
            <w:r>
              <w:rPr>
                <w:rFonts w:ascii="Arial" w:cs="Arial" w:eastAsia="Arial" w:hAnsi="Arial"/>
                <w:sz w:val="14"/>
                <w:szCs w:val="14"/>
                <w:color w:val="auto"/>
              </w:rPr>
              <w:t>(2)</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637</w:t>
            </w:r>
          </w:p>
        </w:tc>
      </w:tr>
      <w:tr>
        <w:trPr>
          <w:trHeight w:val="197"/>
        </w:trPr>
        <w:tc>
          <w:tcPr>
            <w:tcW w:w="4960" w:type="dxa"/>
            <w:vAlign w:val="bottom"/>
            <w:gridSpan w:val="2"/>
          </w:tcPr>
          <w:p>
            <w:pPr>
              <w:spacing w:after="0"/>
              <w:rPr>
                <w:sz w:val="20"/>
                <w:szCs w:val="20"/>
                <w:color w:val="auto"/>
              </w:rPr>
            </w:pPr>
            <w:r>
              <w:rPr>
                <w:rFonts w:ascii="Arial" w:cs="Arial" w:eastAsia="Arial" w:hAnsi="Arial"/>
                <w:sz w:val="14"/>
                <w:szCs w:val="14"/>
                <w:color w:val="auto"/>
              </w:rPr>
              <w:t>Cash and cash equivalents</w:t>
            </w:r>
          </w:p>
        </w:tc>
        <w:tc>
          <w:tcPr>
            <w:tcW w:w="11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26</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r>
      <w:tr>
        <w:trPr>
          <w:trHeight w:val="159"/>
        </w:trPr>
        <w:tc>
          <w:tcPr>
            <w:tcW w:w="340" w:type="dxa"/>
            <w:vAlign w:val="bottom"/>
            <w:tcBorders>
              <w:bottom w:val="single" w:sz="8" w:color="auto"/>
            </w:tcBorders>
          </w:tcPr>
          <w:p>
            <w:pPr>
              <w:spacing w:after="0" w:line="153" w:lineRule="exact"/>
              <w:rPr>
                <w:sz w:val="20"/>
                <w:szCs w:val="20"/>
                <w:color w:val="auto"/>
              </w:rPr>
            </w:pPr>
            <w:r>
              <w:rPr>
                <w:rFonts w:ascii="Arial" w:cs="Arial" w:eastAsia="Arial" w:hAnsi="Arial"/>
                <w:sz w:val="14"/>
                <w:szCs w:val="14"/>
                <w:color w:val="auto"/>
              </w:rPr>
              <w:t>Total</w:t>
            </w:r>
          </w:p>
        </w:tc>
        <w:tc>
          <w:tcPr>
            <w:tcW w:w="46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709"/>
              <w:spacing w:after="0" w:line="153" w:lineRule="exact"/>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ind w:right="89"/>
              <w:spacing w:after="0" w:line="153" w:lineRule="exact"/>
              <w:rPr>
                <w:sz w:val="20"/>
                <w:szCs w:val="20"/>
                <w:color w:val="auto"/>
              </w:rPr>
            </w:pPr>
            <w:r>
              <w:rPr>
                <w:rFonts w:ascii="Arial" w:cs="Arial" w:eastAsia="Arial" w:hAnsi="Arial"/>
                <w:sz w:val="14"/>
                <w:szCs w:val="14"/>
                <w:color w:val="auto"/>
              </w:rPr>
              <w:t>649</w:t>
            </w:r>
          </w:p>
        </w:tc>
        <w:tc>
          <w:tcPr>
            <w:tcW w:w="380" w:type="dxa"/>
            <w:vAlign w:val="bottom"/>
            <w:tcBorders>
              <w:bottom w:val="single" w:sz="8" w:color="auto"/>
            </w:tcBorders>
          </w:tcPr>
          <w:p>
            <w:pPr>
              <w:jc w:val="right"/>
              <w:ind w:right="69"/>
              <w:spacing w:after="0" w:line="153" w:lineRule="exact"/>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89"/>
              <w:spacing w:after="0" w:line="153" w:lineRule="exact"/>
              <w:rPr>
                <w:sz w:val="20"/>
                <w:szCs w:val="20"/>
                <w:color w:val="auto"/>
              </w:rPr>
            </w:pPr>
            <w:r>
              <w:rPr>
                <w:rFonts w:ascii="Arial" w:cs="Arial" w:eastAsia="Arial" w:hAnsi="Arial"/>
                <w:sz w:val="14"/>
                <w:szCs w:val="14"/>
                <w:color w:val="auto"/>
              </w:rPr>
              <w:t>444</w:t>
            </w:r>
          </w:p>
        </w:tc>
        <w:tc>
          <w:tcPr>
            <w:tcW w:w="380" w:type="dxa"/>
            <w:vAlign w:val="bottom"/>
            <w:tcBorders>
              <w:bottom w:val="single" w:sz="8" w:color="auto"/>
            </w:tcBorders>
          </w:tcPr>
          <w:p>
            <w:pPr>
              <w:jc w:val="right"/>
              <w:ind w:right="69"/>
              <w:spacing w:after="0" w:line="153" w:lineRule="exact"/>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109"/>
              <w:spacing w:after="0" w:line="153" w:lineRule="exact"/>
              <w:rPr>
                <w:sz w:val="20"/>
                <w:szCs w:val="20"/>
                <w:color w:val="auto"/>
              </w:rPr>
            </w:pPr>
            <w:r>
              <w:rPr>
                <w:rFonts w:ascii="Arial" w:cs="Arial" w:eastAsia="Arial" w:hAnsi="Arial"/>
                <w:sz w:val="14"/>
                <w:szCs w:val="14"/>
                <w:color w:val="auto"/>
              </w:rPr>
              <w:t>(6)</w:t>
            </w:r>
          </w:p>
        </w:tc>
        <w:tc>
          <w:tcPr>
            <w:tcW w:w="400" w:type="dxa"/>
            <w:vAlign w:val="bottom"/>
            <w:tcBorders>
              <w:bottom w:val="single" w:sz="8" w:color="auto"/>
            </w:tcBorders>
          </w:tcPr>
          <w:p>
            <w:pPr>
              <w:jc w:val="right"/>
              <w:ind w:right="89"/>
              <w:spacing w:after="0" w:line="153" w:lineRule="exact"/>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1,087</w:t>
            </w:r>
          </w:p>
        </w:tc>
      </w:tr>
      <w:tr>
        <w:trPr>
          <w:trHeight w:val="228"/>
        </w:trPr>
        <w:tc>
          <w:tcPr>
            <w:tcW w:w="4960" w:type="dxa"/>
            <w:vAlign w:val="bottom"/>
            <w:gridSpan w:val="2"/>
          </w:tcPr>
          <w:p>
            <w:pPr>
              <w:spacing w:after="0"/>
              <w:rPr>
                <w:sz w:val="20"/>
                <w:szCs w:val="20"/>
                <w:color w:val="auto"/>
              </w:rPr>
            </w:pPr>
            <w:r>
              <w:rPr>
                <w:rFonts w:ascii="Arial" w:cs="Arial" w:eastAsia="Arial" w:hAnsi="Arial"/>
                <w:sz w:val="14"/>
                <w:szCs w:val="14"/>
                <w:b w:val="1"/>
                <w:bCs w:val="1"/>
                <w:color w:val="auto"/>
              </w:rPr>
              <w:t>At December 31, 2013:</w:t>
            </w:r>
          </w:p>
        </w:tc>
        <w:tc>
          <w:tcPr>
            <w:tcW w:w="1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3"/>
        </w:trPr>
        <w:tc>
          <w:tcPr>
            <w:tcW w:w="4960" w:type="dxa"/>
            <w:vAlign w:val="bottom"/>
            <w:gridSpan w:val="2"/>
          </w:tcPr>
          <w:p>
            <w:pPr>
              <w:spacing w:after="0"/>
              <w:rPr>
                <w:sz w:val="20"/>
                <w:szCs w:val="20"/>
                <w:color w:val="auto"/>
              </w:rPr>
            </w:pPr>
            <w:r>
              <w:rPr>
                <w:rFonts w:ascii="Arial" w:cs="Arial" w:eastAsia="Arial" w:hAnsi="Arial"/>
                <w:sz w:val="14"/>
                <w:szCs w:val="14"/>
                <w:color w:val="auto"/>
              </w:rPr>
              <w:t>Debt securities:</w:t>
            </w: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2"/>
        </w:trPr>
        <w:tc>
          <w:tcPr>
            <w:tcW w:w="4960" w:type="dxa"/>
            <w:vAlign w:val="bottom"/>
            <w:gridSpan w:val="2"/>
          </w:tcPr>
          <w:p>
            <w:pPr>
              <w:ind w:left="160"/>
              <w:spacing w:after="0"/>
              <w:rPr>
                <w:sz w:val="20"/>
                <w:szCs w:val="20"/>
                <w:color w:val="auto"/>
              </w:rPr>
            </w:pPr>
            <w:r>
              <w:rPr>
                <w:rFonts w:ascii="Arial" w:cs="Arial" w:eastAsia="Arial" w:hAnsi="Arial"/>
                <w:sz w:val="14"/>
                <w:szCs w:val="14"/>
                <w:color w:val="auto"/>
              </w:rPr>
              <w:t>Debt securities issued by the U.S. Treasury and other</w:t>
            </w:r>
          </w:p>
        </w:tc>
        <w:tc>
          <w:tcPr>
            <w:tcW w:w="1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70"/>
        </w:trPr>
        <w:tc>
          <w:tcPr>
            <w:tcW w:w="340" w:type="dxa"/>
            <w:vAlign w:val="bottom"/>
          </w:tcPr>
          <w:p>
            <w:pPr>
              <w:spacing w:after="0"/>
              <w:rPr>
                <w:sz w:val="14"/>
                <w:szCs w:val="14"/>
                <w:color w:val="auto"/>
              </w:rPr>
            </w:pPr>
          </w:p>
        </w:tc>
        <w:tc>
          <w:tcPr>
            <w:tcW w:w="4620" w:type="dxa"/>
            <w:vAlign w:val="bottom"/>
          </w:tcPr>
          <w:p>
            <w:pPr>
              <w:ind w:left="20"/>
              <w:spacing w:after="0"/>
              <w:rPr>
                <w:sz w:val="20"/>
                <w:szCs w:val="20"/>
                <w:color w:val="auto"/>
              </w:rPr>
            </w:pPr>
            <w:r>
              <w:rPr>
                <w:rFonts w:ascii="Arial" w:cs="Arial" w:eastAsia="Arial" w:hAnsi="Arial"/>
                <w:sz w:val="14"/>
                <w:szCs w:val="14"/>
                <w:color w:val="auto"/>
              </w:rPr>
              <w:t>U.S. government corporations and agencies</w:t>
            </w:r>
          </w:p>
        </w:tc>
        <w:tc>
          <w:tcPr>
            <w:tcW w:w="1180" w:type="dxa"/>
            <w:vAlign w:val="bottom"/>
          </w:tcPr>
          <w:p>
            <w:pPr>
              <w:jc w:val="right"/>
              <w:ind w:right="709"/>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89"/>
              <w:spacing w:after="0"/>
              <w:rPr>
                <w:sz w:val="20"/>
                <w:szCs w:val="20"/>
                <w:color w:val="auto"/>
              </w:rPr>
            </w:pPr>
            <w:r>
              <w:rPr>
                <w:rFonts w:ascii="Arial" w:cs="Arial" w:eastAsia="Arial" w:hAnsi="Arial"/>
                <w:sz w:val="14"/>
                <w:szCs w:val="14"/>
                <w:color w:val="auto"/>
              </w:rPr>
              <w:t>116</w:t>
            </w:r>
          </w:p>
        </w:tc>
        <w:tc>
          <w:tcPr>
            <w:tcW w:w="3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89"/>
              <w:spacing w:after="0"/>
              <w:rPr>
                <w:sz w:val="20"/>
                <w:szCs w:val="20"/>
                <w:color w:val="auto"/>
              </w:rPr>
            </w:pPr>
            <w:r>
              <w:rPr>
                <w:rFonts w:ascii="Arial" w:cs="Arial" w:eastAsia="Arial" w:hAnsi="Arial"/>
                <w:sz w:val="14"/>
                <w:szCs w:val="14"/>
                <w:color w:val="auto"/>
              </w:rPr>
              <w:t>3</w:t>
            </w:r>
          </w:p>
        </w:tc>
        <w:tc>
          <w:tcPr>
            <w:tcW w:w="3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09"/>
              <w:spacing w:after="0"/>
              <w:rPr>
                <w:sz w:val="20"/>
                <w:szCs w:val="20"/>
                <w:color w:val="auto"/>
              </w:rPr>
            </w:pPr>
            <w:r>
              <w:rPr>
                <w:rFonts w:ascii="Arial" w:cs="Arial" w:eastAsia="Arial" w:hAnsi="Arial"/>
                <w:sz w:val="14"/>
                <w:szCs w:val="14"/>
                <w:color w:val="auto"/>
              </w:rPr>
              <w:t>(2)</w:t>
            </w:r>
          </w:p>
        </w:tc>
        <w:tc>
          <w:tcPr>
            <w:tcW w:w="40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117</w:t>
            </w:r>
          </w:p>
        </w:tc>
      </w:tr>
      <w:tr>
        <w:trPr>
          <w:trHeight w:val="213"/>
        </w:trPr>
        <w:tc>
          <w:tcPr>
            <w:tcW w:w="4960" w:type="dxa"/>
            <w:vAlign w:val="bottom"/>
            <w:gridSpan w:val="2"/>
          </w:tcPr>
          <w:p>
            <w:pPr>
              <w:ind w:left="160"/>
              <w:spacing w:after="0"/>
              <w:rPr>
                <w:sz w:val="20"/>
                <w:szCs w:val="20"/>
                <w:color w:val="auto"/>
              </w:rPr>
            </w:pPr>
            <w:r>
              <w:rPr>
                <w:rFonts w:ascii="Arial" w:cs="Arial" w:eastAsia="Arial" w:hAnsi="Arial"/>
                <w:sz w:val="14"/>
                <w:szCs w:val="14"/>
                <w:color w:val="auto"/>
              </w:rPr>
              <w:t>Municipal bonds</w:t>
            </w:r>
          </w:p>
        </w:tc>
        <w:tc>
          <w:tcPr>
            <w:tcW w:w="1180" w:type="dxa"/>
            <w:vAlign w:val="bottom"/>
          </w:tcPr>
          <w:p>
            <w:pPr>
              <w:spacing w:after="0"/>
              <w:rPr>
                <w:sz w:val="18"/>
                <w:szCs w:val="18"/>
                <w:color w:val="auto"/>
              </w:rPr>
            </w:pPr>
          </w:p>
        </w:tc>
        <w:tc>
          <w:tcPr>
            <w:tcW w:w="480" w:type="dxa"/>
            <w:vAlign w:val="bottom"/>
          </w:tcPr>
          <w:p>
            <w:pPr>
              <w:jc w:val="right"/>
              <w:ind w:right="89"/>
              <w:spacing w:after="0"/>
              <w:rPr>
                <w:sz w:val="20"/>
                <w:szCs w:val="20"/>
                <w:color w:val="auto"/>
              </w:rPr>
            </w:pPr>
            <w:r>
              <w:rPr>
                <w:rFonts w:ascii="Arial" w:cs="Arial" w:eastAsia="Arial" w:hAnsi="Arial"/>
                <w:sz w:val="14"/>
                <w:szCs w:val="14"/>
                <w:color w:val="auto"/>
              </w:rPr>
              <w:t>110</w:t>
            </w:r>
          </w:p>
        </w:tc>
        <w:tc>
          <w:tcPr>
            <w:tcW w:w="380" w:type="dxa"/>
            <w:vAlign w:val="bottom"/>
          </w:tcPr>
          <w:p>
            <w:pPr>
              <w:spacing w:after="0"/>
              <w:rPr>
                <w:sz w:val="18"/>
                <w:szCs w:val="18"/>
                <w:color w:val="auto"/>
              </w:rPr>
            </w:pPr>
          </w:p>
        </w:tc>
        <w:tc>
          <w:tcPr>
            <w:tcW w:w="1260" w:type="dxa"/>
            <w:vAlign w:val="bottom"/>
          </w:tcPr>
          <w:p>
            <w:pPr>
              <w:jc w:val="right"/>
              <w:ind w:right="89"/>
              <w:spacing w:after="0"/>
              <w:rPr>
                <w:sz w:val="20"/>
                <w:szCs w:val="20"/>
                <w:color w:val="auto"/>
              </w:rPr>
            </w:pPr>
            <w:r>
              <w:rPr>
                <w:rFonts w:ascii="Arial" w:cs="Arial" w:eastAsia="Arial" w:hAnsi="Arial"/>
                <w:sz w:val="14"/>
                <w:szCs w:val="14"/>
                <w:color w:val="auto"/>
              </w:rPr>
              <w:t>2</w:t>
            </w:r>
          </w:p>
        </w:tc>
        <w:tc>
          <w:tcPr>
            <w:tcW w:w="380" w:type="dxa"/>
            <w:vAlign w:val="bottom"/>
          </w:tcPr>
          <w:p>
            <w:pPr>
              <w:spacing w:after="0"/>
              <w:rPr>
                <w:sz w:val="18"/>
                <w:szCs w:val="18"/>
                <w:color w:val="auto"/>
              </w:rPr>
            </w:pPr>
          </w:p>
        </w:tc>
        <w:tc>
          <w:tcPr>
            <w:tcW w:w="1280" w:type="dxa"/>
            <w:vAlign w:val="bottom"/>
          </w:tcPr>
          <w:p>
            <w:pPr>
              <w:jc w:val="right"/>
              <w:ind w:right="109"/>
              <w:spacing w:after="0"/>
              <w:rPr>
                <w:sz w:val="20"/>
                <w:szCs w:val="20"/>
                <w:color w:val="auto"/>
              </w:rPr>
            </w:pPr>
            <w:r>
              <w:rPr>
                <w:rFonts w:ascii="Arial" w:cs="Arial" w:eastAsia="Arial" w:hAnsi="Arial"/>
                <w:sz w:val="14"/>
                <w:szCs w:val="14"/>
                <w:color w:val="auto"/>
              </w:rPr>
              <w:t>(1)</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111</w:t>
            </w:r>
          </w:p>
        </w:tc>
      </w:tr>
      <w:tr>
        <w:trPr>
          <w:trHeight w:val="197"/>
        </w:trPr>
        <w:tc>
          <w:tcPr>
            <w:tcW w:w="4960" w:type="dxa"/>
            <w:vAlign w:val="bottom"/>
            <w:gridSpan w:val="2"/>
          </w:tcPr>
          <w:p>
            <w:pPr>
              <w:ind w:left="160"/>
              <w:spacing w:after="0"/>
              <w:rPr>
                <w:sz w:val="20"/>
                <w:szCs w:val="20"/>
                <w:color w:val="auto"/>
              </w:rPr>
            </w:pPr>
            <w:r>
              <w:rPr>
                <w:rFonts w:ascii="Arial" w:cs="Arial" w:eastAsia="Arial" w:hAnsi="Arial"/>
                <w:sz w:val="14"/>
                <w:szCs w:val="14"/>
                <w:color w:val="auto"/>
              </w:rPr>
              <w:t>Other securities</w:t>
            </w:r>
          </w:p>
        </w:tc>
        <w:tc>
          <w:tcPr>
            <w:tcW w:w="11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155</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3</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(5)</w:t>
            </w:r>
          </w:p>
        </w:tc>
        <w:tc>
          <w:tcPr>
            <w:tcW w:w="4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w:t>
            </w:r>
          </w:p>
        </w:tc>
      </w:tr>
      <w:tr>
        <w:trPr>
          <w:trHeight w:val="221"/>
        </w:trPr>
        <w:tc>
          <w:tcPr>
            <w:tcW w:w="4960" w:type="dxa"/>
            <w:vAlign w:val="bottom"/>
            <w:gridSpan w:val="2"/>
          </w:tcPr>
          <w:p>
            <w:pPr>
              <w:spacing w:after="0"/>
              <w:rPr>
                <w:sz w:val="20"/>
                <w:szCs w:val="20"/>
                <w:color w:val="auto"/>
              </w:rPr>
            </w:pPr>
            <w:r>
              <w:rPr>
                <w:rFonts w:ascii="Arial" w:cs="Arial" w:eastAsia="Arial" w:hAnsi="Arial"/>
                <w:sz w:val="14"/>
                <w:szCs w:val="14"/>
                <w:color w:val="auto"/>
              </w:rPr>
              <w:t>Total debt securities</w:t>
            </w:r>
          </w:p>
        </w:tc>
        <w:tc>
          <w:tcPr>
            <w:tcW w:w="1180" w:type="dxa"/>
            <w:vAlign w:val="bottom"/>
          </w:tcPr>
          <w:p>
            <w:pPr>
              <w:spacing w:after="0"/>
              <w:rPr>
                <w:sz w:val="19"/>
                <w:szCs w:val="19"/>
                <w:color w:val="auto"/>
              </w:rPr>
            </w:pPr>
          </w:p>
        </w:tc>
        <w:tc>
          <w:tcPr>
            <w:tcW w:w="480" w:type="dxa"/>
            <w:vAlign w:val="bottom"/>
          </w:tcPr>
          <w:p>
            <w:pPr>
              <w:jc w:val="right"/>
              <w:ind w:right="89"/>
              <w:spacing w:after="0"/>
              <w:rPr>
                <w:sz w:val="20"/>
                <w:szCs w:val="20"/>
                <w:color w:val="auto"/>
              </w:rPr>
            </w:pPr>
            <w:r>
              <w:rPr>
                <w:rFonts w:ascii="Arial" w:cs="Arial" w:eastAsia="Arial" w:hAnsi="Arial"/>
                <w:sz w:val="14"/>
                <w:szCs w:val="14"/>
                <w:color w:val="auto"/>
              </w:rPr>
              <w:t>381</w:t>
            </w:r>
          </w:p>
        </w:tc>
        <w:tc>
          <w:tcPr>
            <w:tcW w:w="380" w:type="dxa"/>
            <w:vAlign w:val="bottom"/>
          </w:tcPr>
          <w:p>
            <w:pPr>
              <w:spacing w:after="0"/>
              <w:rPr>
                <w:sz w:val="19"/>
                <w:szCs w:val="19"/>
                <w:color w:val="auto"/>
              </w:rPr>
            </w:pPr>
          </w:p>
        </w:tc>
        <w:tc>
          <w:tcPr>
            <w:tcW w:w="1260" w:type="dxa"/>
            <w:vAlign w:val="bottom"/>
          </w:tcPr>
          <w:p>
            <w:pPr>
              <w:jc w:val="right"/>
              <w:ind w:right="89"/>
              <w:spacing w:after="0"/>
              <w:rPr>
                <w:sz w:val="20"/>
                <w:szCs w:val="20"/>
                <w:color w:val="auto"/>
              </w:rPr>
            </w:pPr>
            <w:r>
              <w:rPr>
                <w:rFonts w:ascii="Arial" w:cs="Arial" w:eastAsia="Arial" w:hAnsi="Arial"/>
                <w:sz w:val="14"/>
                <w:szCs w:val="14"/>
                <w:color w:val="auto"/>
              </w:rPr>
              <w:t>8</w:t>
            </w:r>
          </w:p>
        </w:tc>
        <w:tc>
          <w:tcPr>
            <w:tcW w:w="380" w:type="dxa"/>
            <w:vAlign w:val="bottom"/>
          </w:tcPr>
          <w:p>
            <w:pPr>
              <w:spacing w:after="0"/>
              <w:rPr>
                <w:sz w:val="19"/>
                <w:szCs w:val="19"/>
                <w:color w:val="auto"/>
              </w:rPr>
            </w:pPr>
          </w:p>
        </w:tc>
        <w:tc>
          <w:tcPr>
            <w:tcW w:w="1280" w:type="dxa"/>
            <w:vAlign w:val="bottom"/>
          </w:tcPr>
          <w:p>
            <w:pPr>
              <w:jc w:val="right"/>
              <w:ind w:right="109"/>
              <w:spacing w:after="0"/>
              <w:rPr>
                <w:sz w:val="20"/>
                <w:szCs w:val="20"/>
                <w:color w:val="auto"/>
              </w:rPr>
            </w:pPr>
            <w:r>
              <w:rPr>
                <w:rFonts w:ascii="Arial" w:cs="Arial" w:eastAsia="Arial" w:hAnsi="Arial"/>
                <w:sz w:val="14"/>
                <w:szCs w:val="14"/>
                <w:color w:val="auto"/>
              </w:rPr>
              <w:t>(8)</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381</w:t>
            </w:r>
          </w:p>
        </w:tc>
      </w:tr>
      <w:tr>
        <w:trPr>
          <w:trHeight w:val="213"/>
        </w:trPr>
        <w:tc>
          <w:tcPr>
            <w:tcW w:w="4960" w:type="dxa"/>
            <w:vAlign w:val="bottom"/>
            <w:gridSpan w:val="2"/>
          </w:tcPr>
          <w:p>
            <w:pPr>
              <w:spacing w:after="0"/>
              <w:rPr>
                <w:sz w:val="20"/>
                <w:szCs w:val="20"/>
                <w:color w:val="auto"/>
              </w:rPr>
            </w:pPr>
            <w:r>
              <w:rPr>
                <w:rFonts w:ascii="Arial" w:cs="Arial" w:eastAsia="Arial" w:hAnsi="Arial"/>
                <w:sz w:val="14"/>
                <w:szCs w:val="14"/>
                <w:color w:val="auto"/>
              </w:rPr>
              <w:t>Equity securities</w:t>
            </w:r>
          </w:p>
        </w:tc>
        <w:tc>
          <w:tcPr>
            <w:tcW w:w="1180" w:type="dxa"/>
            <w:vAlign w:val="bottom"/>
          </w:tcPr>
          <w:p>
            <w:pPr>
              <w:spacing w:after="0"/>
              <w:rPr>
                <w:sz w:val="18"/>
                <w:szCs w:val="18"/>
                <w:color w:val="auto"/>
              </w:rPr>
            </w:pPr>
          </w:p>
        </w:tc>
        <w:tc>
          <w:tcPr>
            <w:tcW w:w="480" w:type="dxa"/>
            <w:vAlign w:val="bottom"/>
          </w:tcPr>
          <w:p>
            <w:pPr>
              <w:jc w:val="right"/>
              <w:ind w:right="89"/>
              <w:spacing w:after="0"/>
              <w:rPr>
                <w:sz w:val="20"/>
                <w:szCs w:val="20"/>
                <w:color w:val="auto"/>
              </w:rPr>
            </w:pPr>
            <w:r>
              <w:rPr>
                <w:rFonts w:ascii="Arial" w:cs="Arial" w:eastAsia="Arial" w:hAnsi="Arial"/>
                <w:sz w:val="14"/>
                <w:szCs w:val="14"/>
                <w:color w:val="auto"/>
              </w:rPr>
              <w:t>207</w:t>
            </w:r>
          </w:p>
        </w:tc>
        <w:tc>
          <w:tcPr>
            <w:tcW w:w="380" w:type="dxa"/>
            <w:vAlign w:val="bottom"/>
          </w:tcPr>
          <w:p>
            <w:pPr>
              <w:spacing w:after="0"/>
              <w:rPr>
                <w:sz w:val="18"/>
                <w:szCs w:val="18"/>
                <w:color w:val="auto"/>
              </w:rPr>
            </w:pPr>
          </w:p>
        </w:tc>
        <w:tc>
          <w:tcPr>
            <w:tcW w:w="1260" w:type="dxa"/>
            <w:vAlign w:val="bottom"/>
          </w:tcPr>
          <w:p>
            <w:pPr>
              <w:jc w:val="right"/>
              <w:ind w:right="89"/>
              <w:spacing w:after="0"/>
              <w:rPr>
                <w:sz w:val="20"/>
                <w:szCs w:val="20"/>
                <w:color w:val="auto"/>
              </w:rPr>
            </w:pPr>
            <w:r>
              <w:rPr>
                <w:rFonts w:ascii="Arial" w:cs="Arial" w:eastAsia="Arial" w:hAnsi="Arial"/>
                <w:sz w:val="14"/>
                <w:szCs w:val="14"/>
                <w:color w:val="auto"/>
              </w:rPr>
              <w:t>409</w:t>
            </w:r>
          </w:p>
        </w:tc>
        <w:tc>
          <w:tcPr>
            <w:tcW w:w="380" w:type="dxa"/>
            <w:vAlign w:val="bottom"/>
          </w:tcPr>
          <w:p>
            <w:pPr>
              <w:spacing w:after="0"/>
              <w:rPr>
                <w:sz w:val="18"/>
                <w:szCs w:val="18"/>
                <w:color w:val="auto"/>
              </w:rPr>
            </w:pPr>
          </w:p>
        </w:tc>
        <w:tc>
          <w:tcPr>
            <w:tcW w:w="1280" w:type="dxa"/>
            <w:vAlign w:val="bottom"/>
          </w:tcPr>
          <w:p>
            <w:pPr>
              <w:jc w:val="right"/>
              <w:ind w:right="109"/>
              <w:spacing w:after="0"/>
              <w:rPr>
                <w:sz w:val="20"/>
                <w:szCs w:val="20"/>
                <w:color w:val="auto"/>
              </w:rPr>
            </w:pPr>
            <w:r>
              <w:rPr>
                <w:rFonts w:ascii="Arial" w:cs="Arial" w:eastAsia="Arial" w:hAnsi="Arial"/>
                <w:sz w:val="14"/>
                <w:szCs w:val="14"/>
                <w:color w:val="auto"/>
              </w:rPr>
              <w:t>(2)</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614</w:t>
            </w:r>
          </w:p>
        </w:tc>
      </w:tr>
      <w:tr>
        <w:trPr>
          <w:trHeight w:val="197"/>
        </w:trPr>
        <w:tc>
          <w:tcPr>
            <w:tcW w:w="4960" w:type="dxa"/>
            <w:vAlign w:val="bottom"/>
            <w:gridSpan w:val="2"/>
          </w:tcPr>
          <w:p>
            <w:pPr>
              <w:spacing w:after="0"/>
              <w:rPr>
                <w:sz w:val="20"/>
                <w:szCs w:val="20"/>
                <w:color w:val="auto"/>
              </w:rPr>
            </w:pPr>
            <w:r>
              <w:rPr>
                <w:rFonts w:ascii="Arial" w:cs="Arial" w:eastAsia="Arial" w:hAnsi="Arial"/>
                <w:sz w:val="14"/>
                <w:szCs w:val="14"/>
                <w:color w:val="auto"/>
              </w:rPr>
              <w:t>Cash and cash equivalents</w:t>
            </w:r>
          </w:p>
        </w:tc>
        <w:tc>
          <w:tcPr>
            <w:tcW w:w="11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39</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r>
      <w:tr>
        <w:trPr>
          <w:trHeight w:val="159"/>
        </w:trPr>
        <w:tc>
          <w:tcPr>
            <w:tcW w:w="340" w:type="dxa"/>
            <w:vAlign w:val="bottom"/>
            <w:tcBorders>
              <w:bottom w:val="single" w:sz="8" w:color="auto"/>
            </w:tcBorders>
          </w:tcPr>
          <w:p>
            <w:pPr>
              <w:spacing w:after="0" w:line="153" w:lineRule="exact"/>
              <w:rPr>
                <w:sz w:val="20"/>
                <w:szCs w:val="20"/>
                <w:color w:val="auto"/>
              </w:rPr>
            </w:pPr>
            <w:r>
              <w:rPr>
                <w:rFonts w:ascii="Arial" w:cs="Arial" w:eastAsia="Arial" w:hAnsi="Arial"/>
                <w:sz w:val="14"/>
                <w:szCs w:val="14"/>
                <w:color w:val="auto"/>
              </w:rPr>
              <w:t>Total</w:t>
            </w:r>
          </w:p>
        </w:tc>
        <w:tc>
          <w:tcPr>
            <w:tcW w:w="46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709"/>
              <w:spacing w:after="0" w:line="153" w:lineRule="exact"/>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ind w:right="89"/>
              <w:spacing w:after="0" w:line="153" w:lineRule="exact"/>
              <w:rPr>
                <w:sz w:val="20"/>
                <w:szCs w:val="20"/>
                <w:color w:val="auto"/>
              </w:rPr>
            </w:pPr>
            <w:r>
              <w:rPr>
                <w:rFonts w:ascii="Arial" w:cs="Arial" w:eastAsia="Arial" w:hAnsi="Arial"/>
                <w:sz w:val="14"/>
                <w:szCs w:val="14"/>
                <w:color w:val="auto"/>
              </w:rPr>
              <w:t>627</w:t>
            </w:r>
          </w:p>
        </w:tc>
        <w:tc>
          <w:tcPr>
            <w:tcW w:w="380" w:type="dxa"/>
            <w:vAlign w:val="bottom"/>
            <w:tcBorders>
              <w:bottom w:val="single" w:sz="8" w:color="auto"/>
            </w:tcBorders>
          </w:tcPr>
          <w:p>
            <w:pPr>
              <w:jc w:val="right"/>
              <w:ind w:right="69"/>
              <w:spacing w:after="0" w:line="153" w:lineRule="exact"/>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89"/>
              <w:spacing w:after="0" w:line="153" w:lineRule="exact"/>
              <w:rPr>
                <w:sz w:val="20"/>
                <w:szCs w:val="20"/>
                <w:color w:val="auto"/>
              </w:rPr>
            </w:pPr>
            <w:r>
              <w:rPr>
                <w:rFonts w:ascii="Arial" w:cs="Arial" w:eastAsia="Arial" w:hAnsi="Arial"/>
                <w:sz w:val="14"/>
                <w:szCs w:val="14"/>
                <w:color w:val="auto"/>
              </w:rPr>
              <w:t>417</w:t>
            </w:r>
          </w:p>
        </w:tc>
        <w:tc>
          <w:tcPr>
            <w:tcW w:w="380" w:type="dxa"/>
            <w:vAlign w:val="bottom"/>
            <w:tcBorders>
              <w:bottom w:val="single" w:sz="8" w:color="auto"/>
            </w:tcBorders>
          </w:tcPr>
          <w:p>
            <w:pPr>
              <w:jc w:val="right"/>
              <w:ind w:right="69"/>
              <w:spacing w:after="0" w:line="153" w:lineRule="exact"/>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109"/>
              <w:spacing w:after="0" w:line="153" w:lineRule="exact"/>
              <w:rPr>
                <w:sz w:val="20"/>
                <w:szCs w:val="20"/>
                <w:color w:val="auto"/>
              </w:rPr>
            </w:pPr>
            <w:r>
              <w:rPr>
                <w:rFonts w:ascii="Arial" w:cs="Arial" w:eastAsia="Arial" w:hAnsi="Arial"/>
                <w:sz w:val="14"/>
                <w:szCs w:val="14"/>
                <w:color w:val="auto"/>
              </w:rPr>
              <w:t>(10)</w:t>
            </w:r>
          </w:p>
        </w:tc>
        <w:tc>
          <w:tcPr>
            <w:tcW w:w="400" w:type="dxa"/>
            <w:vAlign w:val="bottom"/>
            <w:tcBorders>
              <w:bottom w:val="single" w:sz="8" w:color="auto"/>
            </w:tcBorders>
          </w:tcPr>
          <w:p>
            <w:pPr>
              <w:jc w:val="right"/>
              <w:ind w:right="89"/>
              <w:spacing w:after="0" w:line="153" w:lineRule="exact"/>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1,034</w:t>
            </w:r>
          </w:p>
        </w:tc>
      </w:tr>
      <w:tr>
        <w:trPr>
          <w:trHeight w:val="150"/>
        </w:trPr>
        <w:tc>
          <w:tcPr>
            <w:tcW w:w="340" w:type="dxa"/>
            <w:vAlign w:val="bottom"/>
          </w:tcPr>
          <w:p>
            <w:pPr>
              <w:spacing w:after="0" w:line="150" w:lineRule="exact"/>
              <w:rPr>
                <w:sz w:val="20"/>
                <w:szCs w:val="20"/>
                <w:color w:val="auto"/>
              </w:rPr>
            </w:pPr>
            <w:r>
              <w:rPr>
                <w:rFonts w:ascii="Arial" w:cs="Arial" w:eastAsia="Arial" w:hAnsi="Arial"/>
                <w:sz w:val="14"/>
                <w:szCs w:val="14"/>
                <w:i w:val="1"/>
                <w:iCs w:val="1"/>
                <w:color w:val="auto"/>
              </w:rPr>
              <w:t>(1)</w:t>
            </w:r>
          </w:p>
        </w:tc>
        <w:tc>
          <w:tcPr>
            <w:tcW w:w="4620" w:type="dxa"/>
            <w:vAlign w:val="bottom"/>
          </w:tcPr>
          <w:p>
            <w:pPr>
              <w:ind w:left="220"/>
              <w:spacing w:after="0" w:line="150" w:lineRule="exact"/>
              <w:rPr>
                <w:sz w:val="20"/>
                <w:szCs w:val="20"/>
                <w:color w:val="auto"/>
              </w:rPr>
            </w:pPr>
            <w:r>
              <w:rPr>
                <w:rFonts w:ascii="Arial" w:cs="Arial" w:eastAsia="Arial" w:hAnsi="Arial"/>
                <w:sz w:val="14"/>
                <w:szCs w:val="14"/>
                <w:i w:val="1"/>
                <w:iCs w:val="1"/>
                <w:color w:val="auto"/>
              </w:rPr>
              <w:t>Maturity dates are 2016-2060</w:t>
            </w:r>
          </w:p>
        </w:tc>
        <w:tc>
          <w:tcPr>
            <w:tcW w:w="1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9"/>
        </w:trPr>
        <w:tc>
          <w:tcPr>
            <w:tcW w:w="340" w:type="dxa"/>
            <w:vAlign w:val="bottom"/>
          </w:tcPr>
          <w:p>
            <w:pPr>
              <w:spacing w:after="0" w:line="159" w:lineRule="exact"/>
              <w:rPr>
                <w:sz w:val="20"/>
                <w:szCs w:val="20"/>
                <w:color w:val="auto"/>
              </w:rPr>
            </w:pPr>
            <w:r>
              <w:rPr>
                <w:rFonts w:ascii="Arial" w:cs="Arial" w:eastAsia="Arial" w:hAnsi="Arial"/>
                <w:sz w:val="14"/>
                <w:szCs w:val="14"/>
                <w:i w:val="1"/>
                <w:iCs w:val="1"/>
                <w:color w:val="auto"/>
              </w:rPr>
              <w:t>(2)</w:t>
            </w:r>
          </w:p>
        </w:tc>
        <w:tc>
          <w:tcPr>
            <w:tcW w:w="4620" w:type="dxa"/>
            <w:vAlign w:val="bottom"/>
          </w:tcPr>
          <w:p>
            <w:pPr>
              <w:ind w:left="220"/>
              <w:spacing w:after="0" w:line="159" w:lineRule="exact"/>
              <w:rPr>
                <w:sz w:val="20"/>
                <w:szCs w:val="20"/>
                <w:color w:val="auto"/>
              </w:rPr>
            </w:pPr>
            <w:r>
              <w:rPr>
                <w:rFonts w:ascii="Arial" w:cs="Arial" w:eastAsia="Arial" w:hAnsi="Arial"/>
                <w:sz w:val="14"/>
                <w:szCs w:val="14"/>
                <w:i w:val="1"/>
                <w:iCs w:val="1"/>
                <w:color w:val="auto"/>
              </w:rPr>
              <w:t>Maturity dates are 2014-2062</w:t>
            </w:r>
          </w:p>
        </w:tc>
        <w:tc>
          <w:tcPr>
            <w:tcW w:w="1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84"/>
        </w:trPr>
        <w:tc>
          <w:tcPr>
            <w:tcW w:w="340" w:type="dxa"/>
            <w:vAlign w:val="bottom"/>
          </w:tcPr>
          <w:p>
            <w:pPr>
              <w:spacing w:after="0"/>
              <w:rPr>
                <w:sz w:val="20"/>
                <w:szCs w:val="20"/>
                <w:color w:val="auto"/>
              </w:rPr>
            </w:pPr>
            <w:r>
              <w:rPr>
                <w:rFonts w:ascii="Arial" w:cs="Arial" w:eastAsia="Arial" w:hAnsi="Arial"/>
                <w:sz w:val="14"/>
                <w:szCs w:val="14"/>
                <w:i w:val="1"/>
                <w:iCs w:val="1"/>
                <w:color w:val="auto"/>
              </w:rPr>
              <w:t>(3)</w:t>
            </w:r>
          </w:p>
        </w:tc>
        <w:tc>
          <w:tcPr>
            <w:tcW w:w="4620" w:type="dxa"/>
            <w:vAlign w:val="bottom"/>
          </w:tcPr>
          <w:p>
            <w:pPr>
              <w:ind w:left="220"/>
              <w:spacing w:after="0"/>
              <w:rPr>
                <w:sz w:val="20"/>
                <w:szCs w:val="20"/>
                <w:color w:val="auto"/>
              </w:rPr>
            </w:pPr>
            <w:r>
              <w:rPr>
                <w:rFonts w:ascii="Arial" w:cs="Arial" w:eastAsia="Arial" w:hAnsi="Arial"/>
                <w:sz w:val="14"/>
                <w:szCs w:val="14"/>
                <w:i w:val="1"/>
                <w:iCs w:val="1"/>
                <w:color w:val="auto"/>
              </w:rPr>
              <w:t>Maturity dates are 2014-2096</w:t>
            </w:r>
          </w:p>
        </w:tc>
        <w:tc>
          <w:tcPr>
            <w:tcW w:w="1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r>
    </w:tbl>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proceeds from sales of securities in the trusts and gross realized gains and losses on those sales: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-104775</wp:posOffset>
            </wp:positionV>
            <wp:extent cx="7248525" cy="2197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8525" cy="21971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3400" w:type="dxa"/>
            <w:vAlign w:val="bottom"/>
            <w:gridSpan w:val="3"/>
          </w:tcPr>
          <w:p>
            <w:pPr>
              <w:jc w:val="right"/>
              <w:ind w:right="205"/>
              <w:spacing w:after="0"/>
              <w:rPr>
                <w:sz w:val="20"/>
                <w:szCs w:val="20"/>
                <w:color w:val="auto"/>
              </w:rPr>
            </w:pPr>
            <w:r>
              <w:rPr>
                <w:rFonts w:ascii="Arial" w:cs="Arial" w:eastAsia="Arial" w:hAnsi="Arial"/>
                <w:sz w:val="14"/>
                <w:szCs w:val="14"/>
                <w:color w:val="auto"/>
              </w:rPr>
              <w:t>Three months ended September 30,</w:t>
            </w: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60" w:type="dxa"/>
            <w:vAlign w:val="bottom"/>
            <w:gridSpan w:val="4"/>
          </w:tcPr>
          <w:p>
            <w:pPr>
              <w:jc w:val="right"/>
              <w:ind w:right="920"/>
              <w:spacing w:after="0"/>
              <w:rPr>
                <w:sz w:val="20"/>
                <w:szCs w:val="20"/>
                <w:color w:val="auto"/>
              </w:rPr>
            </w:pPr>
            <w:r>
              <w:rPr>
                <w:rFonts w:ascii="Arial" w:cs="Arial" w:eastAsia="Arial" w:hAnsi="Arial"/>
                <w:sz w:val="14"/>
                <w:szCs w:val="14"/>
                <w:color w:val="auto"/>
              </w:rPr>
              <w:t>Nine months ended September 30,</w:t>
            </w:r>
          </w:p>
        </w:tc>
      </w:tr>
      <w:tr>
        <w:trPr>
          <w:trHeight w:val="206"/>
        </w:trPr>
        <w:tc>
          <w:tcPr>
            <w:tcW w:w="3480" w:type="dxa"/>
            <w:vAlign w:val="bottom"/>
            <w:tcBorders>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ind w:right="206"/>
              <w:spacing w:after="0"/>
              <w:rPr>
                <w:sz w:val="20"/>
                <w:szCs w:val="20"/>
                <w:color w:val="auto"/>
              </w:rPr>
            </w:pPr>
            <w:r>
              <w:rPr>
                <w:rFonts w:ascii="Arial" w:cs="Arial" w:eastAsia="Arial" w:hAnsi="Arial"/>
                <w:sz w:val="14"/>
                <w:szCs w:val="14"/>
                <w:color w:val="auto"/>
              </w:rPr>
              <w:t>2014</w:t>
            </w:r>
          </w:p>
        </w:tc>
        <w:tc>
          <w:tcPr>
            <w:tcW w:w="8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4"/>
                <w:szCs w:val="14"/>
                <w:color w:val="auto"/>
              </w:rPr>
              <w:t>2013</w:t>
            </w:r>
          </w:p>
        </w:tc>
        <w:tc>
          <w:tcPr>
            <w:tcW w:w="84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540" w:type="dxa"/>
            <w:vAlign w:val="bottom"/>
            <w:tcBorders>
              <w:top w:val="single" w:sz="8" w:color="auto"/>
              <w:bottom w:val="single" w:sz="8" w:color="auto"/>
            </w:tcBorders>
          </w:tcPr>
          <w:p>
            <w:pPr>
              <w:jc w:val="right"/>
              <w:ind w:right="1064"/>
              <w:spacing w:after="0"/>
              <w:rPr>
                <w:sz w:val="20"/>
                <w:szCs w:val="20"/>
                <w:color w:val="auto"/>
              </w:rPr>
            </w:pPr>
            <w:r>
              <w:rPr>
                <w:rFonts w:ascii="Arial" w:cs="Arial" w:eastAsia="Arial" w:hAnsi="Arial"/>
                <w:sz w:val="14"/>
                <w:szCs w:val="14"/>
                <w:color w:val="auto"/>
              </w:rPr>
              <w:t>2014</w:t>
            </w:r>
          </w:p>
        </w:tc>
        <w:tc>
          <w:tcPr>
            <w:tcW w:w="4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762"/>
              <w:spacing w:after="0"/>
              <w:rPr>
                <w:sz w:val="20"/>
                <w:szCs w:val="20"/>
                <w:color w:val="auto"/>
              </w:rPr>
            </w:pPr>
            <w:r>
              <w:rPr>
                <w:rFonts w:ascii="Arial" w:cs="Arial" w:eastAsia="Arial" w:hAnsi="Arial"/>
                <w:sz w:val="14"/>
                <w:szCs w:val="14"/>
                <w:color w:val="auto"/>
              </w:rPr>
              <w:t>2013</w:t>
            </w:r>
          </w:p>
        </w:tc>
        <w:tc>
          <w:tcPr>
            <w:tcW w:w="20" w:type="dxa"/>
            <w:vAlign w:val="bottom"/>
          </w:tcPr>
          <w:p>
            <w:pPr>
              <w:spacing w:after="0"/>
              <w:rPr>
                <w:sz w:val="17"/>
                <w:szCs w:val="17"/>
                <w:color w:val="auto"/>
              </w:rPr>
            </w:pPr>
          </w:p>
        </w:tc>
      </w:tr>
      <w:tr>
        <w:trPr>
          <w:trHeight w:val="186"/>
        </w:trPr>
        <w:tc>
          <w:tcPr>
            <w:tcW w:w="3480" w:type="dxa"/>
            <w:vAlign w:val="bottom"/>
          </w:tcPr>
          <w:p>
            <w:pPr>
              <w:spacing w:after="0"/>
              <w:rPr>
                <w:sz w:val="20"/>
                <w:szCs w:val="20"/>
                <w:color w:val="auto"/>
              </w:rPr>
            </w:pPr>
            <w:r>
              <w:rPr>
                <w:rFonts w:ascii="Arial" w:cs="Arial" w:eastAsia="Arial" w:hAnsi="Arial"/>
                <w:sz w:val="16"/>
                <w:szCs w:val="16"/>
                <w:color w:val="auto"/>
              </w:rPr>
              <w:t>Proceeds from sales(1)</w:t>
            </w:r>
          </w:p>
        </w:tc>
        <w:tc>
          <w:tcPr>
            <w:tcW w:w="1420" w:type="dxa"/>
            <w:vAlign w:val="bottom"/>
          </w:tcPr>
          <w:p>
            <w:pPr>
              <w:jc w:val="right"/>
              <w:ind w:right="686"/>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0"/>
              <w:spacing w:after="0"/>
              <w:rPr>
                <w:sz w:val="20"/>
                <w:szCs w:val="20"/>
                <w:color w:val="auto"/>
              </w:rPr>
            </w:pPr>
            <w:r>
              <w:rPr>
                <w:rFonts w:ascii="Arial" w:cs="Arial" w:eastAsia="Arial" w:hAnsi="Arial"/>
                <w:sz w:val="16"/>
                <w:szCs w:val="16"/>
                <w:color w:val="auto"/>
              </w:rPr>
              <w:t>148</w:t>
            </w:r>
          </w:p>
        </w:tc>
        <w:tc>
          <w:tcPr>
            <w:tcW w:w="1140" w:type="dxa"/>
            <w:vAlign w:val="bottom"/>
          </w:tcPr>
          <w:p>
            <w:pPr>
              <w:jc w:val="right"/>
              <w:ind w:right="705"/>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0"/>
              <w:spacing w:after="0"/>
              <w:rPr>
                <w:sz w:val="20"/>
                <w:szCs w:val="20"/>
                <w:color w:val="auto"/>
              </w:rPr>
            </w:pPr>
            <w:r>
              <w:rPr>
                <w:rFonts w:ascii="Arial" w:cs="Arial" w:eastAsia="Arial" w:hAnsi="Arial"/>
                <w:sz w:val="16"/>
                <w:szCs w:val="16"/>
                <w:color w:val="auto"/>
              </w:rPr>
              <w:t>181</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24"/>
              <w:spacing w:after="0"/>
              <w:rPr>
                <w:sz w:val="20"/>
                <w:szCs w:val="20"/>
                <w:color w:val="auto"/>
              </w:rPr>
            </w:pPr>
            <w:r>
              <w:rPr>
                <w:rFonts w:ascii="Arial" w:cs="Arial" w:eastAsia="Arial" w:hAnsi="Arial"/>
                <w:sz w:val="16"/>
                <w:szCs w:val="16"/>
                <w:color w:val="auto"/>
              </w:rPr>
              <w:t>498</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507</w:t>
            </w:r>
          </w:p>
        </w:tc>
        <w:tc>
          <w:tcPr>
            <w:tcW w:w="20" w:type="dxa"/>
            <w:vAlign w:val="bottom"/>
          </w:tcPr>
          <w:p>
            <w:pPr>
              <w:spacing w:after="0"/>
              <w:rPr>
                <w:sz w:val="16"/>
                <w:szCs w:val="16"/>
                <w:color w:val="auto"/>
              </w:rPr>
            </w:pPr>
          </w:p>
        </w:tc>
      </w:tr>
      <w:tr>
        <w:trPr>
          <w:trHeight w:val="201"/>
        </w:trPr>
        <w:tc>
          <w:tcPr>
            <w:tcW w:w="3480" w:type="dxa"/>
            <w:vAlign w:val="bottom"/>
          </w:tcPr>
          <w:p>
            <w:pPr>
              <w:spacing w:after="0"/>
              <w:rPr>
                <w:sz w:val="20"/>
                <w:szCs w:val="20"/>
                <w:color w:val="auto"/>
              </w:rPr>
            </w:pPr>
            <w:r>
              <w:rPr>
                <w:rFonts w:ascii="Arial" w:cs="Arial" w:eastAsia="Arial" w:hAnsi="Arial"/>
                <w:sz w:val="16"/>
                <w:szCs w:val="16"/>
                <w:color w:val="auto"/>
              </w:rPr>
              <w:t>Gross realized gains</w:t>
            </w:r>
          </w:p>
        </w:tc>
        <w:tc>
          <w:tcPr>
            <w:tcW w:w="1420" w:type="dxa"/>
            <w:vAlign w:val="bottom"/>
          </w:tcPr>
          <w:p>
            <w:pPr>
              <w:spacing w:after="0"/>
              <w:rPr>
                <w:sz w:val="17"/>
                <w:szCs w:val="17"/>
                <w:color w:val="auto"/>
              </w:rPr>
            </w:pPr>
          </w:p>
        </w:tc>
        <w:tc>
          <w:tcPr>
            <w:tcW w:w="840" w:type="dxa"/>
            <w:vAlign w:val="bottom"/>
          </w:tcPr>
          <w:p>
            <w:pPr>
              <w:jc w:val="right"/>
              <w:ind w:right="200"/>
              <w:spacing w:after="0"/>
              <w:rPr>
                <w:sz w:val="20"/>
                <w:szCs w:val="20"/>
                <w:color w:val="auto"/>
              </w:rPr>
            </w:pPr>
            <w:r>
              <w:rPr>
                <w:rFonts w:ascii="Arial" w:cs="Arial" w:eastAsia="Arial" w:hAnsi="Arial"/>
                <w:sz w:val="16"/>
                <w:szCs w:val="16"/>
                <w:color w:val="auto"/>
              </w:rPr>
              <w:t>5</w:t>
            </w:r>
          </w:p>
        </w:tc>
        <w:tc>
          <w:tcPr>
            <w:tcW w:w="1140" w:type="dxa"/>
            <w:vAlign w:val="bottom"/>
          </w:tcPr>
          <w:p>
            <w:pPr>
              <w:spacing w:after="0"/>
              <w:rPr>
                <w:sz w:val="17"/>
                <w:szCs w:val="17"/>
                <w:color w:val="auto"/>
              </w:rPr>
            </w:pPr>
          </w:p>
        </w:tc>
        <w:tc>
          <w:tcPr>
            <w:tcW w:w="840" w:type="dxa"/>
            <w:vAlign w:val="bottom"/>
          </w:tcPr>
          <w:p>
            <w:pPr>
              <w:jc w:val="right"/>
              <w:ind w:right="200"/>
              <w:spacing w:after="0"/>
              <w:rPr>
                <w:sz w:val="20"/>
                <w:szCs w:val="20"/>
                <w:color w:val="auto"/>
              </w:rPr>
            </w:pPr>
            <w:r>
              <w:rPr>
                <w:rFonts w:ascii="Arial" w:cs="Arial" w:eastAsia="Arial" w:hAnsi="Arial"/>
                <w:sz w:val="16"/>
                <w:szCs w:val="16"/>
                <w:color w:val="auto"/>
              </w:rPr>
              <w:t>2</w:t>
            </w:r>
          </w:p>
        </w:tc>
        <w:tc>
          <w:tcPr>
            <w:tcW w:w="460" w:type="dxa"/>
            <w:vAlign w:val="bottom"/>
          </w:tcPr>
          <w:p>
            <w:pPr>
              <w:spacing w:after="0"/>
              <w:rPr>
                <w:sz w:val="17"/>
                <w:szCs w:val="17"/>
                <w:color w:val="auto"/>
              </w:rPr>
            </w:pPr>
          </w:p>
        </w:tc>
        <w:tc>
          <w:tcPr>
            <w:tcW w:w="1540" w:type="dxa"/>
            <w:vAlign w:val="bottom"/>
          </w:tcPr>
          <w:p>
            <w:pPr>
              <w:jc w:val="right"/>
              <w:ind w:right="224"/>
              <w:spacing w:after="0"/>
              <w:rPr>
                <w:sz w:val="20"/>
                <w:szCs w:val="20"/>
                <w:color w:val="auto"/>
              </w:rPr>
            </w:pPr>
            <w:r>
              <w:rPr>
                <w:rFonts w:ascii="Arial" w:cs="Arial" w:eastAsia="Arial" w:hAnsi="Arial"/>
                <w:sz w:val="16"/>
                <w:szCs w:val="16"/>
                <w:color w:val="auto"/>
              </w:rPr>
              <w:t>9</w:t>
            </w:r>
          </w:p>
        </w:tc>
        <w:tc>
          <w:tcPr>
            <w:tcW w:w="460" w:type="dxa"/>
            <w:vAlign w:val="bottom"/>
          </w:tcPr>
          <w:p>
            <w:pPr>
              <w:spacing w:after="0"/>
              <w:rPr>
                <w:sz w:val="17"/>
                <w:szCs w:val="17"/>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13</w:t>
            </w:r>
          </w:p>
        </w:tc>
      </w:tr>
      <w:tr>
        <w:trPr>
          <w:trHeight w:val="211"/>
        </w:trPr>
        <w:tc>
          <w:tcPr>
            <w:tcW w:w="34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Gross realized losses</w:t>
            </w:r>
          </w:p>
        </w:tc>
        <w:tc>
          <w:tcPr>
            <w:tcW w:w="1420" w:type="dxa"/>
            <w:vAlign w:val="bottom"/>
            <w:tcBorders>
              <w:bottom w:val="single" w:sz="8" w:color="C0C0C0"/>
            </w:tcBorders>
          </w:tcPr>
          <w:p>
            <w:pPr>
              <w:spacing w:after="0"/>
              <w:rPr>
                <w:sz w:val="18"/>
                <w:szCs w:val="18"/>
                <w:color w:val="auto"/>
              </w:rPr>
            </w:pPr>
          </w:p>
        </w:tc>
        <w:tc>
          <w:tcPr>
            <w:tcW w:w="840" w:type="dxa"/>
            <w:vAlign w:val="bottom"/>
            <w:tcBorders>
              <w:bottom w:val="single" w:sz="8" w:color="C0C0C0"/>
            </w:tcBorders>
          </w:tcPr>
          <w:p>
            <w:pPr>
              <w:jc w:val="right"/>
              <w:ind w:right="200"/>
              <w:spacing w:after="0"/>
              <w:rPr>
                <w:sz w:val="20"/>
                <w:szCs w:val="20"/>
                <w:color w:val="auto"/>
              </w:rPr>
            </w:pPr>
            <w:r>
              <w:rPr>
                <w:rFonts w:ascii="Arial" w:cs="Arial" w:eastAsia="Arial" w:hAnsi="Arial"/>
                <w:sz w:val="16"/>
                <w:szCs w:val="16"/>
                <w:color w:val="auto"/>
              </w:rPr>
              <w:t>(3)</w:t>
            </w:r>
          </w:p>
        </w:tc>
        <w:tc>
          <w:tcPr>
            <w:tcW w:w="1140" w:type="dxa"/>
            <w:vAlign w:val="bottom"/>
            <w:tcBorders>
              <w:bottom w:val="single" w:sz="8" w:color="C0C0C0"/>
            </w:tcBorders>
          </w:tcPr>
          <w:p>
            <w:pPr>
              <w:spacing w:after="0"/>
              <w:rPr>
                <w:sz w:val="18"/>
                <w:szCs w:val="18"/>
                <w:color w:val="auto"/>
              </w:rPr>
            </w:pPr>
          </w:p>
        </w:tc>
        <w:tc>
          <w:tcPr>
            <w:tcW w:w="840" w:type="dxa"/>
            <w:vAlign w:val="bottom"/>
            <w:tcBorders>
              <w:bottom w:val="single" w:sz="8" w:color="C0C0C0"/>
            </w:tcBorders>
          </w:tcPr>
          <w:p>
            <w:pPr>
              <w:jc w:val="right"/>
              <w:ind w:right="200"/>
              <w:spacing w:after="0"/>
              <w:rPr>
                <w:sz w:val="20"/>
                <w:szCs w:val="20"/>
                <w:color w:val="auto"/>
              </w:rPr>
            </w:pPr>
            <w:r>
              <w:rPr>
                <w:rFonts w:ascii="Arial" w:cs="Arial" w:eastAsia="Arial" w:hAnsi="Arial"/>
                <w:sz w:val="16"/>
                <w:szCs w:val="16"/>
                <w:color w:val="auto"/>
              </w:rPr>
              <w:t>(8)</w:t>
            </w:r>
          </w:p>
        </w:tc>
        <w:tc>
          <w:tcPr>
            <w:tcW w:w="460" w:type="dxa"/>
            <w:vAlign w:val="bottom"/>
            <w:tcBorders>
              <w:bottom w:val="single" w:sz="8" w:color="C0C0C0"/>
            </w:tcBorders>
          </w:tcPr>
          <w:p>
            <w:pPr>
              <w:spacing w:after="0"/>
              <w:rPr>
                <w:sz w:val="18"/>
                <w:szCs w:val="18"/>
                <w:color w:val="auto"/>
              </w:rPr>
            </w:pPr>
          </w:p>
        </w:tc>
        <w:tc>
          <w:tcPr>
            <w:tcW w:w="1540" w:type="dxa"/>
            <w:vAlign w:val="bottom"/>
            <w:tcBorders>
              <w:bottom w:val="single" w:sz="8" w:color="C0C0C0"/>
            </w:tcBorders>
          </w:tcPr>
          <w:p>
            <w:pPr>
              <w:jc w:val="right"/>
              <w:ind w:right="224"/>
              <w:spacing w:after="0"/>
              <w:rPr>
                <w:sz w:val="20"/>
                <w:szCs w:val="20"/>
                <w:color w:val="auto"/>
              </w:rPr>
            </w:pPr>
            <w:r>
              <w:rPr>
                <w:rFonts w:ascii="Arial" w:cs="Arial" w:eastAsia="Arial" w:hAnsi="Arial"/>
                <w:sz w:val="16"/>
                <w:szCs w:val="16"/>
                <w:color w:val="auto"/>
              </w:rPr>
              <w:t>(8)</w:t>
            </w:r>
          </w:p>
        </w:tc>
        <w:tc>
          <w:tcPr>
            <w:tcW w:w="460" w:type="dxa"/>
            <w:vAlign w:val="bottom"/>
            <w:tcBorders>
              <w:bottom w:val="single" w:sz="8" w:color="C0C0C0"/>
            </w:tcBorders>
          </w:tcPr>
          <w:p>
            <w:pPr>
              <w:spacing w:after="0"/>
              <w:rPr>
                <w:sz w:val="18"/>
                <w:szCs w:val="18"/>
                <w:color w:val="auto"/>
              </w:rPr>
            </w:pPr>
          </w:p>
        </w:tc>
        <w:tc>
          <w:tcPr>
            <w:tcW w:w="1240" w:type="dxa"/>
            <w:vAlign w:val="bottom"/>
            <w:tcBorders>
              <w:bottom w:val="single" w:sz="8" w:color="C0C0C0"/>
            </w:tcBorders>
          </w:tcPr>
          <w:p>
            <w:pPr>
              <w:jc w:val="right"/>
              <w:spacing w:after="0"/>
              <w:rPr>
                <w:sz w:val="20"/>
                <w:szCs w:val="20"/>
                <w:color w:val="auto"/>
              </w:rPr>
            </w:pPr>
            <w:r>
              <w:rPr>
                <w:rFonts w:ascii="Arial" w:cs="Arial" w:eastAsia="Arial" w:hAnsi="Arial"/>
                <w:sz w:val="16"/>
                <w:szCs w:val="16"/>
                <w:color w:val="auto"/>
              </w:rPr>
              <w:t>(15)</w:t>
            </w:r>
          </w:p>
        </w:tc>
        <w:tc>
          <w:tcPr>
            <w:tcW w:w="20" w:type="dxa"/>
            <w:vAlign w:val="bottom"/>
          </w:tcPr>
          <w:p>
            <w:pPr>
              <w:spacing w:after="0"/>
              <w:rPr>
                <w:sz w:val="18"/>
                <w:szCs w:val="18"/>
                <w:color w:val="auto"/>
              </w:rPr>
            </w:pPr>
          </w:p>
        </w:tc>
      </w:tr>
    </w:tbl>
    <w:p>
      <w:pPr>
        <w:spacing w:after="0" w:line="44" w:lineRule="exact"/>
        <w:rPr>
          <w:sz w:val="20"/>
          <w:szCs w:val="20"/>
          <w:color w:val="auto"/>
        </w:rPr>
      </w:pPr>
    </w:p>
    <w:p>
      <w:pPr>
        <w:sectPr>
          <w:pgSz w:w="11900" w:h="16838" w:orient="portrait"/>
          <w:cols w:equalWidth="0" w:num="1">
            <w:col w:w="11420"/>
          </w:cols>
          <w:pgMar w:left="240" w:top="127" w:right="239" w:bottom="0" w:gutter="0" w:footer="0" w:header="0"/>
        </w:sectPr>
      </w:pPr>
    </w:p>
    <w:p>
      <w:pPr>
        <w:ind w:left="420" w:hanging="414"/>
        <w:spacing w:after="0"/>
        <w:tabs>
          <w:tab w:leader="none" w:pos="420" w:val="left"/>
        </w:tabs>
        <w:numPr>
          <w:ilvl w:val="0"/>
          <w:numId w:val="52"/>
        </w:numPr>
        <w:rPr>
          <w:rFonts w:ascii="Arial" w:cs="Arial" w:eastAsia="Arial" w:hAnsi="Arial"/>
          <w:sz w:val="14"/>
          <w:szCs w:val="14"/>
          <w:i w:val="1"/>
          <w:iCs w:val="1"/>
          <w:color w:val="auto"/>
        </w:rPr>
      </w:pPr>
      <w:r>
        <w:rPr>
          <w:rFonts w:ascii="Arial" w:cs="Arial" w:eastAsia="Arial" w:hAnsi="Arial"/>
          <w:sz w:val="14"/>
          <w:szCs w:val="14"/>
          <w:i w:val="1"/>
          <w:iCs w:val="1"/>
          <w:color w:val="auto"/>
        </w:rPr>
        <w:t>Excludes securities that are held to maturity.</w:t>
      </w:r>
    </w:p>
    <w:p>
      <w:pPr>
        <w:sectPr>
          <w:pgSz w:w="11900" w:h="16838" w:orient="portrait"/>
          <w:cols w:equalWidth="0" w:num="1">
            <w:col w:w="11420"/>
          </w:cols>
          <w:pgMar w:left="240" w:top="127" w:right="239" w:bottom="0" w:gutter="0" w:footer="0" w:header="0"/>
          <w:type w:val="continuous"/>
        </w:sectPr>
      </w:pPr>
    </w:p>
    <w:bookmarkStart w:id="43" w:name="page44"/>
    <w:bookmarkEnd w:id="43"/>
    <w:p>
      <w:pPr>
        <w:ind w:right="800"/>
        <w:spacing w:after="0" w:line="295" w:lineRule="auto"/>
        <w:rPr>
          <w:sz w:val="20"/>
          <w:szCs w:val="20"/>
          <w:color w:val="auto"/>
        </w:rPr>
      </w:pPr>
      <w:r>
        <w:rPr>
          <w:rFonts w:ascii="Arial" w:cs="Arial" w:eastAsia="Arial" w:hAnsi="Arial"/>
          <w:sz w:val="17"/>
          <w:szCs w:val="17"/>
          <w:color w:val="auto"/>
        </w:rPr>
        <w:t>Net unrealized gains (losses) are included in Regulatory Liabilities Arising from Removal Obligations on Sempra Energy’s and SDG&amp;E’s Condensed Consolidated Balance Sheets. We determine the cost of securities in the trusts on the basis of specific identification.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We provide additional information about SONGS in Note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619125</wp:posOffset>
            </wp:positionV>
            <wp:extent cx="72656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5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9"/>
          <w:szCs w:val="19"/>
          <w:color w:val="auto"/>
        </w:rPr>
        <w:t>NOTE 10. CALIFORNIA UTILITIES' REGULATORY MATTERS</w:t>
      </w:r>
    </w:p>
    <w:p>
      <w:pPr>
        <w:spacing w:after="0" w:line="198"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We discuss regulatory matters affecting our California Utilities in Note 14 of the Notes to Consolidated Financial Statements in the Annual Report, and provide updates to those discussions and details of any new matters below.</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MATTERS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CPUC General Rate Case (GRC)</w:t>
      </w:r>
    </w:p>
    <w:p>
      <w:pPr>
        <w:spacing w:after="0" w:line="21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CPUC uses a general rate case proceeding to prospectively set rates sufficient to allow the California Utilities to recover their reasonable cost of operations and maintenance and to provide the opportunity to realize their authorized rates of return on their investment. In May 2013, the CPUC approved a final decision (Final GRC Decision) in the California Utilities’ 2012 GRC. The Final GRC Decision was effective retroactive to January 1, 2012, and SDG&amp;E and SoCalGas recorded the cumulative earnings effect of the retroactive application of the Final GRC Decision of $69 million and $37 million, respectively, in the second quarter of 2013. For SDG&amp;E and SoCalGas, respectively, these amounts included an incremental earnings impact of $52 million and $25 million related to 2012 and $17 million and $12 million related to the first quarter of 2013.</w:t>
      </w:r>
    </w:p>
    <w:p>
      <w:pPr>
        <w:spacing w:after="0" w:line="17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amount of revenue associated with the retroactive period is being recovered in SDG&amp;E’s rates over a 28-month period beginning in September 2013, and in SoCalGas’ rates over a 31-month period beginning in June 2013. At September 30, 2014, SDG&amp;E reported on its Condensed Consolidated Balance Sheet $203 million as a regulatory asset, with $41 million classified as noncurrent, representing the retroactive revenue from the Final GRC Decision to be recovered by SDG&amp;E in rates through December 2015. At September 30, 2014, SoCalGas reported on its Condensed Consolidated Balance Sheet a regulatory asset of $65 million, with $13 million as noncurrent, representing the retroactive revenue from the Final GRC Decision to be recovered in rates through December 2015.</w:t>
      </w:r>
    </w:p>
    <w:p>
      <w:pPr>
        <w:spacing w:after="0" w:line="164" w:lineRule="exact"/>
        <w:rPr>
          <w:sz w:val="20"/>
          <w:szCs w:val="20"/>
          <w:color w:val="auto"/>
        </w:rPr>
      </w:pPr>
    </w:p>
    <w:p>
      <w:pPr>
        <w:ind w:right="200"/>
        <w:spacing w:after="0" w:line="266" w:lineRule="auto"/>
        <w:rPr>
          <w:sz w:val="20"/>
          <w:szCs w:val="20"/>
          <w:color w:val="auto"/>
        </w:rPr>
      </w:pPr>
      <w:r>
        <w:rPr>
          <w:rFonts w:ascii="Arial" w:cs="Arial" w:eastAsia="Arial" w:hAnsi="Arial"/>
          <w:sz w:val="17"/>
          <w:szCs w:val="17"/>
          <w:color w:val="auto"/>
        </w:rPr>
        <w:t>The California Utilities filed their Notices of Intent (NOI) for the 2016 General Rate Case (2016 GRC) in July 2014. These NOIs included preliminary applications that propose revenue requirement increases of $168 million and $290 million for SDG&amp;E and SoCalGas, respectively, over their 2015 revenue requirements. As included in the NOI, these proposed increases in revenue requirements would result in a 0.9 percent increase in SDG&amp;E’s system average electric rate and 0.5 percent and 5.5 percent increases in SDG&amp;E’s and SoCalGas’ system average gas rates, respectively. In September 2014, the CPUC staff completed its review of the NOIs. The CPUC staff found them in compliance with the Commission’s rate case plan and recommended that the NOIs be accepted. Accordingly, SDG&amp;E and SoCalGas expect to file their official applications in the fourth quarter of 2014, including a request for a final decision on each of the applications in late 2015, with changes in rates to become effective on January 1, 2016.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We provide additional information regarding the 2012 GRC in Note 14 of the Notes to Consolidated Financial Statements in the Annual Report.</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Natural Gas Pipeline Operations Safety Assessments</w:t>
      </w:r>
    </w:p>
    <w:p>
      <w:pPr>
        <w:spacing w:after="0" w:line="21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Various regulatory agencies, including the CPUC, are evaluating natural gas pipeline safety regulations, practices and procedures. In February 2011, the CPUC opened a forward-looking rulemaking proceeding to examine what changes should be made to existing pipeline safety regulations for California natural gas pipelines. The California Utilities are parties to this proceeding.</w:t>
      </w:r>
    </w:p>
    <w:p>
      <w:pPr>
        <w:spacing w:after="0" w:line="188" w:lineRule="exact"/>
        <w:rPr>
          <w:sz w:val="20"/>
          <w:szCs w:val="20"/>
          <w:color w:val="auto"/>
        </w:rPr>
      </w:pPr>
    </w:p>
    <w:p>
      <w:pPr>
        <w:jc w:val="both"/>
        <w:ind w:right="480"/>
        <w:spacing w:after="0" w:line="256" w:lineRule="auto"/>
        <w:rPr>
          <w:sz w:val="20"/>
          <w:szCs w:val="20"/>
          <w:color w:val="auto"/>
        </w:rPr>
      </w:pPr>
      <w:r>
        <w:rPr>
          <w:rFonts w:ascii="Arial" w:cs="Arial" w:eastAsia="Arial" w:hAnsi="Arial"/>
          <w:sz w:val="18"/>
          <w:szCs w:val="18"/>
          <w:color w:val="auto"/>
        </w:rPr>
        <w:t>In June 2011, the CPUC directed SoCalGas, SDG&amp;E, PG&amp;E and Southwest Gas to file comprehensive implementation plans to test or replace natural gas transmission pipelines located in populated areas that have not been pressure tested. The California Utilities filed their Pipeline Safety Enhancement Plan (PSEP) with the CPUC in August 2011.</w:t>
      </w:r>
    </w:p>
    <w:p>
      <w:pPr>
        <w:spacing w:after="0" w:line="188" w:lineRule="exact"/>
        <w:rPr>
          <w:sz w:val="20"/>
          <w:szCs w:val="20"/>
          <w:color w:val="auto"/>
        </w:rPr>
      </w:pPr>
    </w:p>
    <w:p>
      <w:pPr>
        <w:ind w:right="740"/>
        <w:spacing w:after="0" w:line="266" w:lineRule="auto"/>
        <w:rPr>
          <w:sz w:val="20"/>
          <w:szCs w:val="20"/>
          <w:color w:val="auto"/>
        </w:rPr>
      </w:pPr>
      <w:r>
        <w:rPr>
          <w:rFonts w:ascii="Arial" w:cs="Arial" w:eastAsia="Arial" w:hAnsi="Arial"/>
          <w:sz w:val="18"/>
          <w:szCs w:val="18"/>
          <w:color w:val="auto"/>
        </w:rPr>
        <w:t>In April 2012, the CPUC transferred the PSEP to the Triennial Cost Allocation Proceeding (TCAP) and authorized SDG&amp;E and SoCalGas to establish regulatory accounts to record the incremental costs of initiating the PSEP prior to a final decision on the PSEP.</w:t>
      </w:r>
    </w:p>
    <w:p>
      <w:pPr>
        <w:spacing w:after="0" w:line="179"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Also in April 2012, the CPUC issued a decision expanding the scope of the rulemaking proceeding to incorporate the provisions of California Senate Bill (SB) 705, which requires gas utilities to develop and implement a plan for the safe and reliable operation of their gas pipeline facilities. SDG&amp;E and SoCalGas submitted their pipeline safety plans in June 2012. The CPUC decision also orders the utilities to undergo independent management and financial audits to assure that the utilities are fully meeting their safety responsibilities. The CPUC’s Safety and Enforcement Division will select the independent auditors and will oversee the audits. A schedule for the audits has not been established. In December 2012, the CPUC issued a final decision accepting the utilities’ pipeline safety plans filed pursuant to SB 705.</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In June 2014, the CPUC issued a final decision in the TCAP proceeding addressing SDG&amp;E’s and SoCalGas’ PSEP. Specifically, the decision:</w:t>
      </w:r>
    </w:p>
    <w:p>
      <w:pPr>
        <w:spacing w:after="0" w:line="218" w:lineRule="exact"/>
        <w:rPr>
          <w:sz w:val="20"/>
          <w:szCs w:val="20"/>
          <w:color w:val="auto"/>
        </w:rPr>
      </w:pPr>
    </w:p>
    <w:p>
      <w:pPr>
        <w:ind w:left="320" w:hanging="172"/>
        <w:spacing w:after="0"/>
        <w:tabs>
          <w:tab w:leader="none" w:pos="3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approved the utilities’ model for implementing PSEP;</w:t>
      </w:r>
    </w:p>
    <w:p>
      <w:pPr>
        <w:spacing w:after="0" w:line="244" w:lineRule="exact"/>
        <w:rPr>
          <w:rFonts w:ascii="Arial" w:cs="Arial" w:eastAsia="Arial" w:hAnsi="Arial"/>
          <w:sz w:val="18"/>
          <w:szCs w:val="18"/>
          <w:color w:val="auto"/>
        </w:rPr>
      </w:pPr>
    </w:p>
    <w:p>
      <w:pPr>
        <w:jc w:val="both"/>
        <w:ind w:left="320" w:hanging="172"/>
        <w:spacing w:after="0" w:line="256" w:lineRule="auto"/>
        <w:tabs>
          <w:tab w:leader="none" w:pos="3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approved a process, including a reasonableness review, to determine the amount that the utilities will be authorized to recover from ratepayers for the interim costs incurred through the date of the final decision to implement PSEP, which are recorded in the regulatory accounts authorized by the CPUC as noted above;</w:t>
      </w:r>
    </w:p>
    <w:p>
      <w:pPr>
        <w:spacing w:after="0" w:line="214" w:lineRule="exact"/>
        <w:rPr>
          <w:rFonts w:ascii="Arial" w:cs="Arial" w:eastAsia="Arial" w:hAnsi="Arial"/>
          <w:sz w:val="18"/>
          <w:szCs w:val="18"/>
          <w:color w:val="auto"/>
        </w:rPr>
      </w:pPr>
    </w:p>
    <w:p>
      <w:pPr>
        <w:ind w:left="320" w:hanging="172"/>
        <w:spacing w:after="0"/>
        <w:tabs>
          <w:tab w:leader="none" w:pos="3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approved balancing account treatment, subject to a reasonableness review, for incremental costs yet to be incurred to implement PSEP; and</w:t>
      </w:r>
    </w:p>
    <w:p>
      <w:pPr>
        <w:spacing w:after="0" w:line="256" w:lineRule="exact"/>
        <w:rPr>
          <w:rFonts w:ascii="Arial" w:cs="Arial" w:eastAsia="Arial" w:hAnsi="Arial"/>
          <w:sz w:val="17"/>
          <w:szCs w:val="17"/>
          <w:color w:val="auto"/>
        </w:rPr>
      </w:pPr>
    </w:p>
    <w:p>
      <w:pPr>
        <w:ind w:left="320" w:hanging="172"/>
        <w:spacing w:after="0"/>
        <w:tabs>
          <w:tab w:leader="none" w:pos="3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established the criteria to determine the amounts that would not be eligible for cost recovery, including:</w:t>
      </w:r>
    </w:p>
    <w:p>
      <w:pPr>
        <w:spacing w:after="0" w:line="244" w:lineRule="exact"/>
        <w:rPr>
          <w:rFonts w:ascii="Arial" w:cs="Arial" w:eastAsia="Arial" w:hAnsi="Arial"/>
          <w:sz w:val="18"/>
          <w:szCs w:val="18"/>
          <w:color w:val="auto"/>
        </w:rPr>
      </w:pPr>
    </w:p>
    <w:p>
      <w:pPr>
        <w:ind w:left="400" w:hanging="190"/>
        <w:spacing w:after="0"/>
        <w:tabs>
          <w:tab w:leader="none" w:pos="4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certain costs incurred or to be incurred searching for pipeline test records,</w:t>
      </w:r>
    </w:p>
    <w:p>
      <w:pPr>
        <w:sectPr>
          <w:pgSz w:w="11900" w:h="16838" w:orient="portrait"/>
          <w:cols w:equalWidth="0" w:num="1">
            <w:col w:w="11420"/>
          </w:cols>
          <w:pgMar w:left="240" w:top="127" w:right="239" w:bottom="0" w:gutter="0" w:footer="0" w:header="0"/>
        </w:sectPr>
      </w:pPr>
    </w:p>
    <w:bookmarkStart w:id="44" w:name="page45"/>
    <w:bookmarkEnd w:id="44"/>
    <w:p>
      <w:pPr>
        <w:ind w:left="400" w:hanging="190"/>
        <w:spacing w:after="0"/>
        <w:tabs>
          <w:tab w:leader="none" w:pos="4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cost of pressure testing pipelines installed after July 1, 1961 for which the company has not found sufficient records of testing, and</w:t>
      </w:r>
    </w:p>
    <w:p>
      <w:pPr>
        <w:spacing w:after="0" w:line="244" w:lineRule="exact"/>
        <w:rPr>
          <w:rFonts w:ascii="Arial" w:cs="Arial" w:eastAsia="Arial" w:hAnsi="Arial"/>
          <w:sz w:val="18"/>
          <w:szCs w:val="18"/>
          <w:color w:val="auto"/>
        </w:rPr>
      </w:pPr>
    </w:p>
    <w:p>
      <w:pPr>
        <w:ind w:left="400" w:hanging="190"/>
        <w:spacing w:after="0"/>
        <w:tabs>
          <w:tab w:leader="none" w:pos="4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undepreciated balances for pipelines installed after 1961 that were replaced due to insufficient documentation of pressure testing.</w:t>
      </w:r>
    </w:p>
    <w:p>
      <w:pPr>
        <w:spacing w:after="0" w:line="24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As a result of this decision, SoCalGas recorded an after-tax earnings charge of $5 million for costs incurred in prior periods for which SoCalGas was disallowed recovery. After taking the amounts disallowed for recovery into consideration, as of September 30, 2014, SDG&amp;E and SoCalGas have recorded PSEP implementation costs of $0.2 million and $47 million, respectively, in the CPUC-authorized regulatory account. In October 2014, SDG&amp;E and SoCalGas filed a request with the CPUC for authority to recover from customers PSEP costs as incurred prior to a reasonableness review by the CPUC.</w:t>
      </w:r>
    </w:p>
    <w:p>
      <w:pPr>
        <w:spacing w:after="0" w:line="16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July 2014, the ORA and TURN filed a joint application for rehearing of the CPUC’s June 2014 final decision. The ORA and TURN allege that the CPUC made a legal error in directing that ratepayers, not shareholders, be responsible for the costs associated with testing or replacing transmission pipelines that were installed between January 1, 1956 and July 1, 1961 for which the California Utilities do not have a record of a pressure test. In early August 2014, the California Utilities filed their response to the application for rehearing objecting to the assertions by the ORA and TURN. The CPUC is not obligated to act on the application for rehearing by a certain date. The California Utilities are continuing to implement PSEP in accordance with the June 2014 decision.</w:t>
      </w:r>
    </w:p>
    <w:p>
      <w:pPr>
        <w:spacing w:after="0" w:line="164"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We provide additional information regarding these rulemaking proceedings and the California Utilities’ PSEP in Note 14 of the Notes to Consolidated Financial Statements in the Annual Report.</w:t>
      </w:r>
    </w:p>
    <w:p>
      <w:pPr>
        <w:spacing w:after="0" w:line="38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Southern Gas System Reliability Project</w:t>
      </w:r>
    </w:p>
    <w:p>
      <w:pPr>
        <w:spacing w:after="0" w:line="211"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In December 2013, SoCalGas and SDG&amp;E filed a joint application with the CPUC seeking authority to recover the full cost of the Southern Gas System Reliability Project. Also known as the North-South Gas Project, the project will enhance reliability on the southern portions of the utilities’ integrated gas transmission system (Southern System). We estimate the cost of the project to be between $800 million to $850 million. Based on the CPUC schedule that provides for a draft decision in mid-2015, we anticipate a final CPUC decision by the end of 2015 and the project to be in service, subject to environmental permitting, by the end of 2019. We provide additional information about the project in Note 14 of the Notes to Consolidated Financial Statements in the Annual Report.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Utility Incentive Mechanisms</w:t>
      </w:r>
    </w:p>
    <w:p>
      <w:pPr>
        <w:spacing w:after="0" w:line="211" w:lineRule="exact"/>
        <w:rPr>
          <w:sz w:val="20"/>
          <w:szCs w:val="20"/>
          <w:color w:val="auto"/>
        </w:rPr>
      </w:pPr>
    </w:p>
    <w:p>
      <w:pPr>
        <w:ind w:right="160"/>
        <w:spacing w:after="0" w:line="295" w:lineRule="auto"/>
        <w:rPr>
          <w:sz w:val="20"/>
          <w:szCs w:val="20"/>
          <w:color w:val="auto"/>
        </w:rPr>
      </w:pPr>
      <w:r>
        <w:rPr>
          <w:rFonts w:ascii="Arial" w:cs="Arial" w:eastAsia="Arial" w:hAnsi="Arial"/>
          <w:sz w:val="17"/>
          <w:szCs w:val="17"/>
          <w:color w:val="auto"/>
        </w:rPr>
        <w:t>The CPUC applies performance-based measures and incentive mechanisms to all California investor-owned utilities, under which the California Utilities have earnings potential above authorized base margins if they achieve or exceed specific performance and operating goals.</w:t>
      </w:r>
    </w:p>
    <w:p>
      <w:pPr>
        <w:spacing w:after="0" w:line="157"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color w:val="auto"/>
        </w:rPr>
        <w:t>We provide additional information regarding these incentive mechanisms in Note 14 of the Notes to Consolidated Financial Statements in the Annual Report, and below.</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Natural Gas Procurement</w:t>
      </w:r>
    </w:p>
    <w:p>
      <w:pPr>
        <w:spacing w:after="0" w:line="21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August 2014, the CPUC issued a final decision approving SoCalGas’ application for a gas cost incentive mechanism (GCIM) award of $5.8 million for natural gas procured for its core customers during the 12-month period ending March 31, 2013. In June 2014, SoCalGas filed an application with the CPUC for approval of a $13.7 million GCIM award for natural gas procured for its core customers during the 12-month period ending March 31, 2014. SoCalGas expects a final CPUC decision in the first half of 2015.</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Energy Efficiency</w:t>
      </w:r>
    </w:p>
    <w:p>
      <w:pPr>
        <w:spacing w:after="0" w:line="21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June 2014, SoCalGas and SDG&amp;E filed advice letters requesting awards of $5.8 million and $7.6 million, respectively, based on their performance on energy efficiency programs during program years 2012 and 2013. Of these amounts, SoCalGas and SDG&amp;E are seeking initial 2013 program awards of $1.5 million and $2.5 million, respectively, and asking that any necessary adjustment to the 2013 awards be made in 2015 after completion of the CPUC’s audit. We expect a resolution by the end of the second quarter of 2015.</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SDG&amp;E MATTERS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SONGS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discuss regulatory and other matters related to SONGS in Note 9.</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Power Procurement and Resource Planning</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Cleveland National Forest Transmission Projects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SDG&amp;E filed an application with the CPUC in October 2012 for a permit to construct various transmission replacement projects in and around the Cleveland</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National Forest (CNF). The proposed projects will replace and fire-harden five existing transmission lines at an estimated cost of between $400 million and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$450 million. As directed by the CPUC, SDG&amp;E filed an amended application in June 2013 to provide notice of certain alternatives proposed by the U.S. Forest</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Service (USFS) in connection with SDG&amp;E’s request for a Master Special Use Permit (MSUP). USFS approval of the MSUP will establish land rights and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conditions for SDG&amp;E’s continued operation and maintenance of facilities located within the CNF. CPUC approval is not required for the MSUP, even though</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construction of the projects is subject to review by both the USFS and CPUC. A draft environmental report (EIR/EIS), developed jointly by the CPUC and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USFS, was issued in September 2014 and a final EIR/EIS is expected in early 2015. SDG&amp;E currently expects a CPUC decision approving the transmission</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projects in the first half of 2015 and then expects the various phases of this project to be placed in service starting in 2016 and continuing through the end of the</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project in 2019.</w:t>
      </w:r>
    </w:p>
    <w:p>
      <w:pPr>
        <w:spacing w:after="0" w:line="20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Sycamore-Peñasquitos Transmission Project</w:t>
      </w:r>
    </w:p>
    <w:p>
      <w:pPr>
        <w:sectPr>
          <w:pgSz w:w="11900" w:h="16838" w:orient="portrait"/>
          <w:cols w:equalWidth="0" w:num="1">
            <w:col w:w="11380"/>
          </w:cols>
          <w:pgMar w:left="240" w:top="366" w:right="279" w:bottom="0" w:gutter="0" w:footer="0" w:header="0"/>
        </w:sectPr>
      </w:pPr>
    </w:p>
    <w:bookmarkStart w:id="45" w:name="page46"/>
    <w:bookmarkEnd w:id="45"/>
    <w:p>
      <w:pPr>
        <w:spacing w:after="0" w:line="268" w:lineRule="auto"/>
        <w:rPr>
          <w:sz w:val="20"/>
          <w:szCs w:val="20"/>
          <w:color w:val="auto"/>
        </w:rPr>
      </w:pPr>
      <w:r>
        <w:rPr>
          <w:rFonts w:ascii="Arial" w:cs="Arial" w:eastAsia="Arial" w:hAnsi="Arial"/>
          <w:sz w:val="17"/>
          <w:szCs w:val="17"/>
          <w:color w:val="auto"/>
        </w:rPr>
        <w:t>In March 2014, the CAISO selected SDG&amp;E, as a result of a competitive bid process, to construct the Sycamore-Peñasquitos 230-kilovolt (kV) transmission project, which will provide a 16.7-mile transmission connection between SDG&amp;E’s Sycamore Canyon and Peñasquitos substations. In July 2014, the CPUC notified SDG&amp;E that the application requesting a Certificate of Public Convenience and Necessity (CPCN) to construct the line, which was filed with the CPUC in April 2014, is complete. The estimated $120 million to $150 million project was identified by the CAISO and a state task force as necessary to ensure grid reliability given the closure of SONGS. The project will also serve to strengthen renewable energy infrastructure in the region. SDG&amp;E expects a CPUC decision approving the project in the first half of 2016, with the line expected to be in service in mid-2017.</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South Orange County Reliability Enhancement</w:t>
      </w:r>
    </w:p>
    <w:p>
      <w:pPr>
        <w:spacing w:after="0" w:line="211"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SDG&amp;E filed an application with the CPUC in May 2012 for a CPCN to construct the South Orange County Reliability Enhancement project. The purpose of the project is to enhance the capacity and reliability of SDG&amp;E’s electric service to the south Orange County area. The proposed project primarily includes replacing and upgrading approximately eight miles of transmission lines and rebuilding and upgrading a substation at an existing site. SDG&amp;E expects a draft environmental report to be issued by the end of 2014 and a final CPUC decision approving the estimated $400 million to $500 million project in 2015. SDG&amp;E obtained approval for the project from the CAISO in May 2011. As the project is planned in phases, SDG&amp;E currently expects the entire project to be in service in 2019.</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South Bay Substation and Relocation Project</w:t>
      </w:r>
    </w:p>
    <w:p>
      <w:pPr>
        <w:spacing w:after="0" w:line="211"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color w:val="auto"/>
        </w:rPr>
        <w:t>SDG&amp;E filed an application in 2010 with the CPUC for a permit to construct a new substation, the Bay Boulevard substation, to replace the aging and obsolete South Bay substation to accommodate regional energy demands. The existing substation will be demolished when the Bay Boulevard substation has been constructed, energized and all transmission lines have been transferred. In October 2013, the CPUC approved SDG&amp;E’s permit to construct the Bay Boulevard substation at SDG&amp;E’s proposed site. The project, estimated at $145 million to $175 million, will replace the existing 138/69-kV substation with the new 230/69/12-kV Bay Boulevard substation. In March 2014, the California Coastal Commission approved the project, subject to certain additional environmental enhancements. SDG&amp;E is in the process of obtaining the remaining approvals and permits required to begin construction. SDG&amp;E currently expects the project to be in service in 2017.</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Federal Energy Regulatory Commission (FERC) Formulaic Rate Matters</w:t>
      </w:r>
    </w:p>
    <w:p>
      <w:pPr>
        <w:spacing w:after="0" w:line="21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In February 2013, SDG&amp;E submitted its Electric Transmission Formula Rate (TO4) filing with the FERC to set the rate making methodology and rate of return for SDG&amp;E’s FERC-regulated electric transmission operations and assets for the period beginning September 1, 2013. The filing proposed a FERC ROE of 11.3 percent and requested: 1) rates to be determined by a base period of historical costs and a forecast of capital investments and 2) a true-up period similar to balancing account treatment that is designed to provide SDG&amp;E earnings of no more and no less than its actual cost of service including its authorized return on investment. In June and July 2013, the FERC issued orders accepting the filing, subject to refund, and established settlement and hearing procedures, with rates being effective as of 2013.</w:t>
      </w:r>
    </w:p>
    <w:p>
      <w:pPr>
        <w:spacing w:after="0" w:line="19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January 31, 2014, SDG&amp;E filed an uncontested multi-party settlement at the FERC regarding the TO4 filing. The settlement, approved by FERC in May 2014, will be in effect through December 31, 2018, is subject to a one-time right of termination by any party, and established a 10.05 percent ROE. SDG&amp;E also has the right to file for any ROE incentives that might apply under FERC rules. SDG&amp;E’s debt to equity ratio will be set annually based on the actual ratio at the end of each year.</w:t>
      </w:r>
    </w:p>
    <w:p>
      <w:pPr>
        <w:spacing w:after="0" w:line="39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Energy Resource Recovery Account (ERRA)</w:t>
      </w:r>
    </w:p>
    <w:p>
      <w:pPr>
        <w:spacing w:after="0" w:line="211"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The ERRA is the regulatory balancing account that SDG&amp;E uses to recover the electric fuel and purchased power costs it incurs to provide energy to its bundled service customers. SDG&amp;E files an application with the CPUC each year to establish the ERRA revenue requirement needed for the following calendar year. Additionally, to the extent the ERRA balance exceeds a certain tolerance or “ERRA Trigger”, SDG&amp;E must file an application to adjust its rates upward or downward, as applicable, to address the under- or over-collected ERRA balance, respectively. In February 2014, the CPUC issued a decision granting SDG&amp;E authority to increase rates to recover an ERRA Trigger revenue requirement of $221 million, which rate increase was effective on April 1, 2014 and will continue through December 31, 2015. In May 2014, the CPUC issued a final decision approving SDG&amp;E’s proposed 2014 ERRA revenue requirement of $1.23 billion, an increase of $242 million compared to the 2013 ERRA revenue requirement of $988 million. SDG&amp;E implemented the increased revenue requirement on August 1, 2014.</w:t>
      </w:r>
    </w:p>
    <w:p>
      <w:pPr>
        <w:spacing w:after="0" w:line="38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Excess Wildfire Claims Cost Recovery</w:t>
      </w:r>
    </w:p>
    <w:p>
      <w:pPr>
        <w:spacing w:after="0" w:line="21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August 2009, SDG&amp;E and SoCalGas filed an application, along with other related filings, with the CPUC proposing a new framework and mechanism for the future recovery of all wildfire-related expenses for claims, litigation expenses and insurance premiums that are in excess of amounts authorized by the CPUC for recovery in distribution rates. In December 2012, the CPUC issued a final decision that ultimately did not approve the proposed framework for the utilities but allowed SDG&amp;E to maintain its authorized memorandum account so that SDG&amp;E may file applications with the CPUC requesting recovery of amounts properly recorded in the memorandum account at a later time, subject to reasonableness review.</w:t>
      </w:r>
    </w:p>
    <w:p>
      <w:pPr>
        <w:spacing w:after="0" w:line="180" w:lineRule="exact"/>
        <w:rPr>
          <w:sz w:val="20"/>
          <w:szCs w:val="20"/>
          <w:color w:val="auto"/>
        </w:rPr>
      </w:pPr>
    </w:p>
    <w:p>
      <w:pPr>
        <w:ind w:right="180"/>
        <w:spacing w:after="0" w:line="268" w:lineRule="auto"/>
        <w:rPr>
          <w:sz w:val="20"/>
          <w:szCs w:val="20"/>
          <w:color w:val="auto"/>
        </w:rPr>
      </w:pPr>
      <w:r>
        <w:rPr>
          <w:rFonts w:ascii="Arial" w:cs="Arial" w:eastAsia="Arial" w:hAnsi="Arial"/>
          <w:sz w:val="17"/>
          <w:szCs w:val="17"/>
          <w:color w:val="auto"/>
        </w:rPr>
        <w:t>In February 2014, the Presiding Judge assigned by the FERC to SDG&amp;E’s annual Electric Transmission Formula Rate filing (TO3 Cycle 6) issued an Initial Decision and an Order on Summary Judgment which authorizes SDG&amp;E to recover all of the costs incurred and allocated to SDG&amp;E’s FERC-regulated operations resulting from settlement activities for 2007 wildfire claims for that rate cycle period. This result will stand, subject to any successful appeal by the CPUC. In connection with this proceeding, the CPUC filed an appeal in the Ninth Circuit Court of Appeal of an earlier decision by the FERC denying the CPUC’s request to postpone the FERC proceeding pending CPUC action on cost recovery of the excess wildfire costs. The FERC has sought dismissal of the CPUC’s appeal on procedural grounds. The Court of Appeal has not yet ruled on the merits.</w:t>
      </w:r>
    </w:p>
    <w:p>
      <w:pPr>
        <w:spacing w:after="0" w:line="179"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SDG&amp;E intends to pursue recovery of the costs it has incurred for settlement activities associated with the 2007 wildfire claims allocated to SDG&amp;E’s CPUC-regulated operations in a future application with the CPUC. SDG&amp;E will continue to assess the potential for recovery of these costs in rates. We discuss the impact should SDG&amp;E conclude that recovery in rates is no longer probable in “Legal Proceedings — SDG&amp;E — 2007 Wildfire Litigation” in Note 11. We discuss how we assess the probability of recovery of our regulatory assets in Note 1 of the Notes to Consolidated Financial Statements in the Annual Report.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We provide additional information about 2007 wildfire litigation costs and their recovery in Note 11.</w:t>
      </w:r>
    </w:p>
    <w:p>
      <w:pPr>
        <w:sectPr>
          <w:pgSz w:w="11900" w:h="16838" w:orient="portrait"/>
          <w:cols w:equalWidth="0" w:num="1">
            <w:col w:w="11400"/>
          </w:cols>
          <w:pgMar w:left="240" w:top="127" w:right="259" w:bottom="205"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SOCALGAS MATTER</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Advanced Metering Infrastructure</w:t>
      </w:r>
    </w:p>
    <w:p>
      <w:pPr>
        <w:spacing w:after="0" w:line="211"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In November 2011, the ORA (formerly the Division of Ratepayer Advocates or DRA) and TURN filed a joint petition requesting that the CPUC reconsider its prior approval of SoCalGas’ advanced metering infrastructure (AMI) project and stay AMI deployment while the CPUC considered the request. In June 2014, the CPUC denied the ORA/TURN petition, and SoCalGas is continuing its deployment of AMI pursuant to the April 2010 CPUC decision approving the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466090</wp:posOffset>
            </wp:positionV>
            <wp:extent cx="72656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5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9"/>
          <w:szCs w:val="19"/>
          <w:color w:val="auto"/>
        </w:rPr>
        <w:t>NOTE 11. COMMITMENTS AND CONTINGENCIES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accrue losses for a legal proceeding when it is probable that a loss has been incurred and the amount of the loss can be reasonably estimated. However, the uncertainties inherent in legal proceedings make it difficult to estimate with reasonable certainty the costs and effects of resolving these matters. Accordingly, actual costs incurred may differ materially from amounts accrued, may exceed applicable insurance coverage and could materially adversely affect our business, cash flows, results of operations, financial condition and prospects. Unless otherwise indicated, we are unable to estimate reasonably possible losses in excess of any amounts accrued.</w:t>
      </w:r>
    </w:p>
    <w:p>
      <w:pPr>
        <w:spacing w:after="0" w:line="193"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At September 30, 2014, Sempra Energy’s accrued liabilities for material legal proceedings, including associated legal fees and costs of litigation, on a consolidated basis, were $144 million. At September 30, 2014, accrued liabilities for material legal proceedings for SDG&amp;E and SoCalGas were $127 million and $11 million, respectively.</w:t>
      </w:r>
    </w:p>
    <w:p>
      <w:pPr>
        <w:spacing w:after="0" w:line="39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SDG&amp;E</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2007 Wildfire Litigation</w:t>
      </w:r>
    </w:p>
    <w:p>
      <w:pPr>
        <w:spacing w:after="0" w:line="21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October 2007, San Diego County experienced several catastrophic wildfires. Reports issued by the California Department of Forestry and Fire Protection (Cal Fire) concluded that two of these fires (the Witch and Rice fires) were SDG&amp;E “power line caused” and that a third fire (the Guejito fire) occurred when a wire securing a Cox Communications’ (Cox) fiber optic cable came into contact with an SDG&amp;E power line “causing an arc and starting the fire.” Cal Fire reported that the Rice fire burned approximately 9,500 acres and damaged 206 homes and two commercial properties, and the Witch and Guejito fires merged and eventually burned approximately 198,000 acres, resulting in two fatalities, approximately 40 firefighters injured and over 1,000 homes destroyed.</w:t>
      </w:r>
    </w:p>
    <w:p>
      <w:pPr>
        <w:spacing w:after="0" w:line="164" w:lineRule="exact"/>
        <w:rPr>
          <w:sz w:val="20"/>
          <w:szCs w:val="20"/>
          <w:color w:val="auto"/>
        </w:rPr>
      </w:pPr>
    </w:p>
    <w:p>
      <w:pPr>
        <w:jc w:val="both"/>
        <w:ind w:right="120"/>
        <w:spacing w:after="0" w:line="253" w:lineRule="auto"/>
        <w:rPr>
          <w:sz w:val="20"/>
          <w:szCs w:val="20"/>
          <w:color w:val="auto"/>
        </w:rPr>
      </w:pPr>
      <w:r>
        <w:rPr>
          <w:rFonts w:ascii="Arial" w:cs="Arial" w:eastAsia="Arial" w:hAnsi="Arial"/>
          <w:sz w:val="18"/>
          <w:szCs w:val="18"/>
          <w:color w:val="auto"/>
        </w:rPr>
        <w:t>A September 2008 staff report issued by the CPUC’s Consumer Protection and Safety Division, now known as the Safety and Enforcement Division (CPSD), reached substantially the same conclusions as the Cal Fire reports, but also contended that the power lines involved in the Witch and Rice fires and the lashing wire involved in the Guejito fire were not properly designed, constructed and maintained. In April 2010, proceedings initiated by the CPUC to determine if any of its rules were violated were settled with SDG&amp;E’s payment of $14.75 million.</w:t>
      </w:r>
    </w:p>
    <w:p>
      <w:pPr>
        <w:spacing w:after="0" w:line="190"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Numerous parties have sued SDG&amp;E and Sempra Energy in San Diego County Superior Court seeking recovery of unspecified amounts of damages, including punitive damages, from the three fires. They assert various bases for recovery, including inverse condemnation based upon a California Court of Appeal decision finding that another California investor-owned utility was subject to strict liability, without regard to foreseeability or negligence, for property damages resulting from a wildfire ignited by power lines. SDG&amp;E has resolved almost all of these lawsuits. In February 2014, the Court set a February 2015 trial date for a trial to be comprised of four of the remaining cases involving plaintiffs who claim damages resulting from the Witch fire. In June 2014, the Court continued the trial date for the Witch fire cases to June 2015.</w:t>
      </w:r>
    </w:p>
    <w:p>
      <w:pPr>
        <w:spacing w:after="0" w:line="195" w:lineRule="exact"/>
        <w:rPr>
          <w:sz w:val="20"/>
          <w:szCs w:val="20"/>
          <w:color w:val="auto"/>
        </w:rPr>
      </w:pPr>
    </w:p>
    <w:p>
      <w:pPr>
        <w:ind w:right="120"/>
        <w:spacing w:after="0" w:line="278" w:lineRule="auto"/>
        <w:rPr>
          <w:sz w:val="20"/>
          <w:szCs w:val="20"/>
          <w:color w:val="auto"/>
        </w:rPr>
      </w:pPr>
      <w:r>
        <w:rPr>
          <w:rFonts w:ascii="Arial" w:cs="Arial" w:eastAsia="Arial" w:hAnsi="Arial"/>
          <w:sz w:val="17"/>
          <w:szCs w:val="17"/>
          <w:color w:val="auto"/>
        </w:rPr>
        <w:t>SDG&amp;E filed cross-complaints against Cox and three contractors, seeking indemnification for any liability that SDG&amp;E might incur. SDG&amp;E settled its claims against Cox and the three contractors for an aggregate of $824 million. Among other things, the settlement agreements provide that SDG&amp;E will defend and indemnify Cox and the three contractors against all compensatory damage claims and related costs arising out of the wildfires.</w:t>
      </w:r>
    </w:p>
    <w:p>
      <w:pPr>
        <w:spacing w:after="0" w:line="171"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SDG&amp;E’s settled claims and defense costs have exceeded its $1.1 billion of liability insurance coverage for the covered period and the $824 million recovered from third parties. SDG&amp;E has settled all of the approximately 19,000 claims brought by homeowner insurers for damage to insured property relating to the three fires. Under the settlement agreements, SDG&amp;E has paid or will pay 57.5 percent of the approximately $1.6 billion paid or reserved for payment by the insurers to their policyholders and received an assignment of the insurers’ claims against other parties potentially responsible for the fires.</w:t>
      </w:r>
    </w:p>
    <w:p>
      <w:pPr>
        <w:spacing w:after="0" w:line="162"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The wildfire litigation also includes claims of non-insurer plaintiffs for damage to uninsured and underinsured structures, business interruption, evacuation expenses, agricultural damage, emotional harm, personal injuries and other losses. SDG&amp;E has now settled almost all of these claims of the approximately 6,500 plaintiffs for a total of approximately $1.25 billion. Substantially all of the remaining plaintiffs have submitted settlement demands and damage estimates, which total approximately $200 million. SDG&amp;E does not expect additional plaintiffs to file lawsuits given the applicable statutes of limitation, but does expect to receive additional settlement demands and damage estimates from existing plaintiffs as settlement negotiations continue. SDG&amp;E has established reserves for the wildfire litigation as we discuss below.</w:t>
      </w:r>
    </w:p>
    <w:p>
      <w:pPr>
        <w:spacing w:after="0" w:line="195"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SDG&amp;E has concluded that it is probable that it will be permitted to recover in rates a substantial portion of its reasonably incurred costs of resolving wildfire claims in excess of its liability insurance coverage and the amounts recovered from third parties. Accordingly, although such recovery will require future regulatory approval, at September 30, 2014, Sempra Energy and SDG&amp;E have recorded assets of $371 million in Other Regulatory Assets (long-term) on their Condensed Consolidated Balance Sheets, including $357 million related to CPUC-regulated operations, which represents the amount substantially equal to the aggregate amount it has paid or reserved for payment for the resolution of wildfire claims and related costs in excess of its liability insurance coverage and amounts recovered from third parties.</w:t>
      </w:r>
    </w:p>
    <w:p>
      <w:pPr>
        <w:spacing w:after="0" w:line="195" w:lineRule="exact"/>
        <w:rPr>
          <w:sz w:val="20"/>
          <w:szCs w:val="20"/>
          <w:color w:val="auto"/>
        </w:rPr>
      </w:pPr>
    </w:p>
    <w:p>
      <w:pPr>
        <w:ind w:right="140"/>
        <w:spacing w:after="0" w:line="329" w:lineRule="auto"/>
        <w:rPr>
          <w:sz w:val="20"/>
          <w:szCs w:val="20"/>
          <w:color w:val="auto"/>
        </w:rPr>
      </w:pPr>
      <w:r>
        <w:rPr>
          <w:rFonts w:ascii="Arial" w:cs="Arial" w:eastAsia="Arial" w:hAnsi="Arial"/>
          <w:sz w:val="16"/>
          <w:szCs w:val="16"/>
          <w:color w:val="auto"/>
        </w:rPr>
        <w:t>SDG&amp;E will continue to gather information to evaluate and assess the remaining wildfire claims and the likelihood, amount and timing of related recoveries in rates and will make appropriate adjustments to wildfire reserves and the related regulatory assets as additional information becomes available. Should SDG&amp;E</w:t>
      </w:r>
    </w:p>
    <w:p>
      <w:pPr>
        <w:sectPr>
          <w:pgSz w:w="11900" w:h="16838" w:orient="portrait"/>
          <w:cols w:equalWidth="0" w:num="1">
            <w:col w:w="11420"/>
          </w:cols>
          <w:pgMar w:left="240" w:top="118" w:right="239" w:bottom="0" w:gutter="0" w:footer="0" w:header="0"/>
        </w:sectPr>
      </w:pPr>
    </w:p>
    <w:bookmarkStart w:id="47" w:name="page48"/>
    <w:bookmarkEnd w:id="47"/>
    <w:p>
      <w:pPr>
        <w:ind w:right="20"/>
        <w:spacing w:after="0" w:line="294" w:lineRule="auto"/>
        <w:rPr>
          <w:sz w:val="20"/>
          <w:szCs w:val="20"/>
          <w:color w:val="auto"/>
        </w:rPr>
      </w:pPr>
      <w:r>
        <w:rPr>
          <w:rFonts w:ascii="Arial" w:cs="Arial" w:eastAsia="Arial" w:hAnsi="Arial"/>
          <w:sz w:val="16"/>
          <w:szCs w:val="16"/>
          <w:color w:val="auto"/>
        </w:rPr>
        <w:t>conclude that recovery in rates is no longer probable, SDG&amp;E will record a charge against earnings at the time such conclusion is reached. If SDG&amp;E had concluded that the recovery of regulatory assets related to CPUC-regulated operations was no longer probable or was less than currently estimated at September 30, 2014, the resulting after-tax charge against earnings would have been up to approximately $210 million. In addition, in periods following any such conclusion, SDG&amp;E’s earnings will be adversely impacted by increases in the estimated cost to litigate or settle pending wildfire claims.</w:t>
      </w:r>
    </w:p>
    <w:p>
      <w:pPr>
        <w:spacing w:after="0" w:line="16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SDG&amp;E’s cash flow may be materially adversely affected due to the timing differences between the resolution of claims and the recoveries in rates, which may extend over a number of years. Also, recovery from customers will require future regulatory actions, and a failure to obtain substantial or full recovery, or any negative assessment of the likelihood of recovery, would likely have a material adverse effect on Sempra Energy’s and SDG&amp;E’s businesses, financial condition, cash flows, results of operations and prospects.</w:t>
      </w:r>
    </w:p>
    <w:p>
      <w:pPr>
        <w:spacing w:after="0" w:line="190" w:lineRule="exact"/>
        <w:rPr>
          <w:sz w:val="20"/>
          <w:szCs w:val="20"/>
          <w:color w:val="auto"/>
        </w:rPr>
      </w:pPr>
    </w:p>
    <w:p>
      <w:pPr>
        <w:ind w:right="200"/>
        <w:spacing w:after="0" w:line="268" w:lineRule="auto"/>
        <w:rPr>
          <w:sz w:val="20"/>
          <w:szCs w:val="20"/>
          <w:color w:val="auto"/>
        </w:rPr>
      </w:pPr>
      <w:r>
        <w:rPr>
          <w:rFonts w:ascii="Arial" w:cs="Arial" w:eastAsia="Arial" w:hAnsi="Arial"/>
          <w:sz w:val="17"/>
          <w:szCs w:val="17"/>
          <w:color w:val="auto"/>
        </w:rPr>
        <w:t>Since 2010, as liabilities for wildfire litigation have become reasonably estimable in the form of settlement demands, damage estimates, and other damage information, SDG&amp;E has recorded related reserves as a liability. Most of the impact of this liability at September 30, 2014 is offset by the recognition of regulatory assets, as discussed above, for reserves in excess of the insurance coverage and recoveries from third parties. The impact of the change in these reserves on SDG&amp;E’s and Sempra Energy’s after-tax earnings for the three months and nine months ended September 30, 2014 and 2013 were not material. Additionally, through September 30, 2014, SDG&amp;E has expended $426 million in excess of amounts covered by insurance and amounts recovered from third parties to pay for the settlement of wildfire claims and related costs.</w:t>
      </w:r>
    </w:p>
    <w:p>
      <w:pPr>
        <w:spacing w:after="0" w:line="179"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We provide additional information about excess wildfire claims cost recovery and related CPUC actions in Note 10 and discuss how we assess the probability of recovery of our regulatory assets in Note 1 of the Notes to Consolidated Financial Statements in the Annual Report.</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Sunrise Powerlink Electric Transmission Line</w:t>
      </w:r>
    </w:p>
    <w:p>
      <w:pPr>
        <w:spacing w:after="0" w:line="21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Sunrise Powerlink is a 117-mile, 500-kV electric transmission line between the Imperial Valley and the San Diego region that was energized and placed in service in June 2012. The Sunrise Powerlink project was approved by the CPUC in December 2008, the Bureau of Land Management in January 2009, and the United States Forest Service in July 2010. Numerous administrative appeals and legal challenges have been resolved in favor of the project. Two legal challenges remain pending.</w:t>
      </w:r>
    </w:p>
    <w:p>
      <w:pPr>
        <w:spacing w:after="0" w:line="190" w:lineRule="exact"/>
        <w:rPr>
          <w:sz w:val="20"/>
          <w:szCs w:val="20"/>
          <w:color w:val="auto"/>
        </w:rPr>
      </w:pPr>
    </w:p>
    <w:p>
      <w:pPr>
        <w:ind w:right="160"/>
        <w:spacing w:after="0" w:line="278" w:lineRule="auto"/>
        <w:rPr>
          <w:sz w:val="20"/>
          <w:szCs w:val="20"/>
          <w:color w:val="auto"/>
        </w:rPr>
      </w:pPr>
      <w:r>
        <w:rPr>
          <w:rFonts w:ascii="Arial" w:cs="Arial" w:eastAsia="Arial" w:hAnsi="Arial"/>
          <w:sz w:val="17"/>
          <w:szCs w:val="17"/>
          <w:color w:val="auto"/>
        </w:rPr>
        <w:t>In February 2011, opponents of the Sunrise Powerlink filed a lawsuit in Sacramento County Superior Court against the State Water Resources Control Board and SDG&amp;E alleging that the water quality certification issued by the Board under the Federal Clean Water Act violated the California Environmental Quality Act. The Superior Court denied the plaintiffs’ petition in July 2012, and the plaintiffs have appealed.</w:t>
      </w:r>
    </w:p>
    <w:p>
      <w:pPr>
        <w:spacing w:after="0" w:line="171" w:lineRule="exact"/>
        <w:rPr>
          <w:sz w:val="20"/>
          <w:szCs w:val="20"/>
          <w:color w:val="auto"/>
        </w:rPr>
      </w:pPr>
    </w:p>
    <w:p>
      <w:pPr>
        <w:ind w:right="200"/>
        <w:spacing w:after="0" w:line="287" w:lineRule="auto"/>
        <w:rPr>
          <w:sz w:val="20"/>
          <w:szCs w:val="20"/>
          <w:color w:val="auto"/>
        </w:rPr>
      </w:pPr>
      <w:r>
        <w:rPr>
          <w:rFonts w:ascii="Arial" w:cs="Arial" w:eastAsia="Arial" w:hAnsi="Arial"/>
          <w:sz w:val="16"/>
          <w:szCs w:val="16"/>
          <w:color w:val="auto"/>
        </w:rPr>
        <w:t>A claim for additional compensation has been submitted by one of SDG&amp;E’s contractors on the Sunrise Powerlink project. The contractor was awarded the transmission line overhead and underground construction contract on a fixed-fee basis of $456 million after agreed-upon amendments. The contractor has asserted that it is owed additional compensation above the fixed-fee portion of the contract. In May 2013, the contractor filed claims totaling $180 million, including one in San Diego County for the sum of $99 million and the other in Imperial County for the sum of $81 million, seeking foreclosure of previously filed mechanics liens. In October 2013, the contractor served a Demand for Arbitration pursuant to contractual provisions. SDG&amp;E has answered the demand and filed a counter claim against the contractor. The arbitration panel has set a July 2015 arbitration hearing date.</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September 2011 Power Outage</w:t>
      </w:r>
    </w:p>
    <w:p>
      <w:pPr>
        <w:spacing w:after="0" w:line="21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September 2011, a power outage lasting approximately 12 hours affected millions of people from Mexico to southern Orange County, California. Within several days of the outage, several SDG&amp;E customers filed a class action lawsuit in Federal District Court in San Diego against Arizona Public Service Company, Pinnacle West Capital Corporation and SDG&amp;E alleging that the companies failed to prevent the outage. The lawsuit seeks recovery of unspecified amounts of damages, including punitive damages. In July 2012, the court granted SDG&amp;E’s motion to dismiss the punitive damages request and dismissed Arizona Public Service Company and Pinnacle West Capital Corporation from the lawsuit. In September 2013, the court granted SDG&amp;E’s motion for summary judgment and dismissed the lawsuit. In October 2013, the plaintiffs appealed the court’s dismissal of their action.</w:t>
      </w:r>
    </w:p>
    <w:p>
      <w:pPr>
        <w:spacing w:after="0" w:line="17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FERC and North American Electric Reliability Corporation (NERC) Staff conducted a joint inquiry to determine the cause of the power failure and issued a report in May 2012 regarding their findings. Following that report, Staff from FERC’s Office of Enforcement (FERC Enforcement Staff) investigated potential violations of FERC’s Reliability Standards associated with the outage. In January 2014, FERC Enforcement Staff issued a Staff Notice of Alleged Violations, in which FERC Enforcement Staff alleged violations of various Reliability Standards by several entities. FERC Enforcement Staff did not allege or find any violations by SDG&amp;E.</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Smart Meters Patent Infringement Lawsuit</w:t>
      </w:r>
    </w:p>
    <w:p>
      <w:pPr>
        <w:spacing w:after="0" w:line="211"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In October 2011, SDG&amp;E was sued by a Texas design and manufacturing company in Federal District Court, Southern District of California, and later transferred to the Federal District Court, Western District of Oklahoma, alleging that SDG&amp;E’s recently installed smart meters infringed certain patents. The meters were purchased from a third party vendor that has agreed to defend and indemnify SDG&amp;E. The lawsuit seeks injunctive relief and recovery of unspecified amounts of damages.</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Lawsuit Against Mitsubishi Heavy Industries, Ltd.</w:t>
      </w:r>
    </w:p>
    <w:p>
      <w:pPr>
        <w:spacing w:after="0" w:line="211"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On July 18, 2013, SDG&amp;E filed a lawsuit in the Superior Court of California in the County of San Diego against Mitsubishi Heavy Industries, Ltd., Mitsubishi Nuclear Energy Systems, Inc., and Mitsubishi Heavy Industries America, Inc. (collectively MHI). The lawsuit seeks to recover damages SDG&amp;E has incurred and will incur related to the design defects in the steam generators MHI provided to the SONGS nuclear power plant. The lawsuit asserts a number of causes of action, including fraud, based on the representations MHI made about its qualifications and ability to design generators free from defects of the kind that resulted in the permanent shutdown of the plant and further seeks to set aside the contractual limitation of damages that MHI has asserted. On July 24, 2013, MHI removed the lawsuit to the United States District Court for the Southern District of California and on August 8, 2013, MHI moved to stay the proceeding pending resolution of the dispute resolution process involving MHI and Edison arising from their contract for the purchase and sale of the steam generators. On October 16, 2013, Edison initiated an arbitration proceeding against MHI seeking damages stemming from the failure of the replacement steam generators. In late December 2013, MHI answered and filed a counter-claim against Edison. On March 14, 2014, MHI’s motion to stay the United States District Court proceeding was granted with instructions that require the parties to allow SDG&amp;E to participate in the ongoing Edison/MHI arbitration.</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Investment in Wind Farm</w:t>
      </w:r>
    </w:p>
    <w:p>
      <w:pPr>
        <w:sectPr>
          <w:pgSz w:w="11900" w:h="16838" w:orient="portrait"/>
          <w:cols w:equalWidth="0" w:num="1">
            <w:col w:w="11380"/>
          </w:cols>
          <w:pgMar w:left="240" w:top="127" w:right="279" w:bottom="0" w:gutter="0" w:footer="0" w:header="0"/>
        </w:sectPr>
      </w:pPr>
    </w:p>
    <w:p>
      <w:pPr>
        <w:spacing w:after="0" w:line="211" w:lineRule="exact"/>
        <w:rPr>
          <w:sz w:val="20"/>
          <w:szCs w:val="20"/>
          <w:color w:val="auto"/>
        </w:rPr>
      </w:pPr>
    </w:p>
    <w:p>
      <w:pPr>
        <w:ind w:right="180"/>
        <w:spacing w:after="0" w:line="329" w:lineRule="auto"/>
        <w:rPr>
          <w:sz w:val="20"/>
          <w:szCs w:val="20"/>
          <w:color w:val="auto"/>
        </w:rPr>
      </w:pPr>
      <w:r>
        <w:rPr>
          <w:rFonts w:ascii="Arial" w:cs="Arial" w:eastAsia="Arial" w:hAnsi="Arial"/>
          <w:sz w:val="16"/>
          <w:szCs w:val="16"/>
          <w:color w:val="auto"/>
        </w:rPr>
        <w:t>In 2011, the CPUC and FERC approved SDG&amp;E’s estimated $285 million tax equity investment in a wind farm project and its purchase of renewable energy credits from that project. SDG&amp;E’s contractual obligations to both invest in the Rim Rock wind farm and to purchase renewable energy credits from the wind</w:t>
      </w:r>
    </w:p>
    <w:p>
      <w:pPr>
        <w:sectPr>
          <w:pgSz w:w="11900" w:h="16838" w:orient="portrait"/>
          <w:cols w:equalWidth="0" w:num="1">
            <w:col w:w="11380"/>
          </w:cols>
          <w:pgMar w:left="240" w:top="127" w:right="279" w:bottom="0" w:gutter="0" w:footer="0" w:header="0"/>
          <w:type w:val="continuous"/>
        </w:sectPr>
      </w:pPr>
    </w:p>
    <w:bookmarkStart w:id="48" w:name="page49"/>
    <w:bookmarkEnd w:id="48"/>
    <w:p>
      <w:pPr>
        <w:ind w:right="40"/>
        <w:spacing w:after="0" w:line="266" w:lineRule="auto"/>
        <w:rPr>
          <w:sz w:val="20"/>
          <w:szCs w:val="20"/>
          <w:color w:val="auto"/>
        </w:rPr>
      </w:pPr>
      <w:r>
        <w:rPr>
          <w:rFonts w:ascii="Arial" w:cs="Arial" w:eastAsia="Arial" w:hAnsi="Arial"/>
          <w:sz w:val="17"/>
          <w:szCs w:val="17"/>
          <w:color w:val="auto"/>
        </w:rPr>
        <w:t>farm under the power purchase agreement are subject to the satisfaction of certain conditions which, if not achieved, would allow SDG&amp;E to terminate the power purchase agreement and not make the investment. In December 2013, SDG&amp;E received a closing notice from the project developer indicating that all such conditions had been met. SDG&amp;E responded to the closing notice asserting that the contractual conditions had not been satisfied. On December 19, 2013, SDG&amp;E filed a complaint against the project developer in San Diego Superior Court, asking that the court determine that SDG&amp;E is entitled to terminate both the investment contract and the power purchase agreement due to the project developer’s failure to satisfy certain conditions. The project developer filed a separate complaint against SDG&amp;E in Montana state court asking that court to determine that SDG&amp;E breached the investment contract and the power purchase agreement, and asking for several categories of relief, including requiring SDG&amp;E to invest in the project, requiring SDG&amp;E to continue performing under the power purchase agreement, and payment of damages.</w:t>
      </w:r>
    </w:p>
    <w:p>
      <w:pPr>
        <w:spacing w:after="0" w:line="180"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On January 27, 2014, the Montana court ordered SDG&amp;E to continue making payments under the power purchase agreement pending a hearing on the project developer’s preliminary injunction motion. On March 14, 2014, SDG&amp;E notified the project developer that the investment agreement expired by its own terms because a closing had not occurred by that date. The project developer is disputing SDG&amp;E’s position. On March 28, 2014, SDG&amp;E filed an amended complaint against the project developer in San Diego seeking damages and declaratory relief that SDG&amp;E was entitled to terminate the power purchase agreement and to permit the investment agreement to expire. On April 25, 2014, the Montana court granted the project developer’s preliminary injunction motion to prevent SDG&amp;E from terminating the power purchase agreement on the grounds that the project developer would be irreparably harmed if the payments were not made while the parties’ respective rights were being determined in the litigation. The court did not rule on the merits of the parties’ claims. On July 18, 2014, the Montana Supreme Court determined that Montana courts did not have jurisdiction over the parties’ dispute due to their contractual agreement to resolve any disputes in California, and ordered that the Montana action be dismissed. The San Diego court has scheduled a trial for March 6, 2015.</w:t>
      </w:r>
    </w:p>
    <w:p>
      <w:pPr>
        <w:spacing w:after="0" w:line="38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SoCalGas</w:t>
      </w:r>
    </w:p>
    <w:p>
      <w:pPr>
        <w:spacing w:after="0" w:line="211"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SoCalGas, along with Monsanto Co., Solutia, Inc., Pharmacia Corp. and Pfizer, Inc., are defendants in seven Los Angeles County Superior Court lawsuits filed beginning in April 2011 seeking recovery of unspecified amounts of damages, including punitive damages, as a result of plaintiffs’ exposure to PCBs (polychlorinated biphenyls). The lawsuits allege plaintiffs were exposed to PCBs not only through the food chain and other various sources but from PCB-contaminated natural gas pipelines owned and operated by SoCalGas. This contamination allegedly caused plaintiffs to develop cancer and other serious illnesses. Plaintiffs assert various bases for recovery, including negligence and products liability. SoCalGas has settled three of the seven lawsuits for an amount that is not significant.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Sempra Mexico</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Permit Challenges and Property Disputes</w:t>
      </w:r>
    </w:p>
    <w:p>
      <w:pPr>
        <w:spacing w:after="0" w:line="211"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Sempra Mexico has been engaged in a long-running land dispute relating to property adjacent to its Energía Costa Azul LNG terminal near Ensenada, Mexico. Ownership of the adjacent property is not required by any of the environmental or other regulatory permits issued for the operation of the terminal. A claimant to the adjacent property has nonetheless asserted that his health and safety are endangered by the operation of the facility, and filed an action in the Federal Court challenging the permits. In February 2011, based on a complaint by the claimant, the municipality of Ensenada opened an administrative proceeding and sought to temporarily close the terminal based on claims of irregularities in municipal permits issued six years earlier. This attempt was promptly countermanded by Mexican federal and Baja California state authorities. No terminal permits or operations were affected as a result of these proceedings or events and the terminal has continued to operate normally. In the second quarter of 2014, the municipality of Ensenada dismissed the administrative proceeding, which is subject to an administrative appeal, pending for resolution before the Administrative Court of Baja California. Sempra Mexico expects additional Mexican court proceedings and governmental actions regarding the claimant’s assertions as to whether the terminal’s permits should be modified or revoked in any manner.</w:t>
      </w:r>
    </w:p>
    <w:p>
      <w:pPr>
        <w:spacing w:after="0" w:line="189"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The claimant also filed complaints in the federal Agrarian Court challenging the refusal of the Secretaría de la Reforma Agraria (now the Secretaría de Desarrollo Agrario, Territorial y Urbano, or SEDATU) in 2006 to issue a title to him for the disputed property. In November 2013, the Agrarian Court ordered that SEDATU issue the requested title and cause it to be registered. Both SEDATU and Sempra Mexico have challenged the rulings. Sempra Mexico expects additional proceedings regarding the claims, although such proceedings are not related to the permit challenges referenced above. The property claimant also filed a lawsuit in July 2010 against Sempra Energy in Federal District Court in San Diego seeking compensatory and punitive damages as well as the earnings from the Energía Costa Azul LNG terminal based on his allegations that he was wrongfully evicted from the adjacent property and that he has been harmed by other allegedly improper actions. Sempra Energy has disputed the claims and allegations in this lawsuit.</w:t>
      </w:r>
    </w:p>
    <w:p>
      <w:pPr>
        <w:spacing w:after="0" w:line="166"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Additionally, several administrative challenges are pending in Mexico before the Mexican environmental protection agency (SEMARNAT) and/or the Federal Tax and Administrative Courts seeking revocation of the environmental impact authorization (EIA) issued to Energía Costa Azul in 2003. These cases generally allege that the conditions and mitigation measures in the EIA are inadequate and challenge findings that the activities of the terminal are consistent with regional development guidelines. The Mexican Supreme Court decided to exercise jurisdiction over one such case, and in March 2014, issued a resolution denying the relief sought by the plaintiff on the grounds its action was not timely presented. A similar administrative challenge seeking to revoke the port concession for our marine operations at our Energía Costa Azul LNG terminal, which was filed with and rejected by the Mexican Communications and Transportation Ministry, remains on appeal in Mexican federal court as well.</w:t>
      </w:r>
    </w:p>
    <w:p>
      <w:pPr>
        <w:spacing w:after="0" w:line="184"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Two real property cases have been filed against Energía Costa Azul in which the plaintiffs seek to annul the recorded property titles for parcels on which the Energía Costa Azul LNG terminal is situated and to obtain possession of different parcels that allegedly sit in the same place; one of these cases was dismissed in September 2013 at the direction of the state appellate court. A third complaint was served in April 2013 seeking to invalidate the contract by which Energía Costa Azul purchased another of the terminal parcels, on the grounds the purchase price was unfair. Sempra Mexico expects further proceedings on the remaining two matters.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Sempra Natural Gas</w:t>
      </w:r>
    </w:p>
    <w:p>
      <w:pPr>
        <w:spacing w:after="0" w:line="211" w:lineRule="exact"/>
        <w:rPr>
          <w:sz w:val="20"/>
          <w:szCs w:val="20"/>
          <w:color w:val="auto"/>
        </w:rPr>
      </w:pPr>
    </w:p>
    <w:p>
      <w:pPr>
        <w:ind w:right="160"/>
        <w:spacing w:after="0" w:line="303" w:lineRule="auto"/>
        <w:rPr>
          <w:sz w:val="20"/>
          <w:szCs w:val="20"/>
          <w:color w:val="auto"/>
        </w:rPr>
      </w:pPr>
      <w:r>
        <w:rPr>
          <w:rFonts w:ascii="Arial" w:cs="Arial" w:eastAsia="Arial" w:hAnsi="Arial"/>
          <w:sz w:val="16"/>
          <w:szCs w:val="16"/>
          <w:color w:val="auto"/>
        </w:rPr>
        <w:t>Liberty Gas Storage, LLC (Liberty) received a demand for arbitration from Williams Midstream Natural Gas Liquids, Inc. (Williams) in February 2011 related to a sublease agreement. Williams alleges that Liberty was negligent in its attempt to convert certain salt caverns to natural gas storage and seeks damages of $56.7 million. Liberty filed a counterclaim alleging breach of contract in the inducement and seeks damages of more than $215 million.</w:t>
      </w:r>
    </w:p>
    <w:p>
      <w:pPr>
        <w:spacing w:after="0" w:line="36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Other Litigation</w:t>
      </w:r>
    </w:p>
    <w:p>
      <w:pPr>
        <w:sectPr>
          <w:pgSz w:w="11900" w:h="16838" w:orient="portrait"/>
          <w:cols w:equalWidth="0" w:num="1">
            <w:col w:w="11420"/>
          </w:cols>
          <w:pgMar w:left="240" w:top="127" w:right="239" w:bottom="0" w:gutter="0" w:footer="0" w:header="0"/>
        </w:sectPr>
      </w:pPr>
    </w:p>
    <w:bookmarkStart w:id="49" w:name="page50"/>
    <w:bookmarkEnd w:id="49"/>
    <w:p>
      <w:pPr>
        <w:ind w:right="80"/>
        <w:spacing w:after="0" w:line="283" w:lineRule="auto"/>
        <w:rPr>
          <w:sz w:val="20"/>
          <w:szCs w:val="20"/>
          <w:color w:val="auto"/>
        </w:rPr>
      </w:pPr>
      <w:r>
        <w:rPr>
          <w:rFonts w:ascii="Arial" w:cs="Arial" w:eastAsia="Arial" w:hAnsi="Arial"/>
          <w:sz w:val="16"/>
          <w:szCs w:val="16"/>
          <w:color w:val="auto"/>
        </w:rPr>
        <w:t>As described in Note 4, Sempra Energy holds a noncontrolling interest in RBS Sempra Commodities, a limited liability partnership in the process of being liquidated. The Royal Bank of Scotland plc (RBS), our partner in the joint venture, was notified by the United Kingdom’s Revenue and Customs Department (HMRC) that it was investigating value-added tax (VAT) refund claims made by various businesses in connection with the purchase and sale of carbon credit allowances. HMRC advised RBS that it had determined that it had grounds to deny such claims by RBS related to transactions by RBS Sempra Energy Europe (RBS SEE), a former indirect subsidiary of RBS Sempra Commodities that was sold to JP Morgan. HMRC asserted that RBS was not entitled to reduce its VAT liability by VAT paid during 2009 because RBS knew or should have known that certain vendors in the trading chain did not remit their own VAT to HMRC. In September 2012, HMRC issued a protective assessment of £86 million for the VAT paid in connection with these transactions. In October 2014, RBS filed a Notice of Appeal of the September 2012 assessment with the First-tier Tribunal. As a condition of the appeal, RBS was required to pay the assessed amount. The payment also stops the accrual of interest that could arise should it ultimately be determined that RBS has a liability for some of the tax.</w:t>
      </w:r>
    </w:p>
    <w:p>
      <w:pPr>
        <w:spacing w:after="0" w:line="174"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In August 2007, the U.S. Court of Appeals for the Ninth Circuit issued a decision reversing and remanding certain FERC orders declining to provide refunds regarding short-term bilateral sales up to one month in the Pacific Northwest for the January 2000 to June 2001 time period. In December 2010, the FERC approved a comprehensive settlement previously reached by Sempra Energy and RBS Sempra Commodities with the State of California. The settlement resolved all issues with regard to sales between the California Department of Water Resources and Sempra Commodities in the Pacific Northwest, but potential claims may exist regarding sales in the Pacific Northwest between Sempra Commodities and other parties. The FERC is in the process of addressing these potential claims on remand. Pursuant to the agreements related to the formation of RBS Sempra Commodities, we have indemnified RBS should the liability from the final resolution of these matters be greater than the reserves related to Sempra Commodities. Pursuant to our agreement with the Noble Group Ltd., one of the buyers of RBS Sempra Commodities’ businesses, we have also indemnified Noble Americas Gas &amp; Power Corp. and its affiliates for all losses incurred by such parties resulting from these proceedings as related to Sempra Commodities.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We are also defendants in ordinary routine litigation incidental to our businesses, including personal injury, product liability, property damage and other claims.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California juries have demonstrated an increasing willingness to grant large awards, including punitive damages, in these types of cases.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COMMITMENTS</w:t>
      </w:r>
    </w:p>
    <w:p>
      <w:pPr>
        <w:spacing w:after="0" w:line="229"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color w:val="auto"/>
        </w:rPr>
        <w:t>We discuss below significant changes in the first nine months of 2014 to contractual commitments discussed in Note 15 of the Notes to Consolidated Financial Statements in the Annual Report.</w:t>
      </w:r>
    </w:p>
    <w:p>
      <w:pPr>
        <w:spacing w:after="0" w:line="38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Natural Gas Contracts</w:t>
      </w:r>
    </w:p>
    <w:p>
      <w:pPr>
        <w:spacing w:after="0" w:line="211"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SoCalGas’ natural gas purchase and pipeline capacity commitments have decreased by $110 million since December 31, 2013, primarily due to fulfillment of payment obligations and changes to forecasted gas prices in the first nine months of 2014. Net future payments are expected to decrease by $140 million in 2014, and increase by $30 million in 2015 compared to December 31, 2013.</w:t>
      </w:r>
    </w:p>
    <w:p>
      <w:pPr>
        <w:spacing w:after="0" w:line="188" w:lineRule="exact"/>
        <w:rPr>
          <w:sz w:val="20"/>
          <w:szCs w:val="20"/>
          <w:color w:val="auto"/>
        </w:rPr>
      </w:pPr>
    </w:p>
    <w:p>
      <w:pPr>
        <w:ind w:right="100"/>
        <w:spacing w:after="0" w:line="273" w:lineRule="auto"/>
        <w:rPr>
          <w:sz w:val="20"/>
          <w:szCs w:val="20"/>
          <w:color w:val="auto"/>
        </w:rPr>
      </w:pPr>
      <w:r>
        <w:rPr>
          <w:rFonts w:ascii="Arial" w:cs="Arial" w:eastAsia="Arial" w:hAnsi="Arial"/>
          <w:sz w:val="16"/>
          <w:szCs w:val="16"/>
          <w:color w:val="auto"/>
        </w:rPr>
        <w:t>Sempra Natural Gas’ natural gas purchase and transportation commitments have increased by $567 million since December 31, 2013, primarily due to new natural gas contracts in the first nine months of 2014. These contracts replace an agreement that expired in the third quarter of 2014 and will be used to support Sempra Mexico’s obligation to sell natural gas to the Mexican Federal Electricity Commission (Comisión Federal de Electricidad, or CFE) and fuel Sempra Mexico’s Termoeléctrica de Mexicali natural gas-fired power plant. Net future payments are expected to decrease by $57 million in 2014, and increase by $174 million in 2015, $159 million in 2016, $162 million in 2017 and $129 million in 2018 compared to December 31, 2013.</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LNG Purchase Agreement</w:t>
      </w:r>
    </w:p>
    <w:p>
      <w:pPr>
        <w:spacing w:after="0" w:line="211" w:lineRule="exact"/>
        <w:rPr>
          <w:sz w:val="20"/>
          <w:szCs w:val="20"/>
          <w:color w:val="auto"/>
        </w:rPr>
      </w:pPr>
    </w:p>
    <w:p>
      <w:pPr>
        <w:jc w:val="both"/>
        <w:ind w:right="40"/>
        <w:spacing w:after="0" w:line="278" w:lineRule="auto"/>
        <w:rPr>
          <w:sz w:val="20"/>
          <w:szCs w:val="20"/>
          <w:color w:val="auto"/>
        </w:rPr>
      </w:pPr>
      <w:r>
        <w:rPr>
          <w:rFonts w:ascii="Arial" w:cs="Arial" w:eastAsia="Arial" w:hAnsi="Arial"/>
          <w:sz w:val="17"/>
          <w:szCs w:val="17"/>
          <w:color w:val="auto"/>
        </w:rPr>
        <w:t>At September 30, 2014, Sempra Natural Gas has a purchase agreement for the supply of LNG to the Energía Costa Azul terminal. The agreement is priced using a predetermined formula based on natural gas market indices. Although this contract specifies a number of cargoes to be delivered, under its terms, the customer may divert certain cargoes, which would reduce amounts paid under the contracts by Sempra Natural Gas.</w:t>
      </w:r>
    </w:p>
    <w:p>
      <w:pPr>
        <w:spacing w:after="0" w:line="17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Sempra Natural Gas’ commitment under the LNG purchase agreement, reflecting changes in forward prices since December 31, 2013 and actual transactions for the first nine months of 2014, are expected to decrease by $624 million in 2014, $11 million in 2015, and to increase by $10 million in 2016, $30 million in 2017, $36 million in 2018 and $345 million thereafter compared to December 31, 2013. These amounts are based on forward prices of the index applicable to the contract from 2014 to 2023 and an estimated one percent escalation per year beyond 2023. The LNG commitment amounts above are based on Sempra Natural Gas’ commitment to accept the maximum possible delivery of cargoes under the agreement. Actual LNG purchases in the current and prior years have been significantly lower than the maximum amounts possible.</w:t>
      </w:r>
    </w:p>
    <w:p>
      <w:pPr>
        <w:spacing w:after="0" w:line="38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Purchased-Power Contracts</w:t>
      </w:r>
    </w:p>
    <w:p>
      <w:pPr>
        <w:spacing w:after="0" w:line="211" w:lineRule="exact"/>
        <w:rPr>
          <w:sz w:val="20"/>
          <w:szCs w:val="20"/>
          <w:color w:val="auto"/>
        </w:rPr>
      </w:pPr>
    </w:p>
    <w:p>
      <w:pPr>
        <w:ind w:right="180"/>
        <w:spacing w:after="0" w:line="303" w:lineRule="auto"/>
        <w:rPr>
          <w:sz w:val="20"/>
          <w:szCs w:val="20"/>
          <w:color w:val="auto"/>
        </w:rPr>
      </w:pPr>
      <w:r>
        <w:rPr>
          <w:rFonts w:ascii="Arial" w:cs="Arial" w:eastAsia="Arial" w:hAnsi="Arial"/>
          <w:sz w:val="16"/>
          <w:szCs w:val="16"/>
          <w:color w:val="auto"/>
        </w:rPr>
        <w:t>SDG&amp;E’s commitments under purchased-power contract commitments have increased by $1.1 billion since December 31, 2013. The increase is primarily due to new contracts associated with renewable energy development projects. Net future payments are therefore expected to decrease by $2 million in 2014, $46 million in 2015, and $1 million in 2016, and increase by $24 million in 2017, $54 million in 2018 and $1.1 billion thereafter compared to December 31, 2013.</w:t>
      </w:r>
    </w:p>
    <w:p>
      <w:pPr>
        <w:spacing w:after="0" w:line="36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Operating Leases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the first nine months of 2014, the change to operating lease commitments at Sempra Renewables was a decrease of $83 million, primarily from the deconsolidation of the Copper Mountain Solar 3 project, as we discuss in Note 3. Net future payments are expected to decrease by $3 million in 2014, $2 million each year in 2015 through 2018 and $72 million thereafter.</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Power Purchase Agreements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SDG&amp;E has a 25-year power purchase agreement with a peaker plant facility that became operational in 2014. The power purchase agreement is accounted for</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as a capital lease. The capital lease obligation was valued at $60 million. Net changes to future minimum lease payments under all power purchase agreements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are a decrease of $16 million in 2014, and increases of $7 million each year in 2015 through 2018 and $155 million thereafter compared to December 31, 2013.</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Construction and Development Projects</w:t>
      </w:r>
    </w:p>
    <w:p>
      <w:pPr>
        <w:sectPr>
          <w:pgSz w:w="11900" w:h="16838" w:orient="portrait"/>
          <w:cols w:equalWidth="0" w:num="1">
            <w:col w:w="11420"/>
          </w:cols>
          <w:pgMar w:left="240" w:top="127" w:right="239" w:bottom="131" w:gutter="0" w:footer="0" w:header="0"/>
        </w:sectPr>
      </w:pPr>
    </w:p>
    <w:bookmarkStart w:id="50" w:name="page51"/>
    <w:bookmarkEnd w:id="50"/>
    <w:p>
      <w:pPr>
        <w:jc w:val="both"/>
        <w:spacing w:after="0" w:line="303" w:lineRule="auto"/>
        <w:rPr>
          <w:sz w:val="20"/>
          <w:szCs w:val="20"/>
          <w:color w:val="auto"/>
        </w:rPr>
      </w:pPr>
      <w:r>
        <w:rPr>
          <w:rFonts w:ascii="Arial" w:cs="Arial" w:eastAsia="Arial" w:hAnsi="Arial"/>
          <w:sz w:val="16"/>
          <w:szCs w:val="16"/>
          <w:color w:val="auto"/>
        </w:rPr>
        <w:t>In the first nine months of 2014, significant net increases to contractual commitments at SDG&amp;E were $161 million, primarily for Palomar Energy Center, South Bay Substation project and the PSEP. Net future payments under these contractual commitments are expected to increase by $20 million in 2014, $116 million in 2015, $12 million in 2016, $9 million in 2017, and $6 million in 2018, and decrease by $2 million thereafter compared to December 31, 2013.</w:t>
      </w:r>
    </w:p>
    <w:p>
      <w:pPr>
        <w:spacing w:after="0" w:line="154"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In the first nine months of 2014, significant net increases to contractual commitments at SoCalGas were $119 million, primarily for the Aliso Canyon Turbine Replacement Project and the PSEP. Net future payments under these contractual commitments are expected to increase by $71 million in 2014, $65 million in 2015, and $1 million in 2016, and decrease by $18 million in 2017 compared to December 31, 2013.</w:t>
      </w:r>
    </w:p>
    <w:p>
      <w:pPr>
        <w:spacing w:after="0" w:line="188"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In the first nine months of 2014, significant net decreases to contractual commitments at Sempra Mexico were $115 million, primarily from the deconsolidation of the Energía Sierra Juárez project. Net future payments under these contractual commitments are expected to decrease by $81 million in 2014, $33 million in 2015 and $1 million thereafter.</w:t>
      </w:r>
    </w:p>
    <w:p>
      <w:pPr>
        <w:spacing w:after="0" w:line="18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the first nine months of 2014, the change to contractual commitments at Sempra Renewables was a decrease of $544 million, primarily from the deconsolidation of the Copper Mountain Solar 3 project. Net future payments under these contractual commitments are expected to decrease by $504 million in 2014 and $40 million in 2015.</w:t>
      </w:r>
    </w:p>
    <w:p>
      <w:pPr>
        <w:spacing w:after="0" w:line="39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Cameron LNG Liquefaction Export Facility Project</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Construction and Development Project</w:t>
      </w:r>
    </w:p>
    <w:p>
      <w:pPr>
        <w:spacing w:after="0" w:line="211"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In March 2014, Cameron LNG entered into an engineering, procurement and construction contract with a joint venture consisting of CB&amp;I Shaw Constructors, Inc., a wholly owned subsidiary of Chicago Bridge &amp; Iron Company N.V., and Chiyoda International Corporation, a wholly owned subsidiary of Chiyoda Corporation, to construct the Cameron liquefaction project in Hackberry, Louisiana. The scope of work under this contract includes the engineering, procurement, construction, commissioning and startup of three liquefaction trains with an aggregate nameplate capacity of approximately 13.5 million tonnes per year of LNG and related infrastructure and facilities necessary for the integration of the liquefaction trains with the existing LNG receipt terminal. The construction contract is a lump-sum, date certain turnkey agreement, with a cost of approximately $6 billion as of the execution date. The lump-sum price may be adjusted based on the occurrence of well-defined events, such as change orders issued by Cameron LNG, and the occurrence of other events where an adjustment to the lump-sum price is customary for lump-sum, date certain turnkey engineering, procurement and construction agreements.</w:t>
      </w:r>
    </w:p>
    <w:p>
      <w:pPr>
        <w:spacing w:after="0" w:line="172"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As of September 30, 2014, Cameron LNG had issued three limited notices to proceed under the contract, authorizing up to $374.7 million of expenditures. After completing the formation of the Cameron LNG joint venture on October 1, 2014 as we discuss in Note 13, on October 9, 2014, the Cameron LNG joint venture issued the full notice to proceed under the contract to construct the Cameron liquefaction project. This allowed the contractor to proceed with all items of the work under the contract. The issuance of the full notice to proceed supersedes the three previously issued limited notices to proceed.</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Guarantees</w:t>
      </w:r>
    </w:p>
    <w:p>
      <w:pPr>
        <w:spacing w:after="0" w:line="211"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color w:val="auto"/>
        </w:rPr>
        <w:t>On August 6, 2014, Cameron LNG entered into finance documents for senior secured financing for the Cameron liquefaction project. We discuss the financing and related Sempra Energy guarantees in Note 13.</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Subsequent Event</w:t>
      </w:r>
    </w:p>
    <w:p>
      <w:pPr>
        <w:spacing w:after="0" w:line="211" w:lineRule="exact"/>
        <w:rPr>
          <w:sz w:val="20"/>
          <w:szCs w:val="20"/>
          <w:color w:val="auto"/>
        </w:rPr>
      </w:pPr>
    </w:p>
    <w:p>
      <w:pPr>
        <w:jc w:val="both"/>
        <w:ind w:right="40"/>
        <w:spacing w:after="0" w:line="278" w:lineRule="auto"/>
        <w:rPr>
          <w:sz w:val="20"/>
          <w:szCs w:val="20"/>
          <w:color w:val="auto"/>
        </w:rPr>
      </w:pPr>
      <w:r>
        <w:rPr>
          <w:rFonts w:ascii="Arial" w:cs="Arial" w:eastAsia="Arial" w:hAnsi="Arial"/>
          <w:sz w:val="17"/>
          <w:szCs w:val="17"/>
          <w:color w:val="auto"/>
        </w:rPr>
        <w:t>As we discuss in Note 13, on October 1, 2014, Sempra Natural Gas and its project partners completed the formation of the Cameron LNG joint venture for their investment in the development, construction and operation of the natural gas liquefaction export facility. As of that date, Sempra Natural Gas will account for its investment in the joint venture under the equity method. We discuss the joint venture formation in Note 13.</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NUCLEAR INSURANCE</w:t>
      </w:r>
    </w:p>
    <w:p>
      <w:pPr>
        <w:spacing w:after="0" w:line="229"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SDG&amp;E and the other owners of SONGS have insurance to cover claims from nuclear liability incidents arising at SONGS. This insurance provides $375 million in coverage limits, the maximum amount available, including coverage for acts of terrorism. In addition, the Price-Anderson Act provides for up to $13.2 billion of secondary financial protection (SFP). If a nuclear liability loss occurring at any U.S. licensed/commercial reactor exceeds the $375 million insurance limit, all nuclear reactor owners could be required to contribute to the SFP. SDG&amp;E’s contribution would be up to $50.93 million. This amount is subject to an annual maximum of $7.6 million, unless a default occurs by any other SONGS owner. If the SFP is insufficient to cover the liability loss, SDG&amp;E could be subject to an additional assessment.</w:t>
      </w:r>
    </w:p>
    <w:p>
      <w:pPr>
        <w:spacing w:after="0" w:line="195"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The SONGS owners, including SDG&amp;E, also have $2.75 billion of nuclear property, decontamination, and debris removal insurance, subject to a $2.5 million deductible for “each and every loss.” This insurance coverage is provided through NEIL. The NEIL policies have specific exclusions and limitations that can result in reduced or eliminated coverage. Insured members as a group are subject to retrospective premium assessments to cover losses sustained by NEIL under all issued policies. SDG&amp;E could be assessed up to $9.7 million of retrospective premiums based on overall member claims. Edison, on behalf of itself and the minority owners of SONGS (including SDG&amp;E), has placed NEIL on notice of claims under both the property damage and outage insurance policies as a result of SONGS’ Units 2 and 3 outages in early 2012 and the resultant plant closure in June 2013.</w:t>
      </w:r>
    </w:p>
    <w:p>
      <w:pPr>
        <w:spacing w:after="0" w:line="179"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The nuclear property insurance program includes an industry aggregate loss limit for non-certified acts of terrorism (as defined by the Terrorism Risk Insurance Act). The industry aggregate loss limit for property claims arising from non-certified acts of terrorism is $3.24 billion. This is the maximum amount that will be paid to insured members who suffer losses or damages from these non-certified terrorist acts.</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DEPARTMENT OF ENERGY (DOE) NUCLEAR FUEL DISPOSAL</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Nuclear Waste Policy Act of 1982 made the DOE responsible for the disposal of spent nuclear fuel. However, it is uncertain when the DOE will begin accepting spent nuclear fuel from SONGS. This delay will lead to increased costs for spent fuel storage. SDG&amp;E will seek recovery for these costs from the appropriate sources, including, but not limited to, SDG&amp;E’s Nuclear Decommissioning Trust. SDG&amp;E will also continue to support Edison in its pursuit of legal claims on behalf of the SONGS co-owners against the DOE for its failure to timely accept the spent nuclear fuel.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We provide additional information about SONGS in Note 9.</w:t>
      </w:r>
    </w:p>
    <w:p>
      <w:pPr>
        <w:sectPr>
          <w:pgSz w:w="11900" w:h="16838" w:orient="portrait"/>
          <w:cols w:equalWidth="0" w:num="1">
            <w:col w:w="11420"/>
          </w:cols>
          <w:pgMar w:left="240" w:top="127" w:right="239" w:bottom="0" w:gutter="0" w:footer="0" w:header="0"/>
        </w:sectPr>
      </w:pPr>
    </w:p>
    <w:bookmarkStart w:id="51" w:name="page52"/>
    <w:bookmarkEnd w:id="51"/>
    <w:p>
      <w:pP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156210</wp:posOffset>
            </wp:positionH>
            <wp:positionV relativeFrom="page">
              <wp:posOffset>561340</wp:posOffset>
            </wp:positionV>
            <wp:extent cx="72656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5670" cy="8255"/>
                    </a:xfrm>
                    <a:prstGeom prst="rect">
                      <a:avLst/>
                    </a:prstGeom>
                    <a:noFill/>
                  </pic:spPr>
                </pic:pic>
              </a:graphicData>
            </a:graphic>
          </wp:anchor>
        </w:drawing>
        <w:t>NOTE 12. SEGMENT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have six separately managed reportable segments, as follows:</w:t>
      </w:r>
    </w:p>
    <w:p>
      <w:pPr>
        <w:spacing w:after="0" w:line="192" w:lineRule="exact"/>
        <w:rPr>
          <w:sz w:val="20"/>
          <w:szCs w:val="20"/>
          <w:color w:val="auto"/>
        </w:rPr>
      </w:pPr>
    </w:p>
    <w:p>
      <w:pPr>
        <w:ind w:left="640" w:hanging="217"/>
        <w:spacing w:after="0"/>
        <w:tabs>
          <w:tab w:leader="none" w:pos="640" w:val="left"/>
        </w:tabs>
        <w:numPr>
          <w:ilvl w:val="0"/>
          <w:numId w:val="5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SDG&amp;E </w:t>
      </w:r>
      <w:r>
        <w:rPr>
          <w:rFonts w:ascii="Arial" w:cs="Arial" w:eastAsia="Arial" w:hAnsi="Arial"/>
          <w:sz w:val="18"/>
          <w:szCs w:val="18"/>
          <w:color w:val="auto"/>
        </w:rPr>
        <w:t>provides electric service to San Diego and southern Orange counties and natural gas service to San Diego County.</w:t>
      </w:r>
    </w:p>
    <w:p>
      <w:pPr>
        <w:spacing w:after="0" w:line="244" w:lineRule="exact"/>
        <w:rPr>
          <w:rFonts w:ascii="Arial" w:cs="Arial" w:eastAsia="Arial" w:hAnsi="Arial"/>
          <w:sz w:val="18"/>
          <w:szCs w:val="18"/>
          <w:i w:val="1"/>
          <w:iCs w:val="1"/>
          <w:color w:val="auto"/>
        </w:rPr>
      </w:pPr>
    </w:p>
    <w:p>
      <w:pPr>
        <w:ind w:left="640" w:hanging="217"/>
        <w:spacing w:after="0"/>
        <w:tabs>
          <w:tab w:leader="none" w:pos="640" w:val="left"/>
        </w:tabs>
        <w:numPr>
          <w:ilvl w:val="0"/>
          <w:numId w:val="5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SoCalGas </w:t>
      </w:r>
      <w:r>
        <w:rPr>
          <w:rFonts w:ascii="Arial" w:cs="Arial" w:eastAsia="Arial" w:hAnsi="Arial"/>
          <w:sz w:val="18"/>
          <w:szCs w:val="18"/>
          <w:color w:val="auto"/>
        </w:rPr>
        <w:t>is a natural gas distribution utility, serving customers throughout most of Southern California and part of central California.</w:t>
      </w:r>
    </w:p>
    <w:p>
      <w:pPr>
        <w:spacing w:after="0" w:line="244" w:lineRule="exact"/>
        <w:rPr>
          <w:rFonts w:ascii="Arial" w:cs="Arial" w:eastAsia="Arial" w:hAnsi="Arial"/>
          <w:sz w:val="18"/>
          <w:szCs w:val="18"/>
          <w:i w:val="1"/>
          <w:iCs w:val="1"/>
          <w:color w:val="auto"/>
        </w:rPr>
      </w:pPr>
    </w:p>
    <w:p>
      <w:pPr>
        <w:ind w:left="640" w:hanging="217"/>
        <w:spacing w:after="0" w:line="266" w:lineRule="auto"/>
        <w:tabs>
          <w:tab w:leader="none" w:pos="640" w:val="left"/>
        </w:tabs>
        <w:numPr>
          <w:ilvl w:val="0"/>
          <w:numId w:val="5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Sempra South American Utilities </w:t>
      </w:r>
      <w:r>
        <w:rPr>
          <w:rFonts w:ascii="Arial" w:cs="Arial" w:eastAsia="Arial" w:hAnsi="Arial"/>
          <w:sz w:val="18"/>
          <w:szCs w:val="18"/>
          <w:color w:val="auto"/>
        </w:rPr>
        <w:t>operates electric transmission and distribution utilities in Chile and Peru. In June 2013, we sold our interests in two</w:t>
      </w:r>
      <w:r>
        <w:rPr>
          <w:rFonts w:ascii="Arial" w:cs="Arial" w:eastAsia="Arial" w:hAnsi="Arial"/>
          <w:sz w:val="18"/>
          <w:szCs w:val="18"/>
          <w:i w:val="1"/>
          <w:iCs w:val="1"/>
          <w:color w:val="auto"/>
        </w:rPr>
        <w:t xml:space="preserve"> </w:t>
      </w:r>
      <w:r>
        <w:rPr>
          <w:rFonts w:ascii="Arial" w:cs="Arial" w:eastAsia="Arial" w:hAnsi="Arial"/>
          <w:sz w:val="18"/>
          <w:szCs w:val="18"/>
          <w:color w:val="auto"/>
        </w:rPr>
        <w:t>Argentine utilities, which we discuss further in Note 4 above.</w:t>
      </w:r>
    </w:p>
    <w:p>
      <w:pPr>
        <w:spacing w:after="0" w:line="205" w:lineRule="exact"/>
        <w:rPr>
          <w:rFonts w:ascii="Arial" w:cs="Arial" w:eastAsia="Arial" w:hAnsi="Arial"/>
          <w:sz w:val="18"/>
          <w:szCs w:val="18"/>
          <w:i w:val="1"/>
          <w:iCs w:val="1"/>
          <w:color w:val="auto"/>
        </w:rPr>
      </w:pPr>
    </w:p>
    <w:p>
      <w:pPr>
        <w:jc w:val="both"/>
        <w:ind w:left="640" w:hanging="217"/>
        <w:spacing w:after="0" w:line="256" w:lineRule="auto"/>
        <w:tabs>
          <w:tab w:leader="none" w:pos="640" w:val="left"/>
        </w:tabs>
        <w:numPr>
          <w:ilvl w:val="0"/>
          <w:numId w:val="5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Sempra Mexico </w:t>
      </w:r>
      <w:r>
        <w:rPr>
          <w:rFonts w:ascii="Arial" w:cs="Arial" w:eastAsia="Arial" w:hAnsi="Arial"/>
          <w:sz w:val="18"/>
          <w:szCs w:val="18"/>
          <w:color w:val="auto"/>
        </w:rPr>
        <w:t>develops, owns and operates, or holds interests in, natural gas transmission pipelines and propane and ethane systems, a natural gas</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utility, electric generation facilities (including wind), a terminal for the import of LNG, and marketing operations for the purchase of LNG and the purchase and sale of natural gas in Mexico.</w:t>
      </w:r>
    </w:p>
    <w:p>
      <w:pPr>
        <w:spacing w:after="0" w:line="214" w:lineRule="exact"/>
        <w:rPr>
          <w:rFonts w:ascii="Arial" w:cs="Arial" w:eastAsia="Arial" w:hAnsi="Arial"/>
          <w:sz w:val="18"/>
          <w:szCs w:val="18"/>
          <w:i w:val="1"/>
          <w:iCs w:val="1"/>
          <w:color w:val="auto"/>
        </w:rPr>
      </w:pPr>
    </w:p>
    <w:p>
      <w:pPr>
        <w:ind w:left="640" w:hanging="217"/>
        <w:spacing w:after="0" w:line="266" w:lineRule="auto"/>
        <w:tabs>
          <w:tab w:leader="none" w:pos="640" w:val="left"/>
        </w:tabs>
        <w:numPr>
          <w:ilvl w:val="0"/>
          <w:numId w:val="5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Sempra Renewables </w:t>
      </w:r>
      <w:r>
        <w:rPr>
          <w:rFonts w:ascii="Arial" w:cs="Arial" w:eastAsia="Arial" w:hAnsi="Arial"/>
          <w:sz w:val="18"/>
          <w:szCs w:val="18"/>
          <w:color w:val="auto"/>
        </w:rPr>
        <w:t>develops, owns and operates, or holds interests in, wind and solar energy projects in Arizona, California, Colorado, Hawaii,</w:t>
      </w:r>
      <w:r>
        <w:rPr>
          <w:rFonts w:ascii="Arial" w:cs="Arial" w:eastAsia="Arial" w:hAnsi="Arial"/>
          <w:sz w:val="18"/>
          <w:szCs w:val="18"/>
          <w:i w:val="1"/>
          <w:iCs w:val="1"/>
          <w:color w:val="auto"/>
        </w:rPr>
        <w:t xml:space="preserve"> </w:t>
      </w:r>
      <w:r>
        <w:rPr>
          <w:rFonts w:ascii="Arial" w:cs="Arial" w:eastAsia="Arial" w:hAnsi="Arial"/>
          <w:sz w:val="18"/>
          <w:szCs w:val="18"/>
          <w:color w:val="auto"/>
        </w:rPr>
        <w:t>Indiana, Kansas, Nebraska, Nevada and Pennsylvania to serve wholesale electricity markets in the United States.</w:t>
      </w:r>
    </w:p>
    <w:p>
      <w:pPr>
        <w:spacing w:after="0" w:line="205" w:lineRule="exact"/>
        <w:rPr>
          <w:rFonts w:ascii="Arial" w:cs="Arial" w:eastAsia="Arial" w:hAnsi="Arial"/>
          <w:sz w:val="18"/>
          <w:szCs w:val="18"/>
          <w:i w:val="1"/>
          <w:iCs w:val="1"/>
          <w:color w:val="auto"/>
        </w:rPr>
      </w:pPr>
    </w:p>
    <w:p>
      <w:pPr>
        <w:ind w:left="640" w:hanging="217"/>
        <w:spacing w:after="0" w:line="329" w:lineRule="auto"/>
        <w:tabs>
          <w:tab w:leader="none" w:pos="640" w:val="left"/>
        </w:tabs>
        <w:numPr>
          <w:ilvl w:val="0"/>
          <w:numId w:val="5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Sempra Natural Gas </w:t>
      </w:r>
      <w:r>
        <w:rPr>
          <w:rFonts w:ascii="Arial" w:cs="Arial" w:eastAsia="Arial" w:hAnsi="Arial"/>
          <w:sz w:val="16"/>
          <w:szCs w:val="16"/>
          <w:color w:val="auto"/>
        </w:rPr>
        <w:t>develops, owns and operates, or holds interests in, a natural gas-fired electric generation asset, natural gas pipelines and storage</w:t>
      </w:r>
      <w:r>
        <w:rPr>
          <w:rFonts w:ascii="Arial" w:cs="Arial" w:eastAsia="Arial" w:hAnsi="Arial"/>
          <w:sz w:val="16"/>
          <w:szCs w:val="16"/>
          <w:i w:val="1"/>
          <w:iCs w:val="1"/>
          <w:color w:val="auto"/>
        </w:rPr>
        <w:t xml:space="preserve"> </w:t>
      </w:r>
      <w:r>
        <w:rPr>
          <w:rFonts w:ascii="Arial" w:cs="Arial" w:eastAsia="Arial" w:hAnsi="Arial"/>
          <w:sz w:val="16"/>
          <w:szCs w:val="16"/>
          <w:color w:val="auto"/>
        </w:rPr>
        <w:t>facilities, natural gas distribution utilities and a terminal for the import and export of LNG and sale of natural gas, all within the United States.</w:t>
      </w:r>
    </w:p>
    <w:p>
      <w:pPr>
        <w:spacing w:after="0" w:line="120"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Sempra South American Utilities and Sempra Mexico comprise our Sempra International operating unit. Sempra Renewables and Sempra Natural Gas comprise our Sempra U.S. Gas &amp; Power operating unit.</w:t>
      </w:r>
    </w:p>
    <w:p>
      <w:pPr>
        <w:spacing w:after="0" w:line="17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evaluate each segment’s performance based on its contribution to Sempra Energy’s reported earnings. The California Utilities operate in essentially separate service territories, under separate regulatory frameworks and rate structures set by the CPUC. The California Utilities’ operations are based on rates set by the CPUC and the FERC. We describe the accounting policies of all of our segments in Note 1 of the Notes to Consolidated Financial Statements in the Annual Report.</w:t>
      </w:r>
    </w:p>
    <w:p>
      <w:pPr>
        <w:spacing w:after="0" w:line="190" w:lineRule="exact"/>
        <w:rPr>
          <w:sz w:val="20"/>
          <w:szCs w:val="20"/>
          <w:color w:val="auto"/>
        </w:rPr>
      </w:pPr>
    </w:p>
    <w:p>
      <w:pPr>
        <w:ind w:right="540"/>
        <w:spacing w:after="0" w:line="329" w:lineRule="auto"/>
        <w:rPr>
          <w:sz w:val="20"/>
          <w:szCs w:val="20"/>
          <w:color w:val="auto"/>
        </w:rPr>
      </w:pPr>
      <w:r>
        <w:rPr>
          <w:rFonts w:ascii="Arial" w:cs="Arial" w:eastAsia="Arial" w:hAnsi="Arial"/>
          <w:sz w:val="16"/>
          <w:szCs w:val="16"/>
          <w:color w:val="auto"/>
        </w:rPr>
        <w:t>Common services shared by the business segments are assigned directly or allocated based on various cost factors, depending on the nature of the service provided. Interest income and expense is recorded on intercompany loans. The loan balances and related interest are eliminated in consolidation.</w:t>
      </w:r>
    </w:p>
    <w:p>
      <w:pPr>
        <w:spacing w:after="0" w:line="133"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color w:val="auto"/>
        </w:rPr>
        <w:t>The following tables show selected information by segment from our Condensed Consolidated Statements of Operations and Condensed Consolidated Balance Sheets. Amounts labeled as “All other” in the following tables consist primarily of parent organizations.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121285</wp:posOffset>
            </wp:positionV>
            <wp:extent cx="7248525" cy="2787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8525" cy="278765"/>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INFORMATION</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16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600" w:type="dxa"/>
            <w:vAlign w:val="bottom"/>
            <w:shd w:val="clear" w:color="auto" w:fill="C0C0C0"/>
          </w:tcPr>
          <w:p>
            <w:pPr>
              <w:spacing w:after="0"/>
              <w:rPr>
                <w:sz w:val="16"/>
                <w:szCs w:val="16"/>
                <w:color w:val="auto"/>
              </w:rPr>
            </w:pPr>
          </w:p>
        </w:tc>
        <w:tc>
          <w:tcPr>
            <w:tcW w:w="780" w:type="dxa"/>
            <w:vAlign w:val="bottom"/>
            <w:shd w:val="clear" w:color="auto" w:fill="C0C0C0"/>
          </w:tcPr>
          <w:p>
            <w:pPr>
              <w:spacing w:after="0"/>
              <w:rPr>
                <w:sz w:val="16"/>
                <w:szCs w:val="16"/>
                <w:color w:val="auto"/>
              </w:rPr>
            </w:pPr>
          </w:p>
        </w:tc>
        <w:tc>
          <w:tcPr>
            <w:tcW w:w="780" w:type="dxa"/>
            <w:vAlign w:val="bottom"/>
            <w:shd w:val="clear" w:color="auto" w:fill="C0C0C0"/>
          </w:tcPr>
          <w:p>
            <w:pPr>
              <w:spacing w:after="0"/>
              <w:rPr>
                <w:sz w:val="16"/>
                <w:szCs w:val="16"/>
                <w:color w:val="auto"/>
              </w:rPr>
            </w:pPr>
          </w:p>
        </w:tc>
        <w:tc>
          <w:tcPr>
            <w:tcW w:w="480" w:type="dxa"/>
            <w:vAlign w:val="bottom"/>
            <w:shd w:val="clear" w:color="auto" w:fill="C0C0C0"/>
          </w:tcPr>
          <w:p>
            <w:pPr>
              <w:spacing w:after="0"/>
              <w:rPr>
                <w:sz w:val="16"/>
                <w:szCs w:val="16"/>
                <w:color w:val="auto"/>
              </w:rPr>
            </w:pPr>
          </w:p>
        </w:tc>
        <w:tc>
          <w:tcPr>
            <w:tcW w:w="780" w:type="dxa"/>
            <w:vAlign w:val="bottom"/>
            <w:shd w:val="clear" w:color="auto" w:fill="C0C0C0"/>
          </w:tcPr>
          <w:p>
            <w:pPr>
              <w:spacing w:after="0"/>
              <w:rPr>
                <w:sz w:val="16"/>
                <w:szCs w:val="16"/>
                <w:color w:val="auto"/>
              </w:rPr>
            </w:pPr>
          </w:p>
        </w:tc>
        <w:tc>
          <w:tcPr>
            <w:tcW w:w="780" w:type="dxa"/>
            <w:vAlign w:val="bottom"/>
            <w:shd w:val="clear" w:color="auto" w:fill="C0C0C0"/>
          </w:tcPr>
          <w:p>
            <w:pPr>
              <w:spacing w:after="0"/>
              <w:rPr>
                <w:sz w:val="16"/>
                <w:szCs w:val="16"/>
                <w:color w:val="auto"/>
              </w:rPr>
            </w:pPr>
          </w:p>
        </w:tc>
        <w:tc>
          <w:tcPr>
            <w:tcW w:w="500" w:type="dxa"/>
            <w:vAlign w:val="bottom"/>
            <w:shd w:val="clear" w:color="auto" w:fill="C0C0C0"/>
          </w:tcPr>
          <w:p>
            <w:pPr>
              <w:spacing w:after="0"/>
              <w:rPr>
                <w:sz w:val="16"/>
                <w:szCs w:val="16"/>
                <w:color w:val="auto"/>
              </w:rPr>
            </w:pPr>
          </w:p>
        </w:tc>
        <w:tc>
          <w:tcPr>
            <w:tcW w:w="780" w:type="dxa"/>
            <w:vAlign w:val="bottom"/>
            <w:shd w:val="clear" w:color="auto" w:fill="C0C0C0"/>
          </w:tcPr>
          <w:p>
            <w:pPr>
              <w:spacing w:after="0"/>
              <w:rPr>
                <w:sz w:val="16"/>
                <w:szCs w:val="16"/>
                <w:color w:val="auto"/>
              </w:rPr>
            </w:pPr>
          </w:p>
        </w:tc>
        <w:tc>
          <w:tcPr>
            <w:tcW w:w="780" w:type="dxa"/>
            <w:vAlign w:val="bottom"/>
            <w:shd w:val="clear" w:color="auto" w:fill="C0C0C0"/>
          </w:tcPr>
          <w:p>
            <w:pPr>
              <w:spacing w:after="0"/>
              <w:rPr>
                <w:sz w:val="16"/>
                <w:szCs w:val="16"/>
                <w:color w:val="auto"/>
              </w:rPr>
            </w:pPr>
          </w:p>
        </w:tc>
        <w:tc>
          <w:tcPr>
            <w:tcW w:w="500" w:type="dxa"/>
            <w:vAlign w:val="bottom"/>
            <w:shd w:val="clear" w:color="auto" w:fill="C0C0C0"/>
          </w:tcPr>
          <w:p>
            <w:pPr>
              <w:spacing w:after="0"/>
              <w:rPr>
                <w:sz w:val="16"/>
                <w:szCs w:val="16"/>
                <w:color w:val="auto"/>
              </w:rPr>
            </w:pPr>
          </w:p>
        </w:tc>
        <w:tc>
          <w:tcPr>
            <w:tcW w:w="800" w:type="dxa"/>
            <w:vAlign w:val="bottom"/>
            <w:shd w:val="clear" w:color="auto" w:fill="C0C0C0"/>
          </w:tcPr>
          <w:p>
            <w:pPr>
              <w:spacing w:after="0"/>
              <w:rPr>
                <w:sz w:val="16"/>
                <w:szCs w:val="16"/>
                <w:color w:val="auto"/>
              </w:rPr>
            </w:pPr>
          </w:p>
        </w:tc>
        <w:tc>
          <w:tcPr>
            <w:tcW w:w="480" w:type="dxa"/>
            <w:vAlign w:val="bottom"/>
            <w:shd w:val="clear" w:color="auto" w:fill="C0C0C0"/>
          </w:tcPr>
          <w:p>
            <w:pPr>
              <w:spacing w:after="0"/>
              <w:rPr>
                <w:sz w:val="16"/>
                <w:szCs w:val="16"/>
                <w:color w:val="auto"/>
              </w:rPr>
            </w:pPr>
          </w:p>
        </w:tc>
        <w:tc>
          <w:tcPr>
            <w:tcW w:w="220" w:type="dxa"/>
            <w:vAlign w:val="bottom"/>
            <w:shd w:val="clear" w:color="auto" w:fill="C0C0C0"/>
          </w:tcPr>
          <w:p>
            <w:pPr>
              <w:spacing w:after="0"/>
              <w:rPr>
                <w:sz w:val="16"/>
                <w:szCs w:val="16"/>
                <w:color w:val="auto"/>
              </w:rPr>
            </w:pPr>
          </w:p>
        </w:tc>
      </w:tr>
      <w:tr>
        <w:trPr>
          <w:trHeight w:val="199"/>
        </w:trPr>
        <w:tc>
          <w:tcPr>
            <w:tcW w:w="316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4"/>
          </w:tcPr>
          <w:p>
            <w:pPr>
              <w:jc w:val="right"/>
              <w:ind w:right="169"/>
              <w:spacing w:after="0"/>
              <w:rPr>
                <w:sz w:val="20"/>
                <w:szCs w:val="20"/>
                <w:color w:val="auto"/>
              </w:rPr>
            </w:pPr>
            <w:r>
              <w:rPr>
                <w:rFonts w:ascii="Arial" w:cs="Arial" w:eastAsia="Arial" w:hAnsi="Arial"/>
                <w:sz w:val="14"/>
                <w:szCs w:val="14"/>
                <w:color w:val="auto"/>
              </w:rPr>
              <w:t>Three months ended September 30,</w:t>
            </w:r>
          </w:p>
        </w:tc>
        <w:tc>
          <w:tcPr>
            <w:tcW w:w="7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4"/>
          </w:tcPr>
          <w:p>
            <w:pPr>
              <w:jc w:val="right"/>
              <w:ind w:right="209"/>
              <w:spacing w:after="0"/>
              <w:rPr>
                <w:sz w:val="20"/>
                <w:szCs w:val="20"/>
                <w:color w:val="auto"/>
              </w:rPr>
            </w:pPr>
            <w:r>
              <w:rPr>
                <w:rFonts w:ascii="Arial" w:cs="Arial" w:eastAsia="Arial" w:hAnsi="Arial"/>
                <w:sz w:val="14"/>
                <w:szCs w:val="14"/>
                <w:color w:val="auto"/>
              </w:rPr>
              <w:t>Nine months ended September 30,</w:t>
            </w:r>
          </w:p>
        </w:tc>
        <w:tc>
          <w:tcPr>
            <w:tcW w:w="4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r>
      <w:tr>
        <w:trPr>
          <w:trHeight w:val="206"/>
        </w:trPr>
        <w:tc>
          <w:tcPr>
            <w:tcW w:w="3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2014</w:t>
            </w:r>
          </w:p>
        </w:tc>
        <w:tc>
          <w:tcPr>
            <w:tcW w:w="7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2013</w:t>
            </w:r>
          </w:p>
        </w:tc>
        <w:tc>
          <w:tcPr>
            <w:tcW w:w="7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2014</w:t>
            </w:r>
          </w:p>
        </w:tc>
        <w:tc>
          <w:tcPr>
            <w:tcW w:w="7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2013</w:t>
            </w:r>
          </w:p>
        </w:tc>
        <w:tc>
          <w:tcPr>
            <w:tcW w:w="4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r>
      <w:tr>
        <w:trPr>
          <w:trHeight w:val="211"/>
        </w:trPr>
        <w:tc>
          <w:tcPr>
            <w:tcW w:w="3160" w:type="dxa"/>
            <w:vAlign w:val="bottom"/>
          </w:tcPr>
          <w:p>
            <w:pPr>
              <w:spacing w:after="0"/>
              <w:rPr>
                <w:sz w:val="20"/>
                <w:szCs w:val="20"/>
                <w:color w:val="auto"/>
              </w:rPr>
            </w:pPr>
            <w:r>
              <w:rPr>
                <w:rFonts w:ascii="Arial" w:cs="Arial" w:eastAsia="Arial" w:hAnsi="Arial"/>
                <w:sz w:val="14"/>
                <w:szCs w:val="14"/>
                <w:color w:val="auto"/>
              </w:rPr>
              <w:t>REVENUES</w:t>
            </w: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170"/>
        </w:trPr>
        <w:tc>
          <w:tcPr>
            <w:tcW w:w="3160" w:type="dxa"/>
            <w:vAlign w:val="bottom"/>
          </w:tcPr>
          <w:p>
            <w:pPr>
              <w:ind w:left="80"/>
              <w:spacing w:after="0"/>
              <w:rPr>
                <w:sz w:val="20"/>
                <w:szCs w:val="20"/>
                <w:color w:val="auto"/>
              </w:rPr>
            </w:pPr>
            <w:r>
              <w:rPr>
                <w:rFonts w:ascii="Arial" w:cs="Arial" w:eastAsia="Arial" w:hAnsi="Arial"/>
                <w:sz w:val="14"/>
                <w:szCs w:val="14"/>
                <w:color w:val="auto"/>
              </w:rPr>
              <w:t>SDG&amp;E</w:t>
            </w:r>
          </w:p>
        </w:tc>
        <w:tc>
          <w:tcPr>
            <w:tcW w:w="60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9"/>
              <w:spacing w:after="0"/>
              <w:rPr>
                <w:sz w:val="20"/>
                <w:szCs w:val="20"/>
                <w:color w:val="auto"/>
              </w:rPr>
            </w:pPr>
            <w:r>
              <w:rPr>
                <w:rFonts w:ascii="Arial" w:cs="Arial" w:eastAsia="Arial" w:hAnsi="Arial"/>
                <w:sz w:val="14"/>
                <w:szCs w:val="14"/>
                <w:color w:val="auto"/>
              </w:rPr>
              <w:t>1,233</w:t>
            </w:r>
          </w:p>
        </w:tc>
        <w:tc>
          <w:tcPr>
            <w:tcW w:w="780" w:type="dxa"/>
            <w:vAlign w:val="bottom"/>
          </w:tcPr>
          <w:p>
            <w:pPr>
              <w:jc w:val="right"/>
              <w:ind w:right="109"/>
              <w:spacing w:after="0"/>
              <w:rPr>
                <w:sz w:val="20"/>
                <w:szCs w:val="20"/>
                <w:color w:val="auto"/>
              </w:rPr>
            </w:pPr>
            <w:r>
              <w:rPr>
                <w:rFonts w:ascii="Arial" w:cs="Arial" w:eastAsia="Arial" w:hAnsi="Arial"/>
                <w:sz w:val="14"/>
                <w:szCs w:val="14"/>
                <w:color w:val="auto"/>
              </w:rPr>
              <w:t>44 %</w:t>
            </w:r>
          </w:p>
        </w:tc>
        <w:tc>
          <w:tcPr>
            <w:tcW w:w="48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9"/>
              <w:spacing w:after="0"/>
              <w:rPr>
                <w:sz w:val="20"/>
                <w:szCs w:val="20"/>
                <w:color w:val="auto"/>
              </w:rPr>
            </w:pPr>
            <w:r>
              <w:rPr>
                <w:rFonts w:ascii="Arial" w:cs="Arial" w:eastAsia="Arial" w:hAnsi="Arial"/>
                <w:sz w:val="14"/>
                <w:szCs w:val="14"/>
                <w:color w:val="auto"/>
              </w:rPr>
              <w:t>1,063</w:t>
            </w:r>
          </w:p>
        </w:tc>
        <w:tc>
          <w:tcPr>
            <w:tcW w:w="780" w:type="dxa"/>
            <w:vAlign w:val="bottom"/>
          </w:tcPr>
          <w:p>
            <w:pPr>
              <w:jc w:val="right"/>
              <w:ind w:right="89"/>
              <w:spacing w:after="0"/>
              <w:rPr>
                <w:sz w:val="20"/>
                <w:szCs w:val="20"/>
                <w:color w:val="auto"/>
              </w:rPr>
            </w:pPr>
            <w:r>
              <w:rPr>
                <w:rFonts w:ascii="Arial" w:cs="Arial" w:eastAsia="Arial" w:hAnsi="Arial"/>
                <w:sz w:val="14"/>
                <w:szCs w:val="14"/>
                <w:color w:val="auto"/>
              </w:rPr>
              <w:t>42 %</w:t>
            </w:r>
          </w:p>
        </w:tc>
        <w:tc>
          <w:tcPr>
            <w:tcW w:w="50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9"/>
              <w:spacing w:after="0"/>
              <w:rPr>
                <w:sz w:val="20"/>
                <w:szCs w:val="20"/>
                <w:color w:val="auto"/>
              </w:rPr>
            </w:pPr>
            <w:r>
              <w:rPr>
                <w:rFonts w:ascii="Arial" w:cs="Arial" w:eastAsia="Arial" w:hAnsi="Arial"/>
                <w:sz w:val="14"/>
                <w:szCs w:val="14"/>
                <w:color w:val="auto"/>
              </w:rPr>
              <w:t>3,283</w:t>
            </w:r>
          </w:p>
        </w:tc>
        <w:tc>
          <w:tcPr>
            <w:tcW w:w="780" w:type="dxa"/>
            <w:vAlign w:val="bottom"/>
          </w:tcPr>
          <w:p>
            <w:pPr>
              <w:jc w:val="right"/>
              <w:ind w:right="89"/>
              <w:spacing w:after="0"/>
              <w:rPr>
                <w:sz w:val="20"/>
                <w:szCs w:val="20"/>
                <w:color w:val="auto"/>
              </w:rPr>
            </w:pPr>
            <w:r>
              <w:rPr>
                <w:rFonts w:ascii="Arial" w:cs="Arial" w:eastAsia="Arial" w:hAnsi="Arial"/>
                <w:sz w:val="14"/>
                <w:szCs w:val="14"/>
                <w:color w:val="auto"/>
              </w:rPr>
              <w:t>40 %</w:t>
            </w:r>
          </w:p>
        </w:tc>
        <w:tc>
          <w:tcPr>
            <w:tcW w:w="50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9"/>
              <w:spacing w:after="0"/>
              <w:rPr>
                <w:sz w:val="20"/>
                <w:szCs w:val="20"/>
                <w:color w:val="auto"/>
              </w:rPr>
            </w:pPr>
            <w:r>
              <w:rPr>
                <w:rFonts w:ascii="Arial" w:cs="Arial" w:eastAsia="Arial" w:hAnsi="Arial"/>
                <w:sz w:val="14"/>
                <w:szCs w:val="14"/>
                <w:color w:val="auto"/>
              </w:rPr>
              <w:t>3,066</w:t>
            </w:r>
          </w:p>
        </w:tc>
        <w:tc>
          <w:tcPr>
            <w:tcW w:w="480" w:type="dxa"/>
            <w:vAlign w:val="bottom"/>
          </w:tcPr>
          <w:p>
            <w:pPr>
              <w:jc w:val="right"/>
              <w:spacing w:after="0"/>
              <w:rPr>
                <w:sz w:val="20"/>
                <w:szCs w:val="20"/>
                <w:color w:val="auto"/>
              </w:rPr>
            </w:pPr>
            <w:r>
              <w:rPr>
                <w:rFonts w:ascii="Arial" w:cs="Arial" w:eastAsia="Arial" w:hAnsi="Arial"/>
                <w:sz w:val="14"/>
                <w:szCs w:val="14"/>
                <w:color w:val="auto"/>
              </w:rPr>
              <w:t>39</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3"/>
        </w:trPr>
        <w:tc>
          <w:tcPr>
            <w:tcW w:w="3160" w:type="dxa"/>
            <w:vAlign w:val="bottom"/>
          </w:tcPr>
          <w:p>
            <w:pPr>
              <w:ind w:left="80"/>
              <w:spacing w:after="0"/>
              <w:rPr>
                <w:sz w:val="20"/>
                <w:szCs w:val="20"/>
                <w:color w:val="auto"/>
              </w:rPr>
            </w:pPr>
            <w:r>
              <w:rPr>
                <w:rFonts w:ascii="Arial" w:cs="Arial" w:eastAsia="Arial" w:hAnsi="Arial"/>
                <w:sz w:val="14"/>
                <w:szCs w:val="14"/>
                <w:color w:val="auto"/>
              </w:rPr>
              <w:t>SoCalGas</w:t>
            </w:r>
          </w:p>
        </w:tc>
        <w:tc>
          <w:tcPr>
            <w:tcW w:w="600" w:type="dxa"/>
            <w:vAlign w:val="bottom"/>
          </w:tcPr>
          <w:p>
            <w:pPr>
              <w:spacing w:after="0"/>
              <w:rPr>
                <w:sz w:val="18"/>
                <w:szCs w:val="18"/>
                <w:color w:val="auto"/>
              </w:rPr>
            </w:pPr>
          </w:p>
        </w:tc>
        <w:tc>
          <w:tcPr>
            <w:tcW w:w="780" w:type="dxa"/>
            <w:vAlign w:val="bottom"/>
          </w:tcPr>
          <w:p>
            <w:pPr>
              <w:jc w:val="right"/>
              <w:ind w:right="109"/>
              <w:spacing w:after="0"/>
              <w:rPr>
                <w:sz w:val="20"/>
                <w:szCs w:val="20"/>
                <w:color w:val="auto"/>
              </w:rPr>
            </w:pPr>
            <w:r>
              <w:rPr>
                <w:rFonts w:ascii="Arial" w:cs="Arial" w:eastAsia="Arial" w:hAnsi="Arial"/>
                <w:sz w:val="14"/>
                <w:szCs w:val="14"/>
                <w:color w:val="auto"/>
              </w:rPr>
              <w:t>855</w:t>
            </w:r>
          </w:p>
        </w:tc>
        <w:tc>
          <w:tcPr>
            <w:tcW w:w="780" w:type="dxa"/>
            <w:vAlign w:val="bottom"/>
          </w:tcPr>
          <w:p>
            <w:pPr>
              <w:jc w:val="right"/>
              <w:ind w:right="289"/>
              <w:spacing w:after="0"/>
              <w:rPr>
                <w:sz w:val="20"/>
                <w:szCs w:val="20"/>
                <w:color w:val="auto"/>
              </w:rPr>
            </w:pPr>
            <w:r>
              <w:rPr>
                <w:rFonts w:ascii="Arial" w:cs="Arial" w:eastAsia="Arial" w:hAnsi="Arial"/>
                <w:sz w:val="14"/>
                <w:szCs w:val="14"/>
                <w:color w:val="auto"/>
              </w:rPr>
              <w:t>30</w:t>
            </w:r>
          </w:p>
        </w:tc>
        <w:tc>
          <w:tcPr>
            <w:tcW w:w="480" w:type="dxa"/>
            <w:vAlign w:val="bottom"/>
          </w:tcPr>
          <w:p>
            <w:pPr>
              <w:spacing w:after="0"/>
              <w:rPr>
                <w:sz w:val="18"/>
                <w:szCs w:val="18"/>
                <w:color w:val="auto"/>
              </w:rPr>
            </w:pPr>
          </w:p>
        </w:tc>
        <w:tc>
          <w:tcPr>
            <w:tcW w:w="780" w:type="dxa"/>
            <w:vAlign w:val="bottom"/>
          </w:tcPr>
          <w:p>
            <w:pPr>
              <w:jc w:val="right"/>
              <w:ind w:right="89"/>
              <w:spacing w:after="0"/>
              <w:rPr>
                <w:sz w:val="20"/>
                <w:szCs w:val="20"/>
                <w:color w:val="auto"/>
              </w:rPr>
            </w:pPr>
            <w:r>
              <w:rPr>
                <w:rFonts w:ascii="Arial" w:cs="Arial" w:eastAsia="Arial" w:hAnsi="Arial"/>
                <w:sz w:val="14"/>
                <w:szCs w:val="14"/>
                <w:color w:val="auto"/>
              </w:rPr>
              <w:t>807</w:t>
            </w:r>
          </w:p>
        </w:tc>
        <w:tc>
          <w:tcPr>
            <w:tcW w:w="780" w:type="dxa"/>
            <w:vAlign w:val="bottom"/>
          </w:tcPr>
          <w:p>
            <w:pPr>
              <w:jc w:val="right"/>
              <w:ind w:right="289"/>
              <w:spacing w:after="0"/>
              <w:rPr>
                <w:sz w:val="20"/>
                <w:szCs w:val="20"/>
                <w:color w:val="auto"/>
              </w:rPr>
            </w:pPr>
            <w:r>
              <w:rPr>
                <w:rFonts w:ascii="Arial" w:cs="Arial" w:eastAsia="Arial" w:hAnsi="Arial"/>
                <w:sz w:val="14"/>
                <w:szCs w:val="14"/>
                <w:color w:val="auto"/>
              </w:rPr>
              <w:t>32</w:t>
            </w:r>
          </w:p>
        </w:tc>
        <w:tc>
          <w:tcPr>
            <w:tcW w:w="500" w:type="dxa"/>
            <w:vAlign w:val="bottom"/>
          </w:tcPr>
          <w:p>
            <w:pPr>
              <w:spacing w:after="0"/>
              <w:rPr>
                <w:sz w:val="18"/>
                <w:szCs w:val="18"/>
                <w:color w:val="auto"/>
              </w:rPr>
            </w:pPr>
          </w:p>
        </w:tc>
        <w:tc>
          <w:tcPr>
            <w:tcW w:w="780" w:type="dxa"/>
            <w:vAlign w:val="bottom"/>
          </w:tcPr>
          <w:p>
            <w:pPr>
              <w:jc w:val="right"/>
              <w:ind w:right="89"/>
              <w:spacing w:after="0"/>
              <w:rPr>
                <w:sz w:val="20"/>
                <w:szCs w:val="20"/>
                <w:color w:val="auto"/>
              </w:rPr>
            </w:pPr>
            <w:r>
              <w:rPr>
                <w:rFonts w:ascii="Arial" w:cs="Arial" w:eastAsia="Arial" w:hAnsi="Arial"/>
                <w:sz w:val="14"/>
                <w:szCs w:val="14"/>
                <w:color w:val="auto"/>
              </w:rPr>
              <w:t>2,857</w:t>
            </w:r>
          </w:p>
        </w:tc>
        <w:tc>
          <w:tcPr>
            <w:tcW w:w="780" w:type="dxa"/>
            <w:vAlign w:val="bottom"/>
          </w:tcPr>
          <w:p>
            <w:pPr>
              <w:jc w:val="right"/>
              <w:ind w:right="289"/>
              <w:spacing w:after="0"/>
              <w:rPr>
                <w:sz w:val="20"/>
                <w:szCs w:val="20"/>
                <w:color w:val="auto"/>
              </w:rPr>
            </w:pPr>
            <w:r>
              <w:rPr>
                <w:rFonts w:ascii="Arial" w:cs="Arial" w:eastAsia="Arial" w:hAnsi="Arial"/>
                <w:sz w:val="14"/>
                <w:szCs w:val="14"/>
                <w:color w:val="auto"/>
              </w:rPr>
              <w:t>35</w:t>
            </w:r>
          </w:p>
        </w:tc>
        <w:tc>
          <w:tcPr>
            <w:tcW w:w="500" w:type="dxa"/>
            <w:vAlign w:val="bottom"/>
          </w:tcPr>
          <w:p>
            <w:pPr>
              <w:spacing w:after="0"/>
              <w:rPr>
                <w:sz w:val="18"/>
                <w:szCs w:val="18"/>
                <w:color w:val="auto"/>
              </w:rPr>
            </w:pPr>
          </w:p>
        </w:tc>
        <w:tc>
          <w:tcPr>
            <w:tcW w:w="800" w:type="dxa"/>
            <w:vAlign w:val="bottom"/>
          </w:tcPr>
          <w:p>
            <w:pPr>
              <w:jc w:val="right"/>
              <w:ind w:right="109"/>
              <w:spacing w:after="0"/>
              <w:rPr>
                <w:sz w:val="20"/>
                <w:szCs w:val="20"/>
                <w:color w:val="auto"/>
              </w:rPr>
            </w:pPr>
            <w:r>
              <w:rPr>
                <w:rFonts w:ascii="Arial" w:cs="Arial" w:eastAsia="Arial" w:hAnsi="Arial"/>
                <w:sz w:val="14"/>
                <w:szCs w:val="14"/>
                <w:color w:val="auto"/>
              </w:rPr>
              <w:t>2,694</w:t>
            </w:r>
          </w:p>
        </w:tc>
        <w:tc>
          <w:tcPr>
            <w:tcW w:w="480" w:type="dxa"/>
            <w:vAlign w:val="bottom"/>
          </w:tcPr>
          <w:p>
            <w:pPr>
              <w:jc w:val="right"/>
              <w:spacing w:after="0"/>
              <w:rPr>
                <w:sz w:val="20"/>
                <w:szCs w:val="20"/>
                <w:color w:val="auto"/>
              </w:rPr>
            </w:pPr>
            <w:r>
              <w:rPr>
                <w:rFonts w:ascii="Arial" w:cs="Arial" w:eastAsia="Arial" w:hAnsi="Arial"/>
                <w:sz w:val="14"/>
                <w:szCs w:val="14"/>
                <w:color w:val="auto"/>
              </w:rPr>
              <w:t>34</w:t>
            </w:r>
          </w:p>
        </w:tc>
        <w:tc>
          <w:tcPr>
            <w:tcW w:w="220" w:type="dxa"/>
            <w:vAlign w:val="bottom"/>
          </w:tcPr>
          <w:p>
            <w:pPr>
              <w:spacing w:after="0"/>
              <w:rPr>
                <w:sz w:val="18"/>
                <w:szCs w:val="18"/>
                <w:color w:val="auto"/>
              </w:rPr>
            </w:pPr>
          </w:p>
        </w:tc>
      </w:tr>
      <w:tr>
        <w:trPr>
          <w:trHeight w:val="213"/>
        </w:trPr>
        <w:tc>
          <w:tcPr>
            <w:tcW w:w="3160" w:type="dxa"/>
            <w:vAlign w:val="bottom"/>
          </w:tcPr>
          <w:p>
            <w:pPr>
              <w:ind w:left="80"/>
              <w:spacing w:after="0"/>
              <w:rPr>
                <w:sz w:val="20"/>
                <w:szCs w:val="20"/>
                <w:color w:val="auto"/>
              </w:rPr>
            </w:pPr>
            <w:r>
              <w:rPr>
                <w:rFonts w:ascii="Arial" w:cs="Arial" w:eastAsia="Arial" w:hAnsi="Arial"/>
                <w:sz w:val="14"/>
                <w:szCs w:val="14"/>
                <w:color w:val="auto"/>
              </w:rPr>
              <w:t>Sempra South American Utilities</w:t>
            </w:r>
          </w:p>
        </w:tc>
        <w:tc>
          <w:tcPr>
            <w:tcW w:w="600" w:type="dxa"/>
            <w:vAlign w:val="bottom"/>
          </w:tcPr>
          <w:p>
            <w:pPr>
              <w:spacing w:after="0"/>
              <w:rPr>
                <w:sz w:val="18"/>
                <w:szCs w:val="18"/>
                <w:color w:val="auto"/>
              </w:rPr>
            </w:pPr>
          </w:p>
        </w:tc>
        <w:tc>
          <w:tcPr>
            <w:tcW w:w="780" w:type="dxa"/>
            <w:vAlign w:val="bottom"/>
          </w:tcPr>
          <w:p>
            <w:pPr>
              <w:jc w:val="right"/>
              <w:ind w:right="109"/>
              <w:spacing w:after="0"/>
              <w:rPr>
                <w:sz w:val="20"/>
                <w:szCs w:val="20"/>
                <w:color w:val="auto"/>
              </w:rPr>
            </w:pPr>
            <w:r>
              <w:rPr>
                <w:rFonts w:ascii="Arial" w:cs="Arial" w:eastAsia="Arial" w:hAnsi="Arial"/>
                <w:sz w:val="14"/>
                <w:szCs w:val="14"/>
                <w:color w:val="auto"/>
              </w:rPr>
              <w:t>379</w:t>
            </w:r>
          </w:p>
        </w:tc>
        <w:tc>
          <w:tcPr>
            <w:tcW w:w="780" w:type="dxa"/>
            <w:vAlign w:val="bottom"/>
          </w:tcPr>
          <w:p>
            <w:pPr>
              <w:jc w:val="right"/>
              <w:ind w:right="289"/>
              <w:spacing w:after="0"/>
              <w:rPr>
                <w:sz w:val="20"/>
                <w:szCs w:val="20"/>
                <w:color w:val="auto"/>
              </w:rPr>
            </w:pPr>
            <w:r>
              <w:rPr>
                <w:rFonts w:ascii="Arial" w:cs="Arial" w:eastAsia="Arial" w:hAnsi="Arial"/>
                <w:sz w:val="14"/>
                <w:szCs w:val="14"/>
                <w:color w:val="auto"/>
              </w:rPr>
              <w:t>14</w:t>
            </w:r>
          </w:p>
        </w:tc>
        <w:tc>
          <w:tcPr>
            <w:tcW w:w="480" w:type="dxa"/>
            <w:vAlign w:val="bottom"/>
          </w:tcPr>
          <w:p>
            <w:pPr>
              <w:spacing w:after="0"/>
              <w:rPr>
                <w:sz w:val="18"/>
                <w:szCs w:val="18"/>
                <w:color w:val="auto"/>
              </w:rPr>
            </w:pPr>
          </w:p>
        </w:tc>
        <w:tc>
          <w:tcPr>
            <w:tcW w:w="780" w:type="dxa"/>
            <w:vAlign w:val="bottom"/>
          </w:tcPr>
          <w:p>
            <w:pPr>
              <w:jc w:val="right"/>
              <w:ind w:right="89"/>
              <w:spacing w:after="0"/>
              <w:rPr>
                <w:sz w:val="20"/>
                <w:szCs w:val="20"/>
                <w:color w:val="auto"/>
              </w:rPr>
            </w:pPr>
            <w:r>
              <w:rPr>
                <w:rFonts w:ascii="Arial" w:cs="Arial" w:eastAsia="Arial" w:hAnsi="Arial"/>
                <w:sz w:val="14"/>
                <w:szCs w:val="14"/>
                <w:color w:val="auto"/>
              </w:rPr>
              <w:t>364</w:t>
            </w:r>
          </w:p>
        </w:tc>
        <w:tc>
          <w:tcPr>
            <w:tcW w:w="780" w:type="dxa"/>
            <w:vAlign w:val="bottom"/>
          </w:tcPr>
          <w:p>
            <w:pPr>
              <w:jc w:val="right"/>
              <w:ind w:right="289"/>
              <w:spacing w:after="0"/>
              <w:rPr>
                <w:sz w:val="20"/>
                <w:szCs w:val="20"/>
                <w:color w:val="auto"/>
              </w:rPr>
            </w:pPr>
            <w:r>
              <w:rPr>
                <w:rFonts w:ascii="Arial" w:cs="Arial" w:eastAsia="Arial" w:hAnsi="Arial"/>
                <w:sz w:val="14"/>
                <w:szCs w:val="14"/>
                <w:color w:val="auto"/>
              </w:rPr>
              <w:t>14</w:t>
            </w:r>
          </w:p>
        </w:tc>
        <w:tc>
          <w:tcPr>
            <w:tcW w:w="500" w:type="dxa"/>
            <w:vAlign w:val="bottom"/>
          </w:tcPr>
          <w:p>
            <w:pPr>
              <w:spacing w:after="0"/>
              <w:rPr>
                <w:sz w:val="18"/>
                <w:szCs w:val="18"/>
                <w:color w:val="auto"/>
              </w:rPr>
            </w:pPr>
          </w:p>
        </w:tc>
        <w:tc>
          <w:tcPr>
            <w:tcW w:w="780" w:type="dxa"/>
            <w:vAlign w:val="bottom"/>
          </w:tcPr>
          <w:p>
            <w:pPr>
              <w:jc w:val="right"/>
              <w:ind w:right="89"/>
              <w:spacing w:after="0"/>
              <w:rPr>
                <w:sz w:val="20"/>
                <w:szCs w:val="20"/>
                <w:color w:val="auto"/>
              </w:rPr>
            </w:pPr>
            <w:r>
              <w:rPr>
                <w:rFonts w:ascii="Arial" w:cs="Arial" w:eastAsia="Arial" w:hAnsi="Arial"/>
                <w:sz w:val="14"/>
                <w:szCs w:val="14"/>
                <w:color w:val="auto"/>
              </w:rPr>
              <w:t>1,147</w:t>
            </w:r>
          </w:p>
        </w:tc>
        <w:tc>
          <w:tcPr>
            <w:tcW w:w="780" w:type="dxa"/>
            <w:vAlign w:val="bottom"/>
          </w:tcPr>
          <w:p>
            <w:pPr>
              <w:jc w:val="right"/>
              <w:ind w:right="289"/>
              <w:spacing w:after="0"/>
              <w:rPr>
                <w:sz w:val="20"/>
                <w:szCs w:val="20"/>
                <w:color w:val="auto"/>
              </w:rPr>
            </w:pPr>
            <w:r>
              <w:rPr>
                <w:rFonts w:ascii="Arial" w:cs="Arial" w:eastAsia="Arial" w:hAnsi="Arial"/>
                <w:sz w:val="14"/>
                <w:szCs w:val="14"/>
                <w:color w:val="auto"/>
              </w:rPr>
              <w:t>14</w:t>
            </w:r>
          </w:p>
        </w:tc>
        <w:tc>
          <w:tcPr>
            <w:tcW w:w="500" w:type="dxa"/>
            <w:vAlign w:val="bottom"/>
          </w:tcPr>
          <w:p>
            <w:pPr>
              <w:spacing w:after="0"/>
              <w:rPr>
                <w:sz w:val="18"/>
                <w:szCs w:val="18"/>
                <w:color w:val="auto"/>
              </w:rPr>
            </w:pPr>
          </w:p>
        </w:tc>
        <w:tc>
          <w:tcPr>
            <w:tcW w:w="800" w:type="dxa"/>
            <w:vAlign w:val="bottom"/>
          </w:tcPr>
          <w:p>
            <w:pPr>
              <w:jc w:val="right"/>
              <w:ind w:right="109"/>
              <w:spacing w:after="0"/>
              <w:rPr>
                <w:sz w:val="20"/>
                <w:szCs w:val="20"/>
                <w:color w:val="auto"/>
              </w:rPr>
            </w:pPr>
            <w:r>
              <w:rPr>
                <w:rFonts w:ascii="Arial" w:cs="Arial" w:eastAsia="Arial" w:hAnsi="Arial"/>
                <w:sz w:val="14"/>
                <w:szCs w:val="14"/>
                <w:color w:val="auto"/>
              </w:rPr>
              <w:t>1,119</w:t>
            </w:r>
          </w:p>
        </w:tc>
        <w:tc>
          <w:tcPr>
            <w:tcW w:w="480" w:type="dxa"/>
            <w:vAlign w:val="bottom"/>
          </w:tcPr>
          <w:p>
            <w:pPr>
              <w:jc w:val="right"/>
              <w:spacing w:after="0"/>
              <w:rPr>
                <w:sz w:val="20"/>
                <w:szCs w:val="20"/>
                <w:color w:val="auto"/>
              </w:rPr>
            </w:pPr>
            <w:r>
              <w:rPr>
                <w:rFonts w:ascii="Arial" w:cs="Arial" w:eastAsia="Arial" w:hAnsi="Arial"/>
                <w:sz w:val="14"/>
                <w:szCs w:val="14"/>
                <w:color w:val="auto"/>
              </w:rPr>
              <w:t>14</w:t>
            </w:r>
          </w:p>
        </w:tc>
        <w:tc>
          <w:tcPr>
            <w:tcW w:w="220" w:type="dxa"/>
            <w:vAlign w:val="bottom"/>
          </w:tcPr>
          <w:p>
            <w:pPr>
              <w:spacing w:after="0"/>
              <w:rPr>
                <w:sz w:val="18"/>
                <w:szCs w:val="18"/>
                <w:color w:val="auto"/>
              </w:rPr>
            </w:pPr>
          </w:p>
        </w:tc>
      </w:tr>
      <w:tr>
        <w:trPr>
          <w:trHeight w:val="213"/>
        </w:trPr>
        <w:tc>
          <w:tcPr>
            <w:tcW w:w="3160" w:type="dxa"/>
            <w:vAlign w:val="bottom"/>
          </w:tcPr>
          <w:p>
            <w:pPr>
              <w:ind w:left="80"/>
              <w:spacing w:after="0"/>
              <w:rPr>
                <w:sz w:val="20"/>
                <w:szCs w:val="20"/>
                <w:color w:val="auto"/>
              </w:rPr>
            </w:pPr>
            <w:r>
              <w:rPr>
                <w:rFonts w:ascii="Arial" w:cs="Arial" w:eastAsia="Arial" w:hAnsi="Arial"/>
                <w:sz w:val="14"/>
                <w:szCs w:val="14"/>
                <w:color w:val="auto"/>
              </w:rPr>
              <w:t>Sempra Mexico</w:t>
            </w:r>
          </w:p>
        </w:tc>
        <w:tc>
          <w:tcPr>
            <w:tcW w:w="600" w:type="dxa"/>
            <w:vAlign w:val="bottom"/>
          </w:tcPr>
          <w:p>
            <w:pPr>
              <w:spacing w:after="0"/>
              <w:rPr>
                <w:sz w:val="18"/>
                <w:szCs w:val="18"/>
                <w:color w:val="auto"/>
              </w:rPr>
            </w:pPr>
          </w:p>
        </w:tc>
        <w:tc>
          <w:tcPr>
            <w:tcW w:w="780" w:type="dxa"/>
            <w:vAlign w:val="bottom"/>
          </w:tcPr>
          <w:p>
            <w:pPr>
              <w:jc w:val="right"/>
              <w:ind w:right="109"/>
              <w:spacing w:after="0"/>
              <w:rPr>
                <w:sz w:val="20"/>
                <w:szCs w:val="20"/>
                <w:color w:val="auto"/>
              </w:rPr>
            </w:pPr>
            <w:r>
              <w:rPr>
                <w:rFonts w:ascii="Arial" w:cs="Arial" w:eastAsia="Arial" w:hAnsi="Arial"/>
                <w:sz w:val="14"/>
                <w:szCs w:val="14"/>
                <w:color w:val="auto"/>
              </w:rPr>
              <w:t>234</w:t>
            </w:r>
          </w:p>
        </w:tc>
        <w:tc>
          <w:tcPr>
            <w:tcW w:w="780" w:type="dxa"/>
            <w:vAlign w:val="bottom"/>
          </w:tcPr>
          <w:p>
            <w:pPr>
              <w:jc w:val="right"/>
              <w:ind w:right="289"/>
              <w:spacing w:after="0"/>
              <w:rPr>
                <w:sz w:val="20"/>
                <w:szCs w:val="20"/>
                <w:color w:val="auto"/>
              </w:rPr>
            </w:pPr>
            <w:r>
              <w:rPr>
                <w:rFonts w:ascii="Arial" w:cs="Arial" w:eastAsia="Arial" w:hAnsi="Arial"/>
                <w:sz w:val="14"/>
                <w:szCs w:val="14"/>
                <w:color w:val="auto"/>
              </w:rPr>
              <w:t>8</w:t>
            </w:r>
          </w:p>
        </w:tc>
        <w:tc>
          <w:tcPr>
            <w:tcW w:w="480" w:type="dxa"/>
            <w:vAlign w:val="bottom"/>
          </w:tcPr>
          <w:p>
            <w:pPr>
              <w:spacing w:after="0"/>
              <w:rPr>
                <w:sz w:val="18"/>
                <w:szCs w:val="18"/>
                <w:color w:val="auto"/>
              </w:rPr>
            </w:pPr>
          </w:p>
        </w:tc>
        <w:tc>
          <w:tcPr>
            <w:tcW w:w="780" w:type="dxa"/>
            <w:vAlign w:val="bottom"/>
          </w:tcPr>
          <w:p>
            <w:pPr>
              <w:jc w:val="right"/>
              <w:ind w:right="89"/>
              <w:spacing w:after="0"/>
              <w:rPr>
                <w:sz w:val="20"/>
                <w:szCs w:val="20"/>
                <w:color w:val="auto"/>
              </w:rPr>
            </w:pPr>
            <w:r>
              <w:rPr>
                <w:rFonts w:ascii="Arial" w:cs="Arial" w:eastAsia="Arial" w:hAnsi="Arial"/>
                <w:sz w:val="14"/>
                <w:szCs w:val="14"/>
                <w:color w:val="auto"/>
              </w:rPr>
              <w:t>188</w:t>
            </w:r>
          </w:p>
        </w:tc>
        <w:tc>
          <w:tcPr>
            <w:tcW w:w="780" w:type="dxa"/>
            <w:vAlign w:val="bottom"/>
          </w:tcPr>
          <w:p>
            <w:pPr>
              <w:jc w:val="right"/>
              <w:ind w:right="289"/>
              <w:spacing w:after="0"/>
              <w:rPr>
                <w:sz w:val="20"/>
                <w:szCs w:val="20"/>
                <w:color w:val="auto"/>
              </w:rPr>
            </w:pPr>
            <w:r>
              <w:rPr>
                <w:rFonts w:ascii="Arial" w:cs="Arial" w:eastAsia="Arial" w:hAnsi="Arial"/>
                <w:sz w:val="14"/>
                <w:szCs w:val="14"/>
                <w:color w:val="auto"/>
              </w:rPr>
              <w:t>7</w:t>
            </w:r>
          </w:p>
        </w:tc>
        <w:tc>
          <w:tcPr>
            <w:tcW w:w="500" w:type="dxa"/>
            <w:vAlign w:val="bottom"/>
          </w:tcPr>
          <w:p>
            <w:pPr>
              <w:spacing w:after="0"/>
              <w:rPr>
                <w:sz w:val="18"/>
                <w:szCs w:val="18"/>
                <w:color w:val="auto"/>
              </w:rPr>
            </w:pPr>
          </w:p>
        </w:tc>
        <w:tc>
          <w:tcPr>
            <w:tcW w:w="780" w:type="dxa"/>
            <w:vAlign w:val="bottom"/>
          </w:tcPr>
          <w:p>
            <w:pPr>
              <w:jc w:val="right"/>
              <w:ind w:right="89"/>
              <w:spacing w:after="0"/>
              <w:rPr>
                <w:sz w:val="20"/>
                <w:szCs w:val="20"/>
                <w:color w:val="auto"/>
              </w:rPr>
            </w:pPr>
            <w:r>
              <w:rPr>
                <w:rFonts w:ascii="Arial" w:cs="Arial" w:eastAsia="Arial" w:hAnsi="Arial"/>
                <w:sz w:val="14"/>
                <w:szCs w:val="14"/>
                <w:color w:val="auto"/>
              </w:rPr>
              <w:t>621</w:t>
            </w:r>
          </w:p>
        </w:tc>
        <w:tc>
          <w:tcPr>
            <w:tcW w:w="780" w:type="dxa"/>
            <w:vAlign w:val="bottom"/>
          </w:tcPr>
          <w:p>
            <w:pPr>
              <w:jc w:val="right"/>
              <w:ind w:right="289"/>
              <w:spacing w:after="0"/>
              <w:rPr>
                <w:sz w:val="20"/>
                <w:szCs w:val="20"/>
                <w:color w:val="auto"/>
              </w:rPr>
            </w:pPr>
            <w:r>
              <w:rPr>
                <w:rFonts w:ascii="Arial" w:cs="Arial" w:eastAsia="Arial" w:hAnsi="Arial"/>
                <w:sz w:val="14"/>
                <w:szCs w:val="14"/>
                <w:color w:val="auto"/>
              </w:rPr>
              <w:t>7</w:t>
            </w:r>
          </w:p>
        </w:tc>
        <w:tc>
          <w:tcPr>
            <w:tcW w:w="500" w:type="dxa"/>
            <w:vAlign w:val="bottom"/>
          </w:tcPr>
          <w:p>
            <w:pPr>
              <w:spacing w:after="0"/>
              <w:rPr>
                <w:sz w:val="18"/>
                <w:szCs w:val="18"/>
                <w:color w:val="auto"/>
              </w:rPr>
            </w:pPr>
          </w:p>
        </w:tc>
        <w:tc>
          <w:tcPr>
            <w:tcW w:w="800" w:type="dxa"/>
            <w:vAlign w:val="bottom"/>
          </w:tcPr>
          <w:p>
            <w:pPr>
              <w:jc w:val="right"/>
              <w:ind w:right="109"/>
              <w:spacing w:after="0"/>
              <w:rPr>
                <w:sz w:val="20"/>
                <w:szCs w:val="20"/>
                <w:color w:val="auto"/>
              </w:rPr>
            </w:pPr>
            <w:r>
              <w:rPr>
                <w:rFonts w:ascii="Arial" w:cs="Arial" w:eastAsia="Arial" w:hAnsi="Arial"/>
                <w:sz w:val="14"/>
                <w:szCs w:val="14"/>
                <w:color w:val="auto"/>
              </w:rPr>
              <w:t>519</w:t>
            </w:r>
          </w:p>
        </w:tc>
        <w:tc>
          <w:tcPr>
            <w:tcW w:w="480" w:type="dxa"/>
            <w:vAlign w:val="bottom"/>
          </w:tcPr>
          <w:p>
            <w:pPr>
              <w:jc w:val="right"/>
              <w:spacing w:after="0"/>
              <w:rPr>
                <w:sz w:val="20"/>
                <w:szCs w:val="20"/>
                <w:color w:val="auto"/>
              </w:rPr>
            </w:pPr>
            <w:r>
              <w:rPr>
                <w:rFonts w:ascii="Arial" w:cs="Arial" w:eastAsia="Arial" w:hAnsi="Arial"/>
                <w:sz w:val="14"/>
                <w:szCs w:val="14"/>
                <w:color w:val="auto"/>
              </w:rPr>
              <w:t>7</w:t>
            </w:r>
          </w:p>
        </w:tc>
        <w:tc>
          <w:tcPr>
            <w:tcW w:w="220" w:type="dxa"/>
            <w:vAlign w:val="bottom"/>
          </w:tcPr>
          <w:p>
            <w:pPr>
              <w:spacing w:after="0"/>
              <w:rPr>
                <w:sz w:val="18"/>
                <w:szCs w:val="18"/>
                <w:color w:val="auto"/>
              </w:rPr>
            </w:pPr>
          </w:p>
        </w:tc>
      </w:tr>
      <w:tr>
        <w:trPr>
          <w:trHeight w:val="213"/>
        </w:trPr>
        <w:tc>
          <w:tcPr>
            <w:tcW w:w="3160" w:type="dxa"/>
            <w:vAlign w:val="bottom"/>
          </w:tcPr>
          <w:p>
            <w:pPr>
              <w:ind w:left="80"/>
              <w:spacing w:after="0"/>
              <w:rPr>
                <w:sz w:val="20"/>
                <w:szCs w:val="20"/>
                <w:color w:val="auto"/>
              </w:rPr>
            </w:pPr>
            <w:r>
              <w:rPr>
                <w:rFonts w:ascii="Arial" w:cs="Arial" w:eastAsia="Arial" w:hAnsi="Arial"/>
                <w:sz w:val="14"/>
                <w:szCs w:val="14"/>
                <w:color w:val="auto"/>
              </w:rPr>
              <w:t>Sempra Renewables</w:t>
            </w:r>
          </w:p>
        </w:tc>
        <w:tc>
          <w:tcPr>
            <w:tcW w:w="600" w:type="dxa"/>
            <w:vAlign w:val="bottom"/>
          </w:tcPr>
          <w:p>
            <w:pPr>
              <w:spacing w:after="0"/>
              <w:rPr>
                <w:sz w:val="18"/>
                <w:szCs w:val="18"/>
                <w:color w:val="auto"/>
              </w:rPr>
            </w:pPr>
          </w:p>
        </w:tc>
        <w:tc>
          <w:tcPr>
            <w:tcW w:w="780" w:type="dxa"/>
            <w:vAlign w:val="bottom"/>
          </w:tcPr>
          <w:p>
            <w:pPr>
              <w:jc w:val="right"/>
              <w:ind w:right="109"/>
              <w:spacing w:after="0"/>
              <w:rPr>
                <w:sz w:val="20"/>
                <w:szCs w:val="20"/>
                <w:color w:val="auto"/>
              </w:rPr>
            </w:pPr>
            <w:r>
              <w:rPr>
                <w:rFonts w:ascii="Arial" w:cs="Arial" w:eastAsia="Arial" w:hAnsi="Arial"/>
                <w:sz w:val="14"/>
                <w:szCs w:val="14"/>
                <w:color w:val="auto"/>
              </w:rPr>
              <w:t>10</w:t>
            </w:r>
          </w:p>
        </w:tc>
        <w:tc>
          <w:tcPr>
            <w:tcW w:w="780" w:type="dxa"/>
            <w:vAlign w:val="bottom"/>
          </w:tcPr>
          <w:p>
            <w:pPr>
              <w:jc w:val="right"/>
              <w:ind w:right="409"/>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8"/>
                <w:szCs w:val="18"/>
                <w:color w:val="auto"/>
              </w:rPr>
            </w:pPr>
          </w:p>
        </w:tc>
        <w:tc>
          <w:tcPr>
            <w:tcW w:w="780" w:type="dxa"/>
            <w:vAlign w:val="bottom"/>
          </w:tcPr>
          <w:p>
            <w:pPr>
              <w:jc w:val="right"/>
              <w:ind w:right="89"/>
              <w:spacing w:after="0"/>
              <w:rPr>
                <w:sz w:val="20"/>
                <w:szCs w:val="20"/>
                <w:color w:val="auto"/>
              </w:rPr>
            </w:pPr>
            <w:r>
              <w:rPr>
                <w:rFonts w:ascii="Arial" w:cs="Arial" w:eastAsia="Arial" w:hAnsi="Arial"/>
                <w:sz w:val="14"/>
                <w:szCs w:val="14"/>
                <w:color w:val="auto"/>
              </w:rPr>
              <w:t>25</w:t>
            </w:r>
          </w:p>
        </w:tc>
        <w:tc>
          <w:tcPr>
            <w:tcW w:w="780" w:type="dxa"/>
            <w:vAlign w:val="bottom"/>
          </w:tcPr>
          <w:p>
            <w:pPr>
              <w:jc w:val="right"/>
              <w:ind w:right="289"/>
              <w:spacing w:after="0"/>
              <w:rPr>
                <w:sz w:val="20"/>
                <w:szCs w:val="20"/>
                <w:color w:val="auto"/>
              </w:rPr>
            </w:pPr>
            <w:r>
              <w:rPr>
                <w:rFonts w:ascii="Arial" w:cs="Arial" w:eastAsia="Arial" w:hAnsi="Arial"/>
                <w:sz w:val="14"/>
                <w:szCs w:val="14"/>
                <w:color w:val="auto"/>
              </w:rPr>
              <w:t>1</w:t>
            </w:r>
          </w:p>
        </w:tc>
        <w:tc>
          <w:tcPr>
            <w:tcW w:w="500" w:type="dxa"/>
            <w:vAlign w:val="bottom"/>
          </w:tcPr>
          <w:p>
            <w:pPr>
              <w:spacing w:after="0"/>
              <w:rPr>
                <w:sz w:val="18"/>
                <w:szCs w:val="18"/>
                <w:color w:val="auto"/>
              </w:rPr>
            </w:pPr>
          </w:p>
        </w:tc>
        <w:tc>
          <w:tcPr>
            <w:tcW w:w="780" w:type="dxa"/>
            <w:vAlign w:val="bottom"/>
          </w:tcPr>
          <w:p>
            <w:pPr>
              <w:jc w:val="right"/>
              <w:ind w:right="89"/>
              <w:spacing w:after="0"/>
              <w:rPr>
                <w:sz w:val="20"/>
                <w:szCs w:val="20"/>
                <w:color w:val="auto"/>
              </w:rPr>
            </w:pPr>
            <w:r>
              <w:rPr>
                <w:rFonts w:ascii="Arial" w:cs="Arial" w:eastAsia="Arial" w:hAnsi="Arial"/>
                <w:sz w:val="14"/>
                <w:szCs w:val="14"/>
                <w:color w:val="auto"/>
              </w:rPr>
              <w:t>25</w:t>
            </w:r>
          </w:p>
        </w:tc>
        <w:tc>
          <w:tcPr>
            <w:tcW w:w="780" w:type="dxa"/>
            <w:vAlign w:val="bottom"/>
          </w:tcPr>
          <w:p>
            <w:pPr>
              <w:jc w:val="right"/>
              <w:ind w:right="389"/>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8"/>
                <w:szCs w:val="18"/>
                <w:color w:val="auto"/>
              </w:rPr>
            </w:pPr>
          </w:p>
        </w:tc>
        <w:tc>
          <w:tcPr>
            <w:tcW w:w="800" w:type="dxa"/>
            <w:vAlign w:val="bottom"/>
          </w:tcPr>
          <w:p>
            <w:pPr>
              <w:jc w:val="right"/>
              <w:ind w:right="109"/>
              <w:spacing w:after="0"/>
              <w:rPr>
                <w:sz w:val="20"/>
                <w:szCs w:val="20"/>
                <w:color w:val="auto"/>
              </w:rPr>
            </w:pPr>
            <w:r>
              <w:rPr>
                <w:rFonts w:ascii="Arial" w:cs="Arial" w:eastAsia="Arial" w:hAnsi="Arial"/>
                <w:sz w:val="14"/>
                <w:szCs w:val="14"/>
                <w:color w:val="auto"/>
              </w:rPr>
              <w:t>76</w:t>
            </w:r>
          </w:p>
        </w:tc>
        <w:tc>
          <w:tcPr>
            <w:tcW w:w="48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8"/>
                <w:szCs w:val="18"/>
                <w:color w:val="auto"/>
              </w:rPr>
            </w:pPr>
          </w:p>
        </w:tc>
      </w:tr>
      <w:tr>
        <w:trPr>
          <w:trHeight w:val="213"/>
        </w:trPr>
        <w:tc>
          <w:tcPr>
            <w:tcW w:w="3160" w:type="dxa"/>
            <w:vAlign w:val="bottom"/>
          </w:tcPr>
          <w:p>
            <w:pPr>
              <w:ind w:left="80"/>
              <w:spacing w:after="0"/>
              <w:rPr>
                <w:sz w:val="20"/>
                <w:szCs w:val="20"/>
                <w:color w:val="auto"/>
              </w:rPr>
            </w:pPr>
            <w:r>
              <w:rPr>
                <w:rFonts w:ascii="Arial" w:cs="Arial" w:eastAsia="Arial" w:hAnsi="Arial"/>
                <w:sz w:val="14"/>
                <w:szCs w:val="14"/>
                <w:color w:val="auto"/>
              </w:rPr>
              <w:t>Sempra Natural Gas</w:t>
            </w:r>
          </w:p>
        </w:tc>
        <w:tc>
          <w:tcPr>
            <w:tcW w:w="600" w:type="dxa"/>
            <w:vAlign w:val="bottom"/>
          </w:tcPr>
          <w:p>
            <w:pPr>
              <w:spacing w:after="0"/>
              <w:rPr>
                <w:sz w:val="18"/>
                <w:szCs w:val="18"/>
                <w:color w:val="auto"/>
              </w:rPr>
            </w:pPr>
          </w:p>
        </w:tc>
        <w:tc>
          <w:tcPr>
            <w:tcW w:w="780" w:type="dxa"/>
            <w:vAlign w:val="bottom"/>
          </w:tcPr>
          <w:p>
            <w:pPr>
              <w:jc w:val="right"/>
              <w:ind w:right="109"/>
              <w:spacing w:after="0"/>
              <w:rPr>
                <w:sz w:val="20"/>
                <w:szCs w:val="20"/>
                <w:color w:val="auto"/>
              </w:rPr>
            </w:pPr>
            <w:r>
              <w:rPr>
                <w:rFonts w:ascii="Arial" w:cs="Arial" w:eastAsia="Arial" w:hAnsi="Arial"/>
                <w:sz w:val="14"/>
                <w:szCs w:val="14"/>
                <w:color w:val="auto"/>
              </w:rPr>
              <w:t>252</w:t>
            </w:r>
          </w:p>
        </w:tc>
        <w:tc>
          <w:tcPr>
            <w:tcW w:w="780" w:type="dxa"/>
            <w:vAlign w:val="bottom"/>
          </w:tcPr>
          <w:p>
            <w:pPr>
              <w:jc w:val="right"/>
              <w:ind w:right="289"/>
              <w:spacing w:after="0"/>
              <w:rPr>
                <w:sz w:val="20"/>
                <w:szCs w:val="20"/>
                <w:color w:val="auto"/>
              </w:rPr>
            </w:pPr>
            <w:r>
              <w:rPr>
                <w:rFonts w:ascii="Arial" w:cs="Arial" w:eastAsia="Arial" w:hAnsi="Arial"/>
                <w:sz w:val="14"/>
                <w:szCs w:val="14"/>
                <w:color w:val="auto"/>
              </w:rPr>
              <w:t>9</w:t>
            </w:r>
          </w:p>
        </w:tc>
        <w:tc>
          <w:tcPr>
            <w:tcW w:w="480" w:type="dxa"/>
            <w:vAlign w:val="bottom"/>
          </w:tcPr>
          <w:p>
            <w:pPr>
              <w:spacing w:after="0"/>
              <w:rPr>
                <w:sz w:val="18"/>
                <w:szCs w:val="18"/>
                <w:color w:val="auto"/>
              </w:rPr>
            </w:pPr>
          </w:p>
        </w:tc>
        <w:tc>
          <w:tcPr>
            <w:tcW w:w="780" w:type="dxa"/>
            <w:vAlign w:val="bottom"/>
          </w:tcPr>
          <w:p>
            <w:pPr>
              <w:jc w:val="right"/>
              <w:ind w:right="89"/>
              <w:spacing w:after="0"/>
              <w:rPr>
                <w:sz w:val="20"/>
                <w:szCs w:val="20"/>
                <w:color w:val="auto"/>
              </w:rPr>
            </w:pPr>
            <w:r>
              <w:rPr>
                <w:rFonts w:ascii="Arial" w:cs="Arial" w:eastAsia="Arial" w:hAnsi="Arial"/>
                <w:sz w:val="14"/>
                <w:szCs w:val="14"/>
                <w:color w:val="auto"/>
              </w:rPr>
              <w:t>212</w:t>
            </w:r>
          </w:p>
        </w:tc>
        <w:tc>
          <w:tcPr>
            <w:tcW w:w="780" w:type="dxa"/>
            <w:vAlign w:val="bottom"/>
          </w:tcPr>
          <w:p>
            <w:pPr>
              <w:jc w:val="right"/>
              <w:ind w:right="289"/>
              <w:spacing w:after="0"/>
              <w:rPr>
                <w:sz w:val="20"/>
                <w:szCs w:val="20"/>
                <w:color w:val="auto"/>
              </w:rPr>
            </w:pPr>
            <w:r>
              <w:rPr>
                <w:rFonts w:ascii="Arial" w:cs="Arial" w:eastAsia="Arial" w:hAnsi="Arial"/>
                <w:sz w:val="14"/>
                <w:szCs w:val="14"/>
                <w:color w:val="auto"/>
              </w:rPr>
              <w:t>8</w:t>
            </w:r>
          </w:p>
        </w:tc>
        <w:tc>
          <w:tcPr>
            <w:tcW w:w="500" w:type="dxa"/>
            <w:vAlign w:val="bottom"/>
          </w:tcPr>
          <w:p>
            <w:pPr>
              <w:spacing w:after="0"/>
              <w:rPr>
                <w:sz w:val="18"/>
                <w:szCs w:val="18"/>
                <w:color w:val="auto"/>
              </w:rPr>
            </w:pPr>
          </w:p>
        </w:tc>
        <w:tc>
          <w:tcPr>
            <w:tcW w:w="780" w:type="dxa"/>
            <w:vAlign w:val="bottom"/>
          </w:tcPr>
          <w:p>
            <w:pPr>
              <w:jc w:val="right"/>
              <w:ind w:right="89"/>
              <w:spacing w:after="0"/>
              <w:rPr>
                <w:sz w:val="20"/>
                <w:szCs w:val="20"/>
                <w:color w:val="auto"/>
              </w:rPr>
            </w:pPr>
            <w:r>
              <w:rPr>
                <w:rFonts w:ascii="Arial" w:cs="Arial" w:eastAsia="Arial" w:hAnsi="Arial"/>
                <w:sz w:val="14"/>
                <w:szCs w:val="14"/>
                <w:color w:val="auto"/>
              </w:rPr>
              <w:t>748</w:t>
            </w:r>
          </w:p>
        </w:tc>
        <w:tc>
          <w:tcPr>
            <w:tcW w:w="780" w:type="dxa"/>
            <w:vAlign w:val="bottom"/>
          </w:tcPr>
          <w:p>
            <w:pPr>
              <w:jc w:val="right"/>
              <w:ind w:right="289"/>
              <w:spacing w:after="0"/>
              <w:rPr>
                <w:sz w:val="20"/>
                <w:szCs w:val="20"/>
                <w:color w:val="auto"/>
              </w:rPr>
            </w:pPr>
            <w:r>
              <w:rPr>
                <w:rFonts w:ascii="Arial" w:cs="Arial" w:eastAsia="Arial" w:hAnsi="Arial"/>
                <w:sz w:val="14"/>
                <w:szCs w:val="14"/>
                <w:color w:val="auto"/>
              </w:rPr>
              <w:t>9</w:t>
            </w:r>
          </w:p>
        </w:tc>
        <w:tc>
          <w:tcPr>
            <w:tcW w:w="500" w:type="dxa"/>
            <w:vAlign w:val="bottom"/>
          </w:tcPr>
          <w:p>
            <w:pPr>
              <w:spacing w:after="0"/>
              <w:rPr>
                <w:sz w:val="18"/>
                <w:szCs w:val="18"/>
                <w:color w:val="auto"/>
              </w:rPr>
            </w:pPr>
          </w:p>
        </w:tc>
        <w:tc>
          <w:tcPr>
            <w:tcW w:w="800" w:type="dxa"/>
            <w:vAlign w:val="bottom"/>
          </w:tcPr>
          <w:p>
            <w:pPr>
              <w:jc w:val="right"/>
              <w:ind w:right="109"/>
              <w:spacing w:after="0"/>
              <w:rPr>
                <w:sz w:val="20"/>
                <w:szCs w:val="20"/>
                <w:color w:val="auto"/>
              </w:rPr>
            </w:pPr>
            <w:r>
              <w:rPr>
                <w:rFonts w:ascii="Arial" w:cs="Arial" w:eastAsia="Arial" w:hAnsi="Arial"/>
                <w:sz w:val="14"/>
                <w:szCs w:val="14"/>
                <w:color w:val="auto"/>
              </w:rPr>
              <w:t>683</w:t>
            </w:r>
          </w:p>
        </w:tc>
        <w:tc>
          <w:tcPr>
            <w:tcW w:w="480" w:type="dxa"/>
            <w:vAlign w:val="bottom"/>
          </w:tcPr>
          <w:p>
            <w:pPr>
              <w:jc w:val="right"/>
              <w:spacing w:after="0"/>
              <w:rPr>
                <w:sz w:val="20"/>
                <w:szCs w:val="20"/>
                <w:color w:val="auto"/>
              </w:rPr>
            </w:pPr>
            <w:r>
              <w:rPr>
                <w:rFonts w:ascii="Arial" w:cs="Arial" w:eastAsia="Arial" w:hAnsi="Arial"/>
                <w:sz w:val="14"/>
                <w:szCs w:val="14"/>
                <w:color w:val="auto"/>
              </w:rPr>
              <w:t>9</w:t>
            </w:r>
          </w:p>
        </w:tc>
        <w:tc>
          <w:tcPr>
            <w:tcW w:w="220" w:type="dxa"/>
            <w:vAlign w:val="bottom"/>
          </w:tcPr>
          <w:p>
            <w:pPr>
              <w:spacing w:after="0"/>
              <w:rPr>
                <w:sz w:val="18"/>
                <w:szCs w:val="18"/>
                <w:color w:val="auto"/>
              </w:rPr>
            </w:pPr>
          </w:p>
        </w:tc>
      </w:tr>
      <w:tr>
        <w:trPr>
          <w:trHeight w:val="213"/>
        </w:trPr>
        <w:tc>
          <w:tcPr>
            <w:tcW w:w="3160" w:type="dxa"/>
            <w:vAlign w:val="bottom"/>
          </w:tcPr>
          <w:p>
            <w:pPr>
              <w:ind w:left="80"/>
              <w:spacing w:after="0"/>
              <w:rPr>
                <w:sz w:val="20"/>
                <w:szCs w:val="20"/>
                <w:color w:val="auto"/>
              </w:rPr>
            </w:pPr>
            <w:r>
              <w:rPr>
                <w:rFonts w:ascii="Arial" w:cs="Arial" w:eastAsia="Arial" w:hAnsi="Arial"/>
                <w:sz w:val="14"/>
                <w:szCs w:val="14"/>
                <w:color w:val="auto"/>
              </w:rPr>
              <w:t>Adjustments and eliminations</w:t>
            </w:r>
          </w:p>
        </w:tc>
        <w:tc>
          <w:tcPr>
            <w:tcW w:w="600" w:type="dxa"/>
            <w:vAlign w:val="bottom"/>
          </w:tcPr>
          <w:p>
            <w:pPr>
              <w:spacing w:after="0"/>
              <w:rPr>
                <w:sz w:val="18"/>
                <w:szCs w:val="18"/>
                <w:color w:val="auto"/>
              </w:rPr>
            </w:pPr>
          </w:p>
        </w:tc>
        <w:tc>
          <w:tcPr>
            <w:tcW w:w="780" w:type="dxa"/>
            <w:vAlign w:val="bottom"/>
          </w:tcPr>
          <w:p>
            <w:pPr>
              <w:jc w:val="right"/>
              <w:ind w:right="109"/>
              <w:spacing w:after="0"/>
              <w:rPr>
                <w:sz w:val="20"/>
                <w:szCs w:val="20"/>
                <w:color w:val="auto"/>
              </w:rPr>
            </w:pPr>
            <w:r>
              <w:rPr>
                <w:rFonts w:ascii="Arial" w:cs="Arial" w:eastAsia="Arial" w:hAnsi="Arial"/>
                <w:sz w:val="14"/>
                <w:szCs w:val="14"/>
                <w:color w:val="auto"/>
              </w:rPr>
              <w:t>1</w:t>
            </w:r>
          </w:p>
        </w:tc>
        <w:tc>
          <w:tcPr>
            <w:tcW w:w="780" w:type="dxa"/>
            <w:vAlign w:val="bottom"/>
          </w:tcPr>
          <w:p>
            <w:pPr>
              <w:jc w:val="right"/>
              <w:ind w:right="409"/>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8"/>
                <w:szCs w:val="18"/>
                <w:color w:val="auto"/>
              </w:rPr>
            </w:pPr>
          </w:p>
        </w:tc>
        <w:tc>
          <w:tcPr>
            <w:tcW w:w="780" w:type="dxa"/>
            <w:vAlign w:val="bottom"/>
          </w:tcPr>
          <w:p>
            <w:pPr>
              <w:jc w:val="center"/>
              <w:ind w:left="9"/>
              <w:spacing w:after="0"/>
              <w:rPr>
                <w:sz w:val="20"/>
                <w:szCs w:val="20"/>
                <w:color w:val="auto"/>
              </w:rPr>
            </w:pPr>
            <w:r>
              <w:rPr>
                <w:rFonts w:ascii="Arial" w:cs="Arial" w:eastAsia="Arial" w:hAnsi="Arial"/>
                <w:sz w:val="14"/>
                <w:szCs w:val="14"/>
                <w:color w:val="auto"/>
                <w:w w:val="99"/>
              </w:rPr>
              <w:t>―</w:t>
            </w:r>
          </w:p>
        </w:tc>
        <w:tc>
          <w:tcPr>
            <w:tcW w:w="780" w:type="dxa"/>
            <w:vAlign w:val="bottom"/>
          </w:tcPr>
          <w:p>
            <w:pPr>
              <w:jc w:val="right"/>
              <w:ind w:right="389"/>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8"/>
                <w:szCs w:val="18"/>
                <w:color w:val="auto"/>
              </w:rPr>
            </w:pPr>
          </w:p>
        </w:tc>
        <w:tc>
          <w:tcPr>
            <w:tcW w:w="780" w:type="dxa"/>
            <w:vAlign w:val="bottom"/>
          </w:tcPr>
          <w:p>
            <w:pPr>
              <w:jc w:val="right"/>
              <w:ind w:right="89"/>
              <w:spacing w:after="0"/>
              <w:rPr>
                <w:sz w:val="20"/>
                <w:szCs w:val="20"/>
                <w:color w:val="auto"/>
              </w:rPr>
            </w:pPr>
            <w:r>
              <w:rPr>
                <w:rFonts w:ascii="Arial" w:cs="Arial" w:eastAsia="Arial" w:hAnsi="Arial"/>
                <w:sz w:val="14"/>
                <w:szCs w:val="14"/>
                <w:color w:val="auto"/>
              </w:rPr>
              <w:t>(1)</w:t>
            </w:r>
          </w:p>
        </w:tc>
        <w:tc>
          <w:tcPr>
            <w:tcW w:w="780" w:type="dxa"/>
            <w:vAlign w:val="bottom"/>
          </w:tcPr>
          <w:p>
            <w:pPr>
              <w:jc w:val="right"/>
              <w:ind w:right="389"/>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8"/>
                <w:szCs w:val="18"/>
                <w:color w:val="auto"/>
              </w:rPr>
            </w:pPr>
          </w:p>
        </w:tc>
        <w:tc>
          <w:tcPr>
            <w:tcW w:w="800" w:type="dxa"/>
            <w:vAlign w:val="bottom"/>
          </w:tcPr>
          <w:p>
            <w:pPr>
              <w:jc w:val="right"/>
              <w:ind w:right="109"/>
              <w:spacing w:after="0"/>
              <w:rPr>
                <w:sz w:val="20"/>
                <w:szCs w:val="20"/>
                <w:color w:val="auto"/>
              </w:rPr>
            </w:pPr>
            <w:r>
              <w:rPr>
                <w:rFonts w:ascii="Arial" w:cs="Arial" w:eastAsia="Arial" w:hAnsi="Arial"/>
                <w:sz w:val="14"/>
                <w:szCs w:val="14"/>
                <w:color w:val="auto"/>
              </w:rPr>
              <w:t>(2)</w:t>
            </w:r>
          </w:p>
        </w:tc>
        <w:tc>
          <w:tcPr>
            <w:tcW w:w="4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r>
      <w:tr>
        <w:trPr>
          <w:trHeight w:val="197"/>
        </w:trPr>
        <w:tc>
          <w:tcPr>
            <w:tcW w:w="3160" w:type="dxa"/>
            <w:vAlign w:val="bottom"/>
          </w:tcPr>
          <w:p>
            <w:pPr>
              <w:ind w:left="80"/>
              <w:spacing w:after="0"/>
              <w:rPr>
                <w:sz w:val="20"/>
                <w:szCs w:val="20"/>
                <w:color w:val="auto"/>
              </w:rPr>
            </w:pPr>
            <w:r>
              <w:rPr>
                <w:rFonts w:ascii="Arial" w:cs="Arial" w:eastAsia="Arial" w:hAnsi="Arial"/>
                <w:sz w:val="14"/>
                <w:szCs w:val="14"/>
                <w:color w:val="auto"/>
              </w:rPr>
              <w:t>Intersegment revenues(1)</w:t>
            </w:r>
          </w:p>
        </w:tc>
        <w:tc>
          <w:tcPr>
            <w:tcW w:w="6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(149)</w:t>
            </w:r>
          </w:p>
        </w:tc>
        <w:tc>
          <w:tcPr>
            <w:tcW w:w="78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(5)</w:t>
            </w:r>
          </w:p>
        </w:tc>
        <w:tc>
          <w:tcPr>
            <w:tcW w:w="4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(108)</w:t>
            </w:r>
          </w:p>
        </w:tc>
        <w:tc>
          <w:tcPr>
            <w:tcW w:w="78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(4)</w:t>
            </w:r>
          </w:p>
        </w:tc>
        <w:tc>
          <w:tcPr>
            <w:tcW w:w="5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(392)</w:t>
            </w:r>
          </w:p>
        </w:tc>
        <w:tc>
          <w:tcPr>
            <w:tcW w:w="78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(5)</w:t>
            </w:r>
          </w:p>
        </w:tc>
        <w:tc>
          <w:tcPr>
            <w:tcW w:w="5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(303)</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220" w:type="dxa"/>
            <w:vAlign w:val="bottom"/>
            <w:tcBorders>
              <w:bottom w:val="single" w:sz="8" w:color="auto"/>
            </w:tcBorders>
          </w:tcPr>
          <w:p>
            <w:pPr>
              <w:spacing w:after="0"/>
              <w:rPr>
                <w:sz w:val="17"/>
                <w:szCs w:val="17"/>
                <w:color w:val="auto"/>
              </w:rPr>
            </w:pPr>
          </w:p>
        </w:tc>
      </w:tr>
      <w:tr>
        <w:trPr>
          <w:trHeight w:val="159"/>
        </w:trPr>
        <w:tc>
          <w:tcPr>
            <w:tcW w:w="3160" w:type="dxa"/>
            <w:vAlign w:val="bottom"/>
            <w:tcBorders>
              <w:bottom w:val="single" w:sz="8" w:color="auto"/>
            </w:tcBorders>
          </w:tcPr>
          <w:p>
            <w:pPr>
              <w:ind w:left="240"/>
              <w:spacing w:after="0" w:line="153" w:lineRule="exact"/>
              <w:rPr>
                <w:sz w:val="20"/>
                <w:szCs w:val="20"/>
                <w:color w:val="auto"/>
              </w:rPr>
            </w:pPr>
            <w:r>
              <w:rPr>
                <w:rFonts w:ascii="Arial" w:cs="Arial" w:eastAsia="Arial" w:hAnsi="Arial"/>
                <w:sz w:val="14"/>
                <w:szCs w:val="14"/>
                <w:color w:val="auto"/>
              </w:rPr>
              <w:t>Total</w:t>
            </w:r>
          </w:p>
        </w:tc>
        <w:tc>
          <w:tcPr>
            <w:tcW w:w="600" w:type="dxa"/>
            <w:vAlign w:val="bottom"/>
            <w:tcBorders>
              <w:bottom w:val="single" w:sz="8" w:color="auto"/>
            </w:tcBorders>
          </w:tcPr>
          <w:p>
            <w:pPr>
              <w:jc w:val="right"/>
              <w:ind w:right="169"/>
              <w:spacing w:after="0" w:line="153"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09"/>
              <w:spacing w:after="0" w:line="153" w:lineRule="exact"/>
              <w:rPr>
                <w:sz w:val="20"/>
                <w:szCs w:val="20"/>
                <w:color w:val="auto"/>
              </w:rPr>
            </w:pPr>
            <w:r>
              <w:rPr>
                <w:rFonts w:ascii="Arial" w:cs="Arial" w:eastAsia="Arial" w:hAnsi="Arial"/>
                <w:sz w:val="14"/>
                <w:szCs w:val="14"/>
                <w:color w:val="auto"/>
              </w:rPr>
              <w:t>2,815</w:t>
            </w:r>
          </w:p>
        </w:tc>
        <w:tc>
          <w:tcPr>
            <w:tcW w:w="780" w:type="dxa"/>
            <w:vAlign w:val="bottom"/>
            <w:tcBorders>
              <w:bottom w:val="single" w:sz="8" w:color="auto"/>
            </w:tcBorders>
          </w:tcPr>
          <w:p>
            <w:pPr>
              <w:jc w:val="right"/>
              <w:ind w:right="109"/>
              <w:spacing w:after="0" w:line="153" w:lineRule="exact"/>
              <w:rPr>
                <w:sz w:val="20"/>
                <w:szCs w:val="20"/>
                <w:color w:val="auto"/>
              </w:rPr>
            </w:pPr>
            <w:r>
              <w:rPr>
                <w:rFonts w:ascii="Arial" w:cs="Arial" w:eastAsia="Arial" w:hAnsi="Arial"/>
                <w:sz w:val="14"/>
                <w:szCs w:val="14"/>
                <w:color w:val="auto"/>
              </w:rPr>
              <w:t>100 %</w:t>
            </w:r>
          </w:p>
        </w:tc>
        <w:tc>
          <w:tcPr>
            <w:tcW w:w="480" w:type="dxa"/>
            <w:vAlign w:val="bottom"/>
            <w:tcBorders>
              <w:bottom w:val="single" w:sz="8" w:color="auto"/>
            </w:tcBorders>
          </w:tcPr>
          <w:p>
            <w:pPr>
              <w:jc w:val="right"/>
              <w:ind w:right="169"/>
              <w:spacing w:after="0" w:line="153"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9"/>
              <w:spacing w:after="0" w:line="153" w:lineRule="exact"/>
              <w:rPr>
                <w:sz w:val="20"/>
                <w:szCs w:val="20"/>
                <w:color w:val="auto"/>
              </w:rPr>
            </w:pPr>
            <w:r>
              <w:rPr>
                <w:rFonts w:ascii="Arial" w:cs="Arial" w:eastAsia="Arial" w:hAnsi="Arial"/>
                <w:sz w:val="14"/>
                <w:szCs w:val="14"/>
                <w:color w:val="auto"/>
              </w:rPr>
              <w:t>2,551</w:t>
            </w:r>
          </w:p>
        </w:tc>
        <w:tc>
          <w:tcPr>
            <w:tcW w:w="780" w:type="dxa"/>
            <w:vAlign w:val="bottom"/>
            <w:tcBorders>
              <w:bottom w:val="single" w:sz="8" w:color="auto"/>
            </w:tcBorders>
          </w:tcPr>
          <w:p>
            <w:pPr>
              <w:jc w:val="right"/>
              <w:ind w:right="89"/>
              <w:spacing w:after="0" w:line="153" w:lineRule="exact"/>
              <w:rPr>
                <w:sz w:val="20"/>
                <w:szCs w:val="20"/>
                <w:color w:val="auto"/>
              </w:rPr>
            </w:pPr>
            <w:r>
              <w:rPr>
                <w:rFonts w:ascii="Arial" w:cs="Arial" w:eastAsia="Arial" w:hAnsi="Arial"/>
                <w:sz w:val="14"/>
                <w:szCs w:val="14"/>
                <w:color w:val="auto"/>
              </w:rPr>
              <w:t>100 %</w:t>
            </w:r>
          </w:p>
        </w:tc>
        <w:tc>
          <w:tcPr>
            <w:tcW w:w="500" w:type="dxa"/>
            <w:vAlign w:val="bottom"/>
            <w:tcBorders>
              <w:bottom w:val="single" w:sz="8" w:color="auto"/>
            </w:tcBorders>
          </w:tcPr>
          <w:p>
            <w:pPr>
              <w:jc w:val="right"/>
              <w:ind w:right="189"/>
              <w:spacing w:after="0" w:line="153"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9"/>
              <w:spacing w:after="0" w:line="153" w:lineRule="exact"/>
              <w:rPr>
                <w:sz w:val="20"/>
                <w:szCs w:val="20"/>
                <w:color w:val="auto"/>
              </w:rPr>
            </w:pPr>
            <w:r>
              <w:rPr>
                <w:rFonts w:ascii="Arial" w:cs="Arial" w:eastAsia="Arial" w:hAnsi="Arial"/>
                <w:sz w:val="14"/>
                <w:szCs w:val="14"/>
                <w:color w:val="auto"/>
              </w:rPr>
              <w:t>8,288</w:t>
            </w:r>
          </w:p>
        </w:tc>
        <w:tc>
          <w:tcPr>
            <w:tcW w:w="780" w:type="dxa"/>
            <w:vAlign w:val="bottom"/>
            <w:tcBorders>
              <w:bottom w:val="single" w:sz="8" w:color="auto"/>
            </w:tcBorders>
          </w:tcPr>
          <w:p>
            <w:pPr>
              <w:jc w:val="right"/>
              <w:ind w:right="89"/>
              <w:spacing w:after="0" w:line="153" w:lineRule="exact"/>
              <w:rPr>
                <w:sz w:val="20"/>
                <w:szCs w:val="20"/>
                <w:color w:val="auto"/>
              </w:rPr>
            </w:pPr>
            <w:r>
              <w:rPr>
                <w:rFonts w:ascii="Arial" w:cs="Arial" w:eastAsia="Arial" w:hAnsi="Arial"/>
                <w:sz w:val="14"/>
                <w:szCs w:val="14"/>
                <w:color w:val="auto"/>
              </w:rPr>
              <w:t>100 %</w:t>
            </w:r>
          </w:p>
        </w:tc>
        <w:tc>
          <w:tcPr>
            <w:tcW w:w="500" w:type="dxa"/>
            <w:vAlign w:val="bottom"/>
            <w:tcBorders>
              <w:bottom w:val="single" w:sz="8" w:color="auto"/>
            </w:tcBorders>
          </w:tcPr>
          <w:p>
            <w:pPr>
              <w:jc w:val="right"/>
              <w:ind w:right="189"/>
              <w:spacing w:after="0" w:line="153"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109"/>
              <w:spacing w:after="0" w:line="153" w:lineRule="exact"/>
              <w:rPr>
                <w:sz w:val="20"/>
                <w:szCs w:val="20"/>
                <w:color w:val="auto"/>
              </w:rPr>
            </w:pPr>
            <w:r>
              <w:rPr>
                <w:rFonts w:ascii="Arial" w:cs="Arial" w:eastAsia="Arial" w:hAnsi="Arial"/>
                <w:sz w:val="14"/>
                <w:szCs w:val="14"/>
                <w:color w:val="auto"/>
              </w:rPr>
              <w:t>7,852</w:t>
            </w:r>
          </w:p>
        </w:tc>
        <w:tc>
          <w:tcPr>
            <w:tcW w:w="48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100</w:t>
            </w:r>
          </w:p>
        </w:tc>
        <w:tc>
          <w:tcPr>
            <w:tcW w:w="22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w:t>
            </w:r>
          </w:p>
        </w:tc>
      </w:tr>
      <w:tr>
        <w:trPr>
          <w:trHeight w:val="228"/>
        </w:trPr>
        <w:tc>
          <w:tcPr>
            <w:tcW w:w="3160" w:type="dxa"/>
            <w:vAlign w:val="bottom"/>
          </w:tcPr>
          <w:p>
            <w:pPr>
              <w:spacing w:after="0"/>
              <w:rPr>
                <w:sz w:val="20"/>
                <w:szCs w:val="20"/>
                <w:color w:val="auto"/>
              </w:rPr>
            </w:pPr>
            <w:r>
              <w:rPr>
                <w:rFonts w:ascii="Arial" w:cs="Arial" w:eastAsia="Arial" w:hAnsi="Arial"/>
                <w:sz w:val="14"/>
                <w:szCs w:val="14"/>
                <w:color w:val="auto"/>
              </w:rPr>
              <w:t>INTEREST EXPENSE</w:t>
            </w: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13"/>
        </w:trPr>
        <w:tc>
          <w:tcPr>
            <w:tcW w:w="3160" w:type="dxa"/>
            <w:vAlign w:val="bottom"/>
          </w:tcPr>
          <w:p>
            <w:pPr>
              <w:ind w:left="80"/>
              <w:spacing w:after="0"/>
              <w:rPr>
                <w:sz w:val="20"/>
                <w:szCs w:val="20"/>
                <w:color w:val="auto"/>
              </w:rPr>
            </w:pPr>
            <w:r>
              <w:rPr>
                <w:rFonts w:ascii="Arial" w:cs="Arial" w:eastAsia="Arial" w:hAnsi="Arial"/>
                <w:sz w:val="14"/>
                <w:szCs w:val="14"/>
                <w:color w:val="auto"/>
              </w:rPr>
              <w:t>SDG&amp;E</w:t>
            </w:r>
          </w:p>
        </w:tc>
        <w:tc>
          <w:tcPr>
            <w:tcW w:w="60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9"/>
              <w:spacing w:after="0"/>
              <w:rPr>
                <w:sz w:val="20"/>
                <w:szCs w:val="20"/>
                <w:color w:val="auto"/>
              </w:rPr>
            </w:pPr>
            <w:r>
              <w:rPr>
                <w:rFonts w:ascii="Arial" w:cs="Arial" w:eastAsia="Arial" w:hAnsi="Arial"/>
                <w:sz w:val="14"/>
                <w:szCs w:val="14"/>
                <w:color w:val="auto"/>
              </w:rPr>
              <w:t>51</w:t>
            </w:r>
          </w:p>
        </w:tc>
        <w:tc>
          <w:tcPr>
            <w:tcW w:w="780" w:type="dxa"/>
            <w:vAlign w:val="bottom"/>
          </w:tcPr>
          <w:p>
            <w:pPr>
              <w:spacing w:after="0"/>
              <w:rPr>
                <w:sz w:val="18"/>
                <w:szCs w:val="18"/>
                <w:color w:val="auto"/>
              </w:rPr>
            </w:pPr>
          </w:p>
        </w:tc>
        <w:tc>
          <w:tcPr>
            <w:tcW w:w="48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9"/>
              <w:spacing w:after="0"/>
              <w:rPr>
                <w:sz w:val="20"/>
                <w:szCs w:val="20"/>
                <w:color w:val="auto"/>
              </w:rPr>
            </w:pPr>
            <w:r>
              <w:rPr>
                <w:rFonts w:ascii="Arial" w:cs="Arial" w:eastAsia="Arial" w:hAnsi="Arial"/>
                <w:sz w:val="14"/>
                <w:szCs w:val="14"/>
                <w:color w:val="auto"/>
              </w:rPr>
              <w:t>50</w:t>
            </w:r>
          </w:p>
        </w:tc>
        <w:tc>
          <w:tcPr>
            <w:tcW w:w="780" w:type="dxa"/>
            <w:vAlign w:val="bottom"/>
          </w:tcPr>
          <w:p>
            <w:pPr>
              <w:spacing w:after="0"/>
              <w:rPr>
                <w:sz w:val="18"/>
                <w:szCs w:val="18"/>
                <w:color w:val="auto"/>
              </w:rPr>
            </w:pPr>
          </w:p>
        </w:tc>
        <w:tc>
          <w:tcPr>
            <w:tcW w:w="50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9"/>
              <w:spacing w:after="0"/>
              <w:rPr>
                <w:sz w:val="20"/>
                <w:szCs w:val="20"/>
                <w:color w:val="auto"/>
              </w:rPr>
            </w:pPr>
            <w:r>
              <w:rPr>
                <w:rFonts w:ascii="Arial" w:cs="Arial" w:eastAsia="Arial" w:hAnsi="Arial"/>
                <w:sz w:val="14"/>
                <w:szCs w:val="14"/>
                <w:color w:val="auto"/>
              </w:rPr>
              <w:t>152</w:t>
            </w:r>
          </w:p>
        </w:tc>
        <w:tc>
          <w:tcPr>
            <w:tcW w:w="780" w:type="dxa"/>
            <w:vAlign w:val="bottom"/>
          </w:tcPr>
          <w:p>
            <w:pPr>
              <w:spacing w:after="0"/>
              <w:rPr>
                <w:sz w:val="18"/>
                <w:szCs w:val="18"/>
                <w:color w:val="auto"/>
              </w:rPr>
            </w:pPr>
          </w:p>
        </w:tc>
        <w:tc>
          <w:tcPr>
            <w:tcW w:w="50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9"/>
              <w:spacing w:after="0"/>
              <w:rPr>
                <w:sz w:val="20"/>
                <w:szCs w:val="20"/>
                <w:color w:val="auto"/>
              </w:rPr>
            </w:pPr>
            <w:r>
              <w:rPr>
                <w:rFonts w:ascii="Arial" w:cs="Arial" w:eastAsia="Arial" w:hAnsi="Arial"/>
                <w:sz w:val="14"/>
                <w:szCs w:val="14"/>
                <w:color w:val="auto"/>
              </w:rPr>
              <w:t>147</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3"/>
        </w:trPr>
        <w:tc>
          <w:tcPr>
            <w:tcW w:w="3160" w:type="dxa"/>
            <w:vAlign w:val="bottom"/>
          </w:tcPr>
          <w:p>
            <w:pPr>
              <w:ind w:left="80"/>
              <w:spacing w:after="0"/>
              <w:rPr>
                <w:sz w:val="20"/>
                <w:szCs w:val="20"/>
                <w:color w:val="auto"/>
              </w:rPr>
            </w:pPr>
            <w:r>
              <w:rPr>
                <w:rFonts w:ascii="Arial" w:cs="Arial" w:eastAsia="Arial" w:hAnsi="Arial"/>
                <w:sz w:val="14"/>
                <w:szCs w:val="14"/>
                <w:color w:val="auto"/>
              </w:rPr>
              <w:t>SoCalGas</w:t>
            </w:r>
          </w:p>
        </w:tc>
        <w:tc>
          <w:tcPr>
            <w:tcW w:w="600" w:type="dxa"/>
            <w:vAlign w:val="bottom"/>
          </w:tcPr>
          <w:p>
            <w:pPr>
              <w:spacing w:after="0"/>
              <w:rPr>
                <w:sz w:val="18"/>
                <w:szCs w:val="18"/>
                <w:color w:val="auto"/>
              </w:rPr>
            </w:pPr>
          </w:p>
        </w:tc>
        <w:tc>
          <w:tcPr>
            <w:tcW w:w="780" w:type="dxa"/>
            <w:vAlign w:val="bottom"/>
          </w:tcPr>
          <w:p>
            <w:pPr>
              <w:jc w:val="right"/>
              <w:ind w:right="109"/>
              <w:spacing w:after="0"/>
              <w:rPr>
                <w:sz w:val="20"/>
                <w:szCs w:val="20"/>
                <w:color w:val="auto"/>
              </w:rPr>
            </w:pPr>
            <w:r>
              <w:rPr>
                <w:rFonts w:ascii="Arial" w:cs="Arial" w:eastAsia="Arial" w:hAnsi="Arial"/>
                <w:sz w:val="14"/>
                <w:szCs w:val="14"/>
                <w:color w:val="auto"/>
              </w:rPr>
              <w:t>17</w:t>
            </w: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jc w:val="right"/>
              <w:ind w:right="89"/>
              <w:spacing w:after="0"/>
              <w:rPr>
                <w:sz w:val="20"/>
                <w:szCs w:val="20"/>
                <w:color w:val="auto"/>
              </w:rPr>
            </w:pPr>
            <w:r>
              <w:rPr>
                <w:rFonts w:ascii="Arial" w:cs="Arial" w:eastAsia="Arial" w:hAnsi="Arial"/>
                <w:sz w:val="14"/>
                <w:szCs w:val="14"/>
                <w:color w:val="auto"/>
              </w:rPr>
              <w:t>17</w:t>
            </w: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jc w:val="right"/>
              <w:ind w:right="89"/>
              <w:spacing w:after="0"/>
              <w:rPr>
                <w:sz w:val="20"/>
                <w:szCs w:val="20"/>
                <w:color w:val="auto"/>
              </w:rPr>
            </w:pPr>
            <w:r>
              <w:rPr>
                <w:rFonts w:ascii="Arial" w:cs="Arial" w:eastAsia="Arial" w:hAnsi="Arial"/>
                <w:sz w:val="14"/>
                <w:szCs w:val="14"/>
                <w:color w:val="auto"/>
              </w:rPr>
              <w:t>50</w:t>
            </w: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ind w:right="109"/>
              <w:spacing w:after="0"/>
              <w:rPr>
                <w:sz w:val="20"/>
                <w:szCs w:val="20"/>
                <w:color w:val="auto"/>
              </w:rPr>
            </w:pPr>
            <w:r>
              <w:rPr>
                <w:rFonts w:ascii="Arial" w:cs="Arial" w:eastAsia="Arial" w:hAnsi="Arial"/>
                <w:sz w:val="14"/>
                <w:szCs w:val="14"/>
                <w:color w:val="auto"/>
              </w:rPr>
              <w:t>52</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3"/>
        </w:trPr>
        <w:tc>
          <w:tcPr>
            <w:tcW w:w="3160" w:type="dxa"/>
            <w:vAlign w:val="bottom"/>
          </w:tcPr>
          <w:p>
            <w:pPr>
              <w:ind w:left="80"/>
              <w:spacing w:after="0"/>
              <w:rPr>
                <w:sz w:val="20"/>
                <w:szCs w:val="20"/>
                <w:color w:val="auto"/>
              </w:rPr>
            </w:pPr>
            <w:r>
              <w:rPr>
                <w:rFonts w:ascii="Arial" w:cs="Arial" w:eastAsia="Arial" w:hAnsi="Arial"/>
                <w:sz w:val="14"/>
                <w:szCs w:val="14"/>
                <w:color w:val="auto"/>
              </w:rPr>
              <w:t>Sempra South American Utilities</w:t>
            </w:r>
          </w:p>
        </w:tc>
        <w:tc>
          <w:tcPr>
            <w:tcW w:w="600" w:type="dxa"/>
            <w:vAlign w:val="bottom"/>
          </w:tcPr>
          <w:p>
            <w:pPr>
              <w:spacing w:after="0"/>
              <w:rPr>
                <w:sz w:val="18"/>
                <w:szCs w:val="18"/>
                <w:color w:val="auto"/>
              </w:rPr>
            </w:pPr>
          </w:p>
        </w:tc>
        <w:tc>
          <w:tcPr>
            <w:tcW w:w="780" w:type="dxa"/>
            <w:vAlign w:val="bottom"/>
          </w:tcPr>
          <w:p>
            <w:pPr>
              <w:jc w:val="right"/>
              <w:ind w:right="109"/>
              <w:spacing w:after="0"/>
              <w:rPr>
                <w:sz w:val="20"/>
                <w:szCs w:val="20"/>
                <w:color w:val="auto"/>
              </w:rPr>
            </w:pPr>
            <w:r>
              <w:rPr>
                <w:rFonts w:ascii="Arial" w:cs="Arial" w:eastAsia="Arial" w:hAnsi="Arial"/>
                <w:sz w:val="14"/>
                <w:szCs w:val="14"/>
                <w:color w:val="auto"/>
              </w:rPr>
              <w:t>7</w:t>
            </w: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jc w:val="right"/>
              <w:ind w:right="89"/>
              <w:spacing w:after="0"/>
              <w:rPr>
                <w:sz w:val="20"/>
                <w:szCs w:val="20"/>
                <w:color w:val="auto"/>
              </w:rPr>
            </w:pPr>
            <w:r>
              <w:rPr>
                <w:rFonts w:ascii="Arial" w:cs="Arial" w:eastAsia="Arial" w:hAnsi="Arial"/>
                <w:sz w:val="14"/>
                <w:szCs w:val="14"/>
                <w:color w:val="auto"/>
              </w:rPr>
              <w:t>8</w:t>
            </w: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jc w:val="right"/>
              <w:ind w:right="89"/>
              <w:spacing w:after="0"/>
              <w:rPr>
                <w:sz w:val="20"/>
                <w:szCs w:val="20"/>
                <w:color w:val="auto"/>
              </w:rPr>
            </w:pPr>
            <w:r>
              <w:rPr>
                <w:rFonts w:ascii="Arial" w:cs="Arial" w:eastAsia="Arial" w:hAnsi="Arial"/>
                <w:sz w:val="14"/>
                <w:szCs w:val="14"/>
                <w:color w:val="auto"/>
              </w:rPr>
              <w:t>24</w:t>
            </w: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ind w:right="109"/>
              <w:spacing w:after="0"/>
              <w:rPr>
                <w:sz w:val="20"/>
                <w:szCs w:val="20"/>
                <w:color w:val="auto"/>
              </w:rPr>
            </w:pPr>
            <w:r>
              <w:rPr>
                <w:rFonts w:ascii="Arial" w:cs="Arial" w:eastAsia="Arial" w:hAnsi="Arial"/>
                <w:sz w:val="14"/>
                <w:szCs w:val="14"/>
                <w:color w:val="auto"/>
              </w:rPr>
              <w:t>20</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3"/>
        </w:trPr>
        <w:tc>
          <w:tcPr>
            <w:tcW w:w="3160" w:type="dxa"/>
            <w:vAlign w:val="bottom"/>
          </w:tcPr>
          <w:p>
            <w:pPr>
              <w:ind w:left="80"/>
              <w:spacing w:after="0"/>
              <w:rPr>
                <w:sz w:val="20"/>
                <w:szCs w:val="20"/>
                <w:color w:val="auto"/>
              </w:rPr>
            </w:pPr>
            <w:r>
              <w:rPr>
                <w:rFonts w:ascii="Arial" w:cs="Arial" w:eastAsia="Arial" w:hAnsi="Arial"/>
                <w:sz w:val="14"/>
                <w:szCs w:val="14"/>
                <w:color w:val="auto"/>
              </w:rPr>
              <w:t>Sempra Mexico</w:t>
            </w:r>
          </w:p>
        </w:tc>
        <w:tc>
          <w:tcPr>
            <w:tcW w:w="600" w:type="dxa"/>
            <w:vAlign w:val="bottom"/>
          </w:tcPr>
          <w:p>
            <w:pPr>
              <w:spacing w:after="0"/>
              <w:rPr>
                <w:sz w:val="18"/>
                <w:szCs w:val="18"/>
                <w:color w:val="auto"/>
              </w:rPr>
            </w:pPr>
          </w:p>
        </w:tc>
        <w:tc>
          <w:tcPr>
            <w:tcW w:w="780" w:type="dxa"/>
            <w:vAlign w:val="bottom"/>
          </w:tcPr>
          <w:p>
            <w:pPr>
              <w:jc w:val="right"/>
              <w:ind w:right="109"/>
              <w:spacing w:after="0"/>
              <w:rPr>
                <w:sz w:val="20"/>
                <w:szCs w:val="20"/>
                <w:color w:val="auto"/>
              </w:rPr>
            </w:pPr>
            <w:r>
              <w:rPr>
                <w:rFonts w:ascii="Arial" w:cs="Arial" w:eastAsia="Arial" w:hAnsi="Arial"/>
                <w:sz w:val="14"/>
                <w:szCs w:val="14"/>
                <w:color w:val="auto"/>
              </w:rPr>
              <w:t>5</w:t>
            </w: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jc w:val="center"/>
              <w:ind w:left="9"/>
              <w:spacing w:after="0"/>
              <w:rPr>
                <w:sz w:val="20"/>
                <w:szCs w:val="20"/>
                <w:color w:val="auto"/>
              </w:rPr>
            </w:pPr>
            <w:r>
              <w:rPr>
                <w:rFonts w:ascii="Arial" w:cs="Arial" w:eastAsia="Arial" w:hAnsi="Arial"/>
                <w:sz w:val="14"/>
                <w:szCs w:val="14"/>
                <w:color w:val="auto"/>
                <w:w w:val="99"/>
              </w:rPr>
              <w:t>―</w:t>
            </w: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jc w:val="right"/>
              <w:ind w:right="89"/>
              <w:spacing w:after="0"/>
              <w:rPr>
                <w:sz w:val="20"/>
                <w:szCs w:val="20"/>
                <w:color w:val="auto"/>
              </w:rPr>
            </w:pPr>
            <w:r>
              <w:rPr>
                <w:rFonts w:ascii="Arial" w:cs="Arial" w:eastAsia="Arial" w:hAnsi="Arial"/>
                <w:sz w:val="14"/>
                <w:szCs w:val="14"/>
                <w:color w:val="auto"/>
              </w:rPr>
              <w:t>13</w:t>
            </w: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ind w:right="109"/>
              <w:spacing w:after="0"/>
              <w:rPr>
                <w:sz w:val="20"/>
                <w:szCs w:val="20"/>
                <w:color w:val="auto"/>
              </w:rPr>
            </w:pPr>
            <w:r>
              <w:rPr>
                <w:rFonts w:ascii="Arial" w:cs="Arial" w:eastAsia="Arial" w:hAnsi="Arial"/>
                <w:sz w:val="14"/>
                <w:szCs w:val="14"/>
                <w:color w:val="auto"/>
              </w:rPr>
              <w:t>5</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3"/>
        </w:trPr>
        <w:tc>
          <w:tcPr>
            <w:tcW w:w="3160" w:type="dxa"/>
            <w:vAlign w:val="bottom"/>
          </w:tcPr>
          <w:p>
            <w:pPr>
              <w:ind w:left="80"/>
              <w:spacing w:after="0"/>
              <w:rPr>
                <w:sz w:val="20"/>
                <w:szCs w:val="20"/>
                <w:color w:val="auto"/>
              </w:rPr>
            </w:pPr>
            <w:r>
              <w:rPr>
                <w:rFonts w:ascii="Arial" w:cs="Arial" w:eastAsia="Arial" w:hAnsi="Arial"/>
                <w:sz w:val="14"/>
                <w:szCs w:val="14"/>
                <w:color w:val="auto"/>
              </w:rPr>
              <w:t>Sempra Renewables</w:t>
            </w:r>
          </w:p>
        </w:tc>
        <w:tc>
          <w:tcPr>
            <w:tcW w:w="600" w:type="dxa"/>
            <w:vAlign w:val="bottom"/>
          </w:tcPr>
          <w:p>
            <w:pPr>
              <w:spacing w:after="0"/>
              <w:rPr>
                <w:sz w:val="18"/>
                <w:szCs w:val="18"/>
                <w:color w:val="auto"/>
              </w:rPr>
            </w:pPr>
          </w:p>
        </w:tc>
        <w:tc>
          <w:tcPr>
            <w:tcW w:w="780" w:type="dxa"/>
            <w:vAlign w:val="bottom"/>
          </w:tcPr>
          <w:p>
            <w:pPr>
              <w:jc w:val="right"/>
              <w:ind w:right="109"/>
              <w:spacing w:after="0"/>
              <w:rPr>
                <w:sz w:val="20"/>
                <w:szCs w:val="20"/>
                <w:color w:val="auto"/>
              </w:rPr>
            </w:pPr>
            <w:r>
              <w:rPr>
                <w:rFonts w:ascii="Arial" w:cs="Arial" w:eastAsia="Arial" w:hAnsi="Arial"/>
                <w:sz w:val="14"/>
                <w:szCs w:val="14"/>
                <w:color w:val="auto"/>
              </w:rPr>
              <w:t>2</w:t>
            </w: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jc w:val="right"/>
              <w:ind w:right="89"/>
              <w:spacing w:after="0"/>
              <w:rPr>
                <w:sz w:val="20"/>
                <w:szCs w:val="20"/>
                <w:color w:val="auto"/>
              </w:rPr>
            </w:pPr>
            <w:r>
              <w:rPr>
                <w:rFonts w:ascii="Arial" w:cs="Arial" w:eastAsia="Arial" w:hAnsi="Arial"/>
                <w:sz w:val="14"/>
                <w:szCs w:val="14"/>
                <w:color w:val="auto"/>
              </w:rPr>
              <w:t>5</w:t>
            </w: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jc w:val="right"/>
              <w:ind w:right="89"/>
              <w:spacing w:after="0"/>
              <w:rPr>
                <w:sz w:val="20"/>
                <w:szCs w:val="20"/>
                <w:color w:val="auto"/>
              </w:rPr>
            </w:pPr>
            <w:r>
              <w:rPr>
                <w:rFonts w:ascii="Arial" w:cs="Arial" w:eastAsia="Arial" w:hAnsi="Arial"/>
                <w:sz w:val="14"/>
                <w:szCs w:val="14"/>
                <w:color w:val="auto"/>
              </w:rPr>
              <w:t>3</w:t>
            </w: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ind w:right="109"/>
              <w:spacing w:after="0"/>
              <w:rPr>
                <w:sz w:val="20"/>
                <w:szCs w:val="20"/>
                <w:color w:val="auto"/>
              </w:rPr>
            </w:pPr>
            <w:r>
              <w:rPr>
                <w:rFonts w:ascii="Arial" w:cs="Arial" w:eastAsia="Arial" w:hAnsi="Arial"/>
                <w:sz w:val="14"/>
                <w:szCs w:val="14"/>
                <w:color w:val="auto"/>
              </w:rPr>
              <w:t>22</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3"/>
        </w:trPr>
        <w:tc>
          <w:tcPr>
            <w:tcW w:w="3160" w:type="dxa"/>
            <w:vAlign w:val="bottom"/>
          </w:tcPr>
          <w:p>
            <w:pPr>
              <w:ind w:left="80"/>
              <w:spacing w:after="0"/>
              <w:rPr>
                <w:sz w:val="20"/>
                <w:szCs w:val="20"/>
                <w:color w:val="auto"/>
              </w:rPr>
            </w:pPr>
            <w:r>
              <w:rPr>
                <w:rFonts w:ascii="Arial" w:cs="Arial" w:eastAsia="Arial" w:hAnsi="Arial"/>
                <w:sz w:val="14"/>
                <w:szCs w:val="14"/>
                <w:color w:val="auto"/>
              </w:rPr>
              <w:t>Sempra Natural Gas</w:t>
            </w:r>
          </w:p>
        </w:tc>
        <w:tc>
          <w:tcPr>
            <w:tcW w:w="600" w:type="dxa"/>
            <w:vAlign w:val="bottom"/>
          </w:tcPr>
          <w:p>
            <w:pPr>
              <w:spacing w:after="0"/>
              <w:rPr>
                <w:sz w:val="18"/>
                <w:szCs w:val="18"/>
                <w:color w:val="auto"/>
              </w:rPr>
            </w:pPr>
          </w:p>
        </w:tc>
        <w:tc>
          <w:tcPr>
            <w:tcW w:w="780" w:type="dxa"/>
            <w:vAlign w:val="bottom"/>
          </w:tcPr>
          <w:p>
            <w:pPr>
              <w:jc w:val="right"/>
              <w:ind w:right="109"/>
              <w:spacing w:after="0"/>
              <w:rPr>
                <w:sz w:val="20"/>
                <w:szCs w:val="20"/>
                <w:color w:val="auto"/>
              </w:rPr>
            </w:pPr>
            <w:r>
              <w:rPr>
                <w:rFonts w:ascii="Arial" w:cs="Arial" w:eastAsia="Arial" w:hAnsi="Arial"/>
                <w:sz w:val="14"/>
                <w:szCs w:val="14"/>
                <w:color w:val="auto"/>
              </w:rPr>
              <w:t>25</w:t>
            </w: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jc w:val="right"/>
              <w:ind w:right="89"/>
              <w:spacing w:after="0"/>
              <w:rPr>
                <w:sz w:val="20"/>
                <w:szCs w:val="20"/>
                <w:color w:val="auto"/>
              </w:rPr>
            </w:pPr>
            <w:r>
              <w:rPr>
                <w:rFonts w:ascii="Arial" w:cs="Arial" w:eastAsia="Arial" w:hAnsi="Arial"/>
                <w:sz w:val="14"/>
                <w:szCs w:val="14"/>
                <w:color w:val="auto"/>
              </w:rPr>
              <w:t>34</w:t>
            </w: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jc w:val="right"/>
              <w:ind w:right="89"/>
              <w:spacing w:after="0"/>
              <w:rPr>
                <w:sz w:val="20"/>
                <w:szCs w:val="20"/>
                <w:color w:val="auto"/>
              </w:rPr>
            </w:pPr>
            <w:r>
              <w:rPr>
                <w:rFonts w:ascii="Arial" w:cs="Arial" w:eastAsia="Arial" w:hAnsi="Arial"/>
                <w:sz w:val="14"/>
                <w:szCs w:val="14"/>
                <w:color w:val="auto"/>
              </w:rPr>
              <w:t>90</w:t>
            </w: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ind w:right="109"/>
              <w:spacing w:after="0"/>
              <w:rPr>
                <w:sz w:val="20"/>
                <w:szCs w:val="20"/>
                <w:color w:val="auto"/>
              </w:rPr>
            </w:pPr>
            <w:r>
              <w:rPr>
                <w:rFonts w:ascii="Arial" w:cs="Arial" w:eastAsia="Arial" w:hAnsi="Arial"/>
                <w:sz w:val="14"/>
                <w:szCs w:val="14"/>
                <w:color w:val="auto"/>
              </w:rPr>
              <w:t>80</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3"/>
        </w:trPr>
        <w:tc>
          <w:tcPr>
            <w:tcW w:w="3160" w:type="dxa"/>
            <w:vAlign w:val="bottom"/>
          </w:tcPr>
          <w:p>
            <w:pPr>
              <w:ind w:left="80"/>
              <w:spacing w:after="0"/>
              <w:rPr>
                <w:sz w:val="20"/>
                <w:szCs w:val="20"/>
                <w:color w:val="auto"/>
              </w:rPr>
            </w:pPr>
            <w:r>
              <w:rPr>
                <w:rFonts w:ascii="Arial" w:cs="Arial" w:eastAsia="Arial" w:hAnsi="Arial"/>
                <w:sz w:val="14"/>
                <w:szCs w:val="14"/>
                <w:color w:val="auto"/>
              </w:rPr>
              <w:t>All other</w:t>
            </w:r>
          </w:p>
        </w:tc>
        <w:tc>
          <w:tcPr>
            <w:tcW w:w="600" w:type="dxa"/>
            <w:vAlign w:val="bottom"/>
          </w:tcPr>
          <w:p>
            <w:pPr>
              <w:spacing w:after="0"/>
              <w:rPr>
                <w:sz w:val="18"/>
                <w:szCs w:val="18"/>
                <w:color w:val="auto"/>
              </w:rPr>
            </w:pPr>
          </w:p>
        </w:tc>
        <w:tc>
          <w:tcPr>
            <w:tcW w:w="780" w:type="dxa"/>
            <w:vAlign w:val="bottom"/>
          </w:tcPr>
          <w:p>
            <w:pPr>
              <w:jc w:val="right"/>
              <w:ind w:right="109"/>
              <w:spacing w:after="0"/>
              <w:rPr>
                <w:sz w:val="20"/>
                <w:szCs w:val="20"/>
                <w:color w:val="auto"/>
              </w:rPr>
            </w:pPr>
            <w:r>
              <w:rPr>
                <w:rFonts w:ascii="Arial" w:cs="Arial" w:eastAsia="Arial" w:hAnsi="Arial"/>
                <w:sz w:val="14"/>
                <w:szCs w:val="14"/>
                <w:color w:val="auto"/>
              </w:rPr>
              <w:t>63</w:t>
            </w: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jc w:val="right"/>
              <w:ind w:right="89"/>
              <w:spacing w:after="0"/>
              <w:rPr>
                <w:sz w:val="20"/>
                <w:szCs w:val="20"/>
                <w:color w:val="auto"/>
              </w:rPr>
            </w:pPr>
            <w:r>
              <w:rPr>
                <w:rFonts w:ascii="Arial" w:cs="Arial" w:eastAsia="Arial" w:hAnsi="Arial"/>
                <w:sz w:val="14"/>
                <w:szCs w:val="14"/>
                <w:color w:val="auto"/>
              </w:rPr>
              <w:t>60</w:t>
            </w: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jc w:val="right"/>
              <w:ind w:right="89"/>
              <w:spacing w:after="0"/>
              <w:rPr>
                <w:sz w:val="20"/>
                <w:szCs w:val="20"/>
                <w:color w:val="auto"/>
              </w:rPr>
            </w:pPr>
            <w:r>
              <w:rPr>
                <w:rFonts w:ascii="Arial" w:cs="Arial" w:eastAsia="Arial" w:hAnsi="Arial"/>
                <w:sz w:val="14"/>
                <w:szCs w:val="14"/>
                <w:color w:val="auto"/>
              </w:rPr>
              <w:t>178</w:t>
            </w: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ind w:right="109"/>
              <w:spacing w:after="0"/>
              <w:rPr>
                <w:sz w:val="20"/>
                <w:szCs w:val="20"/>
                <w:color w:val="auto"/>
              </w:rPr>
            </w:pPr>
            <w:r>
              <w:rPr>
                <w:rFonts w:ascii="Arial" w:cs="Arial" w:eastAsia="Arial" w:hAnsi="Arial"/>
                <w:sz w:val="14"/>
                <w:szCs w:val="14"/>
                <w:color w:val="auto"/>
              </w:rPr>
              <w:t>182</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197"/>
        </w:trPr>
        <w:tc>
          <w:tcPr>
            <w:tcW w:w="3160" w:type="dxa"/>
            <w:vAlign w:val="bottom"/>
          </w:tcPr>
          <w:p>
            <w:pPr>
              <w:ind w:left="80"/>
              <w:spacing w:after="0"/>
              <w:rPr>
                <w:sz w:val="20"/>
                <w:szCs w:val="20"/>
                <w:color w:val="auto"/>
              </w:rPr>
            </w:pPr>
            <w:r>
              <w:rPr>
                <w:rFonts w:ascii="Arial" w:cs="Arial" w:eastAsia="Arial" w:hAnsi="Arial"/>
                <w:sz w:val="14"/>
                <w:szCs w:val="14"/>
                <w:color w:val="auto"/>
              </w:rPr>
              <w:t>Intercompany eliminations</w:t>
            </w:r>
          </w:p>
        </w:tc>
        <w:tc>
          <w:tcPr>
            <w:tcW w:w="6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(26)</w:t>
            </w:r>
          </w:p>
        </w:tc>
        <w:tc>
          <w:tcPr>
            <w:tcW w:w="7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(37)</w:t>
            </w:r>
          </w:p>
        </w:tc>
        <w:tc>
          <w:tcPr>
            <w:tcW w:w="7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(92)</w:t>
            </w:r>
          </w:p>
        </w:tc>
        <w:tc>
          <w:tcPr>
            <w:tcW w:w="7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(95)</w:t>
            </w:r>
          </w:p>
        </w:tc>
        <w:tc>
          <w:tcPr>
            <w:tcW w:w="4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r>
      <w:tr>
        <w:trPr>
          <w:trHeight w:val="212"/>
        </w:trPr>
        <w:tc>
          <w:tcPr>
            <w:tcW w:w="316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Total</w:t>
            </w:r>
          </w:p>
        </w:tc>
        <w:tc>
          <w:tcPr>
            <w:tcW w:w="60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144</w:t>
            </w:r>
          </w:p>
        </w:tc>
        <w:tc>
          <w:tcPr>
            <w:tcW w:w="7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137</w:t>
            </w:r>
          </w:p>
        </w:tc>
        <w:tc>
          <w:tcPr>
            <w:tcW w:w="7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418</w:t>
            </w:r>
          </w:p>
        </w:tc>
        <w:tc>
          <w:tcPr>
            <w:tcW w:w="7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413</w:t>
            </w:r>
          </w:p>
        </w:tc>
        <w:tc>
          <w:tcPr>
            <w:tcW w:w="4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r>
      <w:tr>
        <w:trPr>
          <w:trHeight w:val="228"/>
        </w:trPr>
        <w:tc>
          <w:tcPr>
            <w:tcW w:w="3160" w:type="dxa"/>
            <w:vAlign w:val="bottom"/>
          </w:tcPr>
          <w:p>
            <w:pPr>
              <w:spacing w:after="0"/>
              <w:rPr>
                <w:sz w:val="20"/>
                <w:szCs w:val="20"/>
                <w:color w:val="auto"/>
              </w:rPr>
            </w:pPr>
            <w:r>
              <w:rPr>
                <w:rFonts w:ascii="Arial" w:cs="Arial" w:eastAsia="Arial" w:hAnsi="Arial"/>
                <w:sz w:val="14"/>
                <w:szCs w:val="14"/>
                <w:color w:val="auto"/>
              </w:rPr>
              <w:t>INTEREST INCOME</w:t>
            </w: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13"/>
        </w:trPr>
        <w:tc>
          <w:tcPr>
            <w:tcW w:w="3160" w:type="dxa"/>
            <w:vAlign w:val="bottom"/>
          </w:tcPr>
          <w:p>
            <w:pPr>
              <w:ind w:left="80"/>
              <w:spacing w:after="0"/>
              <w:rPr>
                <w:sz w:val="20"/>
                <w:szCs w:val="20"/>
                <w:color w:val="auto"/>
              </w:rPr>
            </w:pPr>
            <w:r>
              <w:rPr>
                <w:rFonts w:ascii="Arial" w:cs="Arial" w:eastAsia="Arial" w:hAnsi="Arial"/>
                <w:sz w:val="14"/>
                <w:szCs w:val="14"/>
                <w:color w:val="auto"/>
              </w:rPr>
              <w:t>SDG&amp;E</w:t>
            </w:r>
          </w:p>
        </w:tc>
        <w:tc>
          <w:tcPr>
            <w:tcW w:w="60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8"/>
                <w:szCs w:val="18"/>
                <w:color w:val="auto"/>
              </w:rPr>
            </w:pPr>
          </w:p>
        </w:tc>
        <w:tc>
          <w:tcPr>
            <w:tcW w:w="48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780" w:type="dxa"/>
            <w:vAlign w:val="bottom"/>
          </w:tcPr>
          <w:p>
            <w:pPr>
              <w:jc w:val="center"/>
              <w:ind w:left="9"/>
              <w:spacing w:after="0"/>
              <w:rPr>
                <w:sz w:val="20"/>
                <w:szCs w:val="20"/>
                <w:color w:val="auto"/>
              </w:rPr>
            </w:pPr>
            <w:r>
              <w:rPr>
                <w:rFonts w:ascii="Arial" w:cs="Arial" w:eastAsia="Arial" w:hAnsi="Arial"/>
                <w:sz w:val="14"/>
                <w:szCs w:val="14"/>
                <w:color w:val="auto"/>
                <w:w w:val="99"/>
              </w:rPr>
              <w:t>―</w:t>
            </w:r>
          </w:p>
        </w:tc>
        <w:tc>
          <w:tcPr>
            <w:tcW w:w="780" w:type="dxa"/>
            <w:vAlign w:val="bottom"/>
          </w:tcPr>
          <w:p>
            <w:pPr>
              <w:spacing w:after="0"/>
              <w:rPr>
                <w:sz w:val="18"/>
                <w:szCs w:val="18"/>
                <w:color w:val="auto"/>
              </w:rPr>
            </w:pPr>
          </w:p>
        </w:tc>
        <w:tc>
          <w:tcPr>
            <w:tcW w:w="50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8"/>
                <w:szCs w:val="18"/>
                <w:color w:val="auto"/>
              </w:rPr>
            </w:pPr>
          </w:p>
        </w:tc>
        <w:tc>
          <w:tcPr>
            <w:tcW w:w="50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9"/>
              <w:spacing w:after="0"/>
              <w:rPr>
                <w:sz w:val="20"/>
                <w:szCs w:val="20"/>
                <w:color w:val="auto"/>
              </w:rPr>
            </w:pPr>
            <w:r>
              <w:rPr>
                <w:rFonts w:ascii="Arial" w:cs="Arial" w:eastAsia="Arial" w:hAnsi="Arial"/>
                <w:sz w:val="14"/>
                <w:szCs w:val="14"/>
                <w:color w:val="auto"/>
              </w:rPr>
              <w:t>1</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3"/>
        </w:trPr>
        <w:tc>
          <w:tcPr>
            <w:tcW w:w="3160" w:type="dxa"/>
            <w:vAlign w:val="bottom"/>
          </w:tcPr>
          <w:p>
            <w:pPr>
              <w:ind w:left="80"/>
              <w:spacing w:after="0"/>
              <w:rPr>
                <w:sz w:val="20"/>
                <w:szCs w:val="20"/>
                <w:color w:val="auto"/>
              </w:rPr>
            </w:pPr>
            <w:r>
              <w:rPr>
                <w:rFonts w:ascii="Arial" w:cs="Arial" w:eastAsia="Arial" w:hAnsi="Arial"/>
                <w:sz w:val="14"/>
                <w:szCs w:val="14"/>
                <w:color w:val="auto"/>
              </w:rPr>
              <w:t>Sempra South American Utilities</w:t>
            </w:r>
          </w:p>
        </w:tc>
        <w:tc>
          <w:tcPr>
            <w:tcW w:w="600" w:type="dxa"/>
            <w:vAlign w:val="bottom"/>
          </w:tcPr>
          <w:p>
            <w:pPr>
              <w:spacing w:after="0"/>
              <w:rPr>
                <w:sz w:val="18"/>
                <w:szCs w:val="18"/>
                <w:color w:val="auto"/>
              </w:rPr>
            </w:pPr>
          </w:p>
        </w:tc>
        <w:tc>
          <w:tcPr>
            <w:tcW w:w="780" w:type="dxa"/>
            <w:vAlign w:val="bottom"/>
          </w:tcPr>
          <w:p>
            <w:pPr>
              <w:jc w:val="right"/>
              <w:ind w:right="109"/>
              <w:spacing w:after="0"/>
              <w:rPr>
                <w:sz w:val="20"/>
                <w:szCs w:val="20"/>
                <w:color w:val="auto"/>
              </w:rPr>
            </w:pPr>
            <w:r>
              <w:rPr>
                <w:rFonts w:ascii="Arial" w:cs="Arial" w:eastAsia="Arial" w:hAnsi="Arial"/>
                <w:sz w:val="14"/>
                <w:szCs w:val="14"/>
                <w:color w:val="auto"/>
              </w:rPr>
              <w:t>4</w:t>
            </w: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jc w:val="right"/>
              <w:ind w:right="89"/>
              <w:spacing w:after="0"/>
              <w:rPr>
                <w:sz w:val="20"/>
                <w:szCs w:val="20"/>
                <w:color w:val="auto"/>
              </w:rPr>
            </w:pPr>
            <w:r>
              <w:rPr>
                <w:rFonts w:ascii="Arial" w:cs="Arial" w:eastAsia="Arial" w:hAnsi="Arial"/>
                <w:sz w:val="14"/>
                <w:szCs w:val="14"/>
                <w:color w:val="auto"/>
              </w:rPr>
              <w:t>3</w:t>
            </w: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jc w:val="right"/>
              <w:ind w:right="89"/>
              <w:spacing w:after="0"/>
              <w:rPr>
                <w:sz w:val="20"/>
                <w:szCs w:val="20"/>
                <w:color w:val="auto"/>
              </w:rPr>
            </w:pPr>
            <w:r>
              <w:rPr>
                <w:rFonts w:ascii="Arial" w:cs="Arial" w:eastAsia="Arial" w:hAnsi="Arial"/>
                <w:sz w:val="14"/>
                <w:szCs w:val="14"/>
                <w:color w:val="auto"/>
              </w:rPr>
              <w:t>10</w:t>
            </w: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ind w:right="109"/>
              <w:spacing w:after="0"/>
              <w:rPr>
                <w:sz w:val="20"/>
                <w:szCs w:val="20"/>
                <w:color w:val="auto"/>
              </w:rPr>
            </w:pPr>
            <w:r>
              <w:rPr>
                <w:rFonts w:ascii="Arial" w:cs="Arial" w:eastAsia="Arial" w:hAnsi="Arial"/>
                <w:sz w:val="14"/>
                <w:szCs w:val="14"/>
                <w:color w:val="auto"/>
              </w:rPr>
              <w:t>11</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3"/>
        </w:trPr>
        <w:tc>
          <w:tcPr>
            <w:tcW w:w="3160" w:type="dxa"/>
            <w:vAlign w:val="bottom"/>
          </w:tcPr>
          <w:p>
            <w:pPr>
              <w:ind w:left="80"/>
              <w:spacing w:after="0"/>
              <w:rPr>
                <w:sz w:val="20"/>
                <w:szCs w:val="20"/>
                <w:color w:val="auto"/>
              </w:rPr>
            </w:pPr>
            <w:r>
              <w:rPr>
                <w:rFonts w:ascii="Arial" w:cs="Arial" w:eastAsia="Arial" w:hAnsi="Arial"/>
                <w:sz w:val="14"/>
                <w:szCs w:val="14"/>
                <w:color w:val="auto"/>
              </w:rPr>
              <w:t>Sempra Mexico</w:t>
            </w:r>
          </w:p>
        </w:tc>
        <w:tc>
          <w:tcPr>
            <w:tcW w:w="600" w:type="dxa"/>
            <w:vAlign w:val="bottom"/>
          </w:tcPr>
          <w:p>
            <w:pPr>
              <w:spacing w:after="0"/>
              <w:rPr>
                <w:sz w:val="18"/>
                <w:szCs w:val="18"/>
                <w:color w:val="auto"/>
              </w:rPr>
            </w:pPr>
          </w:p>
        </w:tc>
        <w:tc>
          <w:tcPr>
            <w:tcW w:w="780" w:type="dxa"/>
            <w:vAlign w:val="bottom"/>
          </w:tcPr>
          <w:p>
            <w:pPr>
              <w:jc w:val="right"/>
              <w:ind w:right="109"/>
              <w:spacing w:after="0"/>
              <w:rPr>
                <w:sz w:val="20"/>
                <w:szCs w:val="20"/>
                <w:color w:val="auto"/>
              </w:rPr>
            </w:pPr>
            <w:r>
              <w:rPr>
                <w:rFonts w:ascii="Arial" w:cs="Arial" w:eastAsia="Arial" w:hAnsi="Arial"/>
                <w:sz w:val="14"/>
                <w:szCs w:val="14"/>
                <w:color w:val="auto"/>
              </w:rPr>
              <w:t>1</w:t>
            </w: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jc w:val="center"/>
              <w:ind w:left="9"/>
              <w:spacing w:after="0"/>
              <w:rPr>
                <w:sz w:val="20"/>
                <w:szCs w:val="20"/>
                <w:color w:val="auto"/>
              </w:rPr>
            </w:pPr>
            <w:r>
              <w:rPr>
                <w:rFonts w:ascii="Arial" w:cs="Arial" w:eastAsia="Arial" w:hAnsi="Arial"/>
                <w:sz w:val="14"/>
                <w:szCs w:val="14"/>
                <w:color w:val="auto"/>
                <w:w w:val="99"/>
              </w:rPr>
              <w:t>―</w:t>
            </w: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jc w:val="right"/>
              <w:ind w:right="89"/>
              <w:spacing w:after="0"/>
              <w:rPr>
                <w:sz w:val="20"/>
                <w:szCs w:val="20"/>
                <w:color w:val="auto"/>
              </w:rPr>
            </w:pPr>
            <w:r>
              <w:rPr>
                <w:rFonts w:ascii="Arial" w:cs="Arial" w:eastAsia="Arial" w:hAnsi="Arial"/>
                <w:sz w:val="14"/>
                <w:szCs w:val="14"/>
                <w:color w:val="auto"/>
              </w:rPr>
              <w:t>2</w:t>
            </w: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ind w:right="109"/>
              <w:spacing w:after="0"/>
              <w:rPr>
                <w:sz w:val="20"/>
                <w:szCs w:val="20"/>
                <w:color w:val="auto"/>
              </w:rPr>
            </w:pPr>
            <w:r>
              <w:rPr>
                <w:rFonts w:ascii="Arial" w:cs="Arial" w:eastAsia="Arial" w:hAnsi="Arial"/>
                <w:sz w:val="14"/>
                <w:szCs w:val="14"/>
                <w:color w:val="auto"/>
              </w:rPr>
              <w:t>1</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3"/>
        </w:trPr>
        <w:tc>
          <w:tcPr>
            <w:tcW w:w="3160" w:type="dxa"/>
            <w:vAlign w:val="bottom"/>
          </w:tcPr>
          <w:p>
            <w:pPr>
              <w:ind w:left="80"/>
              <w:spacing w:after="0"/>
              <w:rPr>
                <w:sz w:val="20"/>
                <w:szCs w:val="20"/>
                <w:color w:val="auto"/>
              </w:rPr>
            </w:pPr>
            <w:r>
              <w:rPr>
                <w:rFonts w:ascii="Arial" w:cs="Arial" w:eastAsia="Arial" w:hAnsi="Arial"/>
                <w:sz w:val="14"/>
                <w:szCs w:val="14"/>
                <w:color w:val="auto"/>
              </w:rPr>
              <w:t>Sempra Renewables</w:t>
            </w:r>
          </w:p>
        </w:tc>
        <w:tc>
          <w:tcPr>
            <w:tcW w:w="600" w:type="dxa"/>
            <w:vAlign w:val="bottom"/>
          </w:tcPr>
          <w:p>
            <w:pPr>
              <w:spacing w:after="0"/>
              <w:rPr>
                <w:sz w:val="18"/>
                <w:szCs w:val="18"/>
                <w:color w:val="auto"/>
              </w:rPr>
            </w:pPr>
          </w:p>
        </w:tc>
        <w:tc>
          <w:tcPr>
            <w:tcW w:w="78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jc w:val="right"/>
              <w:ind w:right="89"/>
              <w:spacing w:after="0"/>
              <w:rPr>
                <w:sz w:val="20"/>
                <w:szCs w:val="20"/>
                <w:color w:val="auto"/>
              </w:rPr>
            </w:pPr>
            <w:r>
              <w:rPr>
                <w:rFonts w:ascii="Arial" w:cs="Arial" w:eastAsia="Arial" w:hAnsi="Arial"/>
                <w:sz w:val="14"/>
                <w:szCs w:val="14"/>
                <w:color w:val="auto"/>
              </w:rPr>
              <w:t>7</w:t>
            </w: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ind w:right="109"/>
              <w:spacing w:after="0"/>
              <w:rPr>
                <w:sz w:val="20"/>
                <w:szCs w:val="20"/>
                <w:color w:val="auto"/>
              </w:rPr>
            </w:pPr>
            <w:r>
              <w:rPr>
                <w:rFonts w:ascii="Arial" w:cs="Arial" w:eastAsia="Arial" w:hAnsi="Arial"/>
                <w:sz w:val="14"/>
                <w:szCs w:val="14"/>
                <w:color w:val="auto"/>
              </w:rPr>
              <w:t>14</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3"/>
        </w:trPr>
        <w:tc>
          <w:tcPr>
            <w:tcW w:w="3160" w:type="dxa"/>
            <w:vAlign w:val="bottom"/>
          </w:tcPr>
          <w:p>
            <w:pPr>
              <w:ind w:left="80"/>
              <w:spacing w:after="0"/>
              <w:rPr>
                <w:sz w:val="20"/>
                <w:szCs w:val="20"/>
                <w:color w:val="auto"/>
              </w:rPr>
            </w:pPr>
            <w:r>
              <w:rPr>
                <w:rFonts w:ascii="Arial" w:cs="Arial" w:eastAsia="Arial" w:hAnsi="Arial"/>
                <w:sz w:val="14"/>
                <w:szCs w:val="14"/>
                <w:color w:val="auto"/>
              </w:rPr>
              <w:t>Sempra Natural Gas</w:t>
            </w:r>
          </w:p>
        </w:tc>
        <w:tc>
          <w:tcPr>
            <w:tcW w:w="600" w:type="dxa"/>
            <w:vAlign w:val="bottom"/>
          </w:tcPr>
          <w:p>
            <w:pPr>
              <w:spacing w:after="0"/>
              <w:rPr>
                <w:sz w:val="18"/>
                <w:szCs w:val="18"/>
                <w:color w:val="auto"/>
              </w:rPr>
            </w:pPr>
          </w:p>
        </w:tc>
        <w:tc>
          <w:tcPr>
            <w:tcW w:w="780" w:type="dxa"/>
            <w:vAlign w:val="bottom"/>
          </w:tcPr>
          <w:p>
            <w:pPr>
              <w:jc w:val="right"/>
              <w:ind w:right="109"/>
              <w:spacing w:after="0"/>
              <w:rPr>
                <w:sz w:val="20"/>
                <w:szCs w:val="20"/>
                <w:color w:val="auto"/>
              </w:rPr>
            </w:pPr>
            <w:r>
              <w:rPr>
                <w:rFonts w:ascii="Arial" w:cs="Arial" w:eastAsia="Arial" w:hAnsi="Arial"/>
                <w:sz w:val="14"/>
                <w:szCs w:val="14"/>
                <w:color w:val="auto"/>
              </w:rPr>
              <w:t>24</w:t>
            </w: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jc w:val="right"/>
              <w:ind w:right="89"/>
              <w:spacing w:after="0"/>
              <w:rPr>
                <w:sz w:val="20"/>
                <w:szCs w:val="20"/>
                <w:color w:val="auto"/>
              </w:rPr>
            </w:pPr>
            <w:r>
              <w:rPr>
                <w:rFonts w:ascii="Arial" w:cs="Arial" w:eastAsia="Arial" w:hAnsi="Arial"/>
                <w:sz w:val="14"/>
                <w:szCs w:val="14"/>
                <w:color w:val="auto"/>
              </w:rPr>
              <w:t>26</w:t>
            </w: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jc w:val="right"/>
              <w:ind w:right="89"/>
              <w:spacing w:after="0"/>
              <w:rPr>
                <w:sz w:val="20"/>
                <w:szCs w:val="20"/>
                <w:color w:val="auto"/>
              </w:rPr>
            </w:pPr>
            <w:r>
              <w:rPr>
                <w:rFonts w:ascii="Arial" w:cs="Arial" w:eastAsia="Arial" w:hAnsi="Arial"/>
                <w:sz w:val="14"/>
                <w:szCs w:val="14"/>
                <w:color w:val="auto"/>
              </w:rPr>
              <w:t>87</w:t>
            </w: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ind w:right="109"/>
              <w:spacing w:after="0"/>
              <w:rPr>
                <w:sz w:val="20"/>
                <w:szCs w:val="20"/>
                <w:color w:val="auto"/>
              </w:rPr>
            </w:pPr>
            <w:r>
              <w:rPr>
                <w:rFonts w:ascii="Arial" w:cs="Arial" w:eastAsia="Arial" w:hAnsi="Arial"/>
                <w:sz w:val="14"/>
                <w:szCs w:val="14"/>
                <w:color w:val="auto"/>
              </w:rPr>
              <w:t>57</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3"/>
        </w:trPr>
        <w:tc>
          <w:tcPr>
            <w:tcW w:w="3160" w:type="dxa"/>
            <w:vAlign w:val="bottom"/>
          </w:tcPr>
          <w:p>
            <w:pPr>
              <w:ind w:left="80"/>
              <w:spacing w:after="0"/>
              <w:rPr>
                <w:sz w:val="20"/>
                <w:szCs w:val="20"/>
                <w:color w:val="auto"/>
              </w:rPr>
            </w:pPr>
            <w:r>
              <w:rPr>
                <w:rFonts w:ascii="Arial" w:cs="Arial" w:eastAsia="Arial" w:hAnsi="Arial"/>
                <w:sz w:val="14"/>
                <w:szCs w:val="14"/>
                <w:color w:val="auto"/>
              </w:rPr>
              <w:t>All other</w:t>
            </w:r>
          </w:p>
        </w:tc>
        <w:tc>
          <w:tcPr>
            <w:tcW w:w="600" w:type="dxa"/>
            <w:vAlign w:val="bottom"/>
          </w:tcPr>
          <w:p>
            <w:pPr>
              <w:spacing w:after="0"/>
              <w:rPr>
                <w:sz w:val="18"/>
                <w:szCs w:val="18"/>
                <w:color w:val="auto"/>
              </w:rPr>
            </w:pPr>
          </w:p>
        </w:tc>
        <w:tc>
          <w:tcPr>
            <w:tcW w:w="780" w:type="dxa"/>
            <w:vAlign w:val="bottom"/>
          </w:tcPr>
          <w:p>
            <w:pPr>
              <w:jc w:val="right"/>
              <w:ind w:right="109"/>
              <w:spacing w:after="0"/>
              <w:rPr>
                <w:sz w:val="20"/>
                <w:szCs w:val="20"/>
                <w:color w:val="auto"/>
              </w:rPr>
            </w:pPr>
            <w:r>
              <w:rPr>
                <w:rFonts w:ascii="Arial" w:cs="Arial" w:eastAsia="Arial" w:hAnsi="Arial"/>
                <w:sz w:val="14"/>
                <w:szCs w:val="14"/>
                <w:color w:val="auto"/>
              </w:rPr>
              <w:t>(1)</w:t>
            </w: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jc w:val="right"/>
              <w:ind w:right="89"/>
              <w:spacing w:after="0"/>
              <w:rPr>
                <w:sz w:val="20"/>
                <w:szCs w:val="20"/>
                <w:color w:val="auto"/>
              </w:rPr>
            </w:pPr>
            <w:r>
              <w:rPr>
                <w:rFonts w:ascii="Arial" w:cs="Arial" w:eastAsia="Arial" w:hAnsi="Arial"/>
                <w:sz w:val="14"/>
                <w:szCs w:val="14"/>
                <w:color w:val="auto"/>
              </w:rPr>
              <w:t>2</w:t>
            </w: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ind w:right="109"/>
              <w:spacing w:after="0"/>
              <w:rPr>
                <w:sz w:val="20"/>
                <w:szCs w:val="20"/>
                <w:color w:val="auto"/>
              </w:rPr>
            </w:pPr>
            <w:r>
              <w:rPr>
                <w:rFonts w:ascii="Arial" w:cs="Arial" w:eastAsia="Arial" w:hAnsi="Arial"/>
                <w:sz w:val="14"/>
                <w:szCs w:val="14"/>
                <w:color w:val="auto"/>
              </w:rPr>
              <w:t>1</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197"/>
        </w:trPr>
        <w:tc>
          <w:tcPr>
            <w:tcW w:w="3160" w:type="dxa"/>
            <w:vAlign w:val="bottom"/>
          </w:tcPr>
          <w:p>
            <w:pPr>
              <w:ind w:left="80"/>
              <w:spacing w:after="0"/>
              <w:rPr>
                <w:sz w:val="20"/>
                <w:szCs w:val="20"/>
                <w:color w:val="auto"/>
              </w:rPr>
            </w:pPr>
            <w:r>
              <w:rPr>
                <w:rFonts w:ascii="Arial" w:cs="Arial" w:eastAsia="Arial" w:hAnsi="Arial"/>
                <w:sz w:val="14"/>
                <w:szCs w:val="14"/>
                <w:color w:val="auto"/>
              </w:rPr>
              <w:t>Intercompany eliminations</w:t>
            </w:r>
          </w:p>
        </w:tc>
        <w:tc>
          <w:tcPr>
            <w:tcW w:w="6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(22)</w:t>
            </w:r>
          </w:p>
        </w:tc>
        <w:tc>
          <w:tcPr>
            <w:tcW w:w="7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(33)</w:t>
            </w:r>
          </w:p>
        </w:tc>
        <w:tc>
          <w:tcPr>
            <w:tcW w:w="7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(84)</w:t>
            </w:r>
          </w:p>
        </w:tc>
        <w:tc>
          <w:tcPr>
            <w:tcW w:w="7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(70)</w:t>
            </w:r>
          </w:p>
        </w:tc>
        <w:tc>
          <w:tcPr>
            <w:tcW w:w="4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r>
      <w:tr>
        <w:trPr>
          <w:trHeight w:val="212"/>
        </w:trPr>
        <w:tc>
          <w:tcPr>
            <w:tcW w:w="316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Total</w:t>
            </w:r>
          </w:p>
        </w:tc>
        <w:tc>
          <w:tcPr>
            <w:tcW w:w="60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6</w:t>
            </w:r>
          </w:p>
        </w:tc>
        <w:tc>
          <w:tcPr>
            <w:tcW w:w="7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5</w:t>
            </w:r>
          </w:p>
        </w:tc>
        <w:tc>
          <w:tcPr>
            <w:tcW w:w="7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15</w:t>
            </w:r>
          </w:p>
        </w:tc>
        <w:tc>
          <w:tcPr>
            <w:tcW w:w="7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15</w:t>
            </w:r>
          </w:p>
        </w:tc>
        <w:tc>
          <w:tcPr>
            <w:tcW w:w="4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r>
      <w:tr>
        <w:trPr>
          <w:trHeight w:val="217"/>
        </w:trPr>
        <w:tc>
          <w:tcPr>
            <w:tcW w:w="316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170"/>
        </w:trPr>
        <w:tc>
          <w:tcPr>
            <w:tcW w:w="3160" w:type="dxa"/>
            <w:vAlign w:val="bottom"/>
          </w:tcPr>
          <w:p>
            <w:pPr>
              <w:ind w:left="80"/>
              <w:spacing w:after="0"/>
              <w:rPr>
                <w:sz w:val="20"/>
                <w:szCs w:val="20"/>
                <w:color w:val="auto"/>
              </w:rPr>
            </w:pPr>
            <w:r>
              <w:rPr>
                <w:rFonts w:ascii="Arial" w:cs="Arial" w:eastAsia="Arial" w:hAnsi="Arial"/>
                <w:sz w:val="14"/>
                <w:szCs w:val="14"/>
                <w:color w:val="auto"/>
              </w:rPr>
              <w:t>SDG&amp;E</w:t>
            </w:r>
          </w:p>
        </w:tc>
        <w:tc>
          <w:tcPr>
            <w:tcW w:w="60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9"/>
              <w:spacing w:after="0"/>
              <w:rPr>
                <w:sz w:val="20"/>
                <w:szCs w:val="20"/>
                <w:color w:val="auto"/>
              </w:rPr>
            </w:pPr>
            <w:r>
              <w:rPr>
                <w:rFonts w:ascii="Arial" w:cs="Arial" w:eastAsia="Arial" w:hAnsi="Arial"/>
                <w:sz w:val="14"/>
                <w:szCs w:val="14"/>
                <w:color w:val="auto"/>
              </w:rPr>
              <w:t>134</w:t>
            </w:r>
          </w:p>
        </w:tc>
        <w:tc>
          <w:tcPr>
            <w:tcW w:w="780" w:type="dxa"/>
            <w:vAlign w:val="bottom"/>
          </w:tcPr>
          <w:p>
            <w:pPr>
              <w:jc w:val="right"/>
              <w:ind w:right="109"/>
              <w:spacing w:after="0"/>
              <w:rPr>
                <w:sz w:val="20"/>
                <w:szCs w:val="20"/>
                <w:color w:val="auto"/>
              </w:rPr>
            </w:pPr>
            <w:r>
              <w:rPr>
                <w:rFonts w:ascii="Arial" w:cs="Arial" w:eastAsia="Arial" w:hAnsi="Arial"/>
                <w:sz w:val="14"/>
                <w:szCs w:val="14"/>
                <w:color w:val="auto"/>
              </w:rPr>
              <w:t>46 %</w:t>
            </w:r>
          </w:p>
        </w:tc>
        <w:tc>
          <w:tcPr>
            <w:tcW w:w="48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9"/>
              <w:spacing w:after="0"/>
              <w:rPr>
                <w:sz w:val="20"/>
                <w:szCs w:val="20"/>
                <w:color w:val="auto"/>
              </w:rPr>
            </w:pPr>
            <w:r>
              <w:rPr>
                <w:rFonts w:ascii="Arial" w:cs="Arial" w:eastAsia="Arial" w:hAnsi="Arial"/>
                <w:sz w:val="14"/>
                <w:szCs w:val="14"/>
                <w:color w:val="auto"/>
              </w:rPr>
              <w:t>126</w:t>
            </w:r>
          </w:p>
        </w:tc>
        <w:tc>
          <w:tcPr>
            <w:tcW w:w="780" w:type="dxa"/>
            <w:vAlign w:val="bottom"/>
          </w:tcPr>
          <w:p>
            <w:pPr>
              <w:jc w:val="right"/>
              <w:ind w:right="89"/>
              <w:spacing w:after="0"/>
              <w:rPr>
                <w:sz w:val="20"/>
                <w:szCs w:val="20"/>
                <w:color w:val="auto"/>
              </w:rPr>
            </w:pPr>
            <w:r>
              <w:rPr>
                <w:rFonts w:ascii="Arial" w:cs="Arial" w:eastAsia="Arial" w:hAnsi="Arial"/>
                <w:sz w:val="14"/>
                <w:szCs w:val="14"/>
                <w:color w:val="auto"/>
              </w:rPr>
              <w:t>44 %</w:t>
            </w:r>
          </w:p>
        </w:tc>
        <w:tc>
          <w:tcPr>
            <w:tcW w:w="50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9"/>
              <w:spacing w:after="0"/>
              <w:rPr>
                <w:sz w:val="20"/>
                <w:szCs w:val="20"/>
                <w:color w:val="auto"/>
              </w:rPr>
            </w:pPr>
            <w:r>
              <w:rPr>
                <w:rFonts w:ascii="Arial" w:cs="Arial" w:eastAsia="Arial" w:hAnsi="Arial"/>
                <w:sz w:val="14"/>
                <w:szCs w:val="14"/>
                <w:color w:val="auto"/>
              </w:rPr>
              <w:t>395</w:t>
            </w:r>
          </w:p>
        </w:tc>
        <w:tc>
          <w:tcPr>
            <w:tcW w:w="780" w:type="dxa"/>
            <w:vAlign w:val="bottom"/>
          </w:tcPr>
          <w:p>
            <w:pPr>
              <w:jc w:val="right"/>
              <w:ind w:right="89"/>
              <w:spacing w:after="0"/>
              <w:rPr>
                <w:sz w:val="20"/>
                <w:szCs w:val="20"/>
                <w:color w:val="auto"/>
              </w:rPr>
            </w:pPr>
            <w:r>
              <w:rPr>
                <w:rFonts w:ascii="Arial" w:cs="Arial" w:eastAsia="Arial" w:hAnsi="Arial"/>
                <w:sz w:val="14"/>
                <w:szCs w:val="14"/>
                <w:color w:val="auto"/>
              </w:rPr>
              <w:t>46 %</w:t>
            </w:r>
          </w:p>
        </w:tc>
        <w:tc>
          <w:tcPr>
            <w:tcW w:w="50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9"/>
              <w:spacing w:after="0"/>
              <w:rPr>
                <w:sz w:val="20"/>
                <w:szCs w:val="20"/>
                <w:color w:val="auto"/>
              </w:rPr>
            </w:pPr>
            <w:r>
              <w:rPr>
                <w:rFonts w:ascii="Arial" w:cs="Arial" w:eastAsia="Arial" w:hAnsi="Arial"/>
                <w:sz w:val="14"/>
                <w:szCs w:val="14"/>
                <w:color w:val="auto"/>
              </w:rPr>
              <w:t>367</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44 %</w:t>
            </w:r>
          </w:p>
        </w:tc>
      </w:tr>
      <w:tr>
        <w:trPr>
          <w:trHeight w:val="213"/>
        </w:trPr>
        <w:tc>
          <w:tcPr>
            <w:tcW w:w="3160" w:type="dxa"/>
            <w:vAlign w:val="bottom"/>
          </w:tcPr>
          <w:p>
            <w:pPr>
              <w:ind w:left="80"/>
              <w:spacing w:after="0"/>
              <w:rPr>
                <w:sz w:val="20"/>
                <w:szCs w:val="20"/>
                <w:color w:val="auto"/>
              </w:rPr>
            </w:pPr>
            <w:r>
              <w:rPr>
                <w:rFonts w:ascii="Arial" w:cs="Arial" w:eastAsia="Arial" w:hAnsi="Arial"/>
                <w:sz w:val="14"/>
                <w:szCs w:val="14"/>
                <w:color w:val="auto"/>
              </w:rPr>
              <w:t>SoCalGas</w:t>
            </w:r>
          </w:p>
        </w:tc>
        <w:tc>
          <w:tcPr>
            <w:tcW w:w="600" w:type="dxa"/>
            <w:vAlign w:val="bottom"/>
          </w:tcPr>
          <w:p>
            <w:pPr>
              <w:spacing w:after="0"/>
              <w:rPr>
                <w:sz w:val="18"/>
                <w:szCs w:val="18"/>
                <w:color w:val="auto"/>
              </w:rPr>
            </w:pPr>
          </w:p>
        </w:tc>
        <w:tc>
          <w:tcPr>
            <w:tcW w:w="780" w:type="dxa"/>
            <w:vAlign w:val="bottom"/>
          </w:tcPr>
          <w:p>
            <w:pPr>
              <w:jc w:val="right"/>
              <w:ind w:right="109"/>
              <w:spacing w:after="0"/>
              <w:rPr>
                <w:sz w:val="20"/>
                <w:szCs w:val="20"/>
                <w:color w:val="auto"/>
              </w:rPr>
            </w:pPr>
            <w:r>
              <w:rPr>
                <w:rFonts w:ascii="Arial" w:cs="Arial" w:eastAsia="Arial" w:hAnsi="Arial"/>
                <w:sz w:val="14"/>
                <w:szCs w:val="14"/>
                <w:color w:val="auto"/>
              </w:rPr>
              <w:t>109</w:t>
            </w:r>
          </w:p>
        </w:tc>
        <w:tc>
          <w:tcPr>
            <w:tcW w:w="780" w:type="dxa"/>
            <w:vAlign w:val="bottom"/>
          </w:tcPr>
          <w:p>
            <w:pPr>
              <w:jc w:val="right"/>
              <w:ind w:right="289"/>
              <w:spacing w:after="0"/>
              <w:rPr>
                <w:sz w:val="20"/>
                <w:szCs w:val="20"/>
                <w:color w:val="auto"/>
              </w:rPr>
            </w:pPr>
            <w:r>
              <w:rPr>
                <w:rFonts w:ascii="Arial" w:cs="Arial" w:eastAsia="Arial" w:hAnsi="Arial"/>
                <w:sz w:val="14"/>
                <w:szCs w:val="14"/>
                <w:color w:val="auto"/>
              </w:rPr>
              <w:t>37</w:t>
            </w:r>
          </w:p>
        </w:tc>
        <w:tc>
          <w:tcPr>
            <w:tcW w:w="480" w:type="dxa"/>
            <w:vAlign w:val="bottom"/>
          </w:tcPr>
          <w:p>
            <w:pPr>
              <w:spacing w:after="0"/>
              <w:rPr>
                <w:sz w:val="18"/>
                <w:szCs w:val="18"/>
                <w:color w:val="auto"/>
              </w:rPr>
            </w:pPr>
          </w:p>
        </w:tc>
        <w:tc>
          <w:tcPr>
            <w:tcW w:w="780" w:type="dxa"/>
            <w:vAlign w:val="bottom"/>
          </w:tcPr>
          <w:p>
            <w:pPr>
              <w:jc w:val="right"/>
              <w:ind w:right="89"/>
              <w:spacing w:after="0"/>
              <w:rPr>
                <w:sz w:val="20"/>
                <w:szCs w:val="20"/>
                <w:color w:val="auto"/>
              </w:rPr>
            </w:pPr>
            <w:r>
              <w:rPr>
                <w:rFonts w:ascii="Arial" w:cs="Arial" w:eastAsia="Arial" w:hAnsi="Arial"/>
                <w:sz w:val="14"/>
                <w:szCs w:val="14"/>
                <w:color w:val="auto"/>
              </w:rPr>
              <w:t>100</w:t>
            </w:r>
          </w:p>
        </w:tc>
        <w:tc>
          <w:tcPr>
            <w:tcW w:w="780" w:type="dxa"/>
            <w:vAlign w:val="bottom"/>
          </w:tcPr>
          <w:p>
            <w:pPr>
              <w:jc w:val="right"/>
              <w:ind w:right="289"/>
              <w:spacing w:after="0"/>
              <w:rPr>
                <w:sz w:val="20"/>
                <w:szCs w:val="20"/>
                <w:color w:val="auto"/>
              </w:rPr>
            </w:pPr>
            <w:r>
              <w:rPr>
                <w:rFonts w:ascii="Arial" w:cs="Arial" w:eastAsia="Arial" w:hAnsi="Arial"/>
                <w:sz w:val="14"/>
                <w:szCs w:val="14"/>
                <w:color w:val="auto"/>
              </w:rPr>
              <w:t>35</w:t>
            </w:r>
          </w:p>
        </w:tc>
        <w:tc>
          <w:tcPr>
            <w:tcW w:w="500" w:type="dxa"/>
            <w:vAlign w:val="bottom"/>
          </w:tcPr>
          <w:p>
            <w:pPr>
              <w:spacing w:after="0"/>
              <w:rPr>
                <w:sz w:val="18"/>
                <w:szCs w:val="18"/>
                <w:color w:val="auto"/>
              </w:rPr>
            </w:pPr>
          </w:p>
        </w:tc>
        <w:tc>
          <w:tcPr>
            <w:tcW w:w="780" w:type="dxa"/>
            <w:vAlign w:val="bottom"/>
          </w:tcPr>
          <w:p>
            <w:pPr>
              <w:jc w:val="right"/>
              <w:ind w:right="89"/>
              <w:spacing w:after="0"/>
              <w:rPr>
                <w:sz w:val="20"/>
                <w:szCs w:val="20"/>
                <w:color w:val="auto"/>
              </w:rPr>
            </w:pPr>
            <w:r>
              <w:rPr>
                <w:rFonts w:ascii="Arial" w:cs="Arial" w:eastAsia="Arial" w:hAnsi="Arial"/>
                <w:sz w:val="14"/>
                <w:szCs w:val="14"/>
                <w:color w:val="auto"/>
              </w:rPr>
              <w:t>321</w:t>
            </w:r>
          </w:p>
        </w:tc>
        <w:tc>
          <w:tcPr>
            <w:tcW w:w="780" w:type="dxa"/>
            <w:vAlign w:val="bottom"/>
          </w:tcPr>
          <w:p>
            <w:pPr>
              <w:jc w:val="right"/>
              <w:ind w:right="289"/>
              <w:spacing w:after="0"/>
              <w:rPr>
                <w:sz w:val="20"/>
                <w:szCs w:val="20"/>
                <w:color w:val="auto"/>
              </w:rPr>
            </w:pPr>
            <w:r>
              <w:rPr>
                <w:rFonts w:ascii="Arial" w:cs="Arial" w:eastAsia="Arial" w:hAnsi="Arial"/>
                <w:sz w:val="14"/>
                <w:szCs w:val="14"/>
                <w:color w:val="auto"/>
              </w:rPr>
              <w:t>37</w:t>
            </w:r>
          </w:p>
        </w:tc>
        <w:tc>
          <w:tcPr>
            <w:tcW w:w="500" w:type="dxa"/>
            <w:vAlign w:val="bottom"/>
          </w:tcPr>
          <w:p>
            <w:pPr>
              <w:spacing w:after="0"/>
              <w:rPr>
                <w:sz w:val="18"/>
                <w:szCs w:val="18"/>
                <w:color w:val="auto"/>
              </w:rPr>
            </w:pPr>
          </w:p>
        </w:tc>
        <w:tc>
          <w:tcPr>
            <w:tcW w:w="800" w:type="dxa"/>
            <w:vAlign w:val="bottom"/>
          </w:tcPr>
          <w:p>
            <w:pPr>
              <w:jc w:val="right"/>
              <w:ind w:right="109"/>
              <w:spacing w:after="0"/>
              <w:rPr>
                <w:sz w:val="20"/>
                <w:szCs w:val="20"/>
                <w:color w:val="auto"/>
              </w:rPr>
            </w:pPr>
            <w:r>
              <w:rPr>
                <w:rFonts w:ascii="Arial" w:cs="Arial" w:eastAsia="Arial" w:hAnsi="Arial"/>
                <w:sz w:val="14"/>
                <w:szCs w:val="14"/>
                <w:color w:val="auto"/>
              </w:rPr>
              <w:t>280</w:t>
            </w:r>
          </w:p>
        </w:tc>
        <w:tc>
          <w:tcPr>
            <w:tcW w:w="480" w:type="dxa"/>
            <w:vAlign w:val="bottom"/>
          </w:tcPr>
          <w:p>
            <w:pPr>
              <w:jc w:val="right"/>
              <w:spacing w:after="0"/>
              <w:rPr>
                <w:sz w:val="20"/>
                <w:szCs w:val="20"/>
                <w:color w:val="auto"/>
              </w:rPr>
            </w:pPr>
            <w:r>
              <w:rPr>
                <w:rFonts w:ascii="Arial" w:cs="Arial" w:eastAsia="Arial" w:hAnsi="Arial"/>
                <w:sz w:val="14"/>
                <w:szCs w:val="14"/>
                <w:color w:val="auto"/>
              </w:rPr>
              <w:t>34</w:t>
            </w:r>
          </w:p>
        </w:tc>
        <w:tc>
          <w:tcPr>
            <w:tcW w:w="220" w:type="dxa"/>
            <w:vAlign w:val="bottom"/>
          </w:tcPr>
          <w:p>
            <w:pPr>
              <w:spacing w:after="0"/>
              <w:rPr>
                <w:sz w:val="18"/>
                <w:szCs w:val="18"/>
                <w:color w:val="auto"/>
              </w:rPr>
            </w:pPr>
          </w:p>
        </w:tc>
      </w:tr>
      <w:tr>
        <w:trPr>
          <w:trHeight w:val="213"/>
        </w:trPr>
        <w:tc>
          <w:tcPr>
            <w:tcW w:w="3160" w:type="dxa"/>
            <w:vAlign w:val="bottom"/>
          </w:tcPr>
          <w:p>
            <w:pPr>
              <w:ind w:left="80"/>
              <w:spacing w:after="0"/>
              <w:rPr>
                <w:sz w:val="20"/>
                <w:szCs w:val="20"/>
                <w:color w:val="auto"/>
              </w:rPr>
            </w:pPr>
            <w:r>
              <w:rPr>
                <w:rFonts w:ascii="Arial" w:cs="Arial" w:eastAsia="Arial" w:hAnsi="Arial"/>
                <w:sz w:val="14"/>
                <w:szCs w:val="14"/>
                <w:color w:val="auto"/>
              </w:rPr>
              <w:t>Sempra South American Utilities</w:t>
            </w:r>
          </w:p>
        </w:tc>
        <w:tc>
          <w:tcPr>
            <w:tcW w:w="600" w:type="dxa"/>
            <w:vAlign w:val="bottom"/>
          </w:tcPr>
          <w:p>
            <w:pPr>
              <w:spacing w:after="0"/>
              <w:rPr>
                <w:sz w:val="18"/>
                <w:szCs w:val="18"/>
                <w:color w:val="auto"/>
              </w:rPr>
            </w:pPr>
          </w:p>
        </w:tc>
        <w:tc>
          <w:tcPr>
            <w:tcW w:w="780" w:type="dxa"/>
            <w:vAlign w:val="bottom"/>
          </w:tcPr>
          <w:p>
            <w:pPr>
              <w:jc w:val="right"/>
              <w:ind w:right="109"/>
              <w:spacing w:after="0"/>
              <w:rPr>
                <w:sz w:val="20"/>
                <w:szCs w:val="20"/>
                <w:color w:val="auto"/>
              </w:rPr>
            </w:pPr>
            <w:r>
              <w:rPr>
                <w:rFonts w:ascii="Arial" w:cs="Arial" w:eastAsia="Arial" w:hAnsi="Arial"/>
                <w:sz w:val="14"/>
                <w:szCs w:val="14"/>
                <w:color w:val="auto"/>
              </w:rPr>
              <w:t>14</w:t>
            </w:r>
          </w:p>
        </w:tc>
        <w:tc>
          <w:tcPr>
            <w:tcW w:w="780" w:type="dxa"/>
            <w:vAlign w:val="bottom"/>
          </w:tcPr>
          <w:p>
            <w:pPr>
              <w:jc w:val="right"/>
              <w:ind w:right="289"/>
              <w:spacing w:after="0"/>
              <w:rPr>
                <w:sz w:val="20"/>
                <w:szCs w:val="20"/>
                <w:color w:val="auto"/>
              </w:rPr>
            </w:pPr>
            <w:r>
              <w:rPr>
                <w:rFonts w:ascii="Arial" w:cs="Arial" w:eastAsia="Arial" w:hAnsi="Arial"/>
                <w:sz w:val="14"/>
                <w:szCs w:val="14"/>
                <w:color w:val="auto"/>
              </w:rPr>
              <w:t>5</w:t>
            </w:r>
          </w:p>
        </w:tc>
        <w:tc>
          <w:tcPr>
            <w:tcW w:w="480" w:type="dxa"/>
            <w:vAlign w:val="bottom"/>
          </w:tcPr>
          <w:p>
            <w:pPr>
              <w:spacing w:after="0"/>
              <w:rPr>
                <w:sz w:val="18"/>
                <w:szCs w:val="18"/>
                <w:color w:val="auto"/>
              </w:rPr>
            </w:pPr>
          </w:p>
        </w:tc>
        <w:tc>
          <w:tcPr>
            <w:tcW w:w="780" w:type="dxa"/>
            <w:vAlign w:val="bottom"/>
          </w:tcPr>
          <w:p>
            <w:pPr>
              <w:jc w:val="right"/>
              <w:ind w:right="89"/>
              <w:spacing w:after="0"/>
              <w:rPr>
                <w:sz w:val="20"/>
                <w:szCs w:val="20"/>
                <w:color w:val="auto"/>
              </w:rPr>
            </w:pPr>
            <w:r>
              <w:rPr>
                <w:rFonts w:ascii="Arial" w:cs="Arial" w:eastAsia="Arial" w:hAnsi="Arial"/>
                <w:sz w:val="14"/>
                <w:szCs w:val="14"/>
                <w:color w:val="auto"/>
              </w:rPr>
              <w:t>14</w:t>
            </w:r>
          </w:p>
        </w:tc>
        <w:tc>
          <w:tcPr>
            <w:tcW w:w="780" w:type="dxa"/>
            <w:vAlign w:val="bottom"/>
          </w:tcPr>
          <w:p>
            <w:pPr>
              <w:jc w:val="right"/>
              <w:ind w:right="289"/>
              <w:spacing w:after="0"/>
              <w:rPr>
                <w:sz w:val="20"/>
                <w:szCs w:val="20"/>
                <w:color w:val="auto"/>
              </w:rPr>
            </w:pPr>
            <w:r>
              <w:rPr>
                <w:rFonts w:ascii="Arial" w:cs="Arial" w:eastAsia="Arial" w:hAnsi="Arial"/>
                <w:sz w:val="14"/>
                <w:szCs w:val="14"/>
                <w:color w:val="auto"/>
              </w:rPr>
              <w:t>5</w:t>
            </w:r>
          </w:p>
        </w:tc>
        <w:tc>
          <w:tcPr>
            <w:tcW w:w="500" w:type="dxa"/>
            <w:vAlign w:val="bottom"/>
          </w:tcPr>
          <w:p>
            <w:pPr>
              <w:spacing w:after="0"/>
              <w:rPr>
                <w:sz w:val="18"/>
                <w:szCs w:val="18"/>
                <w:color w:val="auto"/>
              </w:rPr>
            </w:pPr>
          </w:p>
        </w:tc>
        <w:tc>
          <w:tcPr>
            <w:tcW w:w="780" w:type="dxa"/>
            <w:vAlign w:val="bottom"/>
          </w:tcPr>
          <w:p>
            <w:pPr>
              <w:jc w:val="right"/>
              <w:ind w:right="89"/>
              <w:spacing w:after="0"/>
              <w:rPr>
                <w:sz w:val="20"/>
                <w:szCs w:val="20"/>
                <w:color w:val="auto"/>
              </w:rPr>
            </w:pPr>
            <w:r>
              <w:rPr>
                <w:rFonts w:ascii="Arial" w:cs="Arial" w:eastAsia="Arial" w:hAnsi="Arial"/>
                <w:sz w:val="14"/>
                <w:szCs w:val="14"/>
                <w:color w:val="auto"/>
              </w:rPr>
              <w:t>41</w:t>
            </w:r>
          </w:p>
        </w:tc>
        <w:tc>
          <w:tcPr>
            <w:tcW w:w="780" w:type="dxa"/>
            <w:vAlign w:val="bottom"/>
          </w:tcPr>
          <w:p>
            <w:pPr>
              <w:jc w:val="right"/>
              <w:ind w:right="289"/>
              <w:spacing w:after="0"/>
              <w:rPr>
                <w:sz w:val="20"/>
                <w:szCs w:val="20"/>
                <w:color w:val="auto"/>
              </w:rPr>
            </w:pPr>
            <w:r>
              <w:rPr>
                <w:rFonts w:ascii="Arial" w:cs="Arial" w:eastAsia="Arial" w:hAnsi="Arial"/>
                <w:sz w:val="14"/>
                <w:szCs w:val="14"/>
                <w:color w:val="auto"/>
              </w:rPr>
              <w:t>5</w:t>
            </w:r>
          </w:p>
        </w:tc>
        <w:tc>
          <w:tcPr>
            <w:tcW w:w="500" w:type="dxa"/>
            <w:vAlign w:val="bottom"/>
          </w:tcPr>
          <w:p>
            <w:pPr>
              <w:spacing w:after="0"/>
              <w:rPr>
                <w:sz w:val="18"/>
                <w:szCs w:val="18"/>
                <w:color w:val="auto"/>
              </w:rPr>
            </w:pPr>
          </w:p>
        </w:tc>
        <w:tc>
          <w:tcPr>
            <w:tcW w:w="800" w:type="dxa"/>
            <w:vAlign w:val="bottom"/>
          </w:tcPr>
          <w:p>
            <w:pPr>
              <w:jc w:val="right"/>
              <w:ind w:right="109"/>
              <w:spacing w:after="0"/>
              <w:rPr>
                <w:sz w:val="20"/>
                <w:szCs w:val="20"/>
                <w:color w:val="auto"/>
              </w:rPr>
            </w:pPr>
            <w:r>
              <w:rPr>
                <w:rFonts w:ascii="Arial" w:cs="Arial" w:eastAsia="Arial" w:hAnsi="Arial"/>
                <w:sz w:val="14"/>
                <w:szCs w:val="14"/>
                <w:color w:val="auto"/>
              </w:rPr>
              <w:t>44</w:t>
            </w:r>
          </w:p>
        </w:tc>
        <w:tc>
          <w:tcPr>
            <w:tcW w:w="480" w:type="dxa"/>
            <w:vAlign w:val="bottom"/>
          </w:tcPr>
          <w:p>
            <w:pPr>
              <w:jc w:val="right"/>
              <w:spacing w:after="0"/>
              <w:rPr>
                <w:sz w:val="20"/>
                <w:szCs w:val="20"/>
                <w:color w:val="auto"/>
              </w:rPr>
            </w:pPr>
            <w:r>
              <w:rPr>
                <w:rFonts w:ascii="Arial" w:cs="Arial" w:eastAsia="Arial" w:hAnsi="Arial"/>
                <w:sz w:val="14"/>
                <w:szCs w:val="14"/>
                <w:color w:val="auto"/>
              </w:rPr>
              <w:t>5</w:t>
            </w:r>
          </w:p>
        </w:tc>
        <w:tc>
          <w:tcPr>
            <w:tcW w:w="220" w:type="dxa"/>
            <w:vAlign w:val="bottom"/>
          </w:tcPr>
          <w:p>
            <w:pPr>
              <w:spacing w:after="0"/>
              <w:rPr>
                <w:sz w:val="18"/>
                <w:szCs w:val="18"/>
                <w:color w:val="auto"/>
              </w:rPr>
            </w:pPr>
          </w:p>
        </w:tc>
      </w:tr>
      <w:tr>
        <w:trPr>
          <w:trHeight w:val="213"/>
        </w:trPr>
        <w:tc>
          <w:tcPr>
            <w:tcW w:w="3160" w:type="dxa"/>
            <w:vAlign w:val="bottom"/>
          </w:tcPr>
          <w:p>
            <w:pPr>
              <w:ind w:left="80"/>
              <w:spacing w:after="0"/>
              <w:rPr>
                <w:sz w:val="20"/>
                <w:szCs w:val="20"/>
                <w:color w:val="auto"/>
              </w:rPr>
            </w:pPr>
            <w:r>
              <w:rPr>
                <w:rFonts w:ascii="Arial" w:cs="Arial" w:eastAsia="Arial" w:hAnsi="Arial"/>
                <w:sz w:val="14"/>
                <w:szCs w:val="14"/>
                <w:color w:val="auto"/>
              </w:rPr>
              <w:t>Sempra Mexico</w:t>
            </w:r>
          </w:p>
        </w:tc>
        <w:tc>
          <w:tcPr>
            <w:tcW w:w="600" w:type="dxa"/>
            <w:vAlign w:val="bottom"/>
          </w:tcPr>
          <w:p>
            <w:pPr>
              <w:spacing w:after="0"/>
              <w:rPr>
                <w:sz w:val="18"/>
                <w:szCs w:val="18"/>
                <w:color w:val="auto"/>
              </w:rPr>
            </w:pPr>
          </w:p>
        </w:tc>
        <w:tc>
          <w:tcPr>
            <w:tcW w:w="780" w:type="dxa"/>
            <w:vAlign w:val="bottom"/>
          </w:tcPr>
          <w:p>
            <w:pPr>
              <w:jc w:val="right"/>
              <w:ind w:right="109"/>
              <w:spacing w:after="0"/>
              <w:rPr>
                <w:sz w:val="20"/>
                <w:szCs w:val="20"/>
                <w:color w:val="auto"/>
              </w:rPr>
            </w:pPr>
            <w:r>
              <w:rPr>
                <w:rFonts w:ascii="Arial" w:cs="Arial" w:eastAsia="Arial" w:hAnsi="Arial"/>
                <w:sz w:val="14"/>
                <w:szCs w:val="14"/>
                <w:color w:val="auto"/>
              </w:rPr>
              <w:t>16</w:t>
            </w:r>
          </w:p>
        </w:tc>
        <w:tc>
          <w:tcPr>
            <w:tcW w:w="780" w:type="dxa"/>
            <w:vAlign w:val="bottom"/>
          </w:tcPr>
          <w:p>
            <w:pPr>
              <w:jc w:val="right"/>
              <w:ind w:right="289"/>
              <w:spacing w:after="0"/>
              <w:rPr>
                <w:sz w:val="20"/>
                <w:szCs w:val="20"/>
                <w:color w:val="auto"/>
              </w:rPr>
            </w:pPr>
            <w:r>
              <w:rPr>
                <w:rFonts w:ascii="Arial" w:cs="Arial" w:eastAsia="Arial" w:hAnsi="Arial"/>
                <w:sz w:val="14"/>
                <w:szCs w:val="14"/>
                <w:color w:val="auto"/>
              </w:rPr>
              <w:t>6</w:t>
            </w:r>
          </w:p>
        </w:tc>
        <w:tc>
          <w:tcPr>
            <w:tcW w:w="480" w:type="dxa"/>
            <w:vAlign w:val="bottom"/>
          </w:tcPr>
          <w:p>
            <w:pPr>
              <w:spacing w:after="0"/>
              <w:rPr>
                <w:sz w:val="18"/>
                <w:szCs w:val="18"/>
                <w:color w:val="auto"/>
              </w:rPr>
            </w:pPr>
          </w:p>
        </w:tc>
        <w:tc>
          <w:tcPr>
            <w:tcW w:w="780" w:type="dxa"/>
            <w:vAlign w:val="bottom"/>
          </w:tcPr>
          <w:p>
            <w:pPr>
              <w:jc w:val="right"/>
              <w:ind w:right="89"/>
              <w:spacing w:after="0"/>
              <w:rPr>
                <w:sz w:val="20"/>
                <w:szCs w:val="20"/>
                <w:color w:val="auto"/>
              </w:rPr>
            </w:pPr>
            <w:r>
              <w:rPr>
                <w:rFonts w:ascii="Arial" w:cs="Arial" w:eastAsia="Arial" w:hAnsi="Arial"/>
                <w:sz w:val="14"/>
                <w:szCs w:val="14"/>
                <w:color w:val="auto"/>
              </w:rPr>
              <w:t>16</w:t>
            </w:r>
          </w:p>
        </w:tc>
        <w:tc>
          <w:tcPr>
            <w:tcW w:w="780" w:type="dxa"/>
            <w:vAlign w:val="bottom"/>
          </w:tcPr>
          <w:p>
            <w:pPr>
              <w:jc w:val="right"/>
              <w:ind w:right="289"/>
              <w:spacing w:after="0"/>
              <w:rPr>
                <w:sz w:val="20"/>
                <w:szCs w:val="20"/>
                <w:color w:val="auto"/>
              </w:rPr>
            </w:pPr>
            <w:r>
              <w:rPr>
                <w:rFonts w:ascii="Arial" w:cs="Arial" w:eastAsia="Arial" w:hAnsi="Arial"/>
                <w:sz w:val="14"/>
                <w:szCs w:val="14"/>
                <w:color w:val="auto"/>
              </w:rPr>
              <w:t>5</w:t>
            </w:r>
          </w:p>
        </w:tc>
        <w:tc>
          <w:tcPr>
            <w:tcW w:w="500" w:type="dxa"/>
            <w:vAlign w:val="bottom"/>
          </w:tcPr>
          <w:p>
            <w:pPr>
              <w:spacing w:after="0"/>
              <w:rPr>
                <w:sz w:val="18"/>
                <w:szCs w:val="18"/>
                <w:color w:val="auto"/>
              </w:rPr>
            </w:pPr>
          </w:p>
        </w:tc>
        <w:tc>
          <w:tcPr>
            <w:tcW w:w="780" w:type="dxa"/>
            <w:vAlign w:val="bottom"/>
          </w:tcPr>
          <w:p>
            <w:pPr>
              <w:jc w:val="right"/>
              <w:ind w:right="89"/>
              <w:spacing w:after="0"/>
              <w:rPr>
                <w:sz w:val="20"/>
                <w:szCs w:val="20"/>
                <w:color w:val="auto"/>
              </w:rPr>
            </w:pPr>
            <w:r>
              <w:rPr>
                <w:rFonts w:ascii="Arial" w:cs="Arial" w:eastAsia="Arial" w:hAnsi="Arial"/>
                <w:sz w:val="14"/>
                <w:szCs w:val="14"/>
                <w:color w:val="auto"/>
              </w:rPr>
              <w:t>47</w:t>
            </w:r>
          </w:p>
        </w:tc>
        <w:tc>
          <w:tcPr>
            <w:tcW w:w="780" w:type="dxa"/>
            <w:vAlign w:val="bottom"/>
          </w:tcPr>
          <w:p>
            <w:pPr>
              <w:jc w:val="right"/>
              <w:ind w:right="289"/>
              <w:spacing w:after="0"/>
              <w:rPr>
                <w:sz w:val="20"/>
                <w:szCs w:val="20"/>
                <w:color w:val="auto"/>
              </w:rPr>
            </w:pPr>
            <w:r>
              <w:rPr>
                <w:rFonts w:ascii="Arial" w:cs="Arial" w:eastAsia="Arial" w:hAnsi="Arial"/>
                <w:sz w:val="14"/>
                <w:szCs w:val="14"/>
                <w:color w:val="auto"/>
              </w:rPr>
              <w:t>5</w:t>
            </w:r>
          </w:p>
        </w:tc>
        <w:tc>
          <w:tcPr>
            <w:tcW w:w="500" w:type="dxa"/>
            <w:vAlign w:val="bottom"/>
          </w:tcPr>
          <w:p>
            <w:pPr>
              <w:spacing w:after="0"/>
              <w:rPr>
                <w:sz w:val="18"/>
                <w:szCs w:val="18"/>
                <w:color w:val="auto"/>
              </w:rPr>
            </w:pPr>
          </w:p>
        </w:tc>
        <w:tc>
          <w:tcPr>
            <w:tcW w:w="800" w:type="dxa"/>
            <w:vAlign w:val="bottom"/>
          </w:tcPr>
          <w:p>
            <w:pPr>
              <w:jc w:val="right"/>
              <w:ind w:right="109"/>
              <w:spacing w:after="0"/>
              <w:rPr>
                <w:sz w:val="20"/>
                <w:szCs w:val="20"/>
                <w:color w:val="auto"/>
              </w:rPr>
            </w:pPr>
            <w:r>
              <w:rPr>
                <w:rFonts w:ascii="Arial" w:cs="Arial" w:eastAsia="Arial" w:hAnsi="Arial"/>
                <w:sz w:val="14"/>
                <w:szCs w:val="14"/>
                <w:color w:val="auto"/>
              </w:rPr>
              <w:t>47</w:t>
            </w:r>
          </w:p>
        </w:tc>
        <w:tc>
          <w:tcPr>
            <w:tcW w:w="480" w:type="dxa"/>
            <w:vAlign w:val="bottom"/>
          </w:tcPr>
          <w:p>
            <w:pPr>
              <w:jc w:val="right"/>
              <w:spacing w:after="0"/>
              <w:rPr>
                <w:sz w:val="20"/>
                <w:szCs w:val="20"/>
                <w:color w:val="auto"/>
              </w:rPr>
            </w:pPr>
            <w:r>
              <w:rPr>
                <w:rFonts w:ascii="Arial" w:cs="Arial" w:eastAsia="Arial" w:hAnsi="Arial"/>
                <w:sz w:val="14"/>
                <w:szCs w:val="14"/>
                <w:color w:val="auto"/>
              </w:rPr>
              <w:t>6</w:t>
            </w:r>
          </w:p>
        </w:tc>
        <w:tc>
          <w:tcPr>
            <w:tcW w:w="220" w:type="dxa"/>
            <w:vAlign w:val="bottom"/>
          </w:tcPr>
          <w:p>
            <w:pPr>
              <w:spacing w:after="0"/>
              <w:rPr>
                <w:sz w:val="18"/>
                <w:szCs w:val="18"/>
                <w:color w:val="auto"/>
              </w:rPr>
            </w:pPr>
          </w:p>
        </w:tc>
      </w:tr>
    </w:tbl>
    <w:p>
      <w:pPr>
        <w:sectPr>
          <w:pgSz w:w="11900" w:h="16838" w:orient="portrait"/>
          <w:cols w:equalWidth="0" w:num="1">
            <w:col w:w="11420"/>
          </w:cols>
          <w:pgMar w:left="240" w:top="1000" w:right="239" w:bottom="0" w:gutter="0" w:footer="0" w:header="0"/>
        </w:sectPr>
      </w:pPr>
    </w:p>
    <w:bookmarkStart w:id="52" w:name="page53"/>
    <w:bookmarkEnd w:id="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60" w:type="dxa"/>
            <w:vAlign w:val="bottom"/>
          </w:tcPr>
          <w:p>
            <w:pPr>
              <w:ind w:left="80"/>
              <w:spacing w:after="0"/>
              <w:rPr>
                <w:sz w:val="20"/>
                <w:szCs w:val="20"/>
                <w:color w:val="auto"/>
              </w:rPr>
            </w:pPr>
            <w:r>
              <w:rPr>
                <w:rFonts w:ascii="Arial" w:cs="Arial" w:eastAsia="Arial" w:hAnsi="Arial"/>
                <w:sz w:val="14"/>
                <w:szCs w:val="14"/>
                <w:color w:val="auto"/>
              </w:rPr>
              <w:t>Sempra Renewables</w:t>
            </w:r>
          </w:p>
        </w:tc>
        <w:tc>
          <w:tcPr>
            <w:tcW w:w="660" w:type="dxa"/>
            <w:vAlign w:val="bottom"/>
          </w:tcPr>
          <w:p>
            <w:pPr>
              <w:spacing w:after="0"/>
              <w:rPr>
                <w:sz w:val="14"/>
                <w:szCs w:val="14"/>
                <w:color w:val="auto"/>
              </w:rPr>
            </w:pPr>
          </w:p>
        </w:tc>
        <w:tc>
          <w:tcPr>
            <w:tcW w:w="720" w:type="dxa"/>
            <w:vAlign w:val="bottom"/>
          </w:tcPr>
          <w:p>
            <w:pPr>
              <w:jc w:val="right"/>
              <w:ind w:right="109"/>
              <w:spacing w:after="0"/>
              <w:rPr>
                <w:sz w:val="20"/>
                <w:szCs w:val="20"/>
                <w:color w:val="auto"/>
              </w:rPr>
            </w:pPr>
            <w:r>
              <w:rPr>
                <w:rFonts w:ascii="Arial" w:cs="Arial" w:eastAsia="Arial" w:hAnsi="Arial"/>
                <w:sz w:val="14"/>
                <w:szCs w:val="14"/>
                <w:color w:val="auto"/>
              </w:rPr>
              <w:t>1</w:t>
            </w:r>
          </w:p>
        </w:tc>
        <w:tc>
          <w:tcPr>
            <w:tcW w:w="780" w:type="dxa"/>
            <w:vAlign w:val="bottom"/>
          </w:tcPr>
          <w:p>
            <w:pPr>
              <w:jc w:val="right"/>
              <w:ind w:right="409"/>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4"/>
                <w:szCs w:val="14"/>
                <w:color w:val="auto"/>
              </w:rPr>
            </w:pPr>
          </w:p>
        </w:tc>
        <w:tc>
          <w:tcPr>
            <w:tcW w:w="740" w:type="dxa"/>
            <w:vAlign w:val="bottom"/>
          </w:tcPr>
          <w:p>
            <w:pPr>
              <w:jc w:val="right"/>
              <w:ind w:right="109"/>
              <w:spacing w:after="0"/>
              <w:rPr>
                <w:sz w:val="20"/>
                <w:szCs w:val="20"/>
                <w:color w:val="auto"/>
              </w:rPr>
            </w:pPr>
            <w:r>
              <w:rPr>
                <w:rFonts w:ascii="Arial" w:cs="Arial" w:eastAsia="Arial" w:hAnsi="Arial"/>
                <w:sz w:val="14"/>
                <w:szCs w:val="14"/>
                <w:color w:val="auto"/>
              </w:rPr>
              <w:t>5</w:t>
            </w:r>
          </w:p>
        </w:tc>
        <w:tc>
          <w:tcPr>
            <w:tcW w:w="760" w:type="dxa"/>
            <w:vAlign w:val="bottom"/>
          </w:tcPr>
          <w:p>
            <w:pPr>
              <w:jc w:val="right"/>
              <w:ind w:right="289"/>
              <w:spacing w:after="0"/>
              <w:rPr>
                <w:sz w:val="20"/>
                <w:szCs w:val="20"/>
                <w:color w:val="auto"/>
              </w:rPr>
            </w:pPr>
            <w:r>
              <w:rPr>
                <w:rFonts w:ascii="Arial" w:cs="Arial" w:eastAsia="Arial" w:hAnsi="Arial"/>
                <w:sz w:val="14"/>
                <w:szCs w:val="14"/>
                <w:color w:val="auto"/>
              </w:rPr>
              <w:t>2</w:t>
            </w:r>
          </w:p>
        </w:tc>
        <w:tc>
          <w:tcPr>
            <w:tcW w:w="560" w:type="dxa"/>
            <w:vAlign w:val="bottom"/>
          </w:tcPr>
          <w:p>
            <w:pPr>
              <w:spacing w:after="0"/>
              <w:rPr>
                <w:sz w:val="14"/>
                <w:szCs w:val="14"/>
                <w:color w:val="auto"/>
              </w:rPr>
            </w:pPr>
          </w:p>
        </w:tc>
        <w:tc>
          <w:tcPr>
            <w:tcW w:w="720" w:type="dxa"/>
            <w:vAlign w:val="bottom"/>
          </w:tcPr>
          <w:p>
            <w:pPr>
              <w:jc w:val="right"/>
              <w:ind w:right="89"/>
              <w:spacing w:after="0"/>
              <w:rPr>
                <w:sz w:val="20"/>
                <w:szCs w:val="20"/>
                <w:color w:val="auto"/>
              </w:rPr>
            </w:pPr>
            <w:r>
              <w:rPr>
                <w:rFonts w:ascii="Arial" w:cs="Arial" w:eastAsia="Arial" w:hAnsi="Arial"/>
                <w:sz w:val="14"/>
                <w:szCs w:val="14"/>
                <w:color w:val="auto"/>
              </w:rPr>
              <w:t>4</w:t>
            </w:r>
          </w:p>
        </w:tc>
        <w:tc>
          <w:tcPr>
            <w:tcW w:w="780" w:type="dxa"/>
            <w:vAlign w:val="bottom"/>
          </w:tcPr>
          <w:p>
            <w:pPr>
              <w:jc w:val="right"/>
              <w:ind w:right="389"/>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4"/>
                <w:szCs w:val="14"/>
                <w:color w:val="auto"/>
              </w:rPr>
            </w:pPr>
          </w:p>
        </w:tc>
        <w:tc>
          <w:tcPr>
            <w:tcW w:w="760" w:type="dxa"/>
            <w:vAlign w:val="bottom"/>
          </w:tcPr>
          <w:p>
            <w:pPr>
              <w:jc w:val="right"/>
              <w:ind w:right="129"/>
              <w:spacing w:after="0"/>
              <w:rPr>
                <w:sz w:val="20"/>
                <w:szCs w:val="20"/>
                <w:color w:val="auto"/>
              </w:rPr>
            </w:pPr>
            <w:r>
              <w:rPr>
                <w:rFonts w:ascii="Arial" w:cs="Arial" w:eastAsia="Arial" w:hAnsi="Arial"/>
                <w:sz w:val="14"/>
                <w:szCs w:val="14"/>
                <w:color w:val="auto"/>
              </w:rPr>
              <w:t>20</w:t>
            </w:r>
          </w:p>
        </w:tc>
        <w:tc>
          <w:tcPr>
            <w:tcW w:w="460" w:type="dxa"/>
            <w:vAlign w:val="bottom"/>
          </w:tcPr>
          <w:p>
            <w:pPr>
              <w:jc w:val="right"/>
              <w:spacing w:after="0"/>
              <w:rPr>
                <w:sz w:val="20"/>
                <w:szCs w:val="20"/>
                <w:color w:val="auto"/>
              </w:rPr>
            </w:pPr>
            <w:r>
              <w:rPr>
                <w:rFonts w:ascii="Arial" w:cs="Arial" w:eastAsia="Arial" w:hAnsi="Arial"/>
                <w:sz w:val="14"/>
                <w:szCs w:val="14"/>
                <w:color w:val="auto"/>
              </w:rPr>
              <w:t>3</w:t>
            </w:r>
          </w:p>
        </w:tc>
        <w:tc>
          <w:tcPr>
            <w:tcW w:w="220" w:type="dxa"/>
            <w:vAlign w:val="bottom"/>
          </w:tcPr>
          <w:p>
            <w:pPr>
              <w:spacing w:after="0"/>
              <w:rPr>
                <w:sz w:val="14"/>
                <w:szCs w:val="14"/>
                <w:color w:val="auto"/>
              </w:rPr>
            </w:pPr>
          </w:p>
        </w:tc>
      </w:tr>
      <w:tr>
        <w:trPr>
          <w:trHeight w:val="266"/>
        </w:trPr>
        <w:tc>
          <w:tcPr>
            <w:tcW w:w="3160" w:type="dxa"/>
            <w:vAlign w:val="bottom"/>
          </w:tcPr>
          <w:p>
            <w:pPr>
              <w:ind w:left="80"/>
              <w:spacing w:after="0"/>
              <w:rPr>
                <w:sz w:val="20"/>
                <w:szCs w:val="20"/>
                <w:color w:val="auto"/>
              </w:rPr>
            </w:pPr>
            <w:r>
              <w:rPr>
                <w:rFonts w:ascii="Arial" w:cs="Arial" w:eastAsia="Arial" w:hAnsi="Arial"/>
                <w:sz w:val="14"/>
                <w:szCs w:val="14"/>
                <w:color w:val="auto"/>
              </w:rPr>
              <w:t>Sempra Natural Gas</w:t>
            </w:r>
          </w:p>
        </w:tc>
        <w:tc>
          <w:tcPr>
            <w:tcW w:w="660" w:type="dxa"/>
            <w:vAlign w:val="bottom"/>
          </w:tcPr>
          <w:p>
            <w:pPr>
              <w:spacing w:after="0"/>
              <w:rPr>
                <w:sz w:val="23"/>
                <w:szCs w:val="23"/>
                <w:color w:val="auto"/>
              </w:rPr>
            </w:pPr>
          </w:p>
        </w:tc>
        <w:tc>
          <w:tcPr>
            <w:tcW w:w="720" w:type="dxa"/>
            <w:vAlign w:val="bottom"/>
          </w:tcPr>
          <w:p>
            <w:pPr>
              <w:jc w:val="right"/>
              <w:ind w:right="109"/>
              <w:spacing w:after="0"/>
              <w:rPr>
                <w:sz w:val="20"/>
                <w:szCs w:val="20"/>
                <w:color w:val="auto"/>
              </w:rPr>
            </w:pPr>
            <w:r>
              <w:rPr>
                <w:rFonts w:ascii="Arial" w:cs="Arial" w:eastAsia="Arial" w:hAnsi="Arial"/>
                <w:sz w:val="14"/>
                <w:szCs w:val="14"/>
                <w:color w:val="auto"/>
              </w:rPr>
              <w:t>17</w:t>
            </w:r>
          </w:p>
        </w:tc>
        <w:tc>
          <w:tcPr>
            <w:tcW w:w="780" w:type="dxa"/>
            <w:vAlign w:val="bottom"/>
          </w:tcPr>
          <w:p>
            <w:pPr>
              <w:jc w:val="right"/>
              <w:ind w:right="289"/>
              <w:spacing w:after="0"/>
              <w:rPr>
                <w:sz w:val="20"/>
                <w:szCs w:val="20"/>
                <w:color w:val="auto"/>
              </w:rPr>
            </w:pPr>
            <w:r>
              <w:rPr>
                <w:rFonts w:ascii="Arial" w:cs="Arial" w:eastAsia="Arial" w:hAnsi="Arial"/>
                <w:sz w:val="14"/>
                <w:szCs w:val="14"/>
                <w:color w:val="auto"/>
              </w:rPr>
              <w:t>6</w:t>
            </w:r>
          </w:p>
        </w:tc>
        <w:tc>
          <w:tcPr>
            <w:tcW w:w="540" w:type="dxa"/>
            <w:vAlign w:val="bottom"/>
          </w:tcPr>
          <w:p>
            <w:pPr>
              <w:spacing w:after="0"/>
              <w:rPr>
                <w:sz w:val="23"/>
                <w:szCs w:val="23"/>
                <w:color w:val="auto"/>
              </w:rPr>
            </w:pPr>
          </w:p>
        </w:tc>
        <w:tc>
          <w:tcPr>
            <w:tcW w:w="740" w:type="dxa"/>
            <w:vAlign w:val="bottom"/>
          </w:tcPr>
          <w:p>
            <w:pPr>
              <w:jc w:val="right"/>
              <w:ind w:right="109"/>
              <w:spacing w:after="0"/>
              <w:rPr>
                <w:sz w:val="20"/>
                <w:szCs w:val="20"/>
                <w:color w:val="auto"/>
              </w:rPr>
            </w:pPr>
            <w:r>
              <w:rPr>
                <w:rFonts w:ascii="Arial" w:cs="Arial" w:eastAsia="Arial" w:hAnsi="Arial"/>
                <w:sz w:val="14"/>
                <w:szCs w:val="14"/>
                <w:color w:val="auto"/>
              </w:rPr>
              <w:t>20</w:t>
            </w:r>
          </w:p>
        </w:tc>
        <w:tc>
          <w:tcPr>
            <w:tcW w:w="760" w:type="dxa"/>
            <w:vAlign w:val="bottom"/>
          </w:tcPr>
          <w:p>
            <w:pPr>
              <w:jc w:val="right"/>
              <w:ind w:right="289"/>
              <w:spacing w:after="0"/>
              <w:rPr>
                <w:sz w:val="20"/>
                <w:szCs w:val="20"/>
                <w:color w:val="auto"/>
              </w:rPr>
            </w:pPr>
            <w:r>
              <w:rPr>
                <w:rFonts w:ascii="Arial" w:cs="Arial" w:eastAsia="Arial" w:hAnsi="Arial"/>
                <w:sz w:val="14"/>
                <w:szCs w:val="14"/>
                <w:color w:val="auto"/>
              </w:rPr>
              <w:t>7</w:t>
            </w:r>
          </w:p>
        </w:tc>
        <w:tc>
          <w:tcPr>
            <w:tcW w:w="560" w:type="dxa"/>
            <w:vAlign w:val="bottom"/>
          </w:tcPr>
          <w:p>
            <w:pPr>
              <w:spacing w:after="0"/>
              <w:rPr>
                <w:sz w:val="23"/>
                <w:szCs w:val="23"/>
                <w:color w:val="auto"/>
              </w:rPr>
            </w:pPr>
          </w:p>
        </w:tc>
        <w:tc>
          <w:tcPr>
            <w:tcW w:w="720" w:type="dxa"/>
            <w:vAlign w:val="bottom"/>
          </w:tcPr>
          <w:p>
            <w:pPr>
              <w:jc w:val="right"/>
              <w:ind w:right="89"/>
              <w:spacing w:after="0"/>
              <w:rPr>
                <w:sz w:val="20"/>
                <w:szCs w:val="20"/>
                <w:color w:val="auto"/>
              </w:rPr>
            </w:pPr>
            <w:r>
              <w:rPr>
                <w:rFonts w:ascii="Arial" w:cs="Arial" w:eastAsia="Arial" w:hAnsi="Arial"/>
                <w:sz w:val="14"/>
                <w:szCs w:val="14"/>
                <w:color w:val="auto"/>
              </w:rPr>
              <w:t>50</w:t>
            </w:r>
          </w:p>
        </w:tc>
        <w:tc>
          <w:tcPr>
            <w:tcW w:w="780" w:type="dxa"/>
            <w:vAlign w:val="bottom"/>
          </w:tcPr>
          <w:p>
            <w:pPr>
              <w:jc w:val="right"/>
              <w:ind w:right="289"/>
              <w:spacing w:after="0"/>
              <w:rPr>
                <w:sz w:val="20"/>
                <w:szCs w:val="20"/>
                <w:color w:val="auto"/>
              </w:rPr>
            </w:pPr>
            <w:r>
              <w:rPr>
                <w:rFonts w:ascii="Arial" w:cs="Arial" w:eastAsia="Arial" w:hAnsi="Arial"/>
                <w:sz w:val="14"/>
                <w:szCs w:val="14"/>
                <w:color w:val="auto"/>
              </w:rPr>
              <w:t>6</w:t>
            </w:r>
          </w:p>
        </w:tc>
        <w:tc>
          <w:tcPr>
            <w:tcW w:w="560" w:type="dxa"/>
            <w:vAlign w:val="bottom"/>
          </w:tcPr>
          <w:p>
            <w:pPr>
              <w:spacing w:after="0"/>
              <w:rPr>
                <w:sz w:val="23"/>
                <w:szCs w:val="23"/>
                <w:color w:val="auto"/>
              </w:rPr>
            </w:pPr>
          </w:p>
        </w:tc>
        <w:tc>
          <w:tcPr>
            <w:tcW w:w="760" w:type="dxa"/>
            <w:vAlign w:val="bottom"/>
          </w:tcPr>
          <w:p>
            <w:pPr>
              <w:jc w:val="right"/>
              <w:ind w:right="129"/>
              <w:spacing w:after="0"/>
              <w:rPr>
                <w:sz w:val="20"/>
                <w:szCs w:val="20"/>
                <w:color w:val="auto"/>
              </w:rPr>
            </w:pPr>
            <w:r>
              <w:rPr>
                <w:rFonts w:ascii="Arial" w:cs="Arial" w:eastAsia="Arial" w:hAnsi="Arial"/>
                <w:sz w:val="14"/>
                <w:szCs w:val="14"/>
                <w:color w:val="auto"/>
              </w:rPr>
              <w:t>60</w:t>
            </w:r>
          </w:p>
        </w:tc>
        <w:tc>
          <w:tcPr>
            <w:tcW w:w="460" w:type="dxa"/>
            <w:vAlign w:val="bottom"/>
          </w:tcPr>
          <w:p>
            <w:pPr>
              <w:jc w:val="right"/>
              <w:spacing w:after="0"/>
              <w:rPr>
                <w:sz w:val="20"/>
                <w:szCs w:val="20"/>
                <w:color w:val="auto"/>
              </w:rPr>
            </w:pPr>
            <w:r>
              <w:rPr>
                <w:rFonts w:ascii="Arial" w:cs="Arial" w:eastAsia="Arial" w:hAnsi="Arial"/>
                <w:sz w:val="14"/>
                <w:szCs w:val="14"/>
                <w:color w:val="auto"/>
              </w:rPr>
              <w:t>7</w:t>
            </w:r>
          </w:p>
        </w:tc>
        <w:tc>
          <w:tcPr>
            <w:tcW w:w="220" w:type="dxa"/>
            <w:vAlign w:val="bottom"/>
          </w:tcPr>
          <w:p>
            <w:pPr>
              <w:spacing w:after="0"/>
              <w:rPr>
                <w:sz w:val="23"/>
                <w:szCs w:val="23"/>
                <w:color w:val="auto"/>
              </w:rPr>
            </w:pPr>
          </w:p>
        </w:tc>
      </w:tr>
      <w:tr>
        <w:trPr>
          <w:trHeight w:val="197"/>
        </w:trPr>
        <w:tc>
          <w:tcPr>
            <w:tcW w:w="3160" w:type="dxa"/>
            <w:vAlign w:val="bottom"/>
          </w:tcPr>
          <w:p>
            <w:pPr>
              <w:ind w:left="80"/>
              <w:spacing w:after="0"/>
              <w:rPr>
                <w:sz w:val="20"/>
                <w:szCs w:val="20"/>
                <w:color w:val="auto"/>
              </w:rPr>
            </w:pPr>
            <w:r>
              <w:rPr>
                <w:rFonts w:ascii="Arial" w:cs="Arial" w:eastAsia="Arial" w:hAnsi="Arial"/>
                <w:sz w:val="14"/>
                <w:szCs w:val="14"/>
                <w:color w:val="auto"/>
              </w:rPr>
              <w:t>All other</w:t>
            </w:r>
          </w:p>
        </w:tc>
        <w:tc>
          <w:tcPr>
            <w:tcW w:w="6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w:t>
            </w:r>
          </w:p>
        </w:tc>
        <w:tc>
          <w:tcPr>
            <w:tcW w:w="78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5</w:t>
            </w:r>
          </w:p>
        </w:tc>
        <w:tc>
          <w:tcPr>
            <w:tcW w:w="76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2</w:t>
            </w:r>
          </w:p>
        </w:tc>
        <w:tc>
          <w:tcPr>
            <w:tcW w:w="5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8</w:t>
            </w:r>
          </w:p>
        </w:tc>
        <w:tc>
          <w:tcPr>
            <w:tcW w:w="78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1</w:t>
            </w:r>
          </w:p>
        </w:tc>
        <w:tc>
          <w:tcPr>
            <w:tcW w:w="5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10</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220" w:type="dxa"/>
            <w:vAlign w:val="bottom"/>
            <w:tcBorders>
              <w:bottom w:val="single" w:sz="8" w:color="auto"/>
            </w:tcBorders>
          </w:tcPr>
          <w:p>
            <w:pPr>
              <w:spacing w:after="0"/>
              <w:rPr>
                <w:sz w:val="17"/>
                <w:szCs w:val="17"/>
                <w:color w:val="auto"/>
              </w:rPr>
            </w:pPr>
          </w:p>
        </w:tc>
      </w:tr>
      <w:tr>
        <w:trPr>
          <w:trHeight w:val="159"/>
        </w:trPr>
        <w:tc>
          <w:tcPr>
            <w:tcW w:w="3160" w:type="dxa"/>
            <w:vAlign w:val="bottom"/>
            <w:tcBorders>
              <w:bottom w:val="single" w:sz="8" w:color="auto"/>
            </w:tcBorders>
          </w:tcPr>
          <w:p>
            <w:pPr>
              <w:ind w:left="240"/>
              <w:spacing w:after="0" w:line="153" w:lineRule="exact"/>
              <w:rPr>
                <w:sz w:val="20"/>
                <w:szCs w:val="20"/>
                <w:color w:val="auto"/>
              </w:rPr>
            </w:pPr>
            <w:r>
              <w:rPr>
                <w:rFonts w:ascii="Arial" w:cs="Arial" w:eastAsia="Arial" w:hAnsi="Arial"/>
                <w:sz w:val="14"/>
                <w:szCs w:val="14"/>
                <w:color w:val="auto"/>
              </w:rPr>
              <w:t>Total</w:t>
            </w:r>
          </w:p>
        </w:tc>
        <w:tc>
          <w:tcPr>
            <w:tcW w:w="660" w:type="dxa"/>
            <w:vAlign w:val="bottom"/>
            <w:tcBorders>
              <w:bottom w:val="single" w:sz="8" w:color="auto"/>
            </w:tcBorders>
          </w:tcPr>
          <w:p>
            <w:pPr>
              <w:jc w:val="right"/>
              <w:ind w:right="229"/>
              <w:spacing w:after="0" w:line="153"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109"/>
              <w:spacing w:after="0" w:line="153" w:lineRule="exact"/>
              <w:rPr>
                <w:sz w:val="20"/>
                <w:szCs w:val="20"/>
                <w:color w:val="auto"/>
              </w:rPr>
            </w:pPr>
            <w:r>
              <w:rPr>
                <w:rFonts w:ascii="Arial" w:cs="Arial" w:eastAsia="Arial" w:hAnsi="Arial"/>
                <w:sz w:val="14"/>
                <w:szCs w:val="14"/>
                <w:color w:val="auto"/>
              </w:rPr>
              <w:t>292</w:t>
            </w:r>
          </w:p>
        </w:tc>
        <w:tc>
          <w:tcPr>
            <w:tcW w:w="780" w:type="dxa"/>
            <w:vAlign w:val="bottom"/>
            <w:tcBorders>
              <w:bottom w:val="single" w:sz="8" w:color="auto"/>
            </w:tcBorders>
          </w:tcPr>
          <w:p>
            <w:pPr>
              <w:jc w:val="right"/>
              <w:ind w:right="109"/>
              <w:spacing w:after="0" w:line="153" w:lineRule="exact"/>
              <w:rPr>
                <w:sz w:val="20"/>
                <w:szCs w:val="20"/>
                <w:color w:val="auto"/>
              </w:rPr>
            </w:pPr>
            <w:r>
              <w:rPr>
                <w:rFonts w:ascii="Arial" w:cs="Arial" w:eastAsia="Arial" w:hAnsi="Arial"/>
                <w:sz w:val="14"/>
                <w:szCs w:val="14"/>
                <w:color w:val="auto"/>
              </w:rPr>
              <w:t>100 %</w:t>
            </w:r>
          </w:p>
        </w:tc>
        <w:tc>
          <w:tcPr>
            <w:tcW w:w="540" w:type="dxa"/>
            <w:vAlign w:val="bottom"/>
            <w:tcBorders>
              <w:bottom w:val="single" w:sz="8" w:color="auto"/>
            </w:tcBorders>
          </w:tcPr>
          <w:p>
            <w:pPr>
              <w:jc w:val="right"/>
              <w:ind w:right="229"/>
              <w:spacing w:after="0" w:line="153"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09"/>
              <w:spacing w:after="0" w:line="153" w:lineRule="exact"/>
              <w:rPr>
                <w:sz w:val="20"/>
                <w:szCs w:val="20"/>
                <w:color w:val="auto"/>
              </w:rPr>
            </w:pPr>
            <w:r>
              <w:rPr>
                <w:rFonts w:ascii="Arial" w:cs="Arial" w:eastAsia="Arial" w:hAnsi="Arial"/>
                <w:sz w:val="14"/>
                <w:szCs w:val="14"/>
                <w:color w:val="auto"/>
              </w:rPr>
              <w:t>286</w:t>
            </w:r>
          </w:p>
        </w:tc>
        <w:tc>
          <w:tcPr>
            <w:tcW w:w="760" w:type="dxa"/>
            <w:vAlign w:val="bottom"/>
            <w:tcBorders>
              <w:bottom w:val="single" w:sz="8" w:color="auto"/>
            </w:tcBorders>
          </w:tcPr>
          <w:p>
            <w:pPr>
              <w:jc w:val="right"/>
              <w:ind w:right="89"/>
              <w:spacing w:after="0" w:line="153" w:lineRule="exact"/>
              <w:rPr>
                <w:sz w:val="20"/>
                <w:szCs w:val="20"/>
                <w:color w:val="auto"/>
              </w:rPr>
            </w:pPr>
            <w:r>
              <w:rPr>
                <w:rFonts w:ascii="Arial" w:cs="Arial" w:eastAsia="Arial" w:hAnsi="Arial"/>
                <w:sz w:val="14"/>
                <w:szCs w:val="14"/>
                <w:color w:val="auto"/>
              </w:rPr>
              <w:t>100 %</w:t>
            </w:r>
          </w:p>
        </w:tc>
        <w:tc>
          <w:tcPr>
            <w:tcW w:w="560" w:type="dxa"/>
            <w:vAlign w:val="bottom"/>
            <w:tcBorders>
              <w:bottom w:val="single" w:sz="8" w:color="auto"/>
            </w:tcBorders>
          </w:tcPr>
          <w:p>
            <w:pPr>
              <w:jc w:val="right"/>
              <w:ind w:right="249"/>
              <w:spacing w:after="0" w:line="153"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9"/>
              <w:spacing w:after="0" w:line="153" w:lineRule="exact"/>
              <w:rPr>
                <w:sz w:val="20"/>
                <w:szCs w:val="20"/>
                <w:color w:val="auto"/>
              </w:rPr>
            </w:pPr>
            <w:r>
              <w:rPr>
                <w:rFonts w:ascii="Arial" w:cs="Arial" w:eastAsia="Arial" w:hAnsi="Arial"/>
                <w:sz w:val="14"/>
                <w:szCs w:val="14"/>
                <w:color w:val="auto"/>
              </w:rPr>
              <w:t>866</w:t>
            </w:r>
          </w:p>
        </w:tc>
        <w:tc>
          <w:tcPr>
            <w:tcW w:w="780" w:type="dxa"/>
            <w:vAlign w:val="bottom"/>
            <w:tcBorders>
              <w:bottom w:val="single" w:sz="8" w:color="auto"/>
            </w:tcBorders>
          </w:tcPr>
          <w:p>
            <w:pPr>
              <w:jc w:val="right"/>
              <w:ind w:right="89"/>
              <w:spacing w:after="0" w:line="153" w:lineRule="exact"/>
              <w:rPr>
                <w:sz w:val="20"/>
                <w:szCs w:val="20"/>
                <w:color w:val="auto"/>
              </w:rPr>
            </w:pPr>
            <w:r>
              <w:rPr>
                <w:rFonts w:ascii="Arial" w:cs="Arial" w:eastAsia="Arial" w:hAnsi="Arial"/>
                <w:sz w:val="14"/>
                <w:szCs w:val="14"/>
                <w:color w:val="auto"/>
              </w:rPr>
              <w:t>100 %</w:t>
            </w:r>
          </w:p>
        </w:tc>
        <w:tc>
          <w:tcPr>
            <w:tcW w:w="560" w:type="dxa"/>
            <w:vAlign w:val="bottom"/>
            <w:tcBorders>
              <w:bottom w:val="single" w:sz="8" w:color="auto"/>
            </w:tcBorders>
          </w:tcPr>
          <w:p>
            <w:pPr>
              <w:jc w:val="right"/>
              <w:ind w:right="249"/>
              <w:spacing w:after="0" w:line="153"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29"/>
              <w:spacing w:after="0" w:line="153" w:lineRule="exact"/>
              <w:rPr>
                <w:sz w:val="20"/>
                <w:szCs w:val="20"/>
                <w:color w:val="auto"/>
              </w:rPr>
            </w:pPr>
            <w:r>
              <w:rPr>
                <w:rFonts w:ascii="Arial" w:cs="Arial" w:eastAsia="Arial" w:hAnsi="Arial"/>
                <w:sz w:val="14"/>
                <w:szCs w:val="14"/>
                <w:color w:val="auto"/>
              </w:rPr>
              <w:t>828</w:t>
            </w:r>
          </w:p>
        </w:tc>
        <w:tc>
          <w:tcPr>
            <w:tcW w:w="46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100</w:t>
            </w:r>
          </w:p>
        </w:tc>
        <w:tc>
          <w:tcPr>
            <w:tcW w:w="22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w:t>
            </w:r>
          </w:p>
        </w:tc>
      </w:tr>
      <w:tr>
        <w:trPr>
          <w:trHeight w:val="228"/>
        </w:trPr>
        <w:tc>
          <w:tcPr>
            <w:tcW w:w="3160" w:type="dxa"/>
            <w:vAlign w:val="bottom"/>
          </w:tcPr>
          <w:p>
            <w:pPr>
              <w:spacing w:after="0"/>
              <w:rPr>
                <w:sz w:val="20"/>
                <w:szCs w:val="20"/>
                <w:color w:val="auto"/>
              </w:rPr>
            </w:pPr>
            <w:r>
              <w:rPr>
                <w:rFonts w:ascii="Arial" w:cs="Arial" w:eastAsia="Arial" w:hAnsi="Arial"/>
                <w:sz w:val="14"/>
                <w:szCs w:val="14"/>
                <w:color w:val="auto"/>
              </w:rPr>
              <w:t>INCOME TAX EXPENSE (BENEFIT)</w:t>
            </w: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13"/>
        </w:trPr>
        <w:tc>
          <w:tcPr>
            <w:tcW w:w="3160" w:type="dxa"/>
            <w:vAlign w:val="bottom"/>
          </w:tcPr>
          <w:p>
            <w:pPr>
              <w:ind w:left="80"/>
              <w:spacing w:after="0"/>
              <w:rPr>
                <w:sz w:val="20"/>
                <w:szCs w:val="20"/>
                <w:color w:val="auto"/>
              </w:rPr>
            </w:pPr>
            <w:r>
              <w:rPr>
                <w:rFonts w:ascii="Arial" w:cs="Arial" w:eastAsia="Arial" w:hAnsi="Arial"/>
                <w:sz w:val="14"/>
                <w:szCs w:val="14"/>
                <w:color w:val="auto"/>
              </w:rPr>
              <w:t>SDG&amp;E</w:t>
            </w:r>
          </w:p>
        </w:tc>
        <w:tc>
          <w:tcPr>
            <w:tcW w:w="66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09"/>
              <w:spacing w:after="0"/>
              <w:rPr>
                <w:sz w:val="20"/>
                <w:szCs w:val="20"/>
                <w:color w:val="auto"/>
              </w:rPr>
            </w:pPr>
            <w:r>
              <w:rPr>
                <w:rFonts w:ascii="Arial" w:cs="Arial" w:eastAsia="Arial" w:hAnsi="Arial"/>
                <w:sz w:val="14"/>
                <w:szCs w:val="14"/>
                <w:color w:val="auto"/>
              </w:rPr>
              <w:t>65</w:t>
            </w:r>
          </w:p>
        </w:tc>
        <w:tc>
          <w:tcPr>
            <w:tcW w:w="780" w:type="dxa"/>
            <w:vAlign w:val="bottom"/>
          </w:tcPr>
          <w:p>
            <w:pPr>
              <w:spacing w:after="0"/>
              <w:rPr>
                <w:sz w:val="18"/>
                <w:szCs w:val="18"/>
                <w:color w:val="auto"/>
              </w:rPr>
            </w:pPr>
          </w:p>
        </w:tc>
        <w:tc>
          <w:tcPr>
            <w:tcW w:w="54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09"/>
              <w:spacing w:after="0"/>
              <w:rPr>
                <w:sz w:val="20"/>
                <w:szCs w:val="20"/>
                <w:color w:val="auto"/>
              </w:rPr>
            </w:pPr>
            <w:r>
              <w:rPr>
                <w:rFonts w:ascii="Arial" w:cs="Arial" w:eastAsia="Arial" w:hAnsi="Arial"/>
                <w:sz w:val="14"/>
                <w:szCs w:val="14"/>
                <w:color w:val="auto"/>
              </w:rPr>
              <w:t>84</w:t>
            </w:r>
          </w:p>
        </w:tc>
        <w:tc>
          <w:tcPr>
            <w:tcW w:w="760" w:type="dxa"/>
            <w:vAlign w:val="bottom"/>
          </w:tcPr>
          <w:p>
            <w:pPr>
              <w:spacing w:after="0"/>
              <w:rPr>
                <w:sz w:val="18"/>
                <w:szCs w:val="18"/>
                <w:color w:val="auto"/>
              </w:rPr>
            </w:pPr>
          </w:p>
        </w:tc>
        <w:tc>
          <w:tcPr>
            <w:tcW w:w="56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9"/>
              <w:spacing w:after="0"/>
              <w:rPr>
                <w:sz w:val="20"/>
                <w:szCs w:val="20"/>
                <w:color w:val="auto"/>
              </w:rPr>
            </w:pPr>
            <w:r>
              <w:rPr>
                <w:rFonts w:ascii="Arial" w:cs="Arial" w:eastAsia="Arial" w:hAnsi="Arial"/>
                <w:sz w:val="14"/>
                <w:szCs w:val="14"/>
                <w:color w:val="auto"/>
              </w:rPr>
              <w:t>217</w:t>
            </w:r>
          </w:p>
        </w:tc>
        <w:tc>
          <w:tcPr>
            <w:tcW w:w="780" w:type="dxa"/>
            <w:vAlign w:val="bottom"/>
          </w:tcPr>
          <w:p>
            <w:pPr>
              <w:spacing w:after="0"/>
              <w:rPr>
                <w:sz w:val="18"/>
                <w:szCs w:val="18"/>
                <w:color w:val="auto"/>
              </w:rPr>
            </w:pPr>
          </w:p>
        </w:tc>
        <w:tc>
          <w:tcPr>
            <w:tcW w:w="56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9"/>
              <w:spacing w:after="0"/>
              <w:rPr>
                <w:sz w:val="20"/>
                <w:szCs w:val="20"/>
                <w:color w:val="auto"/>
              </w:rPr>
            </w:pPr>
            <w:r>
              <w:rPr>
                <w:rFonts w:ascii="Arial" w:cs="Arial" w:eastAsia="Arial" w:hAnsi="Arial"/>
                <w:sz w:val="14"/>
                <w:szCs w:val="14"/>
                <w:color w:val="auto"/>
              </w:rPr>
              <w:t>147</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3"/>
        </w:trPr>
        <w:tc>
          <w:tcPr>
            <w:tcW w:w="3160" w:type="dxa"/>
            <w:vAlign w:val="bottom"/>
          </w:tcPr>
          <w:p>
            <w:pPr>
              <w:ind w:left="80"/>
              <w:spacing w:after="0"/>
              <w:rPr>
                <w:sz w:val="20"/>
                <w:szCs w:val="20"/>
                <w:color w:val="auto"/>
              </w:rPr>
            </w:pPr>
            <w:r>
              <w:rPr>
                <w:rFonts w:ascii="Arial" w:cs="Arial" w:eastAsia="Arial" w:hAnsi="Arial"/>
                <w:sz w:val="14"/>
                <w:szCs w:val="14"/>
                <w:color w:val="auto"/>
              </w:rPr>
              <w:t>SoCalGas</w:t>
            </w:r>
          </w:p>
        </w:tc>
        <w:tc>
          <w:tcPr>
            <w:tcW w:w="660" w:type="dxa"/>
            <w:vAlign w:val="bottom"/>
          </w:tcPr>
          <w:p>
            <w:pPr>
              <w:spacing w:after="0"/>
              <w:rPr>
                <w:sz w:val="18"/>
                <w:szCs w:val="18"/>
                <w:color w:val="auto"/>
              </w:rPr>
            </w:pPr>
          </w:p>
        </w:tc>
        <w:tc>
          <w:tcPr>
            <w:tcW w:w="720" w:type="dxa"/>
            <w:vAlign w:val="bottom"/>
          </w:tcPr>
          <w:p>
            <w:pPr>
              <w:jc w:val="right"/>
              <w:ind w:right="109"/>
              <w:spacing w:after="0"/>
              <w:rPr>
                <w:sz w:val="20"/>
                <w:szCs w:val="20"/>
                <w:color w:val="auto"/>
              </w:rPr>
            </w:pPr>
            <w:r>
              <w:rPr>
                <w:rFonts w:ascii="Arial" w:cs="Arial" w:eastAsia="Arial" w:hAnsi="Arial"/>
                <w:sz w:val="14"/>
                <w:szCs w:val="14"/>
                <w:color w:val="auto"/>
              </w:rPr>
              <w:t>44</w:t>
            </w: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jc w:val="right"/>
              <w:ind w:right="109"/>
              <w:spacing w:after="0"/>
              <w:rPr>
                <w:sz w:val="20"/>
                <w:szCs w:val="20"/>
                <w:color w:val="auto"/>
              </w:rPr>
            </w:pPr>
            <w:r>
              <w:rPr>
                <w:rFonts w:ascii="Arial" w:cs="Arial" w:eastAsia="Arial" w:hAnsi="Arial"/>
                <w:sz w:val="14"/>
                <w:szCs w:val="14"/>
                <w:color w:val="auto"/>
              </w:rPr>
              <w:t>38</w:t>
            </w: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jc w:val="right"/>
              <w:ind w:right="89"/>
              <w:spacing w:after="0"/>
              <w:rPr>
                <w:sz w:val="20"/>
                <w:szCs w:val="20"/>
                <w:color w:val="auto"/>
              </w:rPr>
            </w:pPr>
            <w:r>
              <w:rPr>
                <w:rFonts w:ascii="Arial" w:cs="Arial" w:eastAsia="Arial" w:hAnsi="Arial"/>
                <w:sz w:val="14"/>
                <w:szCs w:val="14"/>
                <w:color w:val="auto"/>
              </w:rPr>
              <w:t>110</w:t>
            </w: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jc w:val="right"/>
              <w:ind w:right="129"/>
              <w:spacing w:after="0"/>
              <w:rPr>
                <w:sz w:val="20"/>
                <w:szCs w:val="20"/>
                <w:color w:val="auto"/>
              </w:rPr>
            </w:pPr>
            <w:r>
              <w:rPr>
                <w:rFonts w:ascii="Arial" w:cs="Arial" w:eastAsia="Arial" w:hAnsi="Arial"/>
                <w:sz w:val="14"/>
                <w:szCs w:val="14"/>
                <w:color w:val="auto"/>
              </w:rPr>
              <w:t>107</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3"/>
        </w:trPr>
        <w:tc>
          <w:tcPr>
            <w:tcW w:w="3160" w:type="dxa"/>
            <w:vAlign w:val="bottom"/>
          </w:tcPr>
          <w:p>
            <w:pPr>
              <w:ind w:left="80"/>
              <w:spacing w:after="0"/>
              <w:rPr>
                <w:sz w:val="20"/>
                <w:szCs w:val="20"/>
                <w:color w:val="auto"/>
              </w:rPr>
            </w:pPr>
            <w:r>
              <w:rPr>
                <w:rFonts w:ascii="Arial" w:cs="Arial" w:eastAsia="Arial" w:hAnsi="Arial"/>
                <w:sz w:val="14"/>
                <w:szCs w:val="14"/>
                <w:color w:val="auto"/>
              </w:rPr>
              <w:t>Sempra South American Utilities</w:t>
            </w:r>
          </w:p>
        </w:tc>
        <w:tc>
          <w:tcPr>
            <w:tcW w:w="660" w:type="dxa"/>
            <w:vAlign w:val="bottom"/>
          </w:tcPr>
          <w:p>
            <w:pPr>
              <w:spacing w:after="0"/>
              <w:rPr>
                <w:sz w:val="18"/>
                <w:szCs w:val="18"/>
                <w:color w:val="auto"/>
              </w:rPr>
            </w:pPr>
          </w:p>
        </w:tc>
        <w:tc>
          <w:tcPr>
            <w:tcW w:w="720" w:type="dxa"/>
            <w:vAlign w:val="bottom"/>
          </w:tcPr>
          <w:p>
            <w:pPr>
              <w:jc w:val="right"/>
              <w:ind w:right="109"/>
              <w:spacing w:after="0"/>
              <w:rPr>
                <w:sz w:val="20"/>
                <w:szCs w:val="20"/>
                <w:color w:val="auto"/>
              </w:rPr>
            </w:pPr>
            <w:r>
              <w:rPr>
                <w:rFonts w:ascii="Arial" w:cs="Arial" w:eastAsia="Arial" w:hAnsi="Arial"/>
                <w:sz w:val="14"/>
                <w:szCs w:val="14"/>
                <w:color w:val="auto"/>
              </w:rPr>
              <w:t>26</w:t>
            </w: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jc w:val="right"/>
              <w:ind w:right="109"/>
              <w:spacing w:after="0"/>
              <w:rPr>
                <w:sz w:val="20"/>
                <w:szCs w:val="20"/>
                <w:color w:val="auto"/>
              </w:rPr>
            </w:pPr>
            <w:r>
              <w:rPr>
                <w:rFonts w:ascii="Arial" w:cs="Arial" w:eastAsia="Arial" w:hAnsi="Arial"/>
                <w:sz w:val="14"/>
                <w:szCs w:val="14"/>
                <w:color w:val="auto"/>
              </w:rPr>
              <w:t>16</w:t>
            </w: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jc w:val="right"/>
              <w:ind w:right="89"/>
              <w:spacing w:after="0"/>
              <w:rPr>
                <w:sz w:val="20"/>
                <w:szCs w:val="20"/>
                <w:color w:val="auto"/>
              </w:rPr>
            </w:pPr>
            <w:r>
              <w:rPr>
                <w:rFonts w:ascii="Arial" w:cs="Arial" w:eastAsia="Arial" w:hAnsi="Arial"/>
                <w:sz w:val="14"/>
                <w:szCs w:val="14"/>
                <w:color w:val="auto"/>
              </w:rPr>
              <w:t>59</w:t>
            </w: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jc w:val="right"/>
              <w:ind w:right="129"/>
              <w:spacing w:after="0"/>
              <w:rPr>
                <w:sz w:val="20"/>
                <w:szCs w:val="20"/>
                <w:color w:val="auto"/>
              </w:rPr>
            </w:pPr>
            <w:r>
              <w:rPr>
                <w:rFonts w:ascii="Arial" w:cs="Arial" w:eastAsia="Arial" w:hAnsi="Arial"/>
                <w:sz w:val="14"/>
                <w:szCs w:val="14"/>
                <w:color w:val="auto"/>
              </w:rPr>
              <w:t>50</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3"/>
        </w:trPr>
        <w:tc>
          <w:tcPr>
            <w:tcW w:w="3160" w:type="dxa"/>
            <w:vAlign w:val="bottom"/>
          </w:tcPr>
          <w:p>
            <w:pPr>
              <w:ind w:left="80"/>
              <w:spacing w:after="0"/>
              <w:rPr>
                <w:sz w:val="20"/>
                <w:szCs w:val="20"/>
                <w:color w:val="auto"/>
              </w:rPr>
            </w:pPr>
            <w:r>
              <w:rPr>
                <w:rFonts w:ascii="Arial" w:cs="Arial" w:eastAsia="Arial" w:hAnsi="Arial"/>
                <w:sz w:val="14"/>
                <w:szCs w:val="14"/>
                <w:color w:val="auto"/>
              </w:rPr>
              <w:t>Sempra Mexico</w:t>
            </w:r>
          </w:p>
        </w:tc>
        <w:tc>
          <w:tcPr>
            <w:tcW w:w="660" w:type="dxa"/>
            <w:vAlign w:val="bottom"/>
          </w:tcPr>
          <w:p>
            <w:pPr>
              <w:spacing w:after="0"/>
              <w:rPr>
                <w:sz w:val="18"/>
                <w:szCs w:val="18"/>
                <w:color w:val="auto"/>
              </w:rPr>
            </w:pPr>
          </w:p>
        </w:tc>
        <w:tc>
          <w:tcPr>
            <w:tcW w:w="720" w:type="dxa"/>
            <w:vAlign w:val="bottom"/>
          </w:tcPr>
          <w:p>
            <w:pPr>
              <w:jc w:val="right"/>
              <w:ind w:right="109"/>
              <w:spacing w:after="0"/>
              <w:rPr>
                <w:sz w:val="20"/>
                <w:szCs w:val="20"/>
                <w:color w:val="auto"/>
              </w:rPr>
            </w:pPr>
            <w:r>
              <w:rPr>
                <w:rFonts w:ascii="Arial" w:cs="Arial" w:eastAsia="Arial" w:hAnsi="Arial"/>
                <w:sz w:val="14"/>
                <w:szCs w:val="14"/>
                <w:color w:val="auto"/>
              </w:rPr>
              <w:t>13</w:t>
            </w: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jc w:val="right"/>
              <w:ind w:right="109"/>
              <w:spacing w:after="0"/>
              <w:rPr>
                <w:sz w:val="20"/>
                <w:szCs w:val="20"/>
                <w:color w:val="auto"/>
              </w:rPr>
            </w:pPr>
            <w:r>
              <w:rPr>
                <w:rFonts w:ascii="Arial" w:cs="Arial" w:eastAsia="Arial" w:hAnsi="Arial"/>
                <w:sz w:val="14"/>
                <w:szCs w:val="14"/>
                <w:color w:val="auto"/>
              </w:rPr>
              <w:t>16</w:t>
            </w: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jc w:val="right"/>
              <w:ind w:right="89"/>
              <w:spacing w:after="0"/>
              <w:rPr>
                <w:sz w:val="20"/>
                <w:szCs w:val="20"/>
                <w:color w:val="auto"/>
              </w:rPr>
            </w:pPr>
            <w:r>
              <w:rPr>
                <w:rFonts w:ascii="Arial" w:cs="Arial" w:eastAsia="Arial" w:hAnsi="Arial"/>
                <w:sz w:val="14"/>
                <w:szCs w:val="14"/>
                <w:color w:val="auto"/>
              </w:rPr>
              <w:t>37</w:t>
            </w: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jc w:val="right"/>
              <w:ind w:right="129"/>
              <w:spacing w:after="0"/>
              <w:rPr>
                <w:sz w:val="20"/>
                <w:szCs w:val="20"/>
                <w:color w:val="auto"/>
              </w:rPr>
            </w:pPr>
            <w:r>
              <w:rPr>
                <w:rFonts w:ascii="Arial" w:cs="Arial" w:eastAsia="Arial" w:hAnsi="Arial"/>
                <w:sz w:val="14"/>
                <w:szCs w:val="14"/>
                <w:color w:val="auto"/>
              </w:rPr>
              <w:t>44</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3"/>
        </w:trPr>
        <w:tc>
          <w:tcPr>
            <w:tcW w:w="3160" w:type="dxa"/>
            <w:vAlign w:val="bottom"/>
          </w:tcPr>
          <w:p>
            <w:pPr>
              <w:ind w:left="80"/>
              <w:spacing w:after="0"/>
              <w:rPr>
                <w:sz w:val="20"/>
                <w:szCs w:val="20"/>
                <w:color w:val="auto"/>
              </w:rPr>
            </w:pPr>
            <w:r>
              <w:rPr>
                <w:rFonts w:ascii="Arial" w:cs="Arial" w:eastAsia="Arial" w:hAnsi="Arial"/>
                <w:sz w:val="14"/>
                <w:szCs w:val="14"/>
                <w:color w:val="auto"/>
              </w:rPr>
              <w:t>Sempra Renewables</w:t>
            </w:r>
          </w:p>
        </w:tc>
        <w:tc>
          <w:tcPr>
            <w:tcW w:w="660" w:type="dxa"/>
            <w:vAlign w:val="bottom"/>
          </w:tcPr>
          <w:p>
            <w:pPr>
              <w:spacing w:after="0"/>
              <w:rPr>
                <w:sz w:val="18"/>
                <w:szCs w:val="18"/>
                <w:color w:val="auto"/>
              </w:rPr>
            </w:pPr>
          </w:p>
        </w:tc>
        <w:tc>
          <w:tcPr>
            <w:tcW w:w="720" w:type="dxa"/>
            <w:vAlign w:val="bottom"/>
          </w:tcPr>
          <w:p>
            <w:pPr>
              <w:jc w:val="right"/>
              <w:ind w:right="109"/>
              <w:spacing w:after="0"/>
              <w:rPr>
                <w:sz w:val="20"/>
                <w:szCs w:val="20"/>
                <w:color w:val="auto"/>
              </w:rPr>
            </w:pPr>
            <w:r>
              <w:rPr>
                <w:rFonts w:ascii="Arial" w:cs="Arial" w:eastAsia="Arial" w:hAnsi="Arial"/>
                <w:sz w:val="14"/>
                <w:szCs w:val="14"/>
                <w:color w:val="auto"/>
              </w:rPr>
              <w:t>(16)</w:t>
            </w: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jc w:val="right"/>
              <w:ind w:right="109"/>
              <w:spacing w:after="0"/>
              <w:rPr>
                <w:sz w:val="20"/>
                <w:szCs w:val="20"/>
                <w:color w:val="auto"/>
              </w:rPr>
            </w:pPr>
            <w:r>
              <w:rPr>
                <w:rFonts w:ascii="Arial" w:cs="Arial" w:eastAsia="Arial" w:hAnsi="Arial"/>
                <w:sz w:val="14"/>
                <w:szCs w:val="14"/>
                <w:color w:val="auto"/>
              </w:rPr>
              <w:t>9</w:t>
            </w: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jc w:val="right"/>
              <w:ind w:right="89"/>
              <w:spacing w:after="0"/>
              <w:rPr>
                <w:sz w:val="20"/>
                <w:szCs w:val="20"/>
                <w:color w:val="auto"/>
              </w:rPr>
            </w:pPr>
            <w:r>
              <w:rPr>
                <w:rFonts w:ascii="Arial" w:cs="Arial" w:eastAsia="Arial" w:hAnsi="Arial"/>
                <w:sz w:val="14"/>
                <w:szCs w:val="14"/>
                <w:color w:val="auto"/>
              </w:rPr>
              <w:t>(35)</w:t>
            </w: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jc w:val="right"/>
              <w:ind w:right="129"/>
              <w:spacing w:after="0"/>
              <w:rPr>
                <w:sz w:val="20"/>
                <w:szCs w:val="20"/>
                <w:color w:val="auto"/>
              </w:rPr>
            </w:pPr>
            <w:r>
              <w:rPr>
                <w:rFonts w:ascii="Arial" w:cs="Arial" w:eastAsia="Arial" w:hAnsi="Arial"/>
                <w:sz w:val="14"/>
                <w:szCs w:val="14"/>
                <w:color w:val="auto"/>
              </w:rPr>
              <w:t>(8)</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3"/>
        </w:trPr>
        <w:tc>
          <w:tcPr>
            <w:tcW w:w="3160" w:type="dxa"/>
            <w:vAlign w:val="bottom"/>
          </w:tcPr>
          <w:p>
            <w:pPr>
              <w:ind w:left="80"/>
              <w:spacing w:after="0"/>
              <w:rPr>
                <w:sz w:val="20"/>
                <w:szCs w:val="20"/>
                <w:color w:val="auto"/>
              </w:rPr>
            </w:pPr>
            <w:r>
              <w:rPr>
                <w:rFonts w:ascii="Arial" w:cs="Arial" w:eastAsia="Arial" w:hAnsi="Arial"/>
                <w:sz w:val="14"/>
                <w:szCs w:val="14"/>
                <w:color w:val="auto"/>
              </w:rPr>
              <w:t>Sempra Natural Gas</w:t>
            </w:r>
          </w:p>
        </w:tc>
        <w:tc>
          <w:tcPr>
            <w:tcW w:w="660" w:type="dxa"/>
            <w:vAlign w:val="bottom"/>
          </w:tcPr>
          <w:p>
            <w:pPr>
              <w:spacing w:after="0"/>
              <w:rPr>
                <w:sz w:val="18"/>
                <w:szCs w:val="18"/>
                <w:color w:val="auto"/>
              </w:rPr>
            </w:pPr>
          </w:p>
        </w:tc>
        <w:tc>
          <w:tcPr>
            <w:tcW w:w="720" w:type="dxa"/>
            <w:vAlign w:val="bottom"/>
          </w:tcPr>
          <w:p>
            <w:pPr>
              <w:jc w:val="right"/>
              <w:ind w:right="109"/>
              <w:spacing w:after="0"/>
              <w:rPr>
                <w:sz w:val="20"/>
                <w:szCs w:val="20"/>
                <w:color w:val="auto"/>
              </w:rPr>
            </w:pPr>
            <w:r>
              <w:rPr>
                <w:rFonts w:ascii="Arial" w:cs="Arial" w:eastAsia="Arial" w:hAnsi="Arial"/>
                <w:sz w:val="14"/>
                <w:szCs w:val="14"/>
                <w:color w:val="auto"/>
              </w:rPr>
              <w:t>(31)</w:t>
            </w: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jc w:val="right"/>
              <w:ind w:right="109"/>
              <w:spacing w:after="0"/>
              <w:rPr>
                <w:sz w:val="20"/>
                <w:szCs w:val="20"/>
                <w:color w:val="auto"/>
              </w:rPr>
            </w:pPr>
            <w:r>
              <w:rPr>
                <w:rFonts w:ascii="Arial" w:cs="Arial" w:eastAsia="Arial" w:hAnsi="Arial"/>
                <w:sz w:val="14"/>
                <w:szCs w:val="14"/>
                <w:color w:val="auto"/>
              </w:rPr>
              <w:t>(4)</w:t>
            </w: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jc w:val="right"/>
              <w:ind w:right="89"/>
              <w:spacing w:after="0"/>
              <w:rPr>
                <w:sz w:val="20"/>
                <w:szCs w:val="20"/>
                <w:color w:val="auto"/>
              </w:rPr>
            </w:pPr>
            <w:r>
              <w:rPr>
                <w:rFonts w:ascii="Arial" w:cs="Arial" w:eastAsia="Arial" w:hAnsi="Arial"/>
                <w:sz w:val="14"/>
                <w:szCs w:val="14"/>
                <w:color w:val="auto"/>
              </w:rPr>
              <w:t>(22)</w:t>
            </w: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jc w:val="right"/>
              <w:ind w:right="129"/>
              <w:spacing w:after="0"/>
              <w:rPr>
                <w:sz w:val="20"/>
                <w:szCs w:val="20"/>
                <w:color w:val="auto"/>
              </w:rPr>
            </w:pPr>
            <w:r>
              <w:rPr>
                <w:rFonts w:ascii="Arial" w:cs="Arial" w:eastAsia="Arial" w:hAnsi="Arial"/>
                <w:sz w:val="14"/>
                <w:szCs w:val="14"/>
                <w:color w:val="auto"/>
              </w:rPr>
              <w:t>35</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197"/>
        </w:trPr>
        <w:tc>
          <w:tcPr>
            <w:tcW w:w="3160" w:type="dxa"/>
            <w:vAlign w:val="bottom"/>
          </w:tcPr>
          <w:p>
            <w:pPr>
              <w:ind w:left="80"/>
              <w:spacing w:after="0"/>
              <w:rPr>
                <w:sz w:val="20"/>
                <w:szCs w:val="20"/>
                <w:color w:val="auto"/>
              </w:rPr>
            </w:pPr>
            <w:r>
              <w:rPr>
                <w:rFonts w:ascii="Arial" w:cs="Arial" w:eastAsia="Arial" w:hAnsi="Arial"/>
                <w:sz w:val="14"/>
                <w:szCs w:val="14"/>
                <w:color w:val="auto"/>
              </w:rPr>
              <w:t>All other</w:t>
            </w:r>
          </w:p>
        </w:tc>
        <w:tc>
          <w:tcPr>
            <w:tcW w:w="6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(30)</w:t>
            </w:r>
          </w:p>
        </w:tc>
        <w:tc>
          <w:tcPr>
            <w:tcW w:w="7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(42)</w:t>
            </w:r>
          </w:p>
        </w:tc>
        <w:tc>
          <w:tcPr>
            <w:tcW w:w="7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(75)</w:t>
            </w:r>
          </w:p>
        </w:tc>
        <w:tc>
          <w:tcPr>
            <w:tcW w:w="7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(48)</w:t>
            </w:r>
          </w:p>
        </w:tc>
        <w:tc>
          <w:tcPr>
            <w:tcW w:w="4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r>
      <w:tr>
        <w:trPr>
          <w:trHeight w:val="212"/>
        </w:trPr>
        <w:tc>
          <w:tcPr>
            <w:tcW w:w="316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Total</w:t>
            </w:r>
          </w:p>
        </w:tc>
        <w:tc>
          <w:tcPr>
            <w:tcW w:w="66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71</w:t>
            </w:r>
          </w:p>
        </w:tc>
        <w:tc>
          <w:tcPr>
            <w:tcW w:w="7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117</w:t>
            </w:r>
          </w:p>
        </w:tc>
        <w:tc>
          <w:tcPr>
            <w:tcW w:w="7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291</w:t>
            </w:r>
          </w:p>
        </w:tc>
        <w:tc>
          <w:tcPr>
            <w:tcW w:w="7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327</w:t>
            </w:r>
          </w:p>
        </w:tc>
        <w:tc>
          <w:tcPr>
            <w:tcW w:w="4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379730</wp:posOffset>
            </wp:positionV>
            <wp:extent cx="7248525" cy="2787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8525" cy="278765"/>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INFORMATION (Continued)</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0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84"/>
        </w:trPr>
        <w:tc>
          <w:tcPr>
            <w:tcW w:w="30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4"/>
          </w:tcPr>
          <w:p>
            <w:pPr>
              <w:jc w:val="right"/>
              <w:ind w:right="189"/>
              <w:spacing w:after="0"/>
              <w:rPr>
                <w:sz w:val="20"/>
                <w:szCs w:val="20"/>
                <w:color w:val="auto"/>
              </w:rPr>
            </w:pPr>
            <w:r>
              <w:rPr>
                <w:rFonts w:ascii="Arial" w:cs="Arial" w:eastAsia="Arial" w:hAnsi="Arial"/>
                <w:sz w:val="14"/>
                <w:szCs w:val="14"/>
                <w:color w:val="auto"/>
              </w:rPr>
              <w:t>Three months ended September 30,</w:t>
            </w:r>
          </w:p>
        </w:tc>
        <w:tc>
          <w:tcPr>
            <w:tcW w:w="6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4"/>
          </w:tcPr>
          <w:p>
            <w:pPr>
              <w:jc w:val="right"/>
              <w:ind w:right="229"/>
              <w:spacing w:after="0"/>
              <w:rPr>
                <w:sz w:val="20"/>
                <w:szCs w:val="20"/>
                <w:color w:val="auto"/>
              </w:rPr>
            </w:pPr>
            <w:r>
              <w:rPr>
                <w:rFonts w:ascii="Arial" w:cs="Arial" w:eastAsia="Arial" w:hAnsi="Arial"/>
                <w:sz w:val="14"/>
                <w:szCs w:val="14"/>
                <w:color w:val="auto"/>
              </w:rPr>
              <w:t>Nine months ended September 30,</w:t>
            </w:r>
          </w:p>
        </w:tc>
        <w:tc>
          <w:tcPr>
            <w:tcW w:w="4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r>
      <w:tr>
        <w:trPr>
          <w:trHeight w:val="206"/>
        </w:trPr>
        <w:tc>
          <w:tcPr>
            <w:tcW w:w="30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2014</w:t>
            </w:r>
          </w:p>
        </w:tc>
        <w:tc>
          <w:tcPr>
            <w:tcW w:w="7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2013</w:t>
            </w:r>
          </w:p>
        </w:tc>
        <w:tc>
          <w:tcPr>
            <w:tcW w:w="6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2014</w:t>
            </w:r>
          </w:p>
        </w:tc>
        <w:tc>
          <w:tcPr>
            <w:tcW w:w="7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2013</w:t>
            </w:r>
          </w:p>
        </w:tc>
        <w:tc>
          <w:tcPr>
            <w:tcW w:w="4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r>
      <w:tr>
        <w:trPr>
          <w:trHeight w:val="221"/>
        </w:trPr>
        <w:tc>
          <w:tcPr>
            <w:tcW w:w="3300" w:type="dxa"/>
            <w:vAlign w:val="bottom"/>
            <w:gridSpan w:val="2"/>
          </w:tcPr>
          <w:p>
            <w:pPr>
              <w:spacing w:after="0"/>
              <w:rPr>
                <w:sz w:val="20"/>
                <w:szCs w:val="20"/>
                <w:color w:val="auto"/>
              </w:rPr>
            </w:pPr>
            <w:r>
              <w:rPr>
                <w:rFonts w:ascii="Arial" w:cs="Arial" w:eastAsia="Arial" w:hAnsi="Arial"/>
                <w:sz w:val="14"/>
                <w:szCs w:val="14"/>
                <w:color w:val="auto"/>
              </w:rPr>
              <w:t>EQUITY EARNINGS (LOSSES)</w:t>
            </w: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13"/>
        </w:trPr>
        <w:tc>
          <w:tcPr>
            <w:tcW w:w="3300" w:type="dxa"/>
            <w:vAlign w:val="bottom"/>
            <w:gridSpan w:val="2"/>
          </w:tcPr>
          <w:p>
            <w:pPr>
              <w:ind w:left="40"/>
              <w:spacing w:after="0"/>
              <w:rPr>
                <w:sz w:val="20"/>
                <w:szCs w:val="20"/>
                <w:color w:val="auto"/>
              </w:rPr>
            </w:pPr>
            <w:r>
              <w:rPr>
                <w:rFonts w:ascii="Arial" w:cs="Arial" w:eastAsia="Arial" w:hAnsi="Arial"/>
                <w:sz w:val="14"/>
                <w:szCs w:val="14"/>
                <w:color w:val="auto"/>
              </w:rPr>
              <w:t>Earnings (losses) recorded before tax:</w:t>
            </w: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3"/>
        </w:trPr>
        <w:tc>
          <w:tcPr>
            <w:tcW w:w="3300" w:type="dxa"/>
            <w:vAlign w:val="bottom"/>
            <w:gridSpan w:val="2"/>
          </w:tcPr>
          <w:p>
            <w:pPr>
              <w:ind w:left="120"/>
              <w:spacing w:after="0"/>
              <w:rPr>
                <w:sz w:val="20"/>
                <w:szCs w:val="20"/>
                <w:color w:val="auto"/>
              </w:rPr>
            </w:pPr>
            <w:r>
              <w:rPr>
                <w:rFonts w:ascii="Arial" w:cs="Arial" w:eastAsia="Arial" w:hAnsi="Arial"/>
                <w:sz w:val="14"/>
                <w:szCs w:val="14"/>
                <w:color w:val="auto"/>
              </w:rPr>
              <w:t>Sempra Renewables</w:t>
            </w:r>
          </w:p>
        </w:tc>
        <w:tc>
          <w:tcPr>
            <w:tcW w:w="580" w:type="dxa"/>
            <w:vAlign w:val="bottom"/>
          </w:tcPr>
          <w:p>
            <w:pPr>
              <w:jc w:val="right"/>
              <w:ind w:right="369"/>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109"/>
              <w:spacing w:after="0"/>
              <w:rPr>
                <w:sz w:val="20"/>
                <w:szCs w:val="20"/>
                <w:color w:val="auto"/>
              </w:rPr>
            </w:pPr>
            <w:r>
              <w:rPr>
                <w:rFonts w:ascii="Arial" w:cs="Arial" w:eastAsia="Arial" w:hAnsi="Arial"/>
                <w:sz w:val="14"/>
                <w:szCs w:val="14"/>
                <w:color w:val="auto"/>
              </w:rPr>
              <w:t>7</w:t>
            </w:r>
          </w:p>
        </w:tc>
        <w:tc>
          <w:tcPr>
            <w:tcW w:w="760" w:type="dxa"/>
            <w:vAlign w:val="bottom"/>
          </w:tcPr>
          <w:p>
            <w:pPr>
              <w:spacing w:after="0"/>
              <w:rPr>
                <w:sz w:val="18"/>
                <w:szCs w:val="18"/>
                <w:color w:val="auto"/>
              </w:rPr>
            </w:pPr>
          </w:p>
        </w:tc>
        <w:tc>
          <w:tcPr>
            <w:tcW w:w="52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9"/>
              <w:spacing w:after="0"/>
              <w:rPr>
                <w:sz w:val="20"/>
                <w:szCs w:val="20"/>
                <w:color w:val="auto"/>
              </w:rPr>
            </w:pPr>
            <w:r>
              <w:rPr>
                <w:rFonts w:ascii="Arial" w:cs="Arial" w:eastAsia="Arial" w:hAnsi="Arial"/>
                <w:sz w:val="14"/>
                <w:szCs w:val="14"/>
                <w:color w:val="auto"/>
              </w:rPr>
              <w:t>(10)</w:t>
            </w:r>
          </w:p>
        </w:tc>
        <w:tc>
          <w:tcPr>
            <w:tcW w:w="6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9"/>
              <w:spacing w:after="0"/>
              <w:rPr>
                <w:sz w:val="20"/>
                <w:szCs w:val="20"/>
                <w:color w:val="auto"/>
              </w:rPr>
            </w:pPr>
            <w:r>
              <w:rPr>
                <w:rFonts w:ascii="Arial" w:cs="Arial" w:eastAsia="Arial" w:hAnsi="Arial"/>
                <w:sz w:val="14"/>
                <w:szCs w:val="14"/>
                <w:color w:val="auto"/>
              </w:rPr>
              <w:t>18</w:t>
            </w:r>
          </w:p>
        </w:tc>
        <w:tc>
          <w:tcPr>
            <w:tcW w:w="7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9"/>
              <w:spacing w:after="0"/>
              <w:rPr>
                <w:sz w:val="20"/>
                <w:szCs w:val="20"/>
                <w:color w:val="auto"/>
              </w:rPr>
            </w:pPr>
            <w:r>
              <w:rPr>
                <w:rFonts w:ascii="Arial" w:cs="Arial" w:eastAsia="Arial" w:hAnsi="Arial"/>
                <w:sz w:val="14"/>
                <w:szCs w:val="14"/>
                <w:color w:val="auto"/>
              </w:rPr>
              <w:t>(12)</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4"/>
        </w:trPr>
        <w:tc>
          <w:tcPr>
            <w:tcW w:w="3080" w:type="dxa"/>
            <w:vAlign w:val="bottom"/>
          </w:tcPr>
          <w:p>
            <w:pPr>
              <w:ind w:left="120"/>
              <w:spacing w:after="0"/>
              <w:rPr>
                <w:sz w:val="20"/>
                <w:szCs w:val="20"/>
                <w:color w:val="auto"/>
              </w:rPr>
            </w:pPr>
            <w:r>
              <w:rPr>
                <w:rFonts w:ascii="Arial" w:cs="Arial" w:eastAsia="Arial" w:hAnsi="Arial"/>
                <w:sz w:val="14"/>
                <w:szCs w:val="14"/>
                <w:color w:val="auto"/>
              </w:rPr>
              <w:t>Sempra Natural Gas</w:t>
            </w: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15</w:t>
            </w:r>
          </w:p>
        </w:tc>
        <w:tc>
          <w:tcPr>
            <w:tcW w:w="7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13</w:t>
            </w:r>
          </w:p>
        </w:tc>
        <w:tc>
          <w:tcPr>
            <w:tcW w:w="6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44</w:t>
            </w:r>
          </w:p>
        </w:tc>
        <w:tc>
          <w:tcPr>
            <w:tcW w:w="7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33</w:t>
            </w:r>
          </w:p>
        </w:tc>
        <w:tc>
          <w:tcPr>
            <w:tcW w:w="4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r>
      <w:tr>
        <w:trPr>
          <w:trHeight w:val="246"/>
        </w:trPr>
        <w:tc>
          <w:tcPr>
            <w:tcW w:w="3080" w:type="dxa"/>
            <w:vAlign w:val="bottom"/>
          </w:tcPr>
          <w:p>
            <w:pPr>
              <w:ind w:left="280"/>
              <w:spacing w:after="0"/>
              <w:rPr>
                <w:sz w:val="20"/>
                <w:szCs w:val="20"/>
                <w:color w:val="auto"/>
              </w:rPr>
            </w:pPr>
            <w:r>
              <w:rPr>
                <w:rFonts w:ascii="Arial" w:cs="Arial" w:eastAsia="Arial" w:hAnsi="Arial"/>
                <w:sz w:val="14"/>
                <w:szCs w:val="14"/>
                <w:color w:val="auto"/>
              </w:rPr>
              <w:t>Total</w:t>
            </w:r>
          </w:p>
        </w:tc>
        <w:tc>
          <w:tcPr>
            <w:tcW w:w="2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22</w:t>
            </w:r>
          </w:p>
        </w:tc>
        <w:tc>
          <w:tcPr>
            <w:tcW w:w="7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3</w:t>
            </w:r>
          </w:p>
        </w:tc>
        <w:tc>
          <w:tcPr>
            <w:tcW w:w="66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62</w:t>
            </w:r>
          </w:p>
        </w:tc>
        <w:tc>
          <w:tcPr>
            <w:tcW w:w="7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21</w:t>
            </w:r>
          </w:p>
        </w:tc>
        <w:tc>
          <w:tcPr>
            <w:tcW w:w="4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r>
      <w:tr>
        <w:trPr>
          <w:trHeight w:val="228"/>
        </w:trPr>
        <w:tc>
          <w:tcPr>
            <w:tcW w:w="3300" w:type="dxa"/>
            <w:vAlign w:val="bottom"/>
            <w:gridSpan w:val="2"/>
          </w:tcPr>
          <w:p>
            <w:pPr>
              <w:spacing w:after="0"/>
              <w:rPr>
                <w:sz w:val="20"/>
                <w:szCs w:val="20"/>
                <w:color w:val="auto"/>
              </w:rPr>
            </w:pPr>
            <w:r>
              <w:rPr>
                <w:rFonts w:ascii="Arial" w:cs="Arial" w:eastAsia="Arial" w:hAnsi="Arial"/>
                <w:sz w:val="14"/>
                <w:szCs w:val="14"/>
                <w:color w:val="auto"/>
              </w:rPr>
              <w:t>Earnings (losses) recorded net of tax:</w:t>
            </w: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13"/>
        </w:trPr>
        <w:tc>
          <w:tcPr>
            <w:tcW w:w="3300" w:type="dxa"/>
            <w:vAlign w:val="bottom"/>
            <w:gridSpan w:val="2"/>
          </w:tcPr>
          <w:p>
            <w:pPr>
              <w:ind w:left="120"/>
              <w:spacing w:after="0"/>
              <w:rPr>
                <w:sz w:val="20"/>
                <w:szCs w:val="20"/>
                <w:color w:val="auto"/>
              </w:rPr>
            </w:pPr>
            <w:r>
              <w:rPr>
                <w:rFonts w:ascii="Arial" w:cs="Arial" w:eastAsia="Arial" w:hAnsi="Arial"/>
                <w:sz w:val="14"/>
                <w:szCs w:val="14"/>
                <w:color w:val="auto"/>
              </w:rPr>
              <w:t>Sempra South American Utilities</w:t>
            </w:r>
          </w:p>
        </w:tc>
        <w:tc>
          <w:tcPr>
            <w:tcW w:w="580" w:type="dxa"/>
            <w:vAlign w:val="bottom"/>
          </w:tcPr>
          <w:p>
            <w:pPr>
              <w:jc w:val="right"/>
              <w:ind w:right="369"/>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109"/>
              <w:spacing w:after="0"/>
              <w:rPr>
                <w:sz w:val="20"/>
                <w:szCs w:val="20"/>
                <w:color w:val="auto"/>
              </w:rPr>
            </w:pPr>
            <w:r>
              <w:rPr>
                <w:rFonts w:ascii="Arial" w:cs="Arial" w:eastAsia="Arial" w:hAnsi="Arial"/>
                <w:sz w:val="14"/>
                <w:szCs w:val="14"/>
                <w:color w:val="auto"/>
              </w:rPr>
              <w:t>(2)</w:t>
            </w:r>
          </w:p>
        </w:tc>
        <w:tc>
          <w:tcPr>
            <w:tcW w:w="760" w:type="dxa"/>
            <w:vAlign w:val="bottom"/>
          </w:tcPr>
          <w:p>
            <w:pPr>
              <w:spacing w:after="0"/>
              <w:rPr>
                <w:sz w:val="18"/>
                <w:szCs w:val="18"/>
                <w:color w:val="auto"/>
              </w:rPr>
            </w:pPr>
          </w:p>
        </w:tc>
        <w:tc>
          <w:tcPr>
            <w:tcW w:w="52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9"/>
              <w:spacing w:after="0"/>
              <w:rPr>
                <w:sz w:val="20"/>
                <w:szCs w:val="20"/>
                <w:color w:val="auto"/>
              </w:rPr>
            </w:pPr>
            <w:r>
              <w:rPr>
                <w:rFonts w:ascii="Arial" w:cs="Arial" w:eastAsia="Arial" w:hAnsi="Arial"/>
                <w:sz w:val="14"/>
                <w:szCs w:val="14"/>
                <w:color w:val="auto"/>
              </w:rPr>
              <w:t>(4)</w:t>
            </w:r>
          </w:p>
        </w:tc>
        <w:tc>
          <w:tcPr>
            <w:tcW w:w="7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9"/>
              <w:spacing w:after="0"/>
              <w:rPr>
                <w:sz w:val="20"/>
                <w:szCs w:val="20"/>
                <w:color w:val="auto"/>
              </w:rPr>
            </w:pPr>
            <w:r>
              <w:rPr>
                <w:rFonts w:ascii="Arial" w:cs="Arial" w:eastAsia="Arial" w:hAnsi="Arial"/>
                <w:sz w:val="14"/>
                <w:szCs w:val="14"/>
                <w:color w:val="auto"/>
              </w:rPr>
              <w:t>(14)</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197"/>
        </w:trPr>
        <w:tc>
          <w:tcPr>
            <w:tcW w:w="3080" w:type="dxa"/>
            <w:vAlign w:val="bottom"/>
          </w:tcPr>
          <w:p>
            <w:pPr>
              <w:ind w:left="120"/>
              <w:spacing w:after="0"/>
              <w:rPr>
                <w:sz w:val="20"/>
                <w:szCs w:val="20"/>
                <w:color w:val="auto"/>
              </w:rPr>
            </w:pPr>
            <w:r>
              <w:rPr>
                <w:rFonts w:ascii="Arial" w:cs="Arial" w:eastAsia="Arial" w:hAnsi="Arial"/>
                <w:sz w:val="14"/>
                <w:szCs w:val="14"/>
                <w:color w:val="auto"/>
              </w:rPr>
              <w:t>Sempra Mexico</w:t>
            </w: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9</w:t>
            </w:r>
          </w:p>
        </w:tc>
        <w:tc>
          <w:tcPr>
            <w:tcW w:w="7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8</w:t>
            </w:r>
          </w:p>
        </w:tc>
        <w:tc>
          <w:tcPr>
            <w:tcW w:w="6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26</w:t>
            </w:r>
          </w:p>
        </w:tc>
        <w:tc>
          <w:tcPr>
            <w:tcW w:w="7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27</w:t>
            </w:r>
          </w:p>
        </w:tc>
        <w:tc>
          <w:tcPr>
            <w:tcW w:w="4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r>
      <w:tr>
        <w:trPr>
          <w:trHeight w:val="212"/>
        </w:trPr>
        <w:tc>
          <w:tcPr>
            <w:tcW w:w="330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color w:val="auto"/>
              </w:rPr>
              <w:t>Total</w:t>
            </w:r>
          </w:p>
        </w:tc>
        <w:tc>
          <w:tcPr>
            <w:tcW w:w="58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7</w:t>
            </w:r>
          </w:p>
        </w:tc>
        <w:tc>
          <w:tcPr>
            <w:tcW w:w="7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8</w:t>
            </w:r>
          </w:p>
        </w:tc>
        <w:tc>
          <w:tcPr>
            <w:tcW w:w="6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22</w:t>
            </w:r>
          </w:p>
        </w:tc>
        <w:tc>
          <w:tcPr>
            <w:tcW w:w="7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13</w:t>
            </w:r>
          </w:p>
        </w:tc>
        <w:tc>
          <w:tcPr>
            <w:tcW w:w="4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r>
      <w:tr>
        <w:trPr>
          <w:trHeight w:val="217"/>
        </w:trPr>
        <w:tc>
          <w:tcPr>
            <w:tcW w:w="3300" w:type="dxa"/>
            <w:vAlign w:val="bottom"/>
            <w:gridSpan w:val="2"/>
          </w:tcPr>
          <w:p>
            <w:pPr>
              <w:spacing w:after="0"/>
              <w:rPr>
                <w:sz w:val="20"/>
                <w:szCs w:val="20"/>
                <w:color w:val="auto"/>
              </w:rPr>
            </w:pPr>
            <w:r>
              <w:rPr>
                <w:rFonts w:ascii="Arial" w:cs="Arial" w:eastAsia="Arial" w:hAnsi="Arial"/>
                <w:sz w:val="14"/>
                <w:szCs w:val="14"/>
                <w:color w:val="auto"/>
              </w:rPr>
              <w:t>EARNINGS (LOSSES)</w:t>
            </w: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170"/>
        </w:trPr>
        <w:tc>
          <w:tcPr>
            <w:tcW w:w="3300" w:type="dxa"/>
            <w:vAlign w:val="bottom"/>
            <w:gridSpan w:val="2"/>
          </w:tcPr>
          <w:p>
            <w:pPr>
              <w:ind w:left="120"/>
              <w:spacing w:after="0"/>
              <w:rPr>
                <w:sz w:val="20"/>
                <w:szCs w:val="20"/>
                <w:color w:val="auto"/>
              </w:rPr>
            </w:pPr>
            <w:r>
              <w:rPr>
                <w:rFonts w:ascii="Arial" w:cs="Arial" w:eastAsia="Arial" w:hAnsi="Arial"/>
                <w:sz w:val="14"/>
                <w:szCs w:val="14"/>
                <w:color w:val="auto"/>
              </w:rPr>
              <w:t>SDG&amp;E(2)</w:t>
            </w:r>
          </w:p>
        </w:tc>
        <w:tc>
          <w:tcPr>
            <w:tcW w:w="580" w:type="dxa"/>
            <w:vAlign w:val="bottom"/>
          </w:tcPr>
          <w:p>
            <w:pPr>
              <w:jc w:val="right"/>
              <w:ind w:right="369"/>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109"/>
              <w:spacing w:after="0"/>
              <w:rPr>
                <w:sz w:val="20"/>
                <w:szCs w:val="20"/>
                <w:color w:val="auto"/>
              </w:rPr>
            </w:pPr>
            <w:r>
              <w:rPr>
                <w:rFonts w:ascii="Arial" w:cs="Arial" w:eastAsia="Arial" w:hAnsi="Arial"/>
                <w:sz w:val="14"/>
                <w:szCs w:val="14"/>
                <w:color w:val="auto"/>
              </w:rPr>
              <w:t>157</w:t>
            </w:r>
          </w:p>
        </w:tc>
        <w:tc>
          <w:tcPr>
            <w:tcW w:w="760" w:type="dxa"/>
            <w:vAlign w:val="bottom"/>
          </w:tcPr>
          <w:p>
            <w:pPr>
              <w:jc w:val="right"/>
              <w:ind w:right="89"/>
              <w:spacing w:after="0"/>
              <w:rPr>
                <w:sz w:val="20"/>
                <w:szCs w:val="20"/>
                <w:color w:val="auto"/>
              </w:rPr>
            </w:pPr>
            <w:r>
              <w:rPr>
                <w:rFonts w:ascii="Arial" w:cs="Arial" w:eastAsia="Arial" w:hAnsi="Arial"/>
                <w:sz w:val="14"/>
                <w:szCs w:val="14"/>
                <w:color w:val="auto"/>
              </w:rPr>
              <w:t>45 %</w:t>
            </w:r>
          </w:p>
        </w:tc>
        <w:tc>
          <w:tcPr>
            <w:tcW w:w="52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9"/>
              <w:spacing w:after="0"/>
              <w:rPr>
                <w:sz w:val="20"/>
                <w:szCs w:val="20"/>
                <w:color w:val="auto"/>
              </w:rPr>
            </w:pPr>
            <w:r>
              <w:rPr>
                <w:rFonts w:ascii="Arial" w:cs="Arial" w:eastAsia="Arial" w:hAnsi="Arial"/>
                <w:sz w:val="14"/>
                <w:szCs w:val="14"/>
                <w:color w:val="auto"/>
              </w:rPr>
              <w:t>129</w:t>
            </w:r>
          </w:p>
        </w:tc>
        <w:tc>
          <w:tcPr>
            <w:tcW w:w="660" w:type="dxa"/>
            <w:vAlign w:val="bottom"/>
          </w:tcPr>
          <w:p>
            <w:pPr>
              <w:jc w:val="right"/>
              <w:spacing w:after="0"/>
              <w:rPr>
                <w:sz w:val="20"/>
                <w:szCs w:val="20"/>
                <w:color w:val="auto"/>
              </w:rPr>
            </w:pPr>
            <w:r>
              <w:rPr>
                <w:rFonts w:ascii="Arial" w:cs="Arial" w:eastAsia="Arial" w:hAnsi="Arial"/>
                <w:sz w:val="14"/>
                <w:szCs w:val="14"/>
                <w:color w:val="auto"/>
              </w:rPr>
              <w:t>44 %</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9"/>
              <w:spacing w:after="0"/>
              <w:rPr>
                <w:sz w:val="20"/>
                <w:szCs w:val="20"/>
                <w:color w:val="auto"/>
              </w:rPr>
            </w:pPr>
            <w:r>
              <w:rPr>
                <w:rFonts w:ascii="Arial" w:cs="Arial" w:eastAsia="Arial" w:hAnsi="Arial"/>
                <w:sz w:val="14"/>
                <w:szCs w:val="14"/>
                <w:color w:val="auto"/>
              </w:rPr>
              <w:t>379</w:t>
            </w:r>
          </w:p>
        </w:tc>
        <w:tc>
          <w:tcPr>
            <w:tcW w:w="780" w:type="dxa"/>
            <w:vAlign w:val="bottom"/>
          </w:tcPr>
          <w:p>
            <w:pPr>
              <w:jc w:val="right"/>
              <w:ind w:right="89"/>
              <w:spacing w:after="0"/>
              <w:rPr>
                <w:sz w:val="20"/>
                <w:szCs w:val="20"/>
                <w:color w:val="auto"/>
              </w:rPr>
            </w:pPr>
            <w:r>
              <w:rPr>
                <w:rFonts w:ascii="Arial" w:cs="Arial" w:eastAsia="Arial" w:hAnsi="Arial"/>
                <w:sz w:val="14"/>
                <w:szCs w:val="14"/>
                <w:color w:val="auto"/>
              </w:rPr>
              <w:t>44 %</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9"/>
              <w:spacing w:after="0"/>
              <w:rPr>
                <w:sz w:val="20"/>
                <w:szCs w:val="20"/>
                <w:color w:val="auto"/>
              </w:rPr>
            </w:pPr>
            <w:r>
              <w:rPr>
                <w:rFonts w:ascii="Arial" w:cs="Arial" w:eastAsia="Arial" w:hAnsi="Arial"/>
                <w:sz w:val="14"/>
                <w:szCs w:val="14"/>
                <w:color w:val="auto"/>
              </w:rPr>
              <w:t>285</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40 %</w:t>
            </w:r>
          </w:p>
        </w:tc>
      </w:tr>
      <w:tr>
        <w:trPr>
          <w:trHeight w:val="213"/>
        </w:trPr>
        <w:tc>
          <w:tcPr>
            <w:tcW w:w="3300" w:type="dxa"/>
            <w:vAlign w:val="bottom"/>
            <w:gridSpan w:val="2"/>
          </w:tcPr>
          <w:p>
            <w:pPr>
              <w:ind w:left="120"/>
              <w:spacing w:after="0"/>
              <w:rPr>
                <w:sz w:val="20"/>
                <w:szCs w:val="20"/>
                <w:color w:val="auto"/>
              </w:rPr>
            </w:pPr>
            <w:r>
              <w:rPr>
                <w:rFonts w:ascii="Arial" w:cs="Arial" w:eastAsia="Arial" w:hAnsi="Arial"/>
                <w:sz w:val="14"/>
                <w:szCs w:val="14"/>
                <w:color w:val="auto"/>
              </w:rPr>
              <w:t>SoCalGas(3)</w:t>
            </w:r>
          </w:p>
        </w:tc>
        <w:tc>
          <w:tcPr>
            <w:tcW w:w="580" w:type="dxa"/>
            <w:vAlign w:val="bottom"/>
          </w:tcPr>
          <w:p>
            <w:pPr>
              <w:spacing w:after="0"/>
              <w:rPr>
                <w:sz w:val="18"/>
                <w:szCs w:val="18"/>
                <w:color w:val="auto"/>
              </w:rPr>
            </w:pPr>
          </w:p>
        </w:tc>
        <w:tc>
          <w:tcPr>
            <w:tcW w:w="600" w:type="dxa"/>
            <w:vAlign w:val="bottom"/>
          </w:tcPr>
          <w:p>
            <w:pPr>
              <w:jc w:val="right"/>
              <w:ind w:right="109"/>
              <w:spacing w:after="0"/>
              <w:rPr>
                <w:sz w:val="20"/>
                <w:szCs w:val="20"/>
                <w:color w:val="auto"/>
              </w:rPr>
            </w:pPr>
            <w:r>
              <w:rPr>
                <w:rFonts w:ascii="Arial" w:cs="Arial" w:eastAsia="Arial" w:hAnsi="Arial"/>
                <w:sz w:val="14"/>
                <w:szCs w:val="14"/>
                <w:color w:val="auto"/>
              </w:rPr>
              <w:t>98</w:t>
            </w:r>
          </w:p>
        </w:tc>
        <w:tc>
          <w:tcPr>
            <w:tcW w:w="760" w:type="dxa"/>
            <w:vAlign w:val="bottom"/>
          </w:tcPr>
          <w:p>
            <w:pPr>
              <w:jc w:val="right"/>
              <w:ind w:right="269"/>
              <w:spacing w:after="0"/>
              <w:rPr>
                <w:sz w:val="20"/>
                <w:szCs w:val="20"/>
                <w:color w:val="auto"/>
              </w:rPr>
            </w:pPr>
            <w:r>
              <w:rPr>
                <w:rFonts w:ascii="Arial" w:cs="Arial" w:eastAsia="Arial" w:hAnsi="Arial"/>
                <w:sz w:val="14"/>
                <w:szCs w:val="14"/>
                <w:color w:val="auto"/>
              </w:rPr>
              <w:t>28</w:t>
            </w:r>
          </w:p>
        </w:tc>
        <w:tc>
          <w:tcPr>
            <w:tcW w:w="520" w:type="dxa"/>
            <w:vAlign w:val="bottom"/>
          </w:tcPr>
          <w:p>
            <w:pPr>
              <w:spacing w:after="0"/>
              <w:rPr>
                <w:sz w:val="18"/>
                <w:szCs w:val="18"/>
                <w:color w:val="auto"/>
              </w:rPr>
            </w:pPr>
          </w:p>
        </w:tc>
        <w:tc>
          <w:tcPr>
            <w:tcW w:w="780" w:type="dxa"/>
            <w:vAlign w:val="bottom"/>
          </w:tcPr>
          <w:p>
            <w:pPr>
              <w:jc w:val="right"/>
              <w:ind w:right="109"/>
              <w:spacing w:after="0"/>
              <w:rPr>
                <w:sz w:val="20"/>
                <w:szCs w:val="20"/>
                <w:color w:val="auto"/>
              </w:rPr>
            </w:pPr>
            <w:r>
              <w:rPr>
                <w:rFonts w:ascii="Arial" w:cs="Arial" w:eastAsia="Arial" w:hAnsi="Arial"/>
                <w:sz w:val="14"/>
                <w:szCs w:val="14"/>
                <w:color w:val="auto"/>
              </w:rPr>
              <w:t>102</w:t>
            </w:r>
          </w:p>
        </w:tc>
        <w:tc>
          <w:tcPr>
            <w:tcW w:w="660" w:type="dxa"/>
            <w:vAlign w:val="bottom"/>
          </w:tcPr>
          <w:p>
            <w:pPr>
              <w:jc w:val="right"/>
              <w:ind w:right="169"/>
              <w:spacing w:after="0"/>
              <w:rPr>
                <w:sz w:val="20"/>
                <w:szCs w:val="20"/>
                <w:color w:val="auto"/>
              </w:rPr>
            </w:pPr>
            <w:r>
              <w:rPr>
                <w:rFonts w:ascii="Arial" w:cs="Arial" w:eastAsia="Arial" w:hAnsi="Arial"/>
                <w:sz w:val="14"/>
                <w:szCs w:val="14"/>
                <w:color w:val="auto"/>
              </w:rPr>
              <w:t>34</w:t>
            </w:r>
          </w:p>
        </w:tc>
        <w:tc>
          <w:tcPr>
            <w:tcW w:w="380" w:type="dxa"/>
            <w:vAlign w:val="bottom"/>
          </w:tcPr>
          <w:p>
            <w:pPr>
              <w:spacing w:after="0"/>
              <w:rPr>
                <w:sz w:val="18"/>
                <w:szCs w:val="18"/>
                <w:color w:val="auto"/>
              </w:rPr>
            </w:pPr>
          </w:p>
        </w:tc>
        <w:tc>
          <w:tcPr>
            <w:tcW w:w="1040" w:type="dxa"/>
            <w:vAlign w:val="bottom"/>
          </w:tcPr>
          <w:p>
            <w:pPr>
              <w:jc w:val="right"/>
              <w:ind w:right="109"/>
              <w:spacing w:after="0"/>
              <w:rPr>
                <w:sz w:val="20"/>
                <w:szCs w:val="20"/>
                <w:color w:val="auto"/>
              </w:rPr>
            </w:pPr>
            <w:r>
              <w:rPr>
                <w:rFonts w:ascii="Arial" w:cs="Arial" w:eastAsia="Arial" w:hAnsi="Arial"/>
                <w:sz w:val="14"/>
                <w:szCs w:val="14"/>
                <w:color w:val="auto"/>
              </w:rPr>
              <w:t>256</w:t>
            </w:r>
          </w:p>
        </w:tc>
        <w:tc>
          <w:tcPr>
            <w:tcW w:w="780" w:type="dxa"/>
            <w:vAlign w:val="bottom"/>
          </w:tcPr>
          <w:p>
            <w:pPr>
              <w:jc w:val="right"/>
              <w:ind w:right="269"/>
              <w:spacing w:after="0"/>
              <w:rPr>
                <w:sz w:val="20"/>
                <w:szCs w:val="20"/>
                <w:color w:val="auto"/>
              </w:rPr>
            </w:pPr>
            <w:r>
              <w:rPr>
                <w:rFonts w:ascii="Arial" w:cs="Arial" w:eastAsia="Arial" w:hAnsi="Arial"/>
                <w:sz w:val="14"/>
                <w:szCs w:val="14"/>
                <w:color w:val="auto"/>
              </w:rPr>
              <w:t>30</w:t>
            </w:r>
          </w:p>
        </w:tc>
        <w:tc>
          <w:tcPr>
            <w:tcW w:w="300" w:type="dxa"/>
            <w:vAlign w:val="bottom"/>
          </w:tcPr>
          <w:p>
            <w:pPr>
              <w:spacing w:after="0"/>
              <w:rPr>
                <w:sz w:val="18"/>
                <w:szCs w:val="18"/>
                <w:color w:val="auto"/>
              </w:rPr>
            </w:pPr>
          </w:p>
        </w:tc>
        <w:tc>
          <w:tcPr>
            <w:tcW w:w="1020" w:type="dxa"/>
            <w:vAlign w:val="bottom"/>
          </w:tcPr>
          <w:p>
            <w:pPr>
              <w:jc w:val="right"/>
              <w:ind w:right="109"/>
              <w:spacing w:after="0"/>
              <w:rPr>
                <w:sz w:val="20"/>
                <w:szCs w:val="20"/>
                <w:color w:val="auto"/>
              </w:rPr>
            </w:pPr>
            <w:r>
              <w:rPr>
                <w:rFonts w:ascii="Arial" w:cs="Arial" w:eastAsia="Arial" w:hAnsi="Arial"/>
                <w:sz w:val="14"/>
                <w:szCs w:val="14"/>
                <w:color w:val="auto"/>
              </w:rPr>
              <w:t>266</w:t>
            </w:r>
          </w:p>
        </w:tc>
        <w:tc>
          <w:tcPr>
            <w:tcW w:w="480" w:type="dxa"/>
            <w:vAlign w:val="bottom"/>
          </w:tcPr>
          <w:p>
            <w:pPr>
              <w:jc w:val="right"/>
              <w:spacing w:after="0"/>
              <w:rPr>
                <w:sz w:val="20"/>
                <w:szCs w:val="20"/>
                <w:color w:val="auto"/>
              </w:rPr>
            </w:pPr>
            <w:r>
              <w:rPr>
                <w:rFonts w:ascii="Arial" w:cs="Arial" w:eastAsia="Arial" w:hAnsi="Arial"/>
                <w:sz w:val="14"/>
                <w:szCs w:val="14"/>
                <w:color w:val="auto"/>
              </w:rPr>
              <w:t>37</w:t>
            </w:r>
          </w:p>
        </w:tc>
        <w:tc>
          <w:tcPr>
            <w:tcW w:w="220" w:type="dxa"/>
            <w:vAlign w:val="bottom"/>
          </w:tcPr>
          <w:p>
            <w:pPr>
              <w:spacing w:after="0"/>
              <w:rPr>
                <w:sz w:val="18"/>
                <w:szCs w:val="18"/>
                <w:color w:val="auto"/>
              </w:rPr>
            </w:pPr>
          </w:p>
        </w:tc>
      </w:tr>
      <w:tr>
        <w:trPr>
          <w:trHeight w:val="213"/>
        </w:trPr>
        <w:tc>
          <w:tcPr>
            <w:tcW w:w="3300" w:type="dxa"/>
            <w:vAlign w:val="bottom"/>
            <w:gridSpan w:val="2"/>
          </w:tcPr>
          <w:p>
            <w:pPr>
              <w:ind w:left="120"/>
              <w:spacing w:after="0"/>
              <w:rPr>
                <w:sz w:val="20"/>
                <w:szCs w:val="20"/>
                <w:color w:val="auto"/>
              </w:rPr>
            </w:pPr>
            <w:r>
              <w:rPr>
                <w:rFonts w:ascii="Arial" w:cs="Arial" w:eastAsia="Arial" w:hAnsi="Arial"/>
                <w:sz w:val="14"/>
                <w:szCs w:val="14"/>
                <w:color w:val="auto"/>
              </w:rPr>
              <w:t>Sempra South American Utilities</w:t>
            </w:r>
          </w:p>
        </w:tc>
        <w:tc>
          <w:tcPr>
            <w:tcW w:w="580" w:type="dxa"/>
            <w:vAlign w:val="bottom"/>
          </w:tcPr>
          <w:p>
            <w:pPr>
              <w:spacing w:after="0"/>
              <w:rPr>
                <w:sz w:val="18"/>
                <w:szCs w:val="18"/>
                <w:color w:val="auto"/>
              </w:rPr>
            </w:pPr>
          </w:p>
        </w:tc>
        <w:tc>
          <w:tcPr>
            <w:tcW w:w="600" w:type="dxa"/>
            <w:vAlign w:val="bottom"/>
          </w:tcPr>
          <w:p>
            <w:pPr>
              <w:jc w:val="right"/>
              <w:ind w:right="109"/>
              <w:spacing w:after="0"/>
              <w:rPr>
                <w:sz w:val="20"/>
                <w:szCs w:val="20"/>
                <w:color w:val="auto"/>
              </w:rPr>
            </w:pPr>
            <w:r>
              <w:rPr>
                <w:rFonts w:ascii="Arial" w:cs="Arial" w:eastAsia="Arial" w:hAnsi="Arial"/>
                <w:sz w:val="14"/>
                <w:szCs w:val="14"/>
                <w:color w:val="auto"/>
              </w:rPr>
              <w:t>32</w:t>
            </w:r>
          </w:p>
        </w:tc>
        <w:tc>
          <w:tcPr>
            <w:tcW w:w="760" w:type="dxa"/>
            <w:vAlign w:val="bottom"/>
          </w:tcPr>
          <w:p>
            <w:pPr>
              <w:jc w:val="right"/>
              <w:ind w:right="269"/>
              <w:spacing w:after="0"/>
              <w:rPr>
                <w:sz w:val="20"/>
                <w:szCs w:val="20"/>
                <w:color w:val="auto"/>
              </w:rPr>
            </w:pPr>
            <w:r>
              <w:rPr>
                <w:rFonts w:ascii="Arial" w:cs="Arial" w:eastAsia="Arial" w:hAnsi="Arial"/>
                <w:sz w:val="14"/>
                <w:szCs w:val="14"/>
                <w:color w:val="auto"/>
              </w:rPr>
              <w:t>9</w:t>
            </w:r>
          </w:p>
        </w:tc>
        <w:tc>
          <w:tcPr>
            <w:tcW w:w="520" w:type="dxa"/>
            <w:vAlign w:val="bottom"/>
          </w:tcPr>
          <w:p>
            <w:pPr>
              <w:spacing w:after="0"/>
              <w:rPr>
                <w:sz w:val="18"/>
                <w:szCs w:val="18"/>
                <w:color w:val="auto"/>
              </w:rPr>
            </w:pPr>
          </w:p>
        </w:tc>
        <w:tc>
          <w:tcPr>
            <w:tcW w:w="780" w:type="dxa"/>
            <w:vAlign w:val="bottom"/>
          </w:tcPr>
          <w:p>
            <w:pPr>
              <w:jc w:val="right"/>
              <w:ind w:right="109"/>
              <w:spacing w:after="0"/>
              <w:rPr>
                <w:sz w:val="20"/>
                <w:szCs w:val="20"/>
                <w:color w:val="auto"/>
              </w:rPr>
            </w:pPr>
            <w:r>
              <w:rPr>
                <w:rFonts w:ascii="Arial" w:cs="Arial" w:eastAsia="Arial" w:hAnsi="Arial"/>
                <w:sz w:val="14"/>
                <w:szCs w:val="14"/>
                <w:color w:val="auto"/>
              </w:rPr>
              <w:t>39</w:t>
            </w:r>
          </w:p>
        </w:tc>
        <w:tc>
          <w:tcPr>
            <w:tcW w:w="660" w:type="dxa"/>
            <w:vAlign w:val="bottom"/>
          </w:tcPr>
          <w:p>
            <w:pPr>
              <w:jc w:val="right"/>
              <w:ind w:right="169"/>
              <w:spacing w:after="0"/>
              <w:rPr>
                <w:sz w:val="20"/>
                <w:szCs w:val="20"/>
                <w:color w:val="auto"/>
              </w:rPr>
            </w:pPr>
            <w:r>
              <w:rPr>
                <w:rFonts w:ascii="Arial" w:cs="Arial" w:eastAsia="Arial" w:hAnsi="Arial"/>
                <w:sz w:val="14"/>
                <w:szCs w:val="14"/>
                <w:color w:val="auto"/>
              </w:rPr>
              <w:t>13</w:t>
            </w:r>
          </w:p>
        </w:tc>
        <w:tc>
          <w:tcPr>
            <w:tcW w:w="380" w:type="dxa"/>
            <w:vAlign w:val="bottom"/>
          </w:tcPr>
          <w:p>
            <w:pPr>
              <w:spacing w:after="0"/>
              <w:rPr>
                <w:sz w:val="18"/>
                <w:szCs w:val="18"/>
                <w:color w:val="auto"/>
              </w:rPr>
            </w:pPr>
          </w:p>
        </w:tc>
        <w:tc>
          <w:tcPr>
            <w:tcW w:w="1040" w:type="dxa"/>
            <w:vAlign w:val="bottom"/>
          </w:tcPr>
          <w:p>
            <w:pPr>
              <w:jc w:val="right"/>
              <w:ind w:right="109"/>
              <w:spacing w:after="0"/>
              <w:rPr>
                <w:sz w:val="20"/>
                <w:szCs w:val="20"/>
                <w:color w:val="auto"/>
              </w:rPr>
            </w:pPr>
            <w:r>
              <w:rPr>
                <w:rFonts w:ascii="Arial" w:cs="Arial" w:eastAsia="Arial" w:hAnsi="Arial"/>
                <w:sz w:val="14"/>
                <w:szCs w:val="14"/>
                <w:color w:val="auto"/>
              </w:rPr>
              <w:t>109</w:t>
            </w:r>
          </w:p>
        </w:tc>
        <w:tc>
          <w:tcPr>
            <w:tcW w:w="780" w:type="dxa"/>
            <w:vAlign w:val="bottom"/>
          </w:tcPr>
          <w:p>
            <w:pPr>
              <w:jc w:val="right"/>
              <w:ind w:right="269"/>
              <w:spacing w:after="0"/>
              <w:rPr>
                <w:sz w:val="20"/>
                <w:szCs w:val="20"/>
                <w:color w:val="auto"/>
              </w:rPr>
            </w:pPr>
            <w:r>
              <w:rPr>
                <w:rFonts w:ascii="Arial" w:cs="Arial" w:eastAsia="Arial" w:hAnsi="Arial"/>
                <w:sz w:val="14"/>
                <w:szCs w:val="14"/>
                <w:color w:val="auto"/>
              </w:rPr>
              <w:t>13</w:t>
            </w:r>
          </w:p>
        </w:tc>
        <w:tc>
          <w:tcPr>
            <w:tcW w:w="300" w:type="dxa"/>
            <w:vAlign w:val="bottom"/>
          </w:tcPr>
          <w:p>
            <w:pPr>
              <w:spacing w:after="0"/>
              <w:rPr>
                <w:sz w:val="18"/>
                <w:szCs w:val="18"/>
                <w:color w:val="auto"/>
              </w:rPr>
            </w:pPr>
          </w:p>
        </w:tc>
        <w:tc>
          <w:tcPr>
            <w:tcW w:w="1020" w:type="dxa"/>
            <w:vAlign w:val="bottom"/>
          </w:tcPr>
          <w:p>
            <w:pPr>
              <w:jc w:val="right"/>
              <w:ind w:right="109"/>
              <w:spacing w:after="0"/>
              <w:rPr>
                <w:sz w:val="20"/>
                <w:szCs w:val="20"/>
                <w:color w:val="auto"/>
              </w:rPr>
            </w:pPr>
            <w:r>
              <w:rPr>
                <w:rFonts w:ascii="Arial" w:cs="Arial" w:eastAsia="Arial" w:hAnsi="Arial"/>
                <w:sz w:val="14"/>
                <w:szCs w:val="14"/>
                <w:color w:val="auto"/>
              </w:rPr>
              <w:t>110</w:t>
            </w:r>
          </w:p>
        </w:tc>
        <w:tc>
          <w:tcPr>
            <w:tcW w:w="480" w:type="dxa"/>
            <w:vAlign w:val="bottom"/>
          </w:tcPr>
          <w:p>
            <w:pPr>
              <w:jc w:val="right"/>
              <w:spacing w:after="0"/>
              <w:rPr>
                <w:sz w:val="20"/>
                <w:szCs w:val="20"/>
                <w:color w:val="auto"/>
              </w:rPr>
            </w:pPr>
            <w:r>
              <w:rPr>
                <w:rFonts w:ascii="Arial" w:cs="Arial" w:eastAsia="Arial" w:hAnsi="Arial"/>
                <w:sz w:val="14"/>
                <w:szCs w:val="14"/>
                <w:color w:val="auto"/>
              </w:rPr>
              <w:t>15</w:t>
            </w:r>
          </w:p>
        </w:tc>
        <w:tc>
          <w:tcPr>
            <w:tcW w:w="220" w:type="dxa"/>
            <w:vAlign w:val="bottom"/>
          </w:tcPr>
          <w:p>
            <w:pPr>
              <w:spacing w:after="0"/>
              <w:rPr>
                <w:sz w:val="18"/>
                <w:szCs w:val="18"/>
                <w:color w:val="auto"/>
              </w:rPr>
            </w:pPr>
          </w:p>
        </w:tc>
      </w:tr>
      <w:tr>
        <w:trPr>
          <w:trHeight w:val="213"/>
        </w:trPr>
        <w:tc>
          <w:tcPr>
            <w:tcW w:w="3300" w:type="dxa"/>
            <w:vAlign w:val="bottom"/>
            <w:gridSpan w:val="2"/>
          </w:tcPr>
          <w:p>
            <w:pPr>
              <w:ind w:left="120"/>
              <w:spacing w:after="0"/>
              <w:rPr>
                <w:sz w:val="20"/>
                <w:szCs w:val="20"/>
                <w:color w:val="auto"/>
              </w:rPr>
            </w:pPr>
            <w:r>
              <w:rPr>
                <w:rFonts w:ascii="Arial" w:cs="Arial" w:eastAsia="Arial" w:hAnsi="Arial"/>
                <w:sz w:val="14"/>
                <w:szCs w:val="14"/>
                <w:color w:val="auto"/>
              </w:rPr>
              <w:t>Sempra Mexico</w:t>
            </w:r>
          </w:p>
        </w:tc>
        <w:tc>
          <w:tcPr>
            <w:tcW w:w="580" w:type="dxa"/>
            <w:vAlign w:val="bottom"/>
          </w:tcPr>
          <w:p>
            <w:pPr>
              <w:spacing w:after="0"/>
              <w:rPr>
                <w:sz w:val="18"/>
                <w:szCs w:val="18"/>
                <w:color w:val="auto"/>
              </w:rPr>
            </w:pPr>
          </w:p>
        </w:tc>
        <w:tc>
          <w:tcPr>
            <w:tcW w:w="600" w:type="dxa"/>
            <w:vAlign w:val="bottom"/>
          </w:tcPr>
          <w:p>
            <w:pPr>
              <w:jc w:val="right"/>
              <w:ind w:right="109"/>
              <w:spacing w:after="0"/>
              <w:rPr>
                <w:sz w:val="20"/>
                <w:szCs w:val="20"/>
                <w:color w:val="auto"/>
              </w:rPr>
            </w:pPr>
            <w:r>
              <w:rPr>
                <w:rFonts w:ascii="Arial" w:cs="Arial" w:eastAsia="Arial" w:hAnsi="Arial"/>
                <w:sz w:val="14"/>
                <w:szCs w:val="14"/>
                <w:color w:val="auto"/>
              </w:rPr>
              <w:t>63</w:t>
            </w:r>
          </w:p>
        </w:tc>
        <w:tc>
          <w:tcPr>
            <w:tcW w:w="760" w:type="dxa"/>
            <w:vAlign w:val="bottom"/>
          </w:tcPr>
          <w:p>
            <w:pPr>
              <w:jc w:val="right"/>
              <w:ind w:right="269"/>
              <w:spacing w:after="0"/>
              <w:rPr>
                <w:sz w:val="20"/>
                <w:szCs w:val="20"/>
                <w:color w:val="auto"/>
              </w:rPr>
            </w:pPr>
            <w:r>
              <w:rPr>
                <w:rFonts w:ascii="Arial" w:cs="Arial" w:eastAsia="Arial" w:hAnsi="Arial"/>
                <w:sz w:val="14"/>
                <w:szCs w:val="14"/>
                <w:color w:val="auto"/>
              </w:rPr>
              <w:t>18</w:t>
            </w:r>
          </w:p>
        </w:tc>
        <w:tc>
          <w:tcPr>
            <w:tcW w:w="520" w:type="dxa"/>
            <w:vAlign w:val="bottom"/>
          </w:tcPr>
          <w:p>
            <w:pPr>
              <w:spacing w:after="0"/>
              <w:rPr>
                <w:sz w:val="18"/>
                <w:szCs w:val="18"/>
                <w:color w:val="auto"/>
              </w:rPr>
            </w:pPr>
          </w:p>
        </w:tc>
        <w:tc>
          <w:tcPr>
            <w:tcW w:w="780" w:type="dxa"/>
            <w:vAlign w:val="bottom"/>
          </w:tcPr>
          <w:p>
            <w:pPr>
              <w:jc w:val="right"/>
              <w:ind w:right="109"/>
              <w:spacing w:after="0"/>
              <w:rPr>
                <w:sz w:val="20"/>
                <w:szCs w:val="20"/>
                <w:color w:val="auto"/>
              </w:rPr>
            </w:pPr>
            <w:r>
              <w:rPr>
                <w:rFonts w:ascii="Arial" w:cs="Arial" w:eastAsia="Arial" w:hAnsi="Arial"/>
                <w:sz w:val="14"/>
                <w:szCs w:val="14"/>
                <w:color w:val="auto"/>
              </w:rPr>
              <w:t>39</w:t>
            </w:r>
          </w:p>
        </w:tc>
        <w:tc>
          <w:tcPr>
            <w:tcW w:w="660" w:type="dxa"/>
            <w:vAlign w:val="bottom"/>
          </w:tcPr>
          <w:p>
            <w:pPr>
              <w:jc w:val="right"/>
              <w:ind w:right="169"/>
              <w:spacing w:after="0"/>
              <w:rPr>
                <w:sz w:val="20"/>
                <w:szCs w:val="20"/>
                <w:color w:val="auto"/>
              </w:rPr>
            </w:pPr>
            <w:r>
              <w:rPr>
                <w:rFonts w:ascii="Arial" w:cs="Arial" w:eastAsia="Arial" w:hAnsi="Arial"/>
                <w:sz w:val="14"/>
                <w:szCs w:val="14"/>
                <w:color w:val="auto"/>
              </w:rPr>
              <w:t>13</w:t>
            </w:r>
          </w:p>
        </w:tc>
        <w:tc>
          <w:tcPr>
            <w:tcW w:w="380" w:type="dxa"/>
            <w:vAlign w:val="bottom"/>
          </w:tcPr>
          <w:p>
            <w:pPr>
              <w:spacing w:after="0"/>
              <w:rPr>
                <w:sz w:val="18"/>
                <w:szCs w:val="18"/>
                <w:color w:val="auto"/>
              </w:rPr>
            </w:pPr>
          </w:p>
        </w:tc>
        <w:tc>
          <w:tcPr>
            <w:tcW w:w="1040" w:type="dxa"/>
            <w:vAlign w:val="bottom"/>
          </w:tcPr>
          <w:p>
            <w:pPr>
              <w:jc w:val="right"/>
              <w:ind w:right="109"/>
              <w:spacing w:after="0"/>
              <w:rPr>
                <w:sz w:val="20"/>
                <w:szCs w:val="20"/>
                <w:color w:val="auto"/>
              </w:rPr>
            </w:pPr>
            <w:r>
              <w:rPr>
                <w:rFonts w:ascii="Arial" w:cs="Arial" w:eastAsia="Arial" w:hAnsi="Arial"/>
                <w:sz w:val="14"/>
                <w:szCs w:val="14"/>
                <w:color w:val="auto"/>
              </w:rPr>
              <w:t>139</w:t>
            </w:r>
          </w:p>
        </w:tc>
        <w:tc>
          <w:tcPr>
            <w:tcW w:w="780" w:type="dxa"/>
            <w:vAlign w:val="bottom"/>
          </w:tcPr>
          <w:p>
            <w:pPr>
              <w:jc w:val="right"/>
              <w:ind w:right="269"/>
              <w:spacing w:after="0"/>
              <w:rPr>
                <w:sz w:val="20"/>
                <w:szCs w:val="20"/>
                <w:color w:val="auto"/>
              </w:rPr>
            </w:pPr>
            <w:r>
              <w:rPr>
                <w:rFonts w:ascii="Arial" w:cs="Arial" w:eastAsia="Arial" w:hAnsi="Arial"/>
                <w:sz w:val="14"/>
                <w:szCs w:val="14"/>
                <w:color w:val="auto"/>
              </w:rPr>
              <w:t>16</w:t>
            </w:r>
          </w:p>
        </w:tc>
        <w:tc>
          <w:tcPr>
            <w:tcW w:w="300" w:type="dxa"/>
            <w:vAlign w:val="bottom"/>
          </w:tcPr>
          <w:p>
            <w:pPr>
              <w:spacing w:after="0"/>
              <w:rPr>
                <w:sz w:val="18"/>
                <w:szCs w:val="18"/>
                <w:color w:val="auto"/>
              </w:rPr>
            </w:pPr>
          </w:p>
        </w:tc>
        <w:tc>
          <w:tcPr>
            <w:tcW w:w="1020" w:type="dxa"/>
            <w:vAlign w:val="bottom"/>
          </w:tcPr>
          <w:p>
            <w:pPr>
              <w:jc w:val="right"/>
              <w:ind w:right="109"/>
              <w:spacing w:after="0"/>
              <w:rPr>
                <w:sz w:val="20"/>
                <w:szCs w:val="20"/>
                <w:color w:val="auto"/>
              </w:rPr>
            </w:pPr>
            <w:r>
              <w:rPr>
                <w:rFonts w:ascii="Arial" w:cs="Arial" w:eastAsia="Arial" w:hAnsi="Arial"/>
                <w:sz w:val="14"/>
                <w:szCs w:val="14"/>
                <w:color w:val="auto"/>
              </w:rPr>
              <w:t>96</w:t>
            </w:r>
          </w:p>
        </w:tc>
        <w:tc>
          <w:tcPr>
            <w:tcW w:w="480" w:type="dxa"/>
            <w:vAlign w:val="bottom"/>
          </w:tcPr>
          <w:p>
            <w:pPr>
              <w:jc w:val="right"/>
              <w:spacing w:after="0"/>
              <w:rPr>
                <w:sz w:val="20"/>
                <w:szCs w:val="20"/>
                <w:color w:val="auto"/>
              </w:rPr>
            </w:pPr>
            <w:r>
              <w:rPr>
                <w:rFonts w:ascii="Arial" w:cs="Arial" w:eastAsia="Arial" w:hAnsi="Arial"/>
                <w:sz w:val="14"/>
                <w:szCs w:val="14"/>
                <w:color w:val="auto"/>
              </w:rPr>
              <w:t>13</w:t>
            </w:r>
          </w:p>
        </w:tc>
        <w:tc>
          <w:tcPr>
            <w:tcW w:w="220" w:type="dxa"/>
            <w:vAlign w:val="bottom"/>
          </w:tcPr>
          <w:p>
            <w:pPr>
              <w:spacing w:after="0"/>
              <w:rPr>
                <w:sz w:val="18"/>
                <w:szCs w:val="18"/>
                <w:color w:val="auto"/>
              </w:rPr>
            </w:pPr>
          </w:p>
        </w:tc>
      </w:tr>
      <w:tr>
        <w:trPr>
          <w:trHeight w:val="213"/>
        </w:trPr>
        <w:tc>
          <w:tcPr>
            <w:tcW w:w="3300" w:type="dxa"/>
            <w:vAlign w:val="bottom"/>
            <w:gridSpan w:val="2"/>
          </w:tcPr>
          <w:p>
            <w:pPr>
              <w:ind w:left="120"/>
              <w:spacing w:after="0"/>
              <w:rPr>
                <w:sz w:val="20"/>
                <w:szCs w:val="20"/>
                <w:color w:val="auto"/>
              </w:rPr>
            </w:pPr>
            <w:r>
              <w:rPr>
                <w:rFonts w:ascii="Arial" w:cs="Arial" w:eastAsia="Arial" w:hAnsi="Arial"/>
                <w:sz w:val="14"/>
                <w:szCs w:val="14"/>
                <w:color w:val="auto"/>
              </w:rPr>
              <w:t>Sempra Renewables</w:t>
            </w:r>
          </w:p>
        </w:tc>
        <w:tc>
          <w:tcPr>
            <w:tcW w:w="580" w:type="dxa"/>
            <w:vAlign w:val="bottom"/>
          </w:tcPr>
          <w:p>
            <w:pPr>
              <w:spacing w:after="0"/>
              <w:rPr>
                <w:sz w:val="18"/>
                <w:szCs w:val="18"/>
                <w:color w:val="auto"/>
              </w:rPr>
            </w:pPr>
          </w:p>
        </w:tc>
        <w:tc>
          <w:tcPr>
            <w:tcW w:w="600" w:type="dxa"/>
            <w:vAlign w:val="bottom"/>
          </w:tcPr>
          <w:p>
            <w:pPr>
              <w:jc w:val="right"/>
              <w:ind w:right="109"/>
              <w:spacing w:after="0"/>
              <w:rPr>
                <w:sz w:val="20"/>
                <w:szCs w:val="20"/>
                <w:color w:val="auto"/>
              </w:rPr>
            </w:pPr>
            <w:r>
              <w:rPr>
                <w:rFonts w:ascii="Arial" w:cs="Arial" w:eastAsia="Arial" w:hAnsi="Arial"/>
                <w:sz w:val="14"/>
                <w:szCs w:val="14"/>
                <w:color w:val="auto"/>
              </w:rPr>
              <w:t>17</w:t>
            </w:r>
          </w:p>
        </w:tc>
        <w:tc>
          <w:tcPr>
            <w:tcW w:w="760" w:type="dxa"/>
            <w:vAlign w:val="bottom"/>
          </w:tcPr>
          <w:p>
            <w:pPr>
              <w:jc w:val="right"/>
              <w:ind w:right="269"/>
              <w:spacing w:after="0"/>
              <w:rPr>
                <w:sz w:val="20"/>
                <w:szCs w:val="20"/>
                <w:color w:val="auto"/>
              </w:rPr>
            </w:pPr>
            <w:r>
              <w:rPr>
                <w:rFonts w:ascii="Arial" w:cs="Arial" w:eastAsia="Arial" w:hAnsi="Arial"/>
                <w:sz w:val="14"/>
                <w:szCs w:val="14"/>
                <w:color w:val="auto"/>
              </w:rPr>
              <w:t>5</w:t>
            </w:r>
          </w:p>
        </w:tc>
        <w:tc>
          <w:tcPr>
            <w:tcW w:w="520" w:type="dxa"/>
            <w:vAlign w:val="bottom"/>
          </w:tcPr>
          <w:p>
            <w:pPr>
              <w:spacing w:after="0"/>
              <w:rPr>
                <w:sz w:val="18"/>
                <w:szCs w:val="18"/>
                <w:color w:val="auto"/>
              </w:rPr>
            </w:pPr>
          </w:p>
        </w:tc>
        <w:tc>
          <w:tcPr>
            <w:tcW w:w="780" w:type="dxa"/>
            <w:vAlign w:val="bottom"/>
          </w:tcPr>
          <w:p>
            <w:pPr>
              <w:jc w:val="right"/>
              <w:ind w:right="109"/>
              <w:spacing w:after="0"/>
              <w:rPr>
                <w:sz w:val="20"/>
                <w:szCs w:val="20"/>
                <w:color w:val="auto"/>
              </w:rPr>
            </w:pPr>
            <w:r>
              <w:rPr>
                <w:rFonts w:ascii="Arial" w:cs="Arial" w:eastAsia="Arial" w:hAnsi="Arial"/>
                <w:sz w:val="14"/>
                <w:szCs w:val="14"/>
                <w:color w:val="auto"/>
              </w:rPr>
              <w:t>37</w:t>
            </w:r>
          </w:p>
        </w:tc>
        <w:tc>
          <w:tcPr>
            <w:tcW w:w="660" w:type="dxa"/>
            <w:vAlign w:val="bottom"/>
          </w:tcPr>
          <w:p>
            <w:pPr>
              <w:jc w:val="right"/>
              <w:ind w:right="169"/>
              <w:spacing w:after="0"/>
              <w:rPr>
                <w:sz w:val="20"/>
                <w:szCs w:val="20"/>
                <w:color w:val="auto"/>
              </w:rPr>
            </w:pPr>
            <w:r>
              <w:rPr>
                <w:rFonts w:ascii="Arial" w:cs="Arial" w:eastAsia="Arial" w:hAnsi="Arial"/>
                <w:sz w:val="14"/>
                <w:szCs w:val="14"/>
                <w:color w:val="auto"/>
              </w:rPr>
              <w:t>13</w:t>
            </w:r>
          </w:p>
        </w:tc>
        <w:tc>
          <w:tcPr>
            <w:tcW w:w="380" w:type="dxa"/>
            <w:vAlign w:val="bottom"/>
          </w:tcPr>
          <w:p>
            <w:pPr>
              <w:spacing w:after="0"/>
              <w:rPr>
                <w:sz w:val="18"/>
                <w:szCs w:val="18"/>
                <w:color w:val="auto"/>
              </w:rPr>
            </w:pPr>
          </w:p>
        </w:tc>
        <w:tc>
          <w:tcPr>
            <w:tcW w:w="1040" w:type="dxa"/>
            <w:vAlign w:val="bottom"/>
          </w:tcPr>
          <w:p>
            <w:pPr>
              <w:jc w:val="right"/>
              <w:ind w:right="109"/>
              <w:spacing w:after="0"/>
              <w:rPr>
                <w:sz w:val="20"/>
                <w:szCs w:val="20"/>
                <w:color w:val="auto"/>
              </w:rPr>
            </w:pPr>
            <w:r>
              <w:rPr>
                <w:rFonts w:ascii="Arial" w:cs="Arial" w:eastAsia="Arial" w:hAnsi="Arial"/>
                <w:sz w:val="14"/>
                <w:szCs w:val="14"/>
                <w:color w:val="auto"/>
              </w:rPr>
              <w:t>63</w:t>
            </w:r>
          </w:p>
        </w:tc>
        <w:tc>
          <w:tcPr>
            <w:tcW w:w="780" w:type="dxa"/>
            <w:vAlign w:val="bottom"/>
          </w:tcPr>
          <w:p>
            <w:pPr>
              <w:jc w:val="right"/>
              <w:ind w:right="269"/>
              <w:spacing w:after="0"/>
              <w:rPr>
                <w:sz w:val="20"/>
                <w:szCs w:val="20"/>
                <w:color w:val="auto"/>
              </w:rPr>
            </w:pPr>
            <w:r>
              <w:rPr>
                <w:rFonts w:ascii="Arial" w:cs="Arial" w:eastAsia="Arial" w:hAnsi="Arial"/>
                <w:sz w:val="14"/>
                <w:szCs w:val="14"/>
                <w:color w:val="auto"/>
              </w:rPr>
              <w:t>7</w:t>
            </w:r>
          </w:p>
        </w:tc>
        <w:tc>
          <w:tcPr>
            <w:tcW w:w="300" w:type="dxa"/>
            <w:vAlign w:val="bottom"/>
          </w:tcPr>
          <w:p>
            <w:pPr>
              <w:spacing w:after="0"/>
              <w:rPr>
                <w:sz w:val="18"/>
                <w:szCs w:val="18"/>
                <w:color w:val="auto"/>
              </w:rPr>
            </w:pPr>
          </w:p>
        </w:tc>
        <w:tc>
          <w:tcPr>
            <w:tcW w:w="1020" w:type="dxa"/>
            <w:vAlign w:val="bottom"/>
          </w:tcPr>
          <w:p>
            <w:pPr>
              <w:jc w:val="right"/>
              <w:ind w:right="109"/>
              <w:spacing w:after="0"/>
              <w:rPr>
                <w:sz w:val="20"/>
                <w:szCs w:val="20"/>
                <w:color w:val="auto"/>
              </w:rPr>
            </w:pPr>
            <w:r>
              <w:rPr>
                <w:rFonts w:ascii="Arial" w:cs="Arial" w:eastAsia="Arial" w:hAnsi="Arial"/>
                <w:sz w:val="14"/>
                <w:szCs w:val="14"/>
                <w:color w:val="auto"/>
              </w:rPr>
              <w:t>56</w:t>
            </w:r>
          </w:p>
        </w:tc>
        <w:tc>
          <w:tcPr>
            <w:tcW w:w="480" w:type="dxa"/>
            <w:vAlign w:val="bottom"/>
          </w:tcPr>
          <w:p>
            <w:pPr>
              <w:jc w:val="right"/>
              <w:spacing w:after="0"/>
              <w:rPr>
                <w:sz w:val="20"/>
                <w:szCs w:val="20"/>
                <w:color w:val="auto"/>
              </w:rPr>
            </w:pPr>
            <w:r>
              <w:rPr>
                <w:rFonts w:ascii="Arial" w:cs="Arial" w:eastAsia="Arial" w:hAnsi="Arial"/>
                <w:sz w:val="14"/>
                <w:szCs w:val="14"/>
                <w:color w:val="auto"/>
              </w:rPr>
              <w:t>8</w:t>
            </w:r>
          </w:p>
        </w:tc>
        <w:tc>
          <w:tcPr>
            <w:tcW w:w="220" w:type="dxa"/>
            <w:vAlign w:val="bottom"/>
          </w:tcPr>
          <w:p>
            <w:pPr>
              <w:spacing w:after="0"/>
              <w:rPr>
                <w:sz w:val="18"/>
                <w:szCs w:val="18"/>
                <w:color w:val="auto"/>
              </w:rPr>
            </w:pPr>
          </w:p>
        </w:tc>
      </w:tr>
      <w:tr>
        <w:trPr>
          <w:trHeight w:val="213"/>
        </w:trPr>
        <w:tc>
          <w:tcPr>
            <w:tcW w:w="3300" w:type="dxa"/>
            <w:vAlign w:val="bottom"/>
            <w:gridSpan w:val="2"/>
          </w:tcPr>
          <w:p>
            <w:pPr>
              <w:ind w:left="120"/>
              <w:spacing w:after="0"/>
              <w:rPr>
                <w:sz w:val="20"/>
                <w:szCs w:val="20"/>
                <w:color w:val="auto"/>
              </w:rPr>
            </w:pPr>
            <w:r>
              <w:rPr>
                <w:rFonts w:ascii="Arial" w:cs="Arial" w:eastAsia="Arial" w:hAnsi="Arial"/>
                <w:sz w:val="14"/>
                <w:szCs w:val="14"/>
                <w:color w:val="auto"/>
              </w:rPr>
              <w:t>Sempra Natural Gas</w:t>
            </w:r>
          </w:p>
        </w:tc>
        <w:tc>
          <w:tcPr>
            <w:tcW w:w="580" w:type="dxa"/>
            <w:vAlign w:val="bottom"/>
          </w:tcPr>
          <w:p>
            <w:pPr>
              <w:spacing w:after="0"/>
              <w:rPr>
                <w:sz w:val="18"/>
                <w:szCs w:val="18"/>
                <w:color w:val="auto"/>
              </w:rPr>
            </w:pPr>
          </w:p>
        </w:tc>
        <w:tc>
          <w:tcPr>
            <w:tcW w:w="600" w:type="dxa"/>
            <w:vAlign w:val="bottom"/>
          </w:tcPr>
          <w:p>
            <w:pPr>
              <w:jc w:val="right"/>
              <w:ind w:right="109"/>
              <w:spacing w:after="0"/>
              <w:rPr>
                <w:sz w:val="20"/>
                <w:szCs w:val="20"/>
                <w:color w:val="auto"/>
              </w:rPr>
            </w:pPr>
            <w:r>
              <w:rPr>
                <w:rFonts w:ascii="Arial" w:cs="Arial" w:eastAsia="Arial" w:hAnsi="Arial"/>
                <w:sz w:val="14"/>
                <w:szCs w:val="14"/>
                <w:color w:val="auto"/>
              </w:rPr>
              <w:t>26</w:t>
            </w:r>
          </w:p>
        </w:tc>
        <w:tc>
          <w:tcPr>
            <w:tcW w:w="760" w:type="dxa"/>
            <w:vAlign w:val="bottom"/>
          </w:tcPr>
          <w:p>
            <w:pPr>
              <w:jc w:val="right"/>
              <w:ind w:right="269"/>
              <w:spacing w:after="0"/>
              <w:rPr>
                <w:sz w:val="20"/>
                <w:szCs w:val="20"/>
                <w:color w:val="auto"/>
              </w:rPr>
            </w:pPr>
            <w:r>
              <w:rPr>
                <w:rFonts w:ascii="Arial" w:cs="Arial" w:eastAsia="Arial" w:hAnsi="Arial"/>
                <w:sz w:val="14"/>
                <w:szCs w:val="14"/>
                <w:color w:val="auto"/>
              </w:rPr>
              <w:t>8</w:t>
            </w:r>
          </w:p>
        </w:tc>
        <w:tc>
          <w:tcPr>
            <w:tcW w:w="520" w:type="dxa"/>
            <w:vAlign w:val="bottom"/>
          </w:tcPr>
          <w:p>
            <w:pPr>
              <w:spacing w:after="0"/>
              <w:rPr>
                <w:sz w:val="18"/>
                <w:szCs w:val="18"/>
                <w:color w:val="auto"/>
              </w:rPr>
            </w:pPr>
          </w:p>
        </w:tc>
        <w:tc>
          <w:tcPr>
            <w:tcW w:w="780" w:type="dxa"/>
            <w:vAlign w:val="bottom"/>
          </w:tcPr>
          <w:p>
            <w:pPr>
              <w:jc w:val="right"/>
              <w:ind w:right="109"/>
              <w:spacing w:after="0"/>
              <w:rPr>
                <w:sz w:val="20"/>
                <w:szCs w:val="20"/>
                <w:color w:val="auto"/>
              </w:rPr>
            </w:pPr>
            <w:r>
              <w:rPr>
                <w:rFonts w:ascii="Arial" w:cs="Arial" w:eastAsia="Arial" w:hAnsi="Arial"/>
                <w:sz w:val="14"/>
                <w:szCs w:val="14"/>
                <w:color w:val="auto"/>
              </w:rPr>
              <w:t>(7)</w:t>
            </w:r>
          </w:p>
        </w:tc>
        <w:tc>
          <w:tcPr>
            <w:tcW w:w="660" w:type="dxa"/>
            <w:vAlign w:val="bottom"/>
          </w:tcPr>
          <w:p>
            <w:pPr>
              <w:jc w:val="right"/>
              <w:ind w:right="169"/>
              <w:spacing w:after="0"/>
              <w:rPr>
                <w:sz w:val="20"/>
                <w:szCs w:val="20"/>
                <w:color w:val="auto"/>
              </w:rPr>
            </w:pPr>
            <w:r>
              <w:rPr>
                <w:rFonts w:ascii="Arial" w:cs="Arial" w:eastAsia="Arial" w:hAnsi="Arial"/>
                <w:sz w:val="14"/>
                <w:szCs w:val="14"/>
                <w:color w:val="auto"/>
              </w:rPr>
              <w:t>(2)</w:t>
            </w:r>
          </w:p>
        </w:tc>
        <w:tc>
          <w:tcPr>
            <w:tcW w:w="380" w:type="dxa"/>
            <w:vAlign w:val="bottom"/>
          </w:tcPr>
          <w:p>
            <w:pPr>
              <w:spacing w:after="0"/>
              <w:rPr>
                <w:sz w:val="18"/>
                <w:szCs w:val="18"/>
                <w:color w:val="auto"/>
              </w:rPr>
            </w:pPr>
          </w:p>
        </w:tc>
        <w:tc>
          <w:tcPr>
            <w:tcW w:w="1040" w:type="dxa"/>
            <w:vAlign w:val="bottom"/>
          </w:tcPr>
          <w:p>
            <w:pPr>
              <w:jc w:val="right"/>
              <w:ind w:right="109"/>
              <w:spacing w:after="0"/>
              <w:rPr>
                <w:sz w:val="20"/>
                <w:szCs w:val="20"/>
                <w:color w:val="auto"/>
              </w:rPr>
            </w:pPr>
            <w:r>
              <w:rPr>
                <w:rFonts w:ascii="Arial" w:cs="Arial" w:eastAsia="Arial" w:hAnsi="Arial"/>
                <w:sz w:val="14"/>
                <w:szCs w:val="14"/>
                <w:color w:val="auto"/>
              </w:rPr>
              <w:t>39</w:t>
            </w:r>
          </w:p>
        </w:tc>
        <w:tc>
          <w:tcPr>
            <w:tcW w:w="780" w:type="dxa"/>
            <w:vAlign w:val="bottom"/>
          </w:tcPr>
          <w:p>
            <w:pPr>
              <w:jc w:val="right"/>
              <w:ind w:right="269"/>
              <w:spacing w:after="0"/>
              <w:rPr>
                <w:sz w:val="20"/>
                <w:szCs w:val="20"/>
                <w:color w:val="auto"/>
              </w:rPr>
            </w:pPr>
            <w:r>
              <w:rPr>
                <w:rFonts w:ascii="Arial" w:cs="Arial" w:eastAsia="Arial" w:hAnsi="Arial"/>
                <w:sz w:val="14"/>
                <w:szCs w:val="14"/>
                <w:color w:val="auto"/>
              </w:rPr>
              <w:t>4</w:t>
            </w:r>
          </w:p>
        </w:tc>
        <w:tc>
          <w:tcPr>
            <w:tcW w:w="300" w:type="dxa"/>
            <w:vAlign w:val="bottom"/>
          </w:tcPr>
          <w:p>
            <w:pPr>
              <w:spacing w:after="0"/>
              <w:rPr>
                <w:sz w:val="18"/>
                <w:szCs w:val="18"/>
                <w:color w:val="auto"/>
              </w:rPr>
            </w:pPr>
          </w:p>
        </w:tc>
        <w:tc>
          <w:tcPr>
            <w:tcW w:w="1020" w:type="dxa"/>
            <w:vAlign w:val="bottom"/>
          </w:tcPr>
          <w:p>
            <w:pPr>
              <w:jc w:val="right"/>
              <w:ind w:right="109"/>
              <w:spacing w:after="0"/>
              <w:rPr>
                <w:sz w:val="20"/>
                <w:szCs w:val="20"/>
                <w:color w:val="auto"/>
              </w:rPr>
            </w:pPr>
            <w:r>
              <w:rPr>
                <w:rFonts w:ascii="Arial" w:cs="Arial" w:eastAsia="Arial" w:hAnsi="Arial"/>
                <w:sz w:val="14"/>
                <w:szCs w:val="14"/>
                <w:color w:val="auto"/>
              </w:rPr>
              <w:t>55</w:t>
            </w:r>
          </w:p>
        </w:tc>
        <w:tc>
          <w:tcPr>
            <w:tcW w:w="480" w:type="dxa"/>
            <w:vAlign w:val="bottom"/>
          </w:tcPr>
          <w:p>
            <w:pPr>
              <w:jc w:val="right"/>
              <w:spacing w:after="0"/>
              <w:rPr>
                <w:sz w:val="20"/>
                <w:szCs w:val="20"/>
                <w:color w:val="auto"/>
              </w:rPr>
            </w:pPr>
            <w:r>
              <w:rPr>
                <w:rFonts w:ascii="Arial" w:cs="Arial" w:eastAsia="Arial" w:hAnsi="Arial"/>
                <w:sz w:val="14"/>
                <w:szCs w:val="14"/>
                <w:color w:val="auto"/>
              </w:rPr>
              <w:t>8</w:t>
            </w:r>
          </w:p>
        </w:tc>
        <w:tc>
          <w:tcPr>
            <w:tcW w:w="220" w:type="dxa"/>
            <w:vAlign w:val="bottom"/>
          </w:tcPr>
          <w:p>
            <w:pPr>
              <w:spacing w:after="0"/>
              <w:rPr>
                <w:sz w:val="18"/>
                <w:szCs w:val="18"/>
                <w:color w:val="auto"/>
              </w:rPr>
            </w:pPr>
          </w:p>
        </w:tc>
      </w:tr>
      <w:tr>
        <w:trPr>
          <w:trHeight w:val="197"/>
        </w:trPr>
        <w:tc>
          <w:tcPr>
            <w:tcW w:w="3080" w:type="dxa"/>
            <w:vAlign w:val="bottom"/>
          </w:tcPr>
          <w:p>
            <w:pPr>
              <w:ind w:left="120"/>
              <w:spacing w:after="0"/>
              <w:rPr>
                <w:sz w:val="20"/>
                <w:szCs w:val="20"/>
                <w:color w:val="auto"/>
              </w:rPr>
            </w:pPr>
            <w:r>
              <w:rPr>
                <w:rFonts w:ascii="Arial" w:cs="Arial" w:eastAsia="Arial" w:hAnsi="Arial"/>
                <w:sz w:val="14"/>
                <w:szCs w:val="14"/>
                <w:color w:val="auto"/>
              </w:rPr>
              <w:t>All other</w:t>
            </w: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(45)</w:t>
            </w:r>
          </w:p>
        </w:tc>
        <w:tc>
          <w:tcPr>
            <w:tcW w:w="76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(13)</w:t>
            </w:r>
          </w:p>
        </w:tc>
        <w:tc>
          <w:tcPr>
            <w:tcW w:w="5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(43)</w:t>
            </w:r>
          </w:p>
        </w:tc>
        <w:tc>
          <w:tcPr>
            <w:tcW w:w="66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(15)</w:t>
            </w: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(121)</w:t>
            </w:r>
          </w:p>
        </w:tc>
        <w:tc>
          <w:tcPr>
            <w:tcW w:w="78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(14)</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(149)</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220" w:type="dxa"/>
            <w:vAlign w:val="bottom"/>
            <w:tcBorders>
              <w:bottom w:val="single" w:sz="8" w:color="auto"/>
            </w:tcBorders>
          </w:tcPr>
          <w:p>
            <w:pPr>
              <w:spacing w:after="0"/>
              <w:rPr>
                <w:sz w:val="17"/>
                <w:szCs w:val="17"/>
                <w:color w:val="auto"/>
              </w:rPr>
            </w:pPr>
          </w:p>
        </w:tc>
      </w:tr>
      <w:tr>
        <w:trPr>
          <w:trHeight w:val="159"/>
        </w:trPr>
        <w:tc>
          <w:tcPr>
            <w:tcW w:w="3300" w:type="dxa"/>
            <w:vAlign w:val="bottom"/>
            <w:tcBorders>
              <w:bottom w:val="single" w:sz="8" w:color="auto"/>
            </w:tcBorders>
            <w:gridSpan w:val="2"/>
          </w:tcPr>
          <w:p>
            <w:pPr>
              <w:ind w:left="280"/>
              <w:spacing w:after="0" w:line="153" w:lineRule="exact"/>
              <w:rPr>
                <w:sz w:val="20"/>
                <w:szCs w:val="20"/>
                <w:color w:val="auto"/>
              </w:rPr>
            </w:pPr>
            <w:r>
              <w:rPr>
                <w:rFonts w:ascii="Arial" w:cs="Arial" w:eastAsia="Arial" w:hAnsi="Arial"/>
                <w:sz w:val="14"/>
                <w:szCs w:val="14"/>
                <w:color w:val="auto"/>
              </w:rPr>
              <w:t>Total</w:t>
            </w:r>
          </w:p>
        </w:tc>
        <w:tc>
          <w:tcPr>
            <w:tcW w:w="580" w:type="dxa"/>
            <w:vAlign w:val="bottom"/>
            <w:tcBorders>
              <w:bottom w:val="single" w:sz="8" w:color="auto"/>
            </w:tcBorders>
          </w:tcPr>
          <w:p>
            <w:pPr>
              <w:jc w:val="right"/>
              <w:ind w:right="369"/>
              <w:spacing w:after="0" w:line="153"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109"/>
              <w:spacing w:after="0" w:line="153" w:lineRule="exact"/>
              <w:rPr>
                <w:sz w:val="20"/>
                <w:szCs w:val="20"/>
                <w:color w:val="auto"/>
              </w:rPr>
            </w:pPr>
            <w:r>
              <w:rPr>
                <w:rFonts w:ascii="Arial" w:cs="Arial" w:eastAsia="Arial" w:hAnsi="Arial"/>
                <w:sz w:val="14"/>
                <w:szCs w:val="14"/>
                <w:color w:val="auto"/>
              </w:rPr>
              <w:t>348</w:t>
            </w:r>
          </w:p>
        </w:tc>
        <w:tc>
          <w:tcPr>
            <w:tcW w:w="760" w:type="dxa"/>
            <w:vAlign w:val="bottom"/>
            <w:tcBorders>
              <w:bottom w:val="single" w:sz="8" w:color="auto"/>
            </w:tcBorders>
          </w:tcPr>
          <w:p>
            <w:pPr>
              <w:jc w:val="right"/>
              <w:ind w:right="89"/>
              <w:spacing w:after="0" w:line="153" w:lineRule="exact"/>
              <w:rPr>
                <w:sz w:val="20"/>
                <w:szCs w:val="20"/>
                <w:color w:val="auto"/>
              </w:rPr>
            </w:pPr>
            <w:r>
              <w:rPr>
                <w:rFonts w:ascii="Arial" w:cs="Arial" w:eastAsia="Arial" w:hAnsi="Arial"/>
                <w:sz w:val="14"/>
                <w:szCs w:val="14"/>
                <w:color w:val="auto"/>
              </w:rPr>
              <w:t>100 %</w:t>
            </w:r>
          </w:p>
        </w:tc>
        <w:tc>
          <w:tcPr>
            <w:tcW w:w="520" w:type="dxa"/>
            <w:vAlign w:val="bottom"/>
            <w:tcBorders>
              <w:bottom w:val="single" w:sz="8" w:color="auto"/>
            </w:tcBorders>
          </w:tcPr>
          <w:p>
            <w:pPr>
              <w:jc w:val="right"/>
              <w:ind w:right="189"/>
              <w:spacing w:after="0" w:line="153"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09"/>
              <w:spacing w:after="0" w:line="153" w:lineRule="exact"/>
              <w:rPr>
                <w:sz w:val="20"/>
                <w:szCs w:val="20"/>
                <w:color w:val="auto"/>
              </w:rPr>
            </w:pPr>
            <w:r>
              <w:rPr>
                <w:rFonts w:ascii="Arial" w:cs="Arial" w:eastAsia="Arial" w:hAnsi="Arial"/>
                <w:sz w:val="14"/>
                <w:szCs w:val="14"/>
                <w:color w:val="auto"/>
              </w:rPr>
              <w:t>296</w:t>
            </w:r>
          </w:p>
        </w:tc>
        <w:tc>
          <w:tcPr>
            <w:tcW w:w="66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100 %</w:t>
            </w:r>
          </w:p>
        </w:tc>
        <w:tc>
          <w:tcPr>
            <w:tcW w:w="38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109"/>
              <w:spacing w:after="0" w:line="153" w:lineRule="exact"/>
              <w:rPr>
                <w:sz w:val="20"/>
                <w:szCs w:val="20"/>
                <w:color w:val="auto"/>
              </w:rPr>
            </w:pPr>
            <w:r>
              <w:rPr>
                <w:rFonts w:ascii="Arial" w:cs="Arial" w:eastAsia="Arial" w:hAnsi="Arial"/>
                <w:sz w:val="14"/>
                <w:szCs w:val="14"/>
                <w:color w:val="auto"/>
              </w:rPr>
              <w:t>864</w:t>
            </w:r>
          </w:p>
        </w:tc>
        <w:tc>
          <w:tcPr>
            <w:tcW w:w="780" w:type="dxa"/>
            <w:vAlign w:val="bottom"/>
            <w:tcBorders>
              <w:bottom w:val="single" w:sz="8" w:color="auto"/>
            </w:tcBorders>
          </w:tcPr>
          <w:p>
            <w:pPr>
              <w:jc w:val="right"/>
              <w:ind w:right="89"/>
              <w:spacing w:after="0" w:line="153" w:lineRule="exact"/>
              <w:rPr>
                <w:sz w:val="20"/>
                <w:szCs w:val="20"/>
                <w:color w:val="auto"/>
              </w:rPr>
            </w:pPr>
            <w:r>
              <w:rPr>
                <w:rFonts w:ascii="Arial" w:cs="Arial" w:eastAsia="Arial" w:hAnsi="Arial"/>
                <w:sz w:val="14"/>
                <w:szCs w:val="14"/>
                <w:color w:val="auto"/>
              </w:rPr>
              <w:t>100 %</w:t>
            </w:r>
          </w:p>
        </w:tc>
        <w:tc>
          <w:tcPr>
            <w:tcW w:w="30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109"/>
              <w:spacing w:after="0" w:line="153" w:lineRule="exact"/>
              <w:rPr>
                <w:sz w:val="20"/>
                <w:szCs w:val="20"/>
                <w:color w:val="auto"/>
              </w:rPr>
            </w:pPr>
            <w:r>
              <w:rPr>
                <w:rFonts w:ascii="Arial" w:cs="Arial" w:eastAsia="Arial" w:hAnsi="Arial"/>
                <w:sz w:val="14"/>
                <w:szCs w:val="14"/>
                <w:color w:val="auto"/>
              </w:rPr>
              <w:t>719</w:t>
            </w:r>
          </w:p>
        </w:tc>
        <w:tc>
          <w:tcPr>
            <w:tcW w:w="48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100</w:t>
            </w:r>
          </w:p>
        </w:tc>
        <w:tc>
          <w:tcPr>
            <w:tcW w:w="22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w:t>
            </w:r>
          </w:p>
        </w:tc>
      </w:tr>
      <w:tr>
        <w:trPr>
          <w:trHeight w:val="199"/>
        </w:trPr>
        <w:tc>
          <w:tcPr>
            <w:tcW w:w="3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4"/>
          </w:tcPr>
          <w:p>
            <w:pPr>
              <w:jc w:val="right"/>
              <w:ind w:right="229"/>
              <w:spacing w:after="0"/>
              <w:rPr>
                <w:sz w:val="20"/>
                <w:szCs w:val="20"/>
                <w:color w:val="auto"/>
              </w:rPr>
            </w:pPr>
            <w:r>
              <w:rPr>
                <w:rFonts w:ascii="Arial" w:cs="Arial" w:eastAsia="Arial" w:hAnsi="Arial"/>
                <w:sz w:val="14"/>
                <w:szCs w:val="14"/>
                <w:color w:val="auto"/>
              </w:rPr>
              <w:t>Nine months ended September 30,</w:t>
            </w:r>
          </w:p>
        </w:tc>
        <w:tc>
          <w:tcPr>
            <w:tcW w:w="4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r>
      <w:tr>
        <w:trPr>
          <w:trHeight w:val="206"/>
        </w:trPr>
        <w:tc>
          <w:tcPr>
            <w:tcW w:w="30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2014</w:t>
            </w:r>
          </w:p>
        </w:tc>
        <w:tc>
          <w:tcPr>
            <w:tcW w:w="7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2013</w:t>
            </w:r>
          </w:p>
        </w:tc>
        <w:tc>
          <w:tcPr>
            <w:tcW w:w="4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r>
      <w:tr>
        <w:trPr>
          <w:trHeight w:val="221"/>
        </w:trPr>
        <w:tc>
          <w:tcPr>
            <w:tcW w:w="3880" w:type="dxa"/>
            <w:vAlign w:val="bottom"/>
            <w:gridSpan w:val="3"/>
          </w:tcPr>
          <w:p>
            <w:pPr>
              <w:spacing w:after="0"/>
              <w:rPr>
                <w:sz w:val="20"/>
                <w:szCs w:val="20"/>
                <w:color w:val="auto"/>
              </w:rPr>
            </w:pPr>
            <w:r>
              <w:rPr>
                <w:rFonts w:ascii="Arial" w:cs="Arial" w:eastAsia="Arial" w:hAnsi="Arial"/>
                <w:sz w:val="14"/>
                <w:szCs w:val="14"/>
                <w:color w:val="auto"/>
              </w:rPr>
              <w:t>EXPENDITURES FOR PROPERTY, PLANT &amp; EQUIPMENT</w:t>
            </w: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13"/>
        </w:trPr>
        <w:tc>
          <w:tcPr>
            <w:tcW w:w="3300" w:type="dxa"/>
            <w:vAlign w:val="bottom"/>
            <w:gridSpan w:val="2"/>
          </w:tcPr>
          <w:p>
            <w:pPr>
              <w:ind w:left="120"/>
              <w:spacing w:after="0"/>
              <w:rPr>
                <w:sz w:val="20"/>
                <w:szCs w:val="20"/>
                <w:color w:val="auto"/>
              </w:rPr>
            </w:pPr>
            <w:r>
              <w:rPr>
                <w:rFonts w:ascii="Arial" w:cs="Arial" w:eastAsia="Arial" w:hAnsi="Arial"/>
                <w:sz w:val="14"/>
                <w:szCs w:val="14"/>
                <w:color w:val="auto"/>
              </w:rPr>
              <w:t>SDG&amp;E</w:t>
            </w: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9"/>
              <w:spacing w:after="0"/>
              <w:rPr>
                <w:sz w:val="20"/>
                <w:szCs w:val="20"/>
                <w:color w:val="auto"/>
              </w:rPr>
            </w:pPr>
            <w:r>
              <w:rPr>
                <w:rFonts w:ascii="Arial" w:cs="Arial" w:eastAsia="Arial" w:hAnsi="Arial"/>
                <w:sz w:val="14"/>
                <w:szCs w:val="14"/>
                <w:color w:val="auto"/>
              </w:rPr>
              <w:t>790</w:t>
            </w:r>
          </w:p>
        </w:tc>
        <w:tc>
          <w:tcPr>
            <w:tcW w:w="780" w:type="dxa"/>
            <w:vAlign w:val="bottom"/>
          </w:tcPr>
          <w:p>
            <w:pPr>
              <w:jc w:val="right"/>
              <w:ind w:right="89"/>
              <w:spacing w:after="0"/>
              <w:rPr>
                <w:sz w:val="20"/>
                <w:szCs w:val="20"/>
                <w:color w:val="auto"/>
              </w:rPr>
            </w:pPr>
            <w:r>
              <w:rPr>
                <w:rFonts w:ascii="Arial" w:cs="Arial" w:eastAsia="Arial" w:hAnsi="Arial"/>
                <w:sz w:val="14"/>
                <w:szCs w:val="14"/>
                <w:color w:val="auto"/>
              </w:rPr>
              <w:t>34 %</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9"/>
              <w:spacing w:after="0"/>
              <w:rPr>
                <w:sz w:val="20"/>
                <w:szCs w:val="20"/>
                <w:color w:val="auto"/>
              </w:rPr>
            </w:pPr>
            <w:r>
              <w:rPr>
                <w:rFonts w:ascii="Arial" w:cs="Arial" w:eastAsia="Arial" w:hAnsi="Arial"/>
                <w:sz w:val="14"/>
                <w:szCs w:val="14"/>
                <w:color w:val="auto"/>
              </w:rPr>
              <w:t>679</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38 %</w:t>
            </w:r>
          </w:p>
        </w:tc>
      </w:tr>
      <w:tr>
        <w:trPr>
          <w:trHeight w:val="213"/>
        </w:trPr>
        <w:tc>
          <w:tcPr>
            <w:tcW w:w="3300" w:type="dxa"/>
            <w:vAlign w:val="bottom"/>
            <w:gridSpan w:val="2"/>
          </w:tcPr>
          <w:p>
            <w:pPr>
              <w:ind w:left="120"/>
              <w:spacing w:after="0"/>
              <w:rPr>
                <w:sz w:val="20"/>
                <w:szCs w:val="20"/>
                <w:color w:val="auto"/>
              </w:rPr>
            </w:pPr>
            <w:r>
              <w:rPr>
                <w:rFonts w:ascii="Arial" w:cs="Arial" w:eastAsia="Arial" w:hAnsi="Arial"/>
                <w:sz w:val="14"/>
                <w:szCs w:val="14"/>
                <w:color w:val="auto"/>
              </w:rPr>
              <w:t>SoCalGas</w:t>
            </w: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ind w:right="109"/>
              <w:spacing w:after="0"/>
              <w:rPr>
                <w:sz w:val="20"/>
                <w:szCs w:val="20"/>
                <w:color w:val="auto"/>
              </w:rPr>
            </w:pPr>
            <w:r>
              <w:rPr>
                <w:rFonts w:ascii="Arial" w:cs="Arial" w:eastAsia="Arial" w:hAnsi="Arial"/>
                <w:sz w:val="14"/>
                <w:szCs w:val="14"/>
                <w:color w:val="auto"/>
              </w:rPr>
              <w:t>764</w:t>
            </w:r>
          </w:p>
        </w:tc>
        <w:tc>
          <w:tcPr>
            <w:tcW w:w="780" w:type="dxa"/>
            <w:vAlign w:val="bottom"/>
          </w:tcPr>
          <w:p>
            <w:pPr>
              <w:jc w:val="right"/>
              <w:ind w:right="269"/>
              <w:spacing w:after="0"/>
              <w:rPr>
                <w:sz w:val="20"/>
                <w:szCs w:val="20"/>
                <w:color w:val="auto"/>
              </w:rPr>
            </w:pPr>
            <w:r>
              <w:rPr>
                <w:rFonts w:ascii="Arial" w:cs="Arial" w:eastAsia="Arial" w:hAnsi="Arial"/>
                <w:sz w:val="14"/>
                <w:szCs w:val="14"/>
                <w:color w:val="auto"/>
              </w:rPr>
              <w:t>33</w:t>
            </w:r>
          </w:p>
        </w:tc>
        <w:tc>
          <w:tcPr>
            <w:tcW w:w="300" w:type="dxa"/>
            <w:vAlign w:val="bottom"/>
          </w:tcPr>
          <w:p>
            <w:pPr>
              <w:spacing w:after="0"/>
              <w:rPr>
                <w:sz w:val="18"/>
                <w:szCs w:val="18"/>
                <w:color w:val="auto"/>
              </w:rPr>
            </w:pPr>
          </w:p>
        </w:tc>
        <w:tc>
          <w:tcPr>
            <w:tcW w:w="1020" w:type="dxa"/>
            <w:vAlign w:val="bottom"/>
          </w:tcPr>
          <w:p>
            <w:pPr>
              <w:jc w:val="right"/>
              <w:ind w:right="109"/>
              <w:spacing w:after="0"/>
              <w:rPr>
                <w:sz w:val="20"/>
                <w:szCs w:val="20"/>
                <w:color w:val="auto"/>
              </w:rPr>
            </w:pPr>
            <w:r>
              <w:rPr>
                <w:rFonts w:ascii="Arial" w:cs="Arial" w:eastAsia="Arial" w:hAnsi="Arial"/>
                <w:sz w:val="14"/>
                <w:szCs w:val="14"/>
                <w:color w:val="auto"/>
              </w:rPr>
              <w:t>521</w:t>
            </w:r>
          </w:p>
        </w:tc>
        <w:tc>
          <w:tcPr>
            <w:tcW w:w="480" w:type="dxa"/>
            <w:vAlign w:val="bottom"/>
          </w:tcPr>
          <w:p>
            <w:pPr>
              <w:jc w:val="right"/>
              <w:spacing w:after="0"/>
              <w:rPr>
                <w:sz w:val="20"/>
                <w:szCs w:val="20"/>
                <w:color w:val="auto"/>
              </w:rPr>
            </w:pPr>
            <w:r>
              <w:rPr>
                <w:rFonts w:ascii="Arial" w:cs="Arial" w:eastAsia="Arial" w:hAnsi="Arial"/>
                <w:sz w:val="14"/>
                <w:szCs w:val="14"/>
                <w:color w:val="auto"/>
              </w:rPr>
              <w:t>29</w:t>
            </w:r>
          </w:p>
        </w:tc>
        <w:tc>
          <w:tcPr>
            <w:tcW w:w="220" w:type="dxa"/>
            <w:vAlign w:val="bottom"/>
          </w:tcPr>
          <w:p>
            <w:pPr>
              <w:spacing w:after="0"/>
              <w:rPr>
                <w:sz w:val="18"/>
                <w:szCs w:val="18"/>
                <w:color w:val="auto"/>
              </w:rPr>
            </w:pPr>
          </w:p>
        </w:tc>
      </w:tr>
      <w:tr>
        <w:trPr>
          <w:trHeight w:val="213"/>
        </w:trPr>
        <w:tc>
          <w:tcPr>
            <w:tcW w:w="3300" w:type="dxa"/>
            <w:vAlign w:val="bottom"/>
            <w:gridSpan w:val="2"/>
          </w:tcPr>
          <w:p>
            <w:pPr>
              <w:ind w:left="120"/>
              <w:spacing w:after="0"/>
              <w:rPr>
                <w:sz w:val="20"/>
                <w:szCs w:val="20"/>
                <w:color w:val="auto"/>
              </w:rPr>
            </w:pPr>
            <w:r>
              <w:rPr>
                <w:rFonts w:ascii="Arial" w:cs="Arial" w:eastAsia="Arial" w:hAnsi="Arial"/>
                <w:sz w:val="14"/>
                <w:szCs w:val="14"/>
                <w:color w:val="auto"/>
              </w:rPr>
              <w:t>Sempra South American Utilities</w:t>
            </w: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ind w:right="109"/>
              <w:spacing w:after="0"/>
              <w:rPr>
                <w:sz w:val="20"/>
                <w:szCs w:val="20"/>
                <w:color w:val="auto"/>
              </w:rPr>
            </w:pPr>
            <w:r>
              <w:rPr>
                <w:rFonts w:ascii="Arial" w:cs="Arial" w:eastAsia="Arial" w:hAnsi="Arial"/>
                <w:sz w:val="14"/>
                <w:szCs w:val="14"/>
                <w:color w:val="auto"/>
              </w:rPr>
              <w:t>126</w:t>
            </w:r>
          </w:p>
        </w:tc>
        <w:tc>
          <w:tcPr>
            <w:tcW w:w="780" w:type="dxa"/>
            <w:vAlign w:val="bottom"/>
          </w:tcPr>
          <w:p>
            <w:pPr>
              <w:jc w:val="right"/>
              <w:ind w:right="269"/>
              <w:spacing w:after="0"/>
              <w:rPr>
                <w:sz w:val="20"/>
                <w:szCs w:val="20"/>
                <w:color w:val="auto"/>
              </w:rPr>
            </w:pPr>
            <w:r>
              <w:rPr>
                <w:rFonts w:ascii="Arial" w:cs="Arial" w:eastAsia="Arial" w:hAnsi="Arial"/>
                <w:sz w:val="14"/>
                <w:szCs w:val="14"/>
                <w:color w:val="auto"/>
              </w:rPr>
              <w:t>5</w:t>
            </w:r>
          </w:p>
        </w:tc>
        <w:tc>
          <w:tcPr>
            <w:tcW w:w="300" w:type="dxa"/>
            <w:vAlign w:val="bottom"/>
          </w:tcPr>
          <w:p>
            <w:pPr>
              <w:spacing w:after="0"/>
              <w:rPr>
                <w:sz w:val="18"/>
                <w:szCs w:val="18"/>
                <w:color w:val="auto"/>
              </w:rPr>
            </w:pPr>
          </w:p>
        </w:tc>
        <w:tc>
          <w:tcPr>
            <w:tcW w:w="1020" w:type="dxa"/>
            <w:vAlign w:val="bottom"/>
          </w:tcPr>
          <w:p>
            <w:pPr>
              <w:jc w:val="right"/>
              <w:ind w:right="109"/>
              <w:spacing w:after="0"/>
              <w:rPr>
                <w:sz w:val="20"/>
                <w:szCs w:val="20"/>
                <w:color w:val="auto"/>
              </w:rPr>
            </w:pPr>
            <w:r>
              <w:rPr>
                <w:rFonts w:ascii="Arial" w:cs="Arial" w:eastAsia="Arial" w:hAnsi="Arial"/>
                <w:sz w:val="14"/>
                <w:szCs w:val="14"/>
                <w:color w:val="auto"/>
              </w:rPr>
              <w:t>120</w:t>
            </w:r>
          </w:p>
        </w:tc>
        <w:tc>
          <w:tcPr>
            <w:tcW w:w="480" w:type="dxa"/>
            <w:vAlign w:val="bottom"/>
          </w:tcPr>
          <w:p>
            <w:pPr>
              <w:jc w:val="right"/>
              <w:spacing w:after="0"/>
              <w:rPr>
                <w:sz w:val="20"/>
                <w:szCs w:val="20"/>
                <w:color w:val="auto"/>
              </w:rPr>
            </w:pPr>
            <w:r>
              <w:rPr>
                <w:rFonts w:ascii="Arial" w:cs="Arial" w:eastAsia="Arial" w:hAnsi="Arial"/>
                <w:sz w:val="14"/>
                <w:szCs w:val="14"/>
                <w:color w:val="auto"/>
              </w:rPr>
              <w:t>7</w:t>
            </w:r>
          </w:p>
        </w:tc>
        <w:tc>
          <w:tcPr>
            <w:tcW w:w="220" w:type="dxa"/>
            <w:vAlign w:val="bottom"/>
          </w:tcPr>
          <w:p>
            <w:pPr>
              <w:spacing w:after="0"/>
              <w:rPr>
                <w:sz w:val="18"/>
                <w:szCs w:val="18"/>
                <w:color w:val="auto"/>
              </w:rPr>
            </w:pPr>
          </w:p>
        </w:tc>
      </w:tr>
      <w:tr>
        <w:trPr>
          <w:trHeight w:val="213"/>
        </w:trPr>
        <w:tc>
          <w:tcPr>
            <w:tcW w:w="3300" w:type="dxa"/>
            <w:vAlign w:val="bottom"/>
            <w:gridSpan w:val="2"/>
          </w:tcPr>
          <w:p>
            <w:pPr>
              <w:ind w:left="120"/>
              <w:spacing w:after="0"/>
              <w:rPr>
                <w:sz w:val="20"/>
                <w:szCs w:val="20"/>
                <w:color w:val="auto"/>
              </w:rPr>
            </w:pPr>
            <w:r>
              <w:rPr>
                <w:rFonts w:ascii="Arial" w:cs="Arial" w:eastAsia="Arial" w:hAnsi="Arial"/>
                <w:sz w:val="14"/>
                <w:szCs w:val="14"/>
                <w:color w:val="auto"/>
              </w:rPr>
              <w:t>Sempra Mexico</w:t>
            </w: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ind w:right="109"/>
              <w:spacing w:after="0"/>
              <w:rPr>
                <w:sz w:val="20"/>
                <w:szCs w:val="20"/>
                <w:color w:val="auto"/>
              </w:rPr>
            </w:pPr>
            <w:r>
              <w:rPr>
                <w:rFonts w:ascii="Arial" w:cs="Arial" w:eastAsia="Arial" w:hAnsi="Arial"/>
                <w:sz w:val="14"/>
                <w:szCs w:val="14"/>
                <w:color w:val="auto"/>
              </w:rPr>
              <w:t>262</w:t>
            </w:r>
          </w:p>
        </w:tc>
        <w:tc>
          <w:tcPr>
            <w:tcW w:w="780" w:type="dxa"/>
            <w:vAlign w:val="bottom"/>
          </w:tcPr>
          <w:p>
            <w:pPr>
              <w:jc w:val="right"/>
              <w:ind w:right="269"/>
              <w:spacing w:after="0"/>
              <w:rPr>
                <w:sz w:val="20"/>
                <w:szCs w:val="20"/>
                <w:color w:val="auto"/>
              </w:rPr>
            </w:pPr>
            <w:r>
              <w:rPr>
                <w:rFonts w:ascii="Arial" w:cs="Arial" w:eastAsia="Arial" w:hAnsi="Arial"/>
                <w:sz w:val="14"/>
                <w:szCs w:val="14"/>
                <w:color w:val="auto"/>
              </w:rPr>
              <w:t>11</w:t>
            </w:r>
          </w:p>
        </w:tc>
        <w:tc>
          <w:tcPr>
            <w:tcW w:w="300" w:type="dxa"/>
            <w:vAlign w:val="bottom"/>
          </w:tcPr>
          <w:p>
            <w:pPr>
              <w:spacing w:after="0"/>
              <w:rPr>
                <w:sz w:val="18"/>
                <w:szCs w:val="18"/>
                <w:color w:val="auto"/>
              </w:rPr>
            </w:pPr>
          </w:p>
        </w:tc>
        <w:tc>
          <w:tcPr>
            <w:tcW w:w="1020" w:type="dxa"/>
            <w:vAlign w:val="bottom"/>
          </w:tcPr>
          <w:p>
            <w:pPr>
              <w:jc w:val="right"/>
              <w:ind w:right="109"/>
              <w:spacing w:after="0"/>
              <w:rPr>
                <w:sz w:val="20"/>
                <w:szCs w:val="20"/>
                <w:color w:val="auto"/>
              </w:rPr>
            </w:pPr>
            <w:r>
              <w:rPr>
                <w:rFonts w:ascii="Arial" w:cs="Arial" w:eastAsia="Arial" w:hAnsi="Arial"/>
                <w:sz w:val="14"/>
                <w:szCs w:val="14"/>
                <w:color w:val="auto"/>
              </w:rPr>
              <w:t>280</w:t>
            </w:r>
          </w:p>
        </w:tc>
        <w:tc>
          <w:tcPr>
            <w:tcW w:w="480" w:type="dxa"/>
            <w:vAlign w:val="bottom"/>
          </w:tcPr>
          <w:p>
            <w:pPr>
              <w:jc w:val="right"/>
              <w:spacing w:after="0"/>
              <w:rPr>
                <w:sz w:val="20"/>
                <w:szCs w:val="20"/>
                <w:color w:val="auto"/>
              </w:rPr>
            </w:pPr>
            <w:r>
              <w:rPr>
                <w:rFonts w:ascii="Arial" w:cs="Arial" w:eastAsia="Arial" w:hAnsi="Arial"/>
                <w:sz w:val="14"/>
                <w:szCs w:val="14"/>
                <w:color w:val="auto"/>
              </w:rPr>
              <w:t>16</w:t>
            </w:r>
          </w:p>
        </w:tc>
        <w:tc>
          <w:tcPr>
            <w:tcW w:w="220" w:type="dxa"/>
            <w:vAlign w:val="bottom"/>
          </w:tcPr>
          <w:p>
            <w:pPr>
              <w:spacing w:after="0"/>
              <w:rPr>
                <w:sz w:val="18"/>
                <w:szCs w:val="18"/>
                <w:color w:val="auto"/>
              </w:rPr>
            </w:pPr>
          </w:p>
        </w:tc>
      </w:tr>
      <w:tr>
        <w:trPr>
          <w:trHeight w:val="213"/>
        </w:trPr>
        <w:tc>
          <w:tcPr>
            <w:tcW w:w="3300" w:type="dxa"/>
            <w:vAlign w:val="bottom"/>
            <w:gridSpan w:val="2"/>
          </w:tcPr>
          <w:p>
            <w:pPr>
              <w:ind w:left="120"/>
              <w:spacing w:after="0"/>
              <w:rPr>
                <w:sz w:val="20"/>
                <w:szCs w:val="20"/>
                <w:color w:val="auto"/>
              </w:rPr>
            </w:pPr>
            <w:r>
              <w:rPr>
                <w:rFonts w:ascii="Arial" w:cs="Arial" w:eastAsia="Arial" w:hAnsi="Arial"/>
                <w:sz w:val="14"/>
                <w:szCs w:val="14"/>
                <w:color w:val="auto"/>
              </w:rPr>
              <w:t>Sempra Renewables</w:t>
            </w: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ind w:right="109"/>
              <w:spacing w:after="0"/>
              <w:rPr>
                <w:sz w:val="20"/>
                <w:szCs w:val="20"/>
                <w:color w:val="auto"/>
              </w:rPr>
            </w:pPr>
            <w:r>
              <w:rPr>
                <w:rFonts w:ascii="Arial" w:cs="Arial" w:eastAsia="Arial" w:hAnsi="Arial"/>
                <w:sz w:val="14"/>
                <w:szCs w:val="14"/>
                <w:color w:val="auto"/>
              </w:rPr>
              <w:t>174</w:t>
            </w:r>
          </w:p>
        </w:tc>
        <w:tc>
          <w:tcPr>
            <w:tcW w:w="780" w:type="dxa"/>
            <w:vAlign w:val="bottom"/>
          </w:tcPr>
          <w:p>
            <w:pPr>
              <w:jc w:val="right"/>
              <w:ind w:right="269"/>
              <w:spacing w:after="0"/>
              <w:rPr>
                <w:sz w:val="20"/>
                <w:szCs w:val="20"/>
                <w:color w:val="auto"/>
              </w:rPr>
            </w:pPr>
            <w:r>
              <w:rPr>
                <w:rFonts w:ascii="Arial" w:cs="Arial" w:eastAsia="Arial" w:hAnsi="Arial"/>
                <w:sz w:val="14"/>
                <w:szCs w:val="14"/>
                <w:color w:val="auto"/>
              </w:rPr>
              <w:t>8</w:t>
            </w:r>
          </w:p>
        </w:tc>
        <w:tc>
          <w:tcPr>
            <w:tcW w:w="300" w:type="dxa"/>
            <w:vAlign w:val="bottom"/>
          </w:tcPr>
          <w:p>
            <w:pPr>
              <w:spacing w:after="0"/>
              <w:rPr>
                <w:sz w:val="18"/>
                <w:szCs w:val="18"/>
                <w:color w:val="auto"/>
              </w:rPr>
            </w:pPr>
          </w:p>
        </w:tc>
        <w:tc>
          <w:tcPr>
            <w:tcW w:w="1020" w:type="dxa"/>
            <w:vAlign w:val="bottom"/>
          </w:tcPr>
          <w:p>
            <w:pPr>
              <w:jc w:val="right"/>
              <w:ind w:right="109"/>
              <w:spacing w:after="0"/>
              <w:rPr>
                <w:sz w:val="20"/>
                <w:szCs w:val="20"/>
                <w:color w:val="auto"/>
              </w:rPr>
            </w:pPr>
            <w:r>
              <w:rPr>
                <w:rFonts w:ascii="Arial" w:cs="Arial" w:eastAsia="Arial" w:hAnsi="Arial"/>
                <w:sz w:val="14"/>
                <w:szCs w:val="14"/>
                <w:color w:val="auto"/>
              </w:rPr>
              <w:t>119</w:t>
            </w:r>
          </w:p>
        </w:tc>
        <w:tc>
          <w:tcPr>
            <w:tcW w:w="480" w:type="dxa"/>
            <w:vAlign w:val="bottom"/>
          </w:tcPr>
          <w:p>
            <w:pPr>
              <w:jc w:val="right"/>
              <w:spacing w:after="0"/>
              <w:rPr>
                <w:sz w:val="20"/>
                <w:szCs w:val="20"/>
                <w:color w:val="auto"/>
              </w:rPr>
            </w:pPr>
            <w:r>
              <w:rPr>
                <w:rFonts w:ascii="Arial" w:cs="Arial" w:eastAsia="Arial" w:hAnsi="Arial"/>
                <w:sz w:val="14"/>
                <w:szCs w:val="14"/>
                <w:color w:val="auto"/>
              </w:rPr>
              <w:t>7</w:t>
            </w:r>
          </w:p>
        </w:tc>
        <w:tc>
          <w:tcPr>
            <w:tcW w:w="220" w:type="dxa"/>
            <w:vAlign w:val="bottom"/>
          </w:tcPr>
          <w:p>
            <w:pPr>
              <w:spacing w:after="0"/>
              <w:rPr>
                <w:sz w:val="18"/>
                <w:szCs w:val="18"/>
                <w:color w:val="auto"/>
              </w:rPr>
            </w:pPr>
          </w:p>
        </w:tc>
      </w:tr>
      <w:tr>
        <w:trPr>
          <w:trHeight w:val="213"/>
        </w:trPr>
        <w:tc>
          <w:tcPr>
            <w:tcW w:w="3300" w:type="dxa"/>
            <w:vAlign w:val="bottom"/>
            <w:gridSpan w:val="2"/>
          </w:tcPr>
          <w:p>
            <w:pPr>
              <w:ind w:left="120"/>
              <w:spacing w:after="0"/>
              <w:rPr>
                <w:sz w:val="20"/>
                <w:szCs w:val="20"/>
                <w:color w:val="auto"/>
              </w:rPr>
            </w:pPr>
            <w:r>
              <w:rPr>
                <w:rFonts w:ascii="Arial" w:cs="Arial" w:eastAsia="Arial" w:hAnsi="Arial"/>
                <w:sz w:val="14"/>
                <w:szCs w:val="14"/>
                <w:color w:val="auto"/>
              </w:rPr>
              <w:t>Sempra Natural Gas</w:t>
            </w: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ind w:right="109"/>
              <w:spacing w:after="0"/>
              <w:rPr>
                <w:sz w:val="20"/>
                <w:szCs w:val="20"/>
                <w:color w:val="auto"/>
              </w:rPr>
            </w:pPr>
            <w:r>
              <w:rPr>
                <w:rFonts w:ascii="Arial" w:cs="Arial" w:eastAsia="Arial" w:hAnsi="Arial"/>
                <w:sz w:val="14"/>
                <w:szCs w:val="14"/>
                <w:color w:val="auto"/>
              </w:rPr>
              <w:t>192</w:t>
            </w:r>
          </w:p>
        </w:tc>
        <w:tc>
          <w:tcPr>
            <w:tcW w:w="780" w:type="dxa"/>
            <w:vAlign w:val="bottom"/>
          </w:tcPr>
          <w:p>
            <w:pPr>
              <w:jc w:val="right"/>
              <w:ind w:right="269"/>
              <w:spacing w:after="0"/>
              <w:rPr>
                <w:sz w:val="20"/>
                <w:szCs w:val="20"/>
                <w:color w:val="auto"/>
              </w:rPr>
            </w:pPr>
            <w:r>
              <w:rPr>
                <w:rFonts w:ascii="Arial" w:cs="Arial" w:eastAsia="Arial" w:hAnsi="Arial"/>
                <w:sz w:val="14"/>
                <w:szCs w:val="14"/>
                <w:color w:val="auto"/>
              </w:rPr>
              <w:t>8</w:t>
            </w:r>
          </w:p>
        </w:tc>
        <w:tc>
          <w:tcPr>
            <w:tcW w:w="300" w:type="dxa"/>
            <w:vAlign w:val="bottom"/>
          </w:tcPr>
          <w:p>
            <w:pPr>
              <w:spacing w:after="0"/>
              <w:rPr>
                <w:sz w:val="18"/>
                <w:szCs w:val="18"/>
                <w:color w:val="auto"/>
              </w:rPr>
            </w:pPr>
          </w:p>
        </w:tc>
        <w:tc>
          <w:tcPr>
            <w:tcW w:w="1020" w:type="dxa"/>
            <w:vAlign w:val="bottom"/>
          </w:tcPr>
          <w:p>
            <w:pPr>
              <w:jc w:val="right"/>
              <w:ind w:right="109"/>
              <w:spacing w:after="0"/>
              <w:rPr>
                <w:sz w:val="20"/>
                <w:szCs w:val="20"/>
                <w:color w:val="auto"/>
              </w:rPr>
            </w:pPr>
            <w:r>
              <w:rPr>
                <w:rFonts w:ascii="Arial" w:cs="Arial" w:eastAsia="Arial" w:hAnsi="Arial"/>
                <w:sz w:val="14"/>
                <w:szCs w:val="14"/>
                <w:color w:val="auto"/>
              </w:rPr>
              <w:t>65</w:t>
            </w:r>
          </w:p>
        </w:tc>
        <w:tc>
          <w:tcPr>
            <w:tcW w:w="480" w:type="dxa"/>
            <w:vAlign w:val="bottom"/>
          </w:tcPr>
          <w:p>
            <w:pPr>
              <w:jc w:val="right"/>
              <w:spacing w:after="0"/>
              <w:rPr>
                <w:sz w:val="20"/>
                <w:szCs w:val="20"/>
                <w:color w:val="auto"/>
              </w:rPr>
            </w:pPr>
            <w:r>
              <w:rPr>
                <w:rFonts w:ascii="Arial" w:cs="Arial" w:eastAsia="Arial" w:hAnsi="Arial"/>
                <w:sz w:val="14"/>
                <w:szCs w:val="14"/>
                <w:color w:val="auto"/>
              </w:rPr>
              <w:t>3</w:t>
            </w:r>
          </w:p>
        </w:tc>
        <w:tc>
          <w:tcPr>
            <w:tcW w:w="220" w:type="dxa"/>
            <w:vAlign w:val="bottom"/>
          </w:tcPr>
          <w:p>
            <w:pPr>
              <w:spacing w:after="0"/>
              <w:rPr>
                <w:sz w:val="18"/>
                <w:szCs w:val="18"/>
                <w:color w:val="auto"/>
              </w:rPr>
            </w:pPr>
          </w:p>
        </w:tc>
      </w:tr>
      <w:tr>
        <w:trPr>
          <w:trHeight w:val="197"/>
        </w:trPr>
        <w:tc>
          <w:tcPr>
            <w:tcW w:w="3300" w:type="dxa"/>
            <w:vAlign w:val="bottom"/>
            <w:gridSpan w:val="2"/>
          </w:tcPr>
          <w:p>
            <w:pPr>
              <w:ind w:left="120"/>
              <w:spacing w:after="0"/>
              <w:rPr>
                <w:sz w:val="20"/>
                <w:szCs w:val="20"/>
                <w:color w:val="auto"/>
              </w:rPr>
            </w:pPr>
            <w:r>
              <w:rPr>
                <w:rFonts w:ascii="Arial" w:cs="Arial" w:eastAsia="Arial" w:hAnsi="Arial"/>
                <w:sz w:val="14"/>
                <w:szCs w:val="14"/>
                <w:color w:val="auto"/>
              </w:rPr>
              <w:t>All other</w:t>
            </w: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12</w:t>
            </w:r>
          </w:p>
        </w:tc>
        <w:tc>
          <w:tcPr>
            <w:tcW w:w="78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1</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w:t>
            </w:r>
          </w:p>
        </w:tc>
        <w:tc>
          <w:tcPr>
            <w:tcW w:w="4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7"/>
                <w:szCs w:val="17"/>
                <w:color w:val="auto"/>
              </w:rPr>
            </w:pPr>
          </w:p>
        </w:tc>
      </w:tr>
      <w:tr>
        <w:trPr>
          <w:trHeight w:val="212"/>
        </w:trPr>
        <w:tc>
          <w:tcPr>
            <w:tcW w:w="330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color w:val="auto"/>
              </w:rPr>
              <w:t>Total</w:t>
            </w:r>
          </w:p>
        </w:tc>
        <w:tc>
          <w:tcPr>
            <w:tcW w:w="5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2,320</w:t>
            </w:r>
          </w:p>
        </w:tc>
        <w:tc>
          <w:tcPr>
            <w:tcW w:w="7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100 %</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1,785</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13"/>
        </w:trPr>
        <w:tc>
          <w:tcPr>
            <w:tcW w:w="30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2"/>
          </w:tcPr>
          <w:p>
            <w:pPr>
              <w:jc w:val="right"/>
              <w:ind w:right="429"/>
              <w:spacing w:after="0"/>
              <w:rPr>
                <w:sz w:val="20"/>
                <w:szCs w:val="20"/>
                <w:color w:val="auto"/>
              </w:rPr>
            </w:pPr>
            <w:r>
              <w:rPr>
                <w:rFonts w:ascii="Arial" w:cs="Arial" w:eastAsia="Arial" w:hAnsi="Arial"/>
                <w:sz w:val="14"/>
                <w:szCs w:val="14"/>
                <w:color w:val="auto"/>
              </w:rPr>
              <w:t>September 30, 2014</w:t>
            </w: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right"/>
              <w:ind w:right="149"/>
              <w:spacing w:after="0"/>
              <w:rPr>
                <w:sz w:val="20"/>
                <w:szCs w:val="20"/>
                <w:color w:val="auto"/>
              </w:rPr>
            </w:pPr>
            <w:r>
              <w:rPr>
                <w:rFonts w:ascii="Arial" w:cs="Arial" w:eastAsia="Arial" w:hAnsi="Arial"/>
                <w:sz w:val="14"/>
                <w:szCs w:val="14"/>
                <w:color w:val="auto"/>
              </w:rPr>
              <w:t>December 31, 2013</w:t>
            </w:r>
          </w:p>
        </w:tc>
        <w:tc>
          <w:tcPr>
            <w:tcW w:w="220" w:type="dxa"/>
            <w:vAlign w:val="bottom"/>
            <w:tcBorders>
              <w:bottom w:val="single" w:sz="8" w:color="auto"/>
            </w:tcBorders>
          </w:tcPr>
          <w:p>
            <w:pPr>
              <w:spacing w:after="0"/>
              <w:rPr>
                <w:sz w:val="18"/>
                <w:szCs w:val="18"/>
                <w:color w:val="auto"/>
              </w:rPr>
            </w:pPr>
          </w:p>
        </w:tc>
      </w:tr>
      <w:tr>
        <w:trPr>
          <w:trHeight w:val="221"/>
        </w:trPr>
        <w:tc>
          <w:tcPr>
            <w:tcW w:w="3300" w:type="dxa"/>
            <w:vAlign w:val="bottom"/>
            <w:gridSpan w:val="2"/>
          </w:tcPr>
          <w:p>
            <w:pPr>
              <w:spacing w:after="0"/>
              <w:rPr>
                <w:sz w:val="20"/>
                <w:szCs w:val="20"/>
                <w:color w:val="auto"/>
              </w:rPr>
            </w:pPr>
            <w:r>
              <w:rPr>
                <w:rFonts w:ascii="Arial" w:cs="Arial" w:eastAsia="Arial" w:hAnsi="Arial"/>
                <w:sz w:val="14"/>
                <w:szCs w:val="14"/>
                <w:color w:val="auto"/>
              </w:rPr>
              <w:t>ASSETS</w:t>
            </w: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13"/>
        </w:trPr>
        <w:tc>
          <w:tcPr>
            <w:tcW w:w="3300" w:type="dxa"/>
            <w:vAlign w:val="bottom"/>
            <w:gridSpan w:val="2"/>
          </w:tcPr>
          <w:p>
            <w:pPr>
              <w:ind w:left="120"/>
              <w:spacing w:after="0"/>
              <w:rPr>
                <w:sz w:val="20"/>
                <w:szCs w:val="20"/>
                <w:color w:val="auto"/>
              </w:rPr>
            </w:pPr>
            <w:r>
              <w:rPr>
                <w:rFonts w:ascii="Arial" w:cs="Arial" w:eastAsia="Arial" w:hAnsi="Arial"/>
                <w:sz w:val="14"/>
                <w:szCs w:val="14"/>
                <w:color w:val="auto"/>
              </w:rPr>
              <w:t>SDG&amp;E</w:t>
            </w: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9"/>
              <w:spacing w:after="0"/>
              <w:rPr>
                <w:sz w:val="20"/>
                <w:szCs w:val="20"/>
                <w:color w:val="auto"/>
              </w:rPr>
            </w:pPr>
            <w:r>
              <w:rPr>
                <w:rFonts w:ascii="Arial" w:cs="Arial" w:eastAsia="Arial" w:hAnsi="Arial"/>
                <w:sz w:val="14"/>
                <w:szCs w:val="14"/>
                <w:color w:val="auto"/>
              </w:rPr>
              <w:t>15,975</w:t>
            </w:r>
          </w:p>
        </w:tc>
        <w:tc>
          <w:tcPr>
            <w:tcW w:w="780" w:type="dxa"/>
            <w:vAlign w:val="bottom"/>
          </w:tcPr>
          <w:p>
            <w:pPr>
              <w:jc w:val="right"/>
              <w:ind w:right="89"/>
              <w:spacing w:after="0"/>
              <w:rPr>
                <w:sz w:val="20"/>
                <w:szCs w:val="20"/>
                <w:color w:val="auto"/>
              </w:rPr>
            </w:pPr>
            <w:r>
              <w:rPr>
                <w:rFonts w:ascii="Arial" w:cs="Arial" w:eastAsia="Arial" w:hAnsi="Arial"/>
                <w:sz w:val="14"/>
                <w:szCs w:val="14"/>
                <w:color w:val="auto"/>
              </w:rPr>
              <w:t>41 %</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9"/>
              <w:spacing w:after="0"/>
              <w:rPr>
                <w:sz w:val="20"/>
                <w:szCs w:val="20"/>
                <w:color w:val="auto"/>
              </w:rPr>
            </w:pPr>
            <w:r>
              <w:rPr>
                <w:rFonts w:ascii="Arial" w:cs="Arial" w:eastAsia="Arial" w:hAnsi="Arial"/>
                <w:sz w:val="14"/>
                <w:szCs w:val="14"/>
                <w:color w:val="auto"/>
              </w:rPr>
              <w:t>15,377</w:t>
            </w:r>
          </w:p>
        </w:tc>
        <w:tc>
          <w:tcPr>
            <w:tcW w:w="480" w:type="dxa"/>
            <w:vAlign w:val="bottom"/>
          </w:tcPr>
          <w:p>
            <w:pPr>
              <w:jc w:val="right"/>
              <w:spacing w:after="0"/>
              <w:rPr>
                <w:sz w:val="20"/>
                <w:szCs w:val="20"/>
                <w:color w:val="auto"/>
              </w:rPr>
            </w:pPr>
            <w:r>
              <w:rPr>
                <w:rFonts w:ascii="Arial" w:cs="Arial" w:eastAsia="Arial" w:hAnsi="Arial"/>
                <w:sz w:val="14"/>
                <w:szCs w:val="14"/>
                <w:color w:val="auto"/>
              </w:rPr>
              <w:t>41</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3"/>
        </w:trPr>
        <w:tc>
          <w:tcPr>
            <w:tcW w:w="3300" w:type="dxa"/>
            <w:vAlign w:val="bottom"/>
            <w:gridSpan w:val="2"/>
          </w:tcPr>
          <w:p>
            <w:pPr>
              <w:ind w:left="120"/>
              <w:spacing w:after="0"/>
              <w:rPr>
                <w:sz w:val="20"/>
                <w:szCs w:val="20"/>
                <w:color w:val="auto"/>
              </w:rPr>
            </w:pPr>
            <w:r>
              <w:rPr>
                <w:rFonts w:ascii="Arial" w:cs="Arial" w:eastAsia="Arial" w:hAnsi="Arial"/>
                <w:sz w:val="14"/>
                <w:szCs w:val="14"/>
                <w:color w:val="auto"/>
              </w:rPr>
              <w:t>SoCalGas</w:t>
            </w: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ind w:right="109"/>
              <w:spacing w:after="0"/>
              <w:rPr>
                <w:sz w:val="20"/>
                <w:szCs w:val="20"/>
                <w:color w:val="auto"/>
              </w:rPr>
            </w:pPr>
            <w:r>
              <w:rPr>
                <w:rFonts w:ascii="Arial" w:cs="Arial" w:eastAsia="Arial" w:hAnsi="Arial"/>
                <w:sz w:val="14"/>
                <w:szCs w:val="14"/>
                <w:color w:val="auto"/>
              </w:rPr>
              <w:t>9,954</w:t>
            </w:r>
          </w:p>
        </w:tc>
        <w:tc>
          <w:tcPr>
            <w:tcW w:w="780" w:type="dxa"/>
            <w:vAlign w:val="bottom"/>
          </w:tcPr>
          <w:p>
            <w:pPr>
              <w:jc w:val="right"/>
              <w:ind w:right="269"/>
              <w:spacing w:after="0"/>
              <w:rPr>
                <w:sz w:val="20"/>
                <w:szCs w:val="20"/>
                <w:color w:val="auto"/>
              </w:rPr>
            </w:pPr>
            <w:r>
              <w:rPr>
                <w:rFonts w:ascii="Arial" w:cs="Arial" w:eastAsia="Arial" w:hAnsi="Arial"/>
                <w:sz w:val="14"/>
                <w:szCs w:val="14"/>
                <w:color w:val="auto"/>
              </w:rPr>
              <w:t>26</w:t>
            </w:r>
          </w:p>
        </w:tc>
        <w:tc>
          <w:tcPr>
            <w:tcW w:w="300" w:type="dxa"/>
            <w:vAlign w:val="bottom"/>
          </w:tcPr>
          <w:p>
            <w:pPr>
              <w:spacing w:after="0"/>
              <w:rPr>
                <w:sz w:val="18"/>
                <w:szCs w:val="18"/>
                <w:color w:val="auto"/>
              </w:rPr>
            </w:pPr>
          </w:p>
        </w:tc>
        <w:tc>
          <w:tcPr>
            <w:tcW w:w="1020" w:type="dxa"/>
            <w:vAlign w:val="bottom"/>
          </w:tcPr>
          <w:p>
            <w:pPr>
              <w:jc w:val="right"/>
              <w:ind w:right="109"/>
              <w:spacing w:after="0"/>
              <w:rPr>
                <w:sz w:val="20"/>
                <w:szCs w:val="20"/>
                <w:color w:val="auto"/>
              </w:rPr>
            </w:pPr>
            <w:r>
              <w:rPr>
                <w:rFonts w:ascii="Arial" w:cs="Arial" w:eastAsia="Arial" w:hAnsi="Arial"/>
                <w:sz w:val="14"/>
                <w:szCs w:val="14"/>
                <w:color w:val="auto"/>
              </w:rPr>
              <w:t>9,147</w:t>
            </w:r>
          </w:p>
        </w:tc>
        <w:tc>
          <w:tcPr>
            <w:tcW w:w="480" w:type="dxa"/>
            <w:vAlign w:val="bottom"/>
          </w:tcPr>
          <w:p>
            <w:pPr>
              <w:jc w:val="right"/>
              <w:spacing w:after="0"/>
              <w:rPr>
                <w:sz w:val="20"/>
                <w:szCs w:val="20"/>
                <w:color w:val="auto"/>
              </w:rPr>
            </w:pPr>
            <w:r>
              <w:rPr>
                <w:rFonts w:ascii="Arial" w:cs="Arial" w:eastAsia="Arial" w:hAnsi="Arial"/>
                <w:sz w:val="14"/>
                <w:szCs w:val="14"/>
                <w:color w:val="auto"/>
              </w:rPr>
              <w:t>25</w:t>
            </w:r>
          </w:p>
        </w:tc>
        <w:tc>
          <w:tcPr>
            <w:tcW w:w="220" w:type="dxa"/>
            <w:vAlign w:val="bottom"/>
          </w:tcPr>
          <w:p>
            <w:pPr>
              <w:spacing w:after="0"/>
              <w:rPr>
                <w:sz w:val="18"/>
                <w:szCs w:val="18"/>
                <w:color w:val="auto"/>
              </w:rPr>
            </w:pPr>
          </w:p>
        </w:tc>
      </w:tr>
      <w:tr>
        <w:trPr>
          <w:trHeight w:val="213"/>
        </w:trPr>
        <w:tc>
          <w:tcPr>
            <w:tcW w:w="3300" w:type="dxa"/>
            <w:vAlign w:val="bottom"/>
            <w:gridSpan w:val="2"/>
          </w:tcPr>
          <w:p>
            <w:pPr>
              <w:ind w:left="120"/>
              <w:spacing w:after="0"/>
              <w:rPr>
                <w:sz w:val="20"/>
                <w:szCs w:val="20"/>
                <w:color w:val="auto"/>
              </w:rPr>
            </w:pPr>
            <w:r>
              <w:rPr>
                <w:rFonts w:ascii="Arial" w:cs="Arial" w:eastAsia="Arial" w:hAnsi="Arial"/>
                <w:sz w:val="14"/>
                <w:szCs w:val="14"/>
                <w:color w:val="auto"/>
              </w:rPr>
              <w:t>Sempra South American Utilities</w:t>
            </w: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ind w:right="109"/>
              <w:spacing w:after="0"/>
              <w:rPr>
                <w:sz w:val="20"/>
                <w:szCs w:val="20"/>
                <w:color w:val="auto"/>
              </w:rPr>
            </w:pPr>
            <w:r>
              <w:rPr>
                <w:rFonts w:ascii="Arial" w:cs="Arial" w:eastAsia="Arial" w:hAnsi="Arial"/>
                <w:sz w:val="14"/>
                <w:szCs w:val="14"/>
                <w:color w:val="auto"/>
              </w:rPr>
              <w:t>3,463</w:t>
            </w:r>
          </w:p>
        </w:tc>
        <w:tc>
          <w:tcPr>
            <w:tcW w:w="780" w:type="dxa"/>
            <w:vAlign w:val="bottom"/>
          </w:tcPr>
          <w:p>
            <w:pPr>
              <w:jc w:val="right"/>
              <w:ind w:right="269"/>
              <w:spacing w:after="0"/>
              <w:rPr>
                <w:sz w:val="20"/>
                <w:szCs w:val="20"/>
                <w:color w:val="auto"/>
              </w:rPr>
            </w:pPr>
            <w:r>
              <w:rPr>
                <w:rFonts w:ascii="Arial" w:cs="Arial" w:eastAsia="Arial" w:hAnsi="Arial"/>
                <w:sz w:val="14"/>
                <w:szCs w:val="14"/>
                <w:color w:val="auto"/>
              </w:rPr>
              <w:t>9</w:t>
            </w:r>
          </w:p>
        </w:tc>
        <w:tc>
          <w:tcPr>
            <w:tcW w:w="300" w:type="dxa"/>
            <w:vAlign w:val="bottom"/>
          </w:tcPr>
          <w:p>
            <w:pPr>
              <w:spacing w:after="0"/>
              <w:rPr>
                <w:sz w:val="18"/>
                <w:szCs w:val="18"/>
                <w:color w:val="auto"/>
              </w:rPr>
            </w:pPr>
          </w:p>
        </w:tc>
        <w:tc>
          <w:tcPr>
            <w:tcW w:w="1020" w:type="dxa"/>
            <w:vAlign w:val="bottom"/>
          </w:tcPr>
          <w:p>
            <w:pPr>
              <w:jc w:val="right"/>
              <w:ind w:right="109"/>
              <w:spacing w:after="0"/>
              <w:rPr>
                <w:sz w:val="20"/>
                <w:szCs w:val="20"/>
                <w:color w:val="auto"/>
              </w:rPr>
            </w:pPr>
            <w:r>
              <w:rPr>
                <w:rFonts w:ascii="Arial" w:cs="Arial" w:eastAsia="Arial" w:hAnsi="Arial"/>
                <w:sz w:val="14"/>
                <w:szCs w:val="14"/>
                <w:color w:val="auto"/>
              </w:rPr>
              <w:t>3,531</w:t>
            </w:r>
          </w:p>
        </w:tc>
        <w:tc>
          <w:tcPr>
            <w:tcW w:w="480" w:type="dxa"/>
            <w:vAlign w:val="bottom"/>
          </w:tcPr>
          <w:p>
            <w:pPr>
              <w:jc w:val="right"/>
              <w:spacing w:after="0"/>
              <w:rPr>
                <w:sz w:val="20"/>
                <w:szCs w:val="20"/>
                <w:color w:val="auto"/>
              </w:rPr>
            </w:pPr>
            <w:r>
              <w:rPr>
                <w:rFonts w:ascii="Arial" w:cs="Arial" w:eastAsia="Arial" w:hAnsi="Arial"/>
                <w:sz w:val="14"/>
                <w:szCs w:val="14"/>
                <w:color w:val="auto"/>
              </w:rPr>
              <w:t>10</w:t>
            </w:r>
          </w:p>
        </w:tc>
        <w:tc>
          <w:tcPr>
            <w:tcW w:w="220" w:type="dxa"/>
            <w:vAlign w:val="bottom"/>
          </w:tcPr>
          <w:p>
            <w:pPr>
              <w:spacing w:after="0"/>
              <w:rPr>
                <w:sz w:val="18"/>
                <w:szCs w:val="18"/>
                <w:color w:val="auto"/>
              </w:rPr>
            </w:pPr>
          </w:p>
        </w:tc>
      </w:tr>
      <w:tr>
        <w:trPr>
          <w:trHeight w:val="213"/>
        </w:trPr>
        <w:tc>
          <w:tcPr>
            <w:tcW w:w="3300" w:type="dxa"/>
            <w:vAlign w:val="bottom"/>
            <w:gridSpan w:val="2"/>
          </w:tcPr>
          <w:p>
            <w:pPr>
              <w:ind w:left="120"/>
              <w:spacing w:after="0"/>
              <w:rPr>
                <w:sz w:val="20"/>
                <w:szCs w:val="20"/>
                <w:color w:val="auto"/>
              </w:rPr>
            </w:pPr>
            <w:r>
              <w:rPr>
                <w:rFonts w:ascii="Arial" w:cs="Arial" w:eastAsia="Arial" w:hAnsi="Arial"/>
                <w:sz w:val="14"/>
                <w:szCs w:val="14"/>
                <w:color w:val="auto"/>
              </w:rPr>
              <w:t>Sempra Mexico</w:t>
            </w: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ind w:right="109"/>
              <w:spacing w:after="0"/>
              <w:rPr>
                <w:sz w:val="20"/>
                <w:szCs w:val="20"/>
                <w:color w:val="auto"/>
              </w:rPr>
            </w:pPr>
            <w:r>
              <w:rPr>
                <w:rFonts w:ascii="Arial" w:cs="Arial" w:eastAsia="Arial" w:hAnsi="Arial"/>
                <w:sz w:val="14"/>
                <w:szCs w:val="14"/>
                <w:color w:val="auto"/>
              </w:rPr>
              <w:t>3,404</w:t>
            </w:r>
          </w:p>
        </w:tc>
        <w:tc>
          <w:tcPr>
            <w:tcW w:w="780" w:type="dxa"/>
            <w:vAlign w:val="bottom"/>
          </w:tcPr>
          <w:p>
            <w:pPr>
              <w:jc w:val="right"/>
              <w:ind w:right="269"/>
              <w:spacing w:after="0"/>
              <w:rPr>
                <w:sz w:val="20"/>
                <w:szCs w:val="20"/>
                <w:color w:val="auto"/>
              </w:rPr>
            </w:pPr>
            <w:r>
              <w:rPr>
                <w:rFonts w:ascii="Arial" w:cs="Arial" w:eastAsia="Arial" w:hAnsi="Arial"/>
                <w:sz w:val="14"/>
                <w:szCs w:val="14"/>
                <w:color w:val="auto"/>
              </w:rPr>
              <w:t>9</w:t>
            </w:r>
          </w:p>
        </w:tc>
        <w:tc>
          <w:tcPr>
            <w:tcW w:w="300" w:type="dxa"/>
            <w:vAlign w:val="bottom"/>
          </w:tcPr>
          <w:p>
            <w:pPr>
              <w:spacing w:after="0"/>
              <w:rPr>
                <w:sz w:val="18"/>
                <w:szCs w:val="18"/>
                <w:color w:val="auto"/>
              </w:rPr>
            </w:pPr>
          </w:p>
        </w:tc>
        <w:tc>
          <w:tcPr>
            <w:tcW w:w="1020" w:type="dxa"/>
            <w:vAlign w:val="bottom"/>
          </w:tcPr>
          <w:p>
            <w:pPr>
              <w:jc w:val="right"/>
              <w:ind w:right="109"/>
              <w:spacing w:after="0"/>
              <w:rPr>
                <w:sz w:val="20"/>
                <w:szCs w:val="20"/>
                <w:color w:val="auto"/>
              </w:rPr>
            </w:pPr>
            <w:r>
              <w:rPr>
                <w:rFonts w:ascii="Arial" w:cs="Arial" w:eastAsia="Arial" w:hAnsi="Arial"/>
                <w:sz w:val="14"/>
                <w:szCs w:val="14"/>
                <w:color w:val="auto"/>
              </w:rPr>
              <w:t>3,246</w:t>
            </w:r>
          </w:p>
        </w:tc>
        <w:tc>
          <w:tcPr>
            <w:tcW w:w="480" w:type="dxa"/>
            <w:vAlign w:val="bottom"/>
          </w:tcPr>
          <w:p>
            <w:pPr>
              <w:jc w:val="right"/>
              <w:spacing w:after="0"/>
              <w:rPr>
                <w:sz w:val="20"/>
                <w:szCs w:val="20"/>
                <w:color w:val="auto"/>
              </w:rPr>
            </w:pPr>
            <w:r>
              <w:rPr>
                <w:rFonts w:ascii="Arial" w:cs="Arial" w:eastAsia="Arial" w:hAnsi="Arial"/>
                <w:sz w:val="14"/>
                <w:szCs w:val="14"/>
                <w:color w:val="auto"/>
              </w:rPr>
              <w:t>9</w:t>
            </w:r>
          </w:p>
        </w:tc>
        <w:tc>
          <w:tcPr>
            <w:tcW w:w="220" w:type="dxa"/>
            <w:vAlign w:val="bottom"/>
          </w:tcPr>
          <w:p>
            <w:pPr>
              <w:spacing w:after="0"/>
              <w:rPr>
                <w:sz w:val="18"/>
                <w:szCs w:val="18"/>
                <w:color w:val="auto"/>
              </w:rPr>
            </w:pPr>
          </w:p>
        </w:tc>
      </w:tr>
      <w:tr>
        <w:trPr>
          <w:trHeight w:val="213"/>
        </w:trPr>
        <w:tc>
          <w:tcPr>
            <w:tcW w:w="3300" w:type="dxa"/>
            <w:vAlign w:val="bottom"/>
            <w:gridSpan w:val="2"/>
          </w:tcPr>
          <w:p>
            <w:pPr>
              <w:ind w:left="120"/>
              <w:spacing w:after="0"/>
              <w:rPr>
                <w:sz w:val="20"/>
                <w:szCs w:val="20"/>
                <w:color w:val="auto"/>
              </w:rPr>
            </w:pPr>
            <w:r>
              <w:rPr>
                <w:rFonts w:ascii="Arial" w:cs="Arial" w:eastAsia="Arial" w:hAnsi="Arial"/>
                <w:sz w:val="14"/>
                <w:szCs w:val="14"/>
                <w:color w:val="auto"/>
              </w:rPr>
              <w:t>Sempra Renewables</w:t>
            </w: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ind w:right="109"/>
              <w:spacing w:after="0"/>
              <w:rPr>
                <w:sz w:val="20"/>
                <w:szCs w:val="20"/>
                <w:color w:val="auto"/>
              </w:rPr>
            </w:pPr>
            <w:r>
              <w:rPr>
                <w:rFonts w:ascii="Arial" w:cs="Arial" w:eastAsia="Arial" w:hAnsi="Arial"/>
                <w:sz w:val="14"/>
                <w:szCs w:val="14"/>
                <w:color w:val="auto"/>
              </w:rPr>
              <w:t>1,379</w:t>
            </w:r>
          </w:p>
        </w:tc>
        <w:tc>
          <w:tcPr>
            <w:tcW w:w="780" w:type="dxa"/>
            <w:vAlign w:val="bottom"/>
          </w:tcPr>
          <w:p>
            <w:pPr>
              <w:jc w:val="right"/>
              <w:ind w:right="269"/>
              <w:spacing w:after="0"/>
              <w:rPr>
                <w:sz w:val="20"/>
                <w:szCs w:val="20"/>
                <w:color w:val="auto"/>
              </w:rPr>
            </w:pPr>
            <w:r>
              <w:rPr>
                <w:rFonts w:ascii="Arial" w:cs="Arial" w:eastAsia="Arial" w:hAnsi="Arial"/>
                <w:sz w:val="14"/>
                <w:szCs w:val="14"/>
                <w:color w:val="auto"/>
              </w:rPr>
              <w:t>3</w:t>
            </w:r>
          </w:p>
        </w:tc>
        <w:tc>
          <w:tcPr>
            <w:tcW w:w="300" w:type="dxa"/>
            <w:vAlign w:val="bottom"/>
          </w:tcPr>
          <w:p>
            <w:pPr>
              <w:spacing w:after="0"/>
              <w:rPr>
                <w:sz w:val="18"/>
                <w:szCs w:val="18"/>
                <w:color w:val="auto"/>
              </w:rPr>
            </w:pPr>
          </w:p>
        </w:tc>
        <w:tc>
          <w:tcPr>
            <w:tcW w:w="1020" w:type="dxa"/>
            <w:vAlign w:val="bottom"/>
          </w:tcPr>
          <w:p>
            <w:pPr>
              <w:jc w:val="right"/>
              <w:ind w:right="109"/>
              <w:spacing w:after="0"/>
              <w:rPr>
                <w:sz w:val="20"/>
                <w:szCs w:val="20"/>
                <w:color w:val="auto"/>
              </w:rPr>
            </w:pPr>
            <w:r>
              <w:rPr>
                <w:rFonts w:ascii="Arial" w:cs="Arial" w:eastAsia="Arial" w:hAnsi="Arial"/>
                <w:sz w:val="14"/>
                <w:szCs w:val="14"/>
                <w:color w:val="auto"/>
              </w:rPr>
              <w:t>1,219</w:t>
            </w:r>
          </w:p>
        </w:tc>
        <w:tc>
          <w:tcPr>
            <w:tcW w:w="480" w:type="dxa"/>
            <w:vAlign w:val="bottom"/>
          </w:tcPr>
          <w:p>
            <w:pPr>
              <w:jc w:val="right"/>
              <w:spacing w:after="0"/>
              <w:rPr>
                <w:sz w:val="20"/>
                <w:szCs w:val="20"/>
                <w:color w:val="auto"/>
              </w:rPr>
            </w:pPr>
            <w:r>
              <w:rPr>
                <w:rFonts w:ascii="Arial" w:cs="Arial" w:eastAsia="Arial" w:hAnsi="Arial"/>
                <w:sz w:val="14"/>
                <w:szCs w:val="14"/>
                <w:color w:val="auto"/>
              </w:rPr>
              <w:t>3</w:t>
            </w:r>
          </w:p>
        </w:tc>
        <w:tc>
          <w:tcPr>
            <w:tcW w:w="220" w:type="dxa"/>
            <w:vAlign w:val="bottom"/>
          </w:tcPr>
          <w:p>
            <w:pPr>
              <w:spacing w:after="0"/>
              <w:rPr>
                <w:sz w:val="18"/>
                <w:szCs w:val="18"/>
                <w:color w:val="auto"/>
              </w:rPr>
            </w:pPr>
          </w:p>
        </w:tc>
      </w:tr>
      <w:tr>
        <w:trPr>
          <w:trHeight w:val="213"/>
        </w:trPr>
        <w:tc>
          <w:tcPr>
            <w:tcW w:w="3300" w:type="dxa"/>
            <w:vAlign w:val="bottom"/>
            <w:gridSpan w:val="2"/>
          </w:tcPr>
          <w:p>
            <w:pPr>
              <w:ind w:left="120"/>
              <w:spacing w:after="0"/>
              <w:rPr>
                <w:sz w:val="20"/>
                <w:szCs w:val="20"/>
                <w:color w:val="auto"/>
              </w:rPr>
            </w:pPr>
            <w:r>
              <w:rPr>
                <w:rFonts w:ascii="Arial" w:cs="Arial" w:eastAsia="Arial" w:hAnsi="Arial"/>
                <w:sz w:val="14"/>
                <w:szCs w:val="14"/>
                <w:color w:val="auto"/>
              </w:rPr>
              <w:t>Sempra Natural Gas</w:t>
            </w: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ind w:right="109"/>
              <w:spacing w:after="0"/>
              <w:rPr>
                <w:sz w:val="20"/>
                <w:szCs w:val="20"/>
                <w:color w:val="auto"/>
              </w:rPr>
            </w:pPr>
            <w:r>
              <w:rPr>
                <w:rFonts w:ascii="Arial" w:cs="Arial" w:eastAsia="Arial" w:hAnsi="Arial"/>
                <w:sz w:val="14"/>
                <w:szCs w:val="14"/>
                <w:color w:val="auto"/>
              </w:rPr>
              <w:t>6,617</w:t>
            </w:r>
          </w:p>
        </w:tc>
        <w:tc>
          <w:tcPr>
            <w:tcW w:w="780" w:type="dxa"/>
            <w:vAlign w:val="bottom"/>
          </w:tcPr>
          <w:p>
            <w:pPr>
              <w:jc w:val="right"/>
              <w:ind w:right="269"/>
              <w:spacing w:after="0"/>
              <w:rPr>
                <w:sz w:val="20"/>
                <w:szCs w:val="20"/>
                <w:color w:val="auto"/>
              </w:rPr>
            </w:pPr>
            <w:r>
              <w:rPr>
                <w:rFonts w:ascii="Arial" w:cs="Arial" w:eastAsia="Arial" w:hAnsi="Arial"/>
                <w:sz w:val="14"/>
                <w:szCs w:val="14"/>
                <w:color w:val="auto"/>
              </w:rPr>
              <w:t>17</w:t>
            </w:r>
          </w:p>
        </w:tc>
        <w:tc>
          <w:tcPr>
            <w:tcW w:w="300" w:type="dxa"/>
            <w:vAlign w:val="bottom"/>
          </w:tcPr>
          <w:p>
            <w:pPr>
              <w:spacing w:after="0"/>
              <w:rPr>
                <w:sz w:val="18"/>
                <w:szCs w:val="18"/>
                <w:color w:val="auto"/>
              </w:rPr>
            </w:pPr>
          </w:p>
        </w:tc>
        <w:tc>
          <w:tcPr>
            <w:tcW w:w="1020" w:type="dxa"/>
            <w:vAlign w:val="bottom"/>
          </w:tcPr>
          <w:p>
            <w:pPr>
              <w:jc w:val="right"/>
              <w:ind w:right="109"/>
              <w:spacing w:after="0"/>
              <w:rPr>
                <w:sz w:val="20"/>
                <w:szCs w:val="20"/>
                <w:color w:val="auto"/>
              </w:rPr>
            </w:pPr>
            <w:r>
              <w:rPr>
                <w:rFonts w:ascii="Arial" w:cs="Arial" w:eastAsia="Arial" w:hAnsi="Arial"/>
                <w:sz w:val="14"/>
                <w:szCs w:val="14"/>
                <w:color w:val="auto"/>
              </w:rPr>
              <w:t>7,200</w:t>
            </w:r>
          </w:p>
        </w:tc>
        <w:tc>
          <w:tcPr>
            <w:tcW w:w="480" w:type="dxa"/>
            <w:vAlign w:val="bottom"/>
          </w:tcPr>
          <w:p>
            <w:pPr>
              <w:jc w:val="right"/>
              <w:spacing w:after="0"/>
              <w:rPr>
                <w:sz w:val="20"/>
                <w:szCs w:val="20"/>
                <w:color w:val="auto"/>
              </w:rPr>
            </w:pPr>
            <w:r>
              <w:rPr>
                <w:rFonts w:ascii="Arial" w:cs="Arial" w:eastAsia="Arial" w:hAnsi="Arial"/>
                <w:sz w:val="14"/>
                <w:szCs w:val="14"/>
                <w:color w:val="auto"/>
              </w:rPr>
              <w:t>19</w:t>
            </w:r>
          </w:p>
        </w:tc>
        <w:tc>
          <w:tcPr>
            <w:tcW w:w="220" w:type="dxa"/>
            <w:vAlign w:val="bottom"/>
          </w:tcPr>
          <w:p>
            <w:pPr>
              <w:spacing w:after="0"/>
              <w:rPr>
                <w:sz w:val="18"/>
                <w:szCs w:val="18"/>
                <w:color w:val="auto"/>
              </w:rPr>
            </w:pPr>
          </w:p>
        </w:tc>
      </w:tr>
      <w:tr>
        <w:trPr>
          <w:trHeight w:val="213"/>
        </w:trPr>
        <w:tc>
          <w:tcPr>
            <w:tcW w:w="3300" w:type="dxa"/>
            <w:vAlign w:val="bottom"/>
            <w:gridSpan w:val="2"/>
          </w:tcPr>
          <w:p>
            <w:pPr>
              <w:ind w:left="120"/>
              <w:spacing w:after="0"/>
              <w:rPr>
                <w:sz w:val="20"/>
                <w:szCs w:val="20"/>
                <w:color w:val="auto"/>
              </w:rPr>
            </w:pPr>
            <w:r>
              <w:rPr>
                <w:rFonts w:ascii="Arial" w:cs="Arial" w:eastAsia="Arial" w:hAnsi="Arial"/>
                <w:sz w:val="14"/>
                <w:szCs w:val="14"/>
                <w:color w:val="auto"/>
              </w:rPr>
              <w:t>All other</w:t>
            </w: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ind w:right="109"/>
              <w:spacing w:after="0"/>
              <w:rPr>
                <w:sz w:val="20"/>
                <w:szCs w:val="20"/>
                <w:color w:val="auto"/>
              </w:rPr>
            </w:pPr>
            <w:r>
              <w:rPr>
                <w:rFonts w:ascii="Arial" w:cs="Arial" w:eastAsia="Arial" w:hAnsi="Arial"/>
                <w:sz w:val="14"/>
                <w:szCs w:val="14"/>
                <w:color w:val="auto"/>
              </w:rPr>
              <w:t>1,141</w:t>
            </w:r>
          </w:p>
        </w:tc>
        <w:tc>
          <w:tcPr>
            <w:tcW w:w="780" w:type="dxa"/>
            <w:vAlign w:val="bottom"/>
          </w:tcPr>
          <w:p>
            <w:pPr>
              <w:jc w:val="right"/>
              <w:ind w:right="269"/>
              <w:spacing w:after="0"/>
              <w:rPr>
                <w:sz w:val="20"/>
                <w:szCs w:val="20"/>
                <w:color w:val="auto"/>
              </w:rPr>
            </w:pPr>
            <w:r>
              <w:rPr>
                <w:rFonts w:ascii="Arial" w:cs="Arial" w:eastAsia="Arial" w:hAnsi="Arial"/>
                <w:sz w:val="14"/>
                <w:szCs w:val="14"/>
                <w:color w:val="auto"/>
              </w:rPr>
              <w:t>3</w:t>
            </w:r>
          </w:p>
        </w:tc>
        <w:tc>
          <w:tcPr>
            <w:tcW w:w="300" w:type="dxa"/>
            <w:vAlign w:val="bottom"/>
          </w:tcPr>
          <w:p>
            <w:pPr>
              <w:spacing w:after="0"/>
              <w:rPr>
                <w:sz w:val="18"/>
                <w:szCs w:val="18"/>
                <w:color w:val="auto"/>
              </w:rPr>
            </w:pPr>
          </w:p>
        </w:tc>
        <w:tc>
          <w:tcPr>
            <w:tcW w:w="1020" w:type="dxa"/>
            <w:vAlign w:val="bottom"/>
          </w:tcPr>
          <w:p>
            <w:pPr>
              <w:jc w:val="right"/>
              <w:ind w:right="109"/>
              <w:spacing w:after="0"/>
              <w:rPr>
                <w:sz w:val="20"/>
                <w:szCs w:val="20"/>
                <w:color w:val="auto"/>
              </w:rPr>
            </w:pPr>
            <w:r>
              <w:rPr>
                <w:rFonts w:ascii="Arial" w:cs="Arial" w:eastAsia="Arial" w:hAnsi="Arial"/>
                <w:sz w:val="14"/>
                <w:szCs w:val="14"/>
                <w:color w:val="auto"/>
              </w:rPr>
              <w:t>838</w:t>
            </w:r>
          </w:p>
        </w:tc>
        <w:tc>
          <w:tcPr>
            <w:tcW w:w="480" w:type="dxa"/>
            <w:vAlign w:val="bottom"/>
          </w:tcPr>
          <w:p>
            <w:pPr>
              <w:jc w:val="right"/>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18"/>
                <w:szCs w:val="18"/>
                <w:color w:val="auto"/>
              </w:rPr>
            </w:pPr>
          </w:p>
        </w:tc>
      </w:tr>
      <w:tr>
        <w:trPr>
          <w:trHeight w:val="197"/>
        </w:trPr>
        <w:tc>
          <w:tcPr>
            <w:tcW w:w="3300" w:type="dxa"/>
            <w:vAlign w:val="bottom"/>
            <w:gridSpan w:val="2"/>
          </w:tcPr>
          <w:p>
            <w:pPr>
              <w:ind w:left="120"/>
              <w:spacing w:after="0"/>
              <w:rPr>
                <w:sz w:val="20"/>
                <w:szCs w:val="20"/>
                <w:color w:val="auto"/>
              </w:rPr>
            </w:pPr>
            <w:r>
              <w:rPr>
                <w:rFonts w:ascii="Arial" w:cs="Arial" w:eastAsia="Arial" w:hAnsi="Arial"/>
                <w:sz w:val="14"/>
                <w:szCs w:val="14"/>
                <w:color w:val="auto"/>
              </w:rPr>
              <w:t>Intersegment receivables</w:t>
            </w: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(2,951)</w:t>
            </w:r>
          </w:p>
        </w:tc>
        <w:tc>
          <w:tcPr>
            <w:tcW w:w="78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(8)</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(3,314)</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220" w:type="dxa"/>
            <w:vAlign w:val="bottom"/>
            <w:tcBorders>
              <w:bottom w:val="single" w:sz="8" w:color="auto"/>
            </w:tcBorders>
          </w:tcPr>
          <w:p>
            <w:pPr>
              <w:spacing w:after="0"/>
              <w:rPr>
                <w:sz w:val="17"/>
                <w:szCs w:val="17"/>
                <w:color w:val="auto"/>
              </w:rPr>
            </w:pPr>
          </w:p>
        </w:tc>
      </w:tr>
      <w:tr>
        <w:trPr>
          <w:trHeight w:val="212"/>
        </w:trPr>
        <w:tc>
          <w:tcPr>
            <w:tcW w:w="330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color w:val="auto"/>
              </w:rPr>
              <w:t>Total</w:t>
            </w:r>
          </w:p>
        </w:tc>
        <w:tc>
          <w:tcPr>
            <w:tcW w:w="5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38,982</w:t>
            </w:r>
          </w:p>
        </w:tc>
        <w:tc>
          <w:tcPr>
            <w:tcW w:w="7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100 %</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37,244</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28"/>
        </w:trPr>
        <w:tc>
          <w:tcPr>
            <w:tcW w:w="3300" w:type="dxa"/>
            <w:vAlign w:val="bottom"/>
            <w:gridSpan w:val="2"/>
          </w:tcPr>
          <w:p>
            <w:pPr>
              <w:spacing w:after="0"/>
              <w:rPr>
                <w:sz w:val="20"/>
                <w:szCs w:val="20"/>
                <w:color w:val="auto"/>
              </w:rPr>
            </w:pPr>
            <w:r>
              <w:rPr>
                <w:rFonts w:ascii="Arial" w:cs="Arial" w:eastAsia="Arial" w:hAnsi="Arial"/>
                <w:sz w:val="14"/>
                <w:szCs w:val="14"/>
                <w:color w:val="auto"/>
              </w:rPr>
              <w:t>INVESTMENTS IN EQUITY METHOD INVESTEES</w:t>
            </w: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13"/>
        </w:trPr>
        <w:tc>
          <w:tcPr>
            <w:tcW w:w="3300" w:type="dxa"/>
            <w:vAlign w:val="bottom"/>
            <w:gridSpan w:val="2"/>
          </w:tcPr>
          <w:p>
            <w:pPr>
              <w:ind w:left="120"/>
              <w:spacing w:after="0"/>
              <w:rPr>
                <w:sz w:val="20"/>
                <w:szCs w:val="20"/>
                <w:color w:val="auto"/>
              </w:rPr>
            </w:pPr>
            <w:r>
              <w:rPr>
                <w:rFonts w:ascii="Arial" w:cs="Arial" w:eastAsia="Arial" w:hAnsi="Arial"/>
                <w:sz w:val="14"/>
                <w:szCs w:val="14"/>
                <w:color w:val="auto"/>
              </w:rPr>
              <w:t>Sempra South American Utilities</w:t>
            </w: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9"/>
              <w:spacing w:after="0"/>
              <w:rPr>
                <w:sz w:val="20"/>
                <w:szCs w:val="20"/>
                <w:color w:val="auto"/>
              </w:rPr>
            </w:pPr>
            <w:r>
              <w:rPr>
                <w:rFonts w:ascii="Arial" w:cs="Arial" w:eastAsia="Arial" w:hAnsi="Arial"/>
                <w:sz w:val="14"/>
                <w:szCs w:val="14"/>
                <w:color w:val="auto"/>
              </w:rPr>
              <w:t>(7)</w:t>
            </w:r>
          </w:p>
        </w:tc>
        <w:tc>
          <w:tcPr>
            <w:tcW w:w="7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9"/>
              <w:spacing w:after="0"/>
              <w:rPr>
                <w:sz w:val="20"/>
                <w:szCs w:val="20"/>
                <w:color w:val="auto"/>
              </w:rPr>
            </w:pPr>
            <w:r>
              <w:rPr>
                <w:rFonts w:ascii="Arial" w:cs="Arial" w:eastAsia="Arial" w:hAnsi="Arial"/>
                <w:sz w:val="14"/>
                <w:szCs w:val="14"/>
                <w:color w:val="auto"/>
              </w:rPr>
              <w:t>(3)</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3"/>
        </w:trPr>
        <w:tc>
          <w:tcPr>
            <w:tcW w:w="3300" w:type="dxa"/>
            <w:vAlign w:val="bottom"/>
            <w:gridSpan w:val="2"/>
          </w:tcPr>
          <w:p>
            <w:pPr>
              <w:ind w:left="120"/>
              <w:spacing w:after="0"/>
              <w:rPr>
                <w:sz w:val="20"/>
                <w:szCs w:val="20"/>
                <w:color w:val="auto"/>
              </w:rPr>
            </w:pPr>
            <w:r>
              <w:rPr>
                <w:rFonts w:ascii="Arial" w:cs="Arial" w:eastAsia="Arial" w:hAnsi="Arial"/>
                <w:sz w:val="14"/>
                <w:szCs w:val="14"/>
                <w:color w:val="auto"/>
              </w:rPr>
              <w:t>Sempra Mexico</w:t>
            </w: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ind w:right="109"/>
              <w:spacing w:after="0"/>
              <w:rPr>
                <w:sz w:val="20"/>
                <w:szCs w:val="20"/>
                <w:color w:val="auto"/>
              </w:rPr>
            </w:pPr>
            <w:r>
              <w:rPr>
                <w:rFonts w:ascii="Arial" w:cs="Arial" w:eastAsia="Arial" w:hAnsi="Arial"/>
                <w:sz w:val="14"/>
                <w:szCs w:val="14"/>
                <w:color w:val="auto"/>
              </w:rPr>
              <w:t>427</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109"/>
              <w:spacing w:after="0"/>
              <w:rPr>
                <w:sz w:val="20"/>
                <w:szCs w:val="20"/>
                <w:color w:val="auto"/>
              </w:rPr>
            </w:pPr>
            <w:r>
              <w:rPr>
                <w:rFonts w:ascii="Arial" w:cs="Arial" w:eastAsia="Arial" w:hAnsi="Arial"/>
                <w:sz w:val="14"/>
                <w:szCs w:val="14"/>
                <w:color w:val="auto"/>
              </w:rPr>
              <w:t>379</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3"/>
        </w:trPr>
        <w:tc>
          <w:tcPr>
            <w:tcW w:w="3300" w:type="dxa"/>
            <w:vAlign w:val="bottom"/>
            <w:gridSpan w:val="2"/>
          </w:tcPr>
          <w:p>
            <w:pPr>
              <w:ind w:left="120"/>
              <w:spacing w:after="0"/>
              <w:rPr>
                <w:sz w:val="20"/>
                <w:szCs w:val="20"/>
                <w:color w:val="auto"/>
              </w:rPr>
            </w:pPr>
            <w:r>
              <w:rPr>
                <w:rFonts w:ascii="Arial" w:cs="Arial" w:eastAsia="Arial" w:hAnsi="Arial"/>
                <w:sz w:val="14"/>
                <w:szCs w:val="14"/>
                <w:color w:val="auto"/>
              </w:rPr>
              <w:t>Sempra Renewables</w:t>
            </w: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ind w:right="109"/>
              <w:spacing w:after="0"/>
              <w:rPr>
                <w:sz w:val="20"/>
                <w:szCs w:val="20"/>
                <w:color w:val="auto"/>
              </w:rPr>
            </w:pPr>
            <w:r>
              <w:rPr>
                <w:rFonts w:ascii="Arial" w:cs="Arial" w:eastAsia="Arial" w:hAnsi="Arial"/>
                <w:sz w:val="14"/>
                <w:szCs w:val="14"/>
                <w:color w:val="auto"/>
              </w:rPr>
              <w:t>871</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109"/>
              <w:spacing w:after="0"/>
              <w:rPr>
                <w:sz w:val="20"/>
                <w:szCs w:val="20"/>
                <w:color w:val="auto"/>
              </w:rPr>
            </w:pPr>
            <w:r>
              <w:rPr>
                <w:rFonts w:ascii="Arial" w:cs="Arial" w:eastAsia="Arial" w:hAnsi="Arial"/>
                <w:sz w:val="14"/>
                <w:szCs w:val="14"/>
                <w:color w:val="auto"/>
              </w:rPr>
              <w:t>707</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3"/>
        </w:trPr>
        <w:tc>
          <w:tcPr>
            <w:tcW w:w="3300" w:type="dxa"/>
            <w:vAlign w:val="bottom"/>
            <w:gridSpan w:val="2"/>
          </w:tcPr>
          <w:p>
            <w:pPr>
              <w:ind w:left="120"/>
              <w:spacing w:after="0"/>
              <w:rPr>
                <w:sz w:val="20"/>
                <w:szCs w:val="20"/>
                <w:color w:val="auto"/>
              </w:rPr>
            </w:pPr>
            <w:r>
              <w:rPr>
                <w:rFonts w:ascii="Arial" w:cs="Arial" w:eastAsia="Arial" w:hAnsi="Arial"/>
                <w:sz w:val="14"/>
                <w:szCs w:val="14"/>
                <w:color w:val="auto"/>
              </w:rPr>
              <w:t>Sempra Natural Gas</w:t>
            </w: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ind w:right="109"/>
              <w:spacing w:after="0"/>
              <w:rPr>
                <w:sz w:val="20"/>
                <w:szCs w:val="20"/>
                <w:color w:val="auto"/>
              </w:rPr>
            </w:pPr>
            <w:r>
              <w:rPr>
                <w:rFonts w:ascii="Arial" w:cs="Arial" w:eastAsia="Arial" w:hAnsi="Arial"/>
                <w:sz w:val="14"/>
                <w:szCs w:val="14"/>
                <w:color w:val="auto"/>
              </w:rPr>
              <w:t>342</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109"/>
              <w:spacing w:after="0"/>
              <w:rPr>
                <w:sz w:val="20"/>
                <w:szCs w:val="20"/>
                <w:color w:val="auto"/>
              </w:rPr>
            </w:pPr>
            <w:r>
              <w:rPr>
                <w:rFonts w:ascii="Arial" w:cs="Arial" w:eastAsia="Arial" w:hAnsi="Arial"/>
                <w:sz w:val="14"/>
                <w:szCs w:val="14"/>
                <w:color w:val="auto"/>
              </w:rPr>
              <w:t>329</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197"/>
        </w:trPr>
        <w:tc>
          <w:tcPr>
            <w:tcW w:w="3300" w:type="dxa"/>
            <w:vAlign w:val="bottom"/>
            <w:gridSpan w:val="2"/>
          </w:tcPr>
          <w:p>
            <w:pPr>
              <w:ind w:left="120"/>
              <w:spacing w:after="0"/>
              <w:rPr>
                <w:sz w:val="20"/>
                <w:szCs w:val="20"/>
                <w:color w:val="auto"/>
              </w:rPr>
            </w:pPr>
            <w:r>
              <w:rPr>
                <w:rFonts w:ascii="Arial" w:cs="Arial" w:eastAsia="Arial" w:hAnsi="Arial"/>
                <w:sz w:val="14"/>
                <w:szCs w:val="14"/>
                <w:color w:val="auto"/>
              </w:rPr>
              <w:t>All other</w:t>
            </w: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72</w:t>
            </w:r>
          </w:p>
        </w:tc>
        <w:tc>
          <w:tcPr>
            <w:tcW w:w="7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73</w:t>
            </w:r>
          </w:p>
        </w:tc>
        <w:tc>
          <w:tcPr>
            <w:tcW w:w="4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r>
      <w:tr>
        <w:trPr>
          <w:trHeight w:val="212"/>
        </w:trPr>
        <w:tc>
          <w:tcPr>
            <w:tcW w:w="330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color w:val="auto"/>
              </w:rPr>
              <w:t>Total</w:t>
            </w:r>
          </w:p>
        </w:tc>
        <w:tc>
          <w:tcPr>
            <w:tcW w:w="5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1,705</w:t>
            </w:r>
          </w:p>
        </w:tc>
        <w:tc>
          <w:tcPr>
            <w:tcW w:w="7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1,485</w:t>
            </w:r>
          </w:p>
        </w:tc>
        <w:tc>
          <w:tcPr>
            <w:tcW w:w="4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r>
    </w:tbl>
    <w:p>
      <w:pPr>
        <w:ind w:left="480" w:hanging="474"/>
        <w:spacing w:after="0"/>
        <w:tabs>
          <w:tab w:leader="none" w:pos="480" w:val="left"/>
        </w:tabs>
        <w:numPr>
          <w:ilvl w:val="0"/>
          <w:numId w:val="56"/>
        </w:numPr>
        <w:rPr>
          <w:rFonts w:ascii="Arial" w:cs="Arial" w:eastAsia="Arial" w:hAnsi="Arial"/>
          <w:sz w:val="14"/>
          <w:szCs w:val="14"/>
          <w:i w:val="1"/>
          <w:iCs w:val="1"/>
          <w:color w:val="auto"/>
        </w:rPr>
      </w:pPr>
      <w:r>
        <w:rPr>
          <w:rFonts w:ascii="Arial" w:cs="Arial" w:eastAsia="Arial" w:hAnsi="Arial"/>
          <w:sz w:val="14"/>
          <w:szCs w:val="14"/>
          <w:i w:val="1"/>
          <w:iCs w:val="1"/>
          <w:color w:val="auto"/>
        </w:rPr>
        <w:t>Revenues for reportable segments include intersegment revenues of:</w:t>
      </w:r>
    </w:p>
    <w:p>
      <w:pPr>
        <w:spacing w:after="0" w:line="42" w:lineRule="exact"/>
        <w:rPr>
          <w:rFonts w:ascii="Arial" w:cs="Arial" w:eastAsia="Arial" w:hAnsi="Arial"/>
          <w:sz w:val="14"/>
          <w:szCs w:val="14"/>
          <w:i w:val="1"/>
          <w:iCs w:val="1"/>
          <w:color w:val="auto"/>
        </w:rPr>
      </w:pPr>
    </w:p>
    <w:p>
      <w:pPr>
        <w:ind w:left="480" w:right="180"/>
        <w:spacing w:after="0" w:line="255" w:lineRule="auto"/>
        <w:rPr>
          <w:rFonts w:ascii="Arial" w:cs="Arial" w:eastAsia="Arial" w:hAnsi="Arial"/>
          <w:sz w:val="14"/>
          <w:szCs w:val="14"/>
          <w:i w:val="1"/>
          <w:iCs w:val="1"/>
          <w:color w:val="auto"/>
        </w:rPr>
      </w:pPr>
      <w:r>
        <w:rPr>
          <w:rFonts w:ascii="Arial" w:cs="Arial" w:eastAsia="Arial" w:hAnsi="Arial"/>
          <w:sz w:val="14"/>
          <w:szCs w:val="14"/>
          <w:i w:val="1"/>
          <w:iCs w:val="1"/>
          <w:color w:val="auto"/>
        </w:rPr>
        <w:t>$2 million, $17 million, $23 million and $107 million for the three months ended September 30, 2014; $7 million, $51 million, $68 million and $266 million for the nine months ended September 30, 2014; $3 million, $17 million, $23 million and $65 million for the three months ended September 30, 2013; and $7 million, $48 million, $68 million and $180 million for the nine months ended September 30, 2013 for SDG&amp;E, SoCalGas, Sempra Mexico and Sempra Natural Gas, respectively.</w:t>
      </w:r>
    </w:p>
    <w:p>
      <w:pPr>
        <w:spacing w:after="0" w:line="18" w:lineRule="exact"/>
        <w:rPr>
          <w:rFonts w:ascii="Arial" w:cs="Arial" w:eastAsia="Arial" w:hAnsi="Arial"/>
          <w:sz w:val="14"/>
          <w:szCs w:val="14"/>
          <w:i w:val="1"/>
          <w:iCs w:val="1"/>
          <w:color w:val="auto"/>
        </w:rPr>
      </w:pPr>
    </w:p>
    <w:p>
      <w:pPr>
        <w:ind w:left="480" w:hanging="474"/>
        <w:spacing w:after="0"/>
        <w:tabs>
          <w:tab w:leader="none" w:pos="480" w:val="left"/>
        </w:tabs>
        <w:numPr>
          <w:ilvl w:val="0"/>
          <w:numId w:val="56"/>
        </w:numPr>
        <w:rPr>
          <w:rFonts w:ascii="Arial" w:cs="Arial" w:eastAsia="Arial" w:hAnsi="Arial"/>
          <w:sz w:val="14"/>
          <w:szCs w:val="14"/>
          <w:i w:val="1"/>
          <w:iCs w:val="1"/>
          <w:color w:val="auto"/>
        </w:rPr>
      </w:pPr>
      <w:r>
        <w:rPr>
          <w:rFonts w:ascii="Arial" w:cs="Arial" w:eastAsia="Arial" w:hAnsi="Arial"/>
          <w:sz w:val="14"/>
          <w:szCs w:val="14"/>
          <w:i w:val="1"/>
          <w:iCs w:val="1"/>
          <w:color w:val="auto"/>
        </w:rPr>
        <w:t>After preferred dividends and call premium on preferred stock for 2013.</w:t>
      </w:r>
    </w:p>
    <w:p>
      <w:pPr>
        <w:spacing w:after="0" w:line="12" w:lineRule="exact"/>
        <w:rPr>
          <w:rFonts w:ascii="Arial" w:cs="Arial" w:eastAsia="Arial" w:hAnsi="Arial"/>
          <w:sz w:val="14"/>
          <w:szCs w:val="14"/>
          <w:i w:val="1"/>
          <w:iCs w:val="1"/>
          <w:color w:val="auto"/>
        </w:rPr>
      </w:pPr>
    </w:p>
    <w:p>
      <w:pPr>
        <w:ind w:left="480" w:hanging="474"/>
        <w:spacing w:after="0"/>
        <w:tabs>
          <w:tab w:leader="none" w:pos="480" w:val="left"/>
        </w:tabs>
        <w:numPr>
          <w:ilvl w:val="0"/>
          <w:numId w:val="56"/>
        </w:numPr>
        <w:rPr>
          <w:rFonts w:ascii="Arial" w:cs="Arial" w:eastAsia="Arial" w:hAnsi="Arial"/>
          <w:sz w:val="14"/>
          <w:szCs w:val="14"/>
          <w:i w:val="1"/>
          <w:iCs w:val="1"/>
          <w:color w:val="auto"/>
        </w:rPr>
      </w:pPr>
      <w:r>
        <w:rPr>
          <w:rFonts w:ascii="Arial" w:cs="Arial" w:eastAsia="Arial" w:hAnsi="Arial"/>
          <w:sz w:val="14"/>
          <w:szCs w:val="14"/>
          <w:i w:val="1"/>
          <w:iCs w:val="1"/>
          <w:color w:val="auto"/>
        </w:rPr>
        <w:t>After preferred dividends.</w:t>
      </w:r>
    </w:p>
    <w:p>
      <w:pPr>
        <w:sectPr>
          <w:pgSz w:w="11900" w:h="16838" w:orient="portrait"/>
          <w:cols w:equalWidth="0" w:num="1">
            <w:col w:w="11420"/>
          </w:cols>
          <w:pgMar w:left="240" w:top="144" w:right="239" w:bottom="606" w:gutter="0" w:footer="0" w:header="0"/>
        </w:sectPr>
      </w:pPr>
    </w:p>
    <w:bookmarkStart w:id="53" w:name="page54"/>
    <w:bookmarkEnd w:id="53"/>
    <w:p>
      <w:pP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156210</wp:posOffset>
            </wp:positionH>
            <wp:positionV relativeFrom="page">
              <wp:posOffset>88900</wp:posOffset>
            </wp:positionV>
            <wp:extent cx="72656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5670" cy="8255"/>
                    </a:xfrm>
                    <a:prstGeom prst="rect">
                      <a:avLst/>
                    </a:prstGeom>
                    <a:noFill/>
                  </pic:spPr>
                </pic:pic>
              </a:graphicData>
            </a:graphic>
          </wp:anchor>
        </w:drawing>
        <w:t>NOTE 13. SUBSEQUENT EVENT</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NATURAL GAS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Cameron LNG Holdings Joint Venture</w:t>
      </w:r>
    </w:p>
    <w:p>
      <w:pPr>
        <w:spacing w:after="0" w:line="211"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On August 6, 2014, Sempra Natural Gas and its project partners, comprised of affiliates of GDF SUEZ S.A., Mitsui &amp; Co., Ltd., and Mitsubishi Corporation (through a related company jointly established with Nippon Yusen Kabushiki Kaisha), provided their respective final investment decision with respect to the investment in the development, construction and operation of the natural gas liquefaction export facility at the terminal in Hackberry, Louisiana, owned by Cameron LNG, LLC (Cameron LNG). The Cameron liquefaction project utilizes Cameron LNG’s existing facilities, including two marine berths, three LNG storage tanks, and vaporization capability of 1.5 billion cubic feet (Bcf) per day. The Cameron liquefaction project is comprised of three liquefaction trains and is being designed to a nameplate capacity of 13.5 million tonnes per annum (Mtpa) of LNG, with an expected export capability of 12 Mtpa of LNG, or approximately 1.7 Bcf per day. Commercial operation of all three trains is expected to commence in 2018, with the first year of full operations in 2019. The effective date of the Cameron LNG joint venture, Cameron LNG Holdings, LLC (Cameron LNG Holdings), among Sempra Energy and its project partners occurred on October 1, 2014 after satisfaction of various conditions, including receipt of final regulatory approval and satisfaction of conditions precedent to the first disbursement of the project financing.</w:t>
      </w:r>
    </w:p>
    <w:p>
      <w:pPr>
        <w:spacing w:after="0" w:line="189"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In 2013, Sempra Natural Gas signed 20-year liquefaction and regasification tolling capacity agreements with GDF SUEZ S.A. and affiliates of Mitsubishi Corporation and Mitsui &amp; Co., Ltd. which subscribe the full nameplate capacity of the facility. Each tolling agreement is for 4.5 Mtpa of capacity to enable 4.0 Mtpa of LNG export. Also in 2013, Sempra Natural Gas signed agreements totaling 1.45 Bcf per day of firm natural gas transportation service to Cameron LNG on the Cameron Interstate Pipeline with GDF SUEZ S.A. and affiliates of Mitsubishi Corporation and Mitsui &amp; Co., Ltd. The terms of these agreements are concurrent with the liquefaction and regasification tolling capacity agreements.</w:t>
      </w:r>
    </w:p>
    <w:p>
      <w:pPr>
        <w:spacing w:after="0" w:line="193"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Our equity in Cameron LNG Holdings was derived from our contribution of Cameron LNG to the joint venture at its historical carrying value. Each of the partners were issued indirect equity interests in Cameron LNG in an aggregate of 49.8 percent. Cameron LNG thereby ceased to be wholly owned or controlled by Sempra Natural Gas, which retained a 50.2 percent of Cameron LNG. As of the October 1, 2014 effective date, Sempra Natural Gas will account for its investment in Cameron LNG Holdings under the equity method. Sempra Energy did not recognize a gain or loss related to the contribution of Cameron LNG to the joint venture.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deconsolidation of the Cameron liquefaction project:</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DECONSOLIDATION OF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-104775</wp:posOffset>
            </wp:positionV>
            <wp:extent cx="7248525" cy="2197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8525" cy="21971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tcPr>
          <w:p>
            <w:pPr>
              <w:jc w:val="right"/>
              <w:ind w:right="922"/>
              <w:spacing w:after="0"/>
              <w:rPr>
                <w:sz w:val="20"/>
                <w:szCs w:val="20"/>
                <w:color w:val="auto"/>
              </w:rPr>
            </w:pPr>
            <w:r>
              <w:rPr>
                <w:rFonts w:ascii="Arial" w:cs="Arial" w:eastAsia="Arial" w:hAnsi="Arial"/>
                <w:sz w:val="14"/>
                <w:szCs w:val="14"/>
                <w:color w:val="auto"/>
              </w:rPr>
              <w:t>Cameron LNG, LLC</w:t>
            </w:r>
          </w:p>
        </w:tc>
      </w:tr>
      <w:tr>
        <w:trPr>
          <w:trHeight w:val="206"/>
        </w:trPr>
        <w:tc>
          <w:tcPr>
            <w:tcW w:w="8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tcPr>
          <w:p>
            <w:pPr>
              <w:jc w:val="right"/>
              <w:ind w:right="1042"/>
              <w:spacing w:after="0"/>
              <w:rPr>
                <w:sz w:val="20"/>
                <w:szCs w:val="20"/>
                <w:color w:val="auto"/>
              </w:rPr>
            </w:pPr>
            <w:r>
              <w:rPr>
                <w:rFonts w:ascii="Arial" w:cs="Arial" w:eastAsia="Arial" w:hAnsi="Arial"/>
                <w:sz w:val="14"/>
                <w:szCs w:val="14"/>
                <w:color w:val="auto"/>
              </w:rPr>
              <w:t>October 1, 2014</w:t>
            </w:r>
          </w:p>
        </w:tc>
      </w:tr>
      <w:tr>
        <w:trPr>
          <w:trHeight w:val="186"/>
        </w:trPr>
        <w:tc>
          <w:tcPr>
            <w:tcW w:w="8160" w:type="dxa"/>
            <w:vAlign w:val="bottom"/>
          </w:tcPr>
          <w:p>
            <w:pPr>
              <w:spacing w:after="0"/>
              <w:rPr>
                <w:sz w:val="20"/>
                <w:szCs w:val="20"/>
                <w:color w:val="auto"/>
              </w:rPr>
            </w:pPr>
            <w:r>
              <w:rPr>
                <w:rFonts w:ascii="Arial" w:cs="Arial" w:eastAsia="Arial" w:hAnsi="Arial"/>
                <w:sz w:val="16"/>
                <w:szCs w:val="16"/>
                <w:color w:val="auto"/>
              </w:rPr>
              <w:t>Cash</w:t>
            </w:r>
          </w:p>
        </w:tc>
        <w:tc>
          <w:tcPr>
            <w:tcW w:w="70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256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01"/>
        </w:trPr>
        <w:tc>
          <w:tcPr>
            <w:tcW w:w="8160" w:type="dxa"/>
            <w:vAlign w:val="bottom"/>
          </w:tcPr>
          <w:p>
            <w:pPr>
              <w:spacing w:after="0"/>
              <w:rPr>
                <w:sz w:val="20"/>
                <w:szCs w:val="20"/>
                <w:color w:val="auto"/>
              </w:rPr>
            </w:pPr>
            <w:r>
              <w:rPr>
                <w:rFonts w:ascii="Arial" w:cs="Arial" w:eastAsia="Arial" w:hAnsi="Arial"/>
                <w:sz w:val="16"/>
                <w:szCs w:val="16"/>
                <w:color w:val="auto"/>
              </w:rPr>
              <w:t>Other current assets</w:t>
            </w:r>
          </w:p>
        </w:tc>
        <w:tc>
          <w:tcPr>
            <w:tcW w:w="700" w:type="dxa"/>
            <w:vAlign w:val="bottom"/>
          </w:tcPr>
          <w:p>
            <w:pPr>
              <w:spacing w:after="0"/>
              <w:rPr>
                <w:sz w:val="17"/>
                <w:szCs w:val="17"/>
                <w:color w:val="auto"/>
              </w:rPr>
            </w:pPr>
          </w:p>
        </w:tc>
        <w:tc>
          <w:tcPr>
            <w:tcW w:w="256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3"/>
        </w:trPr>
        <w:tc>
          <w:tcPr>
            <w:tcW w:w="816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700" w:type="dxa"/>
            <w:vAlign w:val="bottom"/>
          </w:tcPr>
          <w:p>
            <w:pPr>
              <w:spacing w:after="0"/>
              <w:rPr>
                <w:sz w:val="18"/>
                <w:szCs w:val="18"/>
                <w:color w:val="auto"/>
              </w:rPr>
            </w:pPr>
          </w:p>
        </w:tc>
        <w:tc>
          <w:tcPr>
            <w:tcW w:w="2560" w:type="dxa"/>
            <w:vAlign w:val="bottom"/>
          </w:tcPr>
          <w:p>
            <w:pPr>
              <w:jc w:val="right"/>
              <w:spacing w:after="0"/>
              <w:rPr>
                <w:sz w:val="20"/>
                <w:szCs w:val="20"/>
                <w:color w:val="auto"/>
              </w:rPr>
            </w:pPr>
            <w:r>
              <w:rPr>
                <w:rFonts w:ascii="Arial" w:cs="Arial" w:eastAsia="Arial" w:hAnsi="Arial"/>
                <w:sz w:val="16"/>
                <w:szCs w:val="16"/>
                <w:color w:val="auto"/>
              </w:rPr>
              <w:t>(1,022)</w:t>
            </w:r>
          </w:p>
        </w:tc>
      </w:tr>
      <w:tr>
        <w:trPr>
          <w:trHeight w:val="213"/>
        </w:trPr>
        <w:tc>
          <w:tcPr>
            <w:tcW w:w="8160" w:type="dxa"/>
            <w:vAlign w:val="bottom"/>
          </w:tcPr>
          <w:p>
            <w:pPr>
              <w:spacing w:after="0"/>
              <w:rPr>
                <w:sz w:val="20"/>
                <w:szCs w:val="20"/>
                <w:color w:val="auto"/>
              </w:rPr>
            </w:pPr>
            <w:r>
              <w:rPr>
                <w:rFonts w:ascii="Arial" w:cs="Arial" w:eastAsia="Arial" w:hAnsi="Arial"/>
                <w:sz w:val="16"/>
                <w:szCs w:val="16"/>
                <w:color w:val="auto"/>
              </w:rPr>
              <w:t>Other assets</w:t>
            </w:r>
          </w:p>
        </w:tc>
        <w:tc>
          <w:tcPr>
            <w:tcW w:w="700" w:type="dxa"/>
            <w:vAlign w:val="bottom"/>
          </w:tcPr>
          <w:p>
            <w:pPr>
              <w:spacing w:after="0"/>
              <w:rPr>
                <w:sz w:val="18"/>
                <w:szCs w:val="18"/>
                <w:color w:val="auto"/>
              </w:rPr>
            </w:pPr>
          </w:p>
        </w:tc>
        <w:tc>
          <w:tcPr>
            <w:tcW w:w="256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04"/>
        </w:trPr>
        <w:tc>
          <w:tcPr>
            <w:tcW w:w="8160" w:type="dxa"/>
            <w:vAlign w:val="bottom"/>
          </w:tcPr>
          <w:p>
            <w:pPr>
              <w:spacing w:after="0"/>
              <w:rPr>
                <w:sz w:val="20"/>
                <w:szCs w:val="20"/>
                <w:color w:val="auto"/>
              </w:rPr>
            </w:pPr>
            <w:r>
              <w:rPr>
                <w:rFonts w:ascii="Arial" w:cs="Arial" w:eastAsia="Arial" w:hAnsi="Arial"/>
                <w:sz w:val="16"/>
                <w:szCs w:val="16"/>
                <w:color w:val="auto"/>
              </w:rPr>
              <w:t>Accounts payable and accrued expenses</w:t>
            </w:r>
          </w:p>
        </w:tc>
        <w:tc>
          <w:tcPr>
            <w:tcW w:w="70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r>
      <w:tr>
        <w:trPr>
          <w:trHeight w:val="173"/>
        </w:trPr>
        <w:tc>
          <w:tcPr>
            <w:tcW w:w="8160" w:type="dxa"/>
            <w:vAlign w:val="bottom"/>
            <w:tcBorders>
              <w:bottom w:val="single" w:sz="8" w:color="auto"/>
            </w:tcBorders>
          </w:tcPr>
          <w:p>
            <w:pPr>
              <w:spacing w:after="0" w:line="166" w:lineRule="exact"/>
              <w:rPr>
                <w:sz w:val="20"/>
                <w:szCs w:val="20"/>
                <w:color w:val="auto"/>
              </w:rPr>
            </w:pPr>
            <w:r>
              <w:rPr>
                <w:rFonts w:ascii="Arial" w:cs="Arial" w:eastAsia="Arial" w:hAnsi="Arial"/>
                <w:sz w:val="16"/>
                <w:szCs w:val="16"/>
                <w:color w:val="auto"/>
              </w:rPr>
              <w:t>Equity method investment upon deconsolidation</w:t>
            </w:r>
          </w:p>
        </w:tc>
        <w:tc>
          <w:tcPr>
            <w:tcW w:w="700" w:type="dxa"/>
            <w:vAlign w:val="bottom"/>
            <w:tcBorders>
              <w:bottom w:val="single" w:sz="8" w:color="auto"/>
            </w:tcBorders>
          </w:tcPr>
          <w:p>
            <w:pPr>
              <w:jc w:val="right"/>
              <w:ind w:right="220"/>
              <w:spacing w:after="0" w:line="166" w:lineRule="exact"/>
              <w:rPr>
                <w:sz w:val="20"/>
                <w:szCs w:val="20"/>
                <w:color w:val="auto"/>
              </w:rPr>
            </w:pPr>
            <w:r>
              <w:rPr>
                <w:rFonts w:ascii="Arial" w:cs="Arial" w:eastAsia="Arial" w:hAnsi="Arial"/>
                <w:sz w:val="16"/>
                <w:szCs w:val="16"/>
                <w:color w:val="auto"/>
              </w:rPr>
              <w:t>$</w:t>
            </w:r>
          </w:p>
        </w:tc>
        <w:tc>
          <w:tcPr>
            <w:tcW w:w="25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(976)</w:t>
            </w:r>
          </w:p>
        </w:tc>
      </w:tr>
    </w:tbl>
    <w:p>
      <w:pPr>
        <w:spacing w:after="0" w:line="39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Joint Venture Financing</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General</w:t>
      </w:r>
    </w:p>
    <w:p>
      <w:pPr>
        <w:spacing w:after="0" w:line="211"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color w:val="auto"/>
        </w:rPr>
        <w:t>On August 6, 2014, Cameron LNG also entered into finance documents (collectively, Loan Facility Agreements) for senior secured financing in an initial aggregate principal amount of up to $7.4 billion under three debt facilities provided by the Japan Bank for International Cooperation (JBIC) and 29 international commercial banks, some of which will benefit from insurance coverage provided by Nippon Export and Investment Insurance (NEXI).</w:t>
      </w:r>
    </w:p>
    <w:p>
      <w:pPr>
        <w:spacing w:after="0" w:line="171"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The Cameron LNG Loan Facility Agreements and related finance documents provide senior secured term loans with a maturity date of July 15, 2030. The proceeds of the loans will be used for financing the cost of development and construction of the Cameron LNG project. The Loan Facility Agreements and related finance documents contain customary representations and affirmative and negative covenants for project finance facilities of this type with the lenders of the type participating in the Cameron LNG financing. On August 6, 2014, Sempra Energy entered into a completion agreement in favor of HSBC Bank USA, National Association, as security trustee for the benefit of all of Cameron LNG Holdings’ creditors. Pursuant to this completion agreement, Sempra Energy has severally guaranteed 50.2 percent of Cameron LNG Holdings’ senior debt obligations under the Loan Facility Agreements, or a maximum principal amount of $3.7 billion. Completion guarantees for the remaining 49.8 percent of Cameron LNG Holdings’ senior secured financing have been provided by the other project partners. The occurrence of the effectiveness of the Cameron LNG Holdings joint venture on October 1, 2014 was a condition precedent to first disbursement of funds under the Loan Facility Agreements, and the Sempra Energy completion guarantee of 50.2 percent of the Cameron LNG Holdings financing also became effective upon effectiveness of the Cameron LNG Holdings joint venture. Sempra Energy’s completion agreement and guarantee will terminate upon financial completion of the Cameron LNG project, which is subject to satisfaction of certain conditions, including all three trains achieving commercial operations and meeting certain operational performance tests. Financial completion is scheduled for the second half of 2019.</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Interest</w:t>
      </w:r>
    </w:p>
    <w:p>
      <w:pPr>
        <w:spacing w:after="0" w:line="211"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The weighted average all-in cost of the loans outstanding under all the Loan Facility Agreements (and based on certain assumptions as to timing of drawdown) is 1.59 percent per annum over LIBOR prior to financial completion of the project and 1.78 per annum over LIBOR following financial completion of the project. The Loan Facility Agreements require Cameron LNG to hedge 50 percent of outstanding borrowings to fix the interest rate, beginning in 2016. The hedges are to remain in place until the debt principal has been amortized by 50 percent.</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Mandatory Prepayments</w:t>
      </w:r>
    </w:p>
    <w:p>
      <w:pPr>
        <w:sectPr>
          <w:pgSz w:w="11900" w:h="16838" w:orient="portrait"/>
          <w:cols w:equalWidth="0" w:num="1">
            <w:col w:w="11420"/>
          </w:cols>
          <w:pgMar w:left="240" w:top="256" w:right="239" w:bottom="171" w:gutter="0" w:footer="0" w:header="0"/>
        </w:sectPr>
      </w:pPr>
    </w:p>
    <w:bookmarkStart w:id="54" w:name="page55"/>
    <w:bookmarkEnd w:id="54"/>
    <w:p>
      <w:pPr>
        <w:ind w:right="340"/>
        <w:spacing w:after="0" w:line="290" w:lineRule="auto"/>
        <w:rPr>
          <w:sz w:val="20"/>
          <w:szCs w:val="20"/>
          <w:color w:val="auto"/>
        </w:rPr>
      </w:pPr>
      <w:r>
        <w:rPr>
          <w:rFonts w:ascii="Arial" w:cs="Arial" w:eastAsia="Arial" w:hAnsi="Arial"/>
          <w:sz w:val="16"/>
          <w:szCs w:val="16"/>
          <w:color w:val="auto"/>
        </w:rPr>
        <w:t>Cameron LNG also must make mandatory prepayments of all loans made under the Loan Facility Agreements under certain circumstances, including: upon receipt of certain insurance proceeds and expropriation compensation; upon receipt of certain performance liquidated damages under Cameron LNG’s engineering, procurement and construction contract for the liquefaction terminal; in connection with the loss of its tolling agreements or export permits that result in a reduction of Cameron LNG’s debt service coverage ratios below a specified threshold; if it becomes unlawful in any applicable jurisdiction for a lender to fund or maintain its loans; or in connection with any mandatory prepayment of senior notes outstanding (if any).</w:t>
      </w:r>
    </w:p>
    <w:p>
      <w:pPr>
        <w:spacing w:after="0" w:line="164"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The loans under the NEXI Covered Loan Facility Agreement and the loans held by JBIC under the JBIC Loan Facility Agreement are subject to certain additional mandatory prepayments that would be triggered if the Japanese sponsors fail to maintain certain ownership interests in Cameron LNG, if Cameron LNG’s Japanese tolling customers do not hold commitments for a certain quantum of nameplate capacity at the liquefaction terminal or if the aggregate annual contracted LNG commitments by Cameron LNG’s tolling customers to Japanese LNG buyers fall below a certain minimum threshold under certain circumstances.</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Events of Default</w:t>
      </w:r>
    </w:p>
    <w:p>
      <w:pPr>
        <w:spacing w:after="0" w:line="21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Cameron LNG’s Loan Facility Agreements and related finance documents also contain events of default customary for such financings, including events of default for: failure to pay principal and interest on the due date; insolvency of Cameron LNG; abandonment of the project; expropriation; unenforceability or termination of the finance documents; and a failure to achieve financial completion of the project by a financial completion deadline date of September 30, 2021 (with up to additional 365 days extension beyond such date permitted in cases of force majeure). A delay in construction that results in a failure to achieve financial completion of the project by this financial completion deadline date would therefore result in an event of default under Cameron LNG’s financing and a potential demand on Sempra Energy’s guarantee.</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Security</w:t>
      </w:r>
    </w:p>
    <w:p>
      <w:pPr>
        <w:spacing w:after="0" w:line="211"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To support Cameron LNG’s obligations under the Loan Facility Agreements and related finance documents, Cameron LNG has granted security over all of its assets, subject to customary exceptions, and all equity interests in Cameron LNG have been pledged to HSBC Bank USA, National Association, as security trustee for the benefit of all Cameron LNG’s creditors. As a result, an enforcement action by the lenders taken in accordance with the finance documents could result in the exercise of such security interests by the lenders and the loss of ownership interests in Cameron LNG by Sempra Energy and the other project partners.</w:t>
      </w:r>
    </w:p>
    <w:p>
      <w:pPr>
        <w:spacing w:after="0" w:line="193"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The security trustee under Cameron LNG’s financing can demand that a payment be made by Sempra Energy under its guarantee of Sempra Energy’s 50.2 percent share of senior debt obligations due and payable either on the date such amounts were due from Cameron LNG (taking into account cure periods) in the event of a failure by Cameron LNG to pay such senior debt obligations when they become due or within 10 business days in the event of an acceleration of senior debt obligations under the terms of the finance documents. If an event of default occurs under the Sempra Energy completion agreement, the security trustee can demand that Sempra Energy purchase its 50.2 percent share of all then outstanding senior debt obligations within five business days (other than in the case of a bankruptcy default, which is automatic).</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Terminal Services Agreement</w:t>
      </w:r>
    </w:p>
    <w:p>
      <w:pPr>
        <w:spacing w:after="0" w:line="211" w:lineRule="exact"/>
        <w:rPr>
          <w:sz w:val="20"/>
          <w:szCs w:val="20"/>
          <w:color w:val="auto"/>
        </w:rPr>
      </w:pPr>
    </w:p>
    <w:p>
      <w:pPr>
        <w:ind w:right="180"/>
        <w:spacing w:after="0" w:line="269" w:lineRule="auto"/>
        <w:rPr>
          <w:sz w:val="20"/>
          <w:szCs w:val="20"/>
          <w:color w:val="auto"/>
        </w:rPr>
      </w:pPr>
      <w:r>
        <w:rPr>
          <w:rFonts w:ascii="Arial" w:cs="Arial" w:eastAsia="Arial" w:hAnsi="Arial"/>
          <w:sz w:val="17"/>
          <w:szCs w:val="17"/>
          <w:color w:val="auto"/>
        </w:rPr>
        <w:t>At September 30, 2014, Cameron LNG had a terminal services agreement with one customer that required the customer to pay capacity reservation and usage fees to use its Cameron LNG facilities to receive, store and regasify the customer’s LNG. There is a termination agreement in place that will result in the termination of this agreement at the point during construction of the new liquefaction facilities where piping tie-ins to the existing regasification terminal become necessary. Based on the full notice to proceed that was issued to Cameron LNG’s engineering, procurement and construction contractor in October 2014, we expect this termination date to occur during the first quarter of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380"/>
        <w:spacing w:after="0" w:line="252" w:lineRule="auto"/>
        <w:rPr>
          <w:sz w:val="20"/>
          <w:szCs w:val="20"/>
          <w:color w:val="auto"/>
        </w:rPr>
      </w:pPr>
      <w:r>
        <w:rPr>
          <w:rFonts w:ascii="Arial" w:cs="Arial" w:eastAsia="Arial" w:hAnsi="Arial"/>
          <w:sz w:val="23"/>
          <w:szCs w:val="23"/>
          <w:color w:val="auto"/>
        </w:rPr>
        <w:t>ITEM 2. MANAGEMENT’S DISCUSSION AND ANALYSIS OF FINANCIAL CONDITION AND RESULTS OF OPERATIONS</w:t>
      </w:r>
    </w:p>
    <w:p>
      <w:pPr>
        <w:spacing w:after="0" w:line="225" w:lineRule="exact"/>
        <w:rPr>
          <w:sz w:val="20"/>
          <w:szCs w:val="20"/>
          <w:color w:val="auto"/>
        </w:rPr>
      </w:pPr>
    </w:p>
    <w:p>
      <w:pPr>
        <w:ind w:right="220"/>
        <w:spacing w:after="0" w:line="303" w:lineRule="auto"/>
        <w:rPr>
          <w:sz w:val="20"/>
          <w:szCs w:val="20"/>
          <w:color w:val="auto"/>
        </w:rPr>
      </w:pPr>
      <w:r>
        <w:rPr>
          <w:rFonts w:ascii="Arial" w:cs="Arial" w:eastAsia="Arial" w:hAnsi="Arial"/>
          <w:sz w:val="16"/>
          <w:szCs w:val="16"/>
          <w:color w:val="auto"/>
        </w:rPr>
        <w:t>You should read the following discussion in conjunction with the Condensed Consolidated Financial Statements and the Notes thereto contained in this Form 10-Q, “Management’s Discussion and Analysis of Financial Condition and Results of Operations” and the Consolidated Financial Statements and the Notes thereto contained in our 2013 Annual Report on Form 10-K (Annual Report) and “Risk Factors” contained in our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443230</wp:posOffset>
            </wp:positionV>
            <wp:extent cx="72656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5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9"/>
          <w:szCs w:val="19"/>
          <w:color w:val="auto"/>
        </w:rPr>
        <w:t>OVERVIEW</w:t>
      </w:r>
    </w:p>
    <w:p>
      <w:pPr>
        <w:spacing w:after="0" w:line="198" w:lineRule="exact"/>
        <w:rPr>
          <w:sz w:val="20"/>
          <w:szCs w:val="20"/>
          <w:color w:val="auto"/>
        </w:rPr>
      </w:pPr>
    </w:p>
    <w:p>
      <w:pPr>
        <w:ind w:right="200"/>
        <w:spacing w:after="0" w:line="269" w:lineRule="auto"/>
        <w:rPr>
          <w:sz w:val="20"/>
          <w:szCs w:val="20"/>
          <w:color w:val="auto"/>
        </w:rPr>
      </w:pPr>
      <w:r>
        <w:rPr>
          <w:rFonts w:ascii="Arial" w:cs="Arial" w:eastAsia="Arial" w:hAnsi="Arial"/>
          <w:sz w:val="17"/>
          <w:szCs w:val="17"/>
          <w:color w:val="auto"/>
        </w:rPr>
        <w:t>Sempra Energy is a Fortune 500 energy-services holding company whose operating units develop energy infrastructure, operate utilities and provide related services to their customers. Our operations are divided principally between our California Utilities, which are San Diego Gas &amp; Electric Company (SDG&amp;E) and Southern California Gas Company (SoCalGas), and Sempra International and Sempra U.S. Gas &amp; Power. SDG&amp;E and SoCalGas are separate, reportable segments. Sempra International includes two reportable segments – Sempra South American Utilities and Sempra Mexico. Sempra U.S. Gas &amp; Power also includes two reportable segments – Sempra Renewables and Sempra Natural Gas.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This report includes information for the following separate registrants:</w:t>
      </w:r>
    </w:p>
    <w:p>
      <w:pPr>
        <w:spacing w:after="0" w:line="218" w:lineRule="exact"/>
        <w:rPr>
          <w:sz w:val="20"/>
          <w:szCs w:val="20"/>
          <w:color w:val="auto"/>
        </w:rPr>
      </w:pPr>
    </w:p>
    <w:p>
      <w:pPr>
        <w:ind w:left="320" w:hanging="172"/>
        <w:spacing w:after="0"/>
        <w:tabs>
          <w:tab w:leader="none" w:pos="3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Sempra Energy and its consolidated entities</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SDG&amp;E</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SoCalGas</w:t>
      </w:r>
    </w:p>
    <w:p>
      <w:pPr>
        <w:sectPr>
          <w:pgSz w:w="11900" w:h="16838" w:orient="portrait"/>
          <w:cols w:equalWidth="0" w:num="1">
            <w:col w:w="11380"/>
          </w:cols>
          <w:pgMar w:left="240" w:top="127" w:right="279" w:bottom="192" w:gutter="0" w:footer="0" w:header="0"/>
        </w:sectPr>
      </w:pPr>
    </w:p>
    <w:bookmarkStart w:id="55" w:name="page56"/>
    <w:bookmarkEnd w:id="55"/>
    <w:p>
      <w:pPr>
        <w:ind w:right="60"/>
        <w:spacing w:after="0" w:line="256" w:lineRule="auto"/>
        <w:rPr>
          <w:sz w:val="20"/>
          <w:szCs w:val="20"/>
          <w:color w:val="auto"/>
        </w:rPr>
      </w:pPr>
      <w:r>
        <w:rPr>
          <w:rFonts w:ascii="Arial" w:cs="Arial" w:eastAsia="Arial" w:hAnsi="Arial"/>
          <w:sz w:val="18"/>
          <w:szCs w:val="18"/>
          <w:color w:val="auto"/>
        </w:rPr>
        <w:t>References to “we,” “our” and “Sempra Energy Consolidated” are to Sempra Energy and its consolidated entities, collectively, unless otherwise indicated by the context. All references to “Sempra International” and “Sempra U.S. Gas &amp; Power,” and to their respective principal segments, are not intended to refer to any legal entity with the same or similar name.</w:t>
      </w:r>
    </w:p>
    <w:p>
      <w:pPr>
        <w:spacing w:after="0" w:line="18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the first quarter of 2013, a Sempra Energy subsidiary, Infraestructura Energética Nova, S.A.B. de C.V. (IEnova), completed a private offering in the U.S. and outside of Mexico and concurrent public offering in Mexico of common stock. IEnova is a separate legal entity, formerly known as Sempra México, S.A. de C.V., comprised primarily of Sempra Energy’s operations in Mexico. IEnova is included within our Sempra Mexico reportable segment, but is not the same in its entirety as the reportable segment. In addition to the IEnova operating companies, the Sempra Mexico segment includes, among other things, certain holding companies and risk management activity. Also, IEnova’s financial results are reported in Mexico under International Financial Reporting Standards (IFRS), as required by the Mexican Stock Exchange (La Bolsa Mexicana de Valores, S.A.B. de C.V., or BMV) where the shares are traded under the symbol IENOVA. We discuss the offerings and IEnova further in Note 5 of the Notes to Condensed Consolidated Financial Statements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Below are summary descriptions of our operating units and their reportable segments.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ENERGY OPERATING UNITS AND REPORTABLE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304800</wp:posOffset>
            </wp:positionV>
            <wp:extent cx="7248525" cy="135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8525" cy="13525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CALIFORNIA UTILITIES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tcPr>
          <w:p>
            <w:pPr>
              <w:ind w:left="1080"/>
              <w:spacing w:after="0"/>
              <w:rPr>
                <w:sz w:val="20"/>
                <w:szCs w:val="20"/>
                <w:color w:val="auto"/>
              </w:rPr>
            </w:pPr>
            <w:r>
              <w:rPr>
                <w:rFonts w:ascii="Arial" w:cs="Arial" w:eastAsia="Arial" w:hAnsi="Arial"/>
                <w:sz w:val="14"/>
                <w:szCs w:val="14"/>
                <w:b w:val="1"/>
                <w:bCs w:val="1"/>
                <w:color w:val="auto"/>
              </w:rPr>
              <w:t>MARKET</w:t>
            </w:r>
          </w:p>
        </w:tc>
        <w:tc>
          <w:tcPr>
            <w:tcW w:w="3800" w:type="dxa"/>
            <w:vAlign w:val="bottom"/>
            <w:tcBorders>
              <w:bottom w:val="single" w:sz="8" w:color="auto"/>
            </w:tcBorders>
          </w:tcPr>
          <w:p>
            <w:pPr>
              <w:ind w:left="1160"/>
              <w:spacing w:after="0"/>
              <w:rPr>
                <w:sz w:val="20"/>
                <w:szCs w:val="20"/>
                <w:color w:val="auto"/>
              </w:rPr>
            </w:pPr>
            <w:r>
              <w:rPr>
                <w:rFonts w:ascii="Arial" w:cs="Arial" w:eastAsia="Arial" w:hAnsi="Arial"/>
                <w:sz w:val="14"/>
                <w:szCs w:val="14"/>
                <w:b w:val="1"/>
                <w:bCs w:val="1"/>
                <w:color w:val="auto"/>
              </w:rPr>
              <w:t>SERVICE TERRITORY</w:t>
            </w:r>
          </w:p>
        </w:tc>
        <w:tc>
          <w:tcPr>
            <w:tcW w:w="0" w:type="dxa"/>
            <w:vAlign w:val="bottom"/>
          </w:tcPr>
          <w:p>
            <w:pPr>
              <w:spacing w:after="0"/>
              <w:rPr>
                <w:sz w:val="1"/>
                <w:szCs w:val="1"/>
                <w:color w:val="auto"/>
              </w:rPr>
            </w:pPr>
          </w:p>
        </w:tc>
      </w:tr>
      <w:tr>
        <w:trPr>
          <w:trHeight w:val="153"/>
        </w:trPr>
        <w:tc>
          <w:tcPr>
            <w:tcW w:w="3820" w:type="dxa"/>
            <w:vAlign w:val="bottom"/>
            <w:tcBorders>
              <w:right w:val="single" w:sz="8" w:color="auto"/>
            </w:tcBorders>
          </w:tcPr>
          <w:p>
            <w:pPr>
              <w:spacing w:after="0" w:line="153" w:lineRule="exact"/>
              <w:rPr>
                <w:sz w:val="20"/>
                <w:szCs w:val="20"/>
                <w:color w:val="auto"/>
              </w:rPr>
            </w:pPr>
            <w:r>
              <w:rPr>
                <w:rFonts w:ascii="Arial" w:cs="Arial" w:eastAsia="Arial" w:hAnsi="Arial"/>
                <w:sz w:val="16"/>
                <w:szCs w:val="16"/>
                <w:b w:val="1"/>
                <w:bCs w:val="1"/>
                <w:color w:val="auto"/>
              </w:rPr>
              <w:t>SAN DIEGO GAS &amp; ELECTRIC COMPANY</w:t>
            </w:r>
          </w:p>
        </w:tc>
        <w:tc>
          <w:tcPr>
            <w:tcW w:w="500" w:type="dxa"/>
            <w:vAlign w:val="bottom"/>
          </w:tcPr>
          <w:p>
            <w:pPr>
              <w:ind w:left="320"/>
              <w:spacing w:after="0" w:line="153" w:lineRule="exact"/>
              <w:rPr>
                <w:sz w:val="20"/>
                <w:szCs w:val="20"/>
                <w:color w:val="auto"/>
              </w:rPr>
            </w:pPr>
            <w:r>
              <w:rPr>
                <w:rFonts w:ascii="Arial" w:cs="Arial" w:eastAsia="Arial" w:hAnsi="Arial"/>
                <w:sz w:val="16"/>
                <w:szCs w:val="16"/>
                <w:color w:val="auto"/>
              </w:rPr>
              <w:t>§</w:t>
            </w:r>
          </w:p>
        </w:tc>
        <w:tc>
          <w:tcPr>
            <w:tcW w:w="3300" w:type="dxa"/>
            <w:vAlign w:val="bottom"/>
            <w:tcBorders>
              <w:right w:val="single" w:sz="8" w:color="auto"/>
            </w:tcBorders>
          </w:tcPr>
          <w:p>
            <w:pPr>
              <w:ind w:left="100"/>
              <w:spacing w:after="0" w:line="153" w:lineRule="exact"/>
              <w:rPr>
                <w:sz w:val="20"/>
                <w:szCs w:val="20"/>
                <w:color w:val="auto"/>
              </w:rPr>
            </w:pPr>
            <w:r>
              <w:rPr>
                <w:rFonts w:ascii="Arial" w:cs="Arial" w:eastAsia="Arial" w:hAnsi="Arial"/>
                <w:sz w:val="16"/>
                <w:szCs w:val="16"/>
                <w:color w:val="auto"/>
              </w:rPr>
              <w:t>Provides electricity to 3.4 million consumers</w:t>
            </w:r>
          </w:p>
        </w:tc>
        <w:tc>
          <w:tcPr>
            <w:tcW w:w="3800" w:type="dxa"/>
            <w:vAlign w:val="bottom"/>
          </w:tcPr>
          <w:p>
            <w:pPr>
              <w:spacing w:after="0" w:line="153" w:lineRule="exact"/>
              <w:rPr>
                <w:sz w:val="20"/>
                <w:szCs w:val="20"/>
                <w:color w:val="auto"/>
              </w:rPr>
            </w:pPr>
            <w:r>
              <w:rPr>
                <w:rFonts w:ascii="Arial" w:cs="Arial" w:eastAsia="Arial" w:hAnsi="Arial"/>
                <w:sz w:val="16"/>
                <w:szCs w:val="16"/>
                <w:color w:val="auto"/>
              </w:rPr>
              <w:t>Serves the county of San Diego, California and an</w:t>
            </w:r>
          </w:p>
        </w:tc>
        <w:tc>
          <w:tcPr>
            <w:tcW w:w="0" w:type="dxa"/>
            <w:vAlign w:val="bottom"/>
          </w:tcPr>
          <w:p>
            <w:pPr>
              <w:spacing w:after="0"/>
              <w:rPr>
                <w:sz w:val="1"/>
                <w:szCs w:val="1"/>
                <w:color w:val="auto"/>
              </w:rPr>
            </w:pPr>
          </w:p>
        </w:tc>
      </w:tr>
      <w:tr>
        <w:trPr>
          <w:trHeight w:val="175"/>
        </w:trPr>
        <w:tc>
          <w:tcPr>
            <w:tcW w:w="3820" w:type="dxa"/>
            <w:vAlign w:val="bottom"/>
            <w:tcBorders>
              <w:right w:val="single" w:sz="8" w:color="auto"/>
            </w:tcBorders>
          </w:tcPr>
          <w:p>
            <w:pPr>
              <w:spacing w:after="0" w:line="175" w:lineRule="exact"/>
              <w:rPr>
                <w:sz w:val="20"/>
                <w:szCs w:val="20"/>
                <w:color w:val="auto"/>
              </w:rPr>
            </w:pPr>
            <w:r>
              <w:rPr>
                <w:rFonts w:ascii="Arial" w:cs="Arial" w:eastAsia="Arial" w:hAnsi="Arial"/>
                <w:sz w:val="16"/>
                <w:szCs w:val="16"/>
                <w:b w:val="1"/>
                <w:bCs w:val="1"/>
                <w:color w:val="auto"/>
              </w:rPr>
              <w:t>(SDG&amp;E)</w:t>
            </w:r>
          </w:p>
        </w:tc>
        <w:tc>
          <w:tcPr>
            <w:tcW w:w="3800" w:type="dxa"/>
            <w:vAlign w:val="bottom"/>
            <w:tcBorders>
              <w:right w:val="single" w:sz="8" w:color="auto"/>
            </w:tcBorders>
            <w:gridSpan w:val="2"/>
            <w:vMerge w:val="restart"/>
          </w:tcPr>
          <w:p>
            <w:pPr>
              <w:ind w:left="320"/>
              <w:spacing w:after="0"/>
              <w:rPr>
                <w:sz w:val="20"/>
                <w:szCs w:val="20"/>
                <w:color w:val="auto"/>
              </w:rPr>
            </w:pPr>
            <w:r>
              <w:rPr>
                <w:rFonts w:ascii="Arial" w:cs="Arial" w:eastAsia="Arial" w:hAnsi="Arial"/>
                <w:sz w:val="16"/>
                <w:szCs w:val="16"/>
                <w:color w:val="auto"/>
              </w:rPr>
              <w:t>(1.4 million meters)</w:t>
            </w:r>
          </w:p>
        </w:tc>
        <w:tc>
          <w:tcPr>
            <w:tcW w:w="3800" w:type="dxa"/>
            <w:vAlign w:val="bottom"/>
          </w:tcPr>
          <w:p>
            <w:pPr>
              <w:spacing w:after="0" w:line="175" w:lineRule="exact"/>
              <w:rPr>
                <w:sz w:val="20"/>
                <w:szCs w:val="20"/>
                <w:color w:val="auto"/>
              </w:rPr>
            </w:pPr>
            <w:r>
              <w:rPr>
                <w:rFonts w:ascii="Arial" w:cs="Arial" w:eastAsia="Arial" w:hAnsi="Arial"/>
                <w:sz w:val="16"/>
                <w:szCs w:val="16"/>
                <w:color w:val="auto"/>
              </w:rPr>
              <w:t>adjacent portion of southern Orange County covering</w:t>
            </w:r>
          </w:p>
        </w:tc>
        <w:tc>
          <w:tcPr>
            <w:tcW w:w="0" w:type="dxa"/>
            <w:vAlign w:val="bottom"/>
          </w:tcPr>
          <w:p>
            <w:pPr>
              <w:spacing w:after="0"/>
              <w:rPr>
                <w:sz w:val="1"/>
                <w:szCs w:val="1"/>
                <w:color w:val="auto"/>
              </w:rPr>
            </w:pPr>
          </w:p>
        </w:tc>
      </w:tr>
      <w:tr>
        <w:trPr>
          <w:trHeight w:val="73"/>
        </w:trPr>
        <w:tc>
          <w:tcPr>
            <w:tcW w:w="3820" w:type="dxa"/>
            <w:vAlign w:val="bottom"/>
            <w:tcBorders>
              <w:right w:val="single" w:sz="8" w:color="auto"/>
            </w:tcBorders>
            <w:vMerge w:val="restart"/>
          </w:tcPr>
          <w:p>
            <w:pPr>
              <w:spacing w:after="0" w:line="173" w:lineRule="exact"/>
              <w:rPr>
                <w:sz w:val="20"/>
                <w:szCs w:val="20"/>
                <w:color w:val="auto"/>
              </w:rPr>
            </w:pPr>
            <w:r>
              <w:rPr>
                <w:rFonts w:ascii="Arial" w:cs="Arial" w:eastAsia="Arial" w:hAnsi="Arial"/>
                <w:sz w:val="16"/>
                <w:szCs w:val="16"/>
                <w:color w:val="auto"/>
              </w:rPr>
              <w:t>A regulated public utility; infrastructure supports</w:t>
            </w:r>
          </w:p>
        </w:tc>
        <w:tc>
          <w:tcPr>
            <w:tcW w:w="3800" w:type="dxa"/>
            <w:vAlign w:val="bottom"/>
            <w:tcBorders>
              <w:right w:val="single" w:sz="8" w:color="auto"/>
            </w:tcBorders>
            <w:gridSpan w:val="2"/>
            <w:vMerge w:val="continue"/>
          </w:tcPr>
          <w:p>
            <w:pPr>
              <w:spacing w:after="0"/>
              <w:rPr>
                <w:sz w:val="6"/>
                <w:szCs w:val="6"/>
                <w:color w:val="auto"/>
              </w:rPr>
            </w:pPr>
          </w:p>
        </w:tc>
        <w:tc>
          <w:tcPr>
            <w:tcW w:w="3800" w:type="dxa"/>
            <w:vAlign w:val="bottom"/>
            <w:vMerge w:val="restart"/>
          </w:tcPr>
          <w:p>
            <w:pPr>
              <w:spacing w:after="0" w:line="173" w:lineRule="exact"/>
              <w:rPr>
                <w:sz w:val="20"/>
                <w:szCs w:val="20"/>
                <w:color w:val="auto"/>
              </w:rPr>
            </w:pPr>
            <w:r>
              <w:rPr>
                <w:rFonts w:ascii="Arial" w:cs="Arial" w:eastAsia="Arial" w:hAnsi="Arial"/>
                <w:sz w:val="16"/>
                <w:szCs w:val="16"/>
                <w:color w:val="auto"/>
              </w:rPr>
              <w:t>4,100 square miles</w:t>
            </w:r>
          </w:p>
        </w:tc>
        <w:tc>
          <w:tcPr>
            <w:tcW w:w="0" w:type="dxa"/>
            <w:vAlign w:val="bottom"/>
          </w:tcPr>
          <w:p>
            <w:pPr>
              <w:spacing w:after="0"/>
              <w:rPr>
                <w:sz w:val="1"/>
                <w:szCs w:val="1"/>
                <w:color w:val="auto"/>
              </w:rPr>
            </w:pPr>
          </w:p>
        </w:tc>
      </w:tr>
      <w:tr>
        <w:trPr>
          <w:trHeight w:val="100"/>
        </w:trPr>
        <w:tc>
          <w:tcPr>
            <w:tcW w:w="3820" w:type="dxa"/>
            <w:vAlign w:val="bottom"/>
            <w:tcBorders>
              <w:right w:val="single" w:sz="8" w:color="auto"/>
            </w:tcBorders>
            <w:vMerge w:val="continue"/>
          </w:tcPr>
          <w:p>
            <w:pPr>
              <w:spacing w:after="0"/>
              <w:rPr>
                <w:sz w:val="8"/>
                <w:szCs w:val="8"/>
                <w:color w:val="auto"/>
              </w:rPr>
            </w:pPr>
          </w:p>
        </w:tc>
        <w:tc>
          <w:tcPr>
            <w:tcW w:w="500" w:type="dxa"/>
            <w:vAlign w:val="bottom"/>
          </w:tcPr>
          <w:p>
            <w:pPr>
              <w:spacing w:after="0"/>
              <w:rPr>
                <w:sz w:val="8"/>
                <w:szCs w:val="8"/>
                <w:color w:val="auto"/>
              </w:rPr>
            </w:pPr>
          </w:p>
        </w:tc>
        <w:tc>
          <w:tcPr>
            <w:tcW w:w="3300" w:type="dxa"/>
            <w:vAlign w:val="bottom"/>
            <w:tcBorders>
              <w:right w:val="single" w:sz="8" w:color="auto"/>
            </w:tcBorders>
          </w:tcPr>
          <w:p>
            <w:pPr>
              <w:spacing w:after="0"/>
              <w:rPr>
                <w:sz w:val="8"/>
                <w:szCs w:val="8"/>
                <w:color w:val="auto"/>
              </w:rPr>
            </w:pPr>
          </w:p>
        </w:tc>
        <w:tc>
          <w:tcPr>
            <w:tcW w:w="3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3820" w:type="dxa"/>
            <w:vAlign w:val="bottom"/>
            <w:tcBorders>
              <w:right w:val="single" w:sz="8" w:color="auto"/>
            </w:tcBorders>
          </w:tcPr>
          <w:p>
            <w:pPr>
              <w:spacing w:after="0" w:line="173" w:lineRule="exact"/>
              <w:rPr>
                <w:sz w:val="20"/>
                <w:szCs w:val="20"/>
                <w:color w:val="auto"/>
              </w:rPr>
            </w:pPr>
            <w:r>
              <w:rPr>
                <w:rFonts w:ascii="Arial" w:cs="Arial" w:eastAsia="Arial" w:hAnsi="Arial"/>
                <w:sz w:val="16"/>
                <w:szCs w:val="16"/>
                <w:color w:val="auto"/>
              </w:rPr>
              <w:t>electric generation, transmission and distribution, and</w:t>
            </w:r>
          </w:p>
        </w:tc>
        <w:tc>
          <w:tcPr>
            <w:tcW w:w="500" w:type="dxa"/>
            <w:vAlign w:val="bottom"/>
            <w:vMerge w:val="restart"/>
          </w:tcPr>
          <w:p>
            <w:pPr>
              <w:ind w:left="320"/>
              <w:spacing w:after="0"/>
              <w:rPr>
                <w:sz w:val="20"/>
                <w:szCs w:val="20"/>
                <w:color w:val="auto"/>
              </w:rPr>
            </w:pPr>
            <w:r>
              <w:rPr>
                <w:rFonts w:ascii="Arial" w:cs="Arial" w:eastAsia="Arial" w:hAnsi="Arial"/>
                <w:sz w:val="16"/>
                <w:szCs w:val="16"/>
                <w:color w:val="auto"/>
              </w:rPr>
              <w:t>§</w:t>
            </w:r>
          </w:p>
        </w:tc>
        <w:tc>
          <w:tcPr>
            <w:tcW w:w="33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Provides natural gas to 3.2 million</w:t>
            </w:r>
          </w:p>
        </w:tc>
        <w:tc>
          <w:tcPr>
            <w:tcW w:w="3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8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natural gas distribution</w:t>
            </w:r>
          </w:p>
        </w:tc>
        <w:tc>
          <w:tcPr>
            <w:tcW w:w="500" w:type="dxa"/>
            <w:vAlign w:val="bottom"/>
            <w:vMerge w:val="continue"/>
          </w:tcPr>
          <w:p>
            <w:pPr>
              <w:spacing w:after="0"/>
              <w:rPr>
                <w:sz w:val="12"/>
                <w:szCs w:val="12"/>
                <w:color w:val="auto"/>
              </w:rPr>
            </w:pPr>
          </w:p>
        </w:tc>
        <w:tc>
          <w:tcPr>
            <w:tcW w:w="3300" w:type="dxa"/>
            <w:vAlign w:val="bottom"/>
            <w:tcBorders>
              <w:right w:val="single" w:sz="8" w:color="auto"/>
            </w:tcBorders>
            <w:vMerge w:val="continue"/>
          </w:tcPr>
          <w:p>
            <w:pPr>
              <w:spacing w:after="0"/>
              <w:rPr>
                <w:sz w:val="12"/>
                <w:szCs w:val="12"/>
                <w:color w:val="auto"/>
              </w:rPr>
            </w:pPr>
          </w:p>
        </w:tc>
        <w:tc>
          <w:tcPr>
            <w:tcW w:w="3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3820" w:type="dxa"/>
            <w:vAlign w:val="bottom"/>
            <w:tcBorders>
              <w:right w:val="single" w:sz="8" w:color="auto"/>
            </w:tcBorders>
            <w:vMerge w:val="continue"/>
          </w:tcPr>
          <w:p>
            <w:pPr>
              <w:spacing w:after="0"/>
              <w:rPr>
                <w:sz w:val="4"/>
                <w:szCs w:val="4"/>
                <w:color w:val="auto"/>
              </w:rPr>
            </w:pPr>
          </w:p>
        </w:tc>
        <w:tc>
          <w:tcPr>
            <w:tcW w:w="3800" w:type="dxa"/>
            <w:vAlign w:val="bottom"/>
            <w:tcBorders>
              <w:right w:val="single" w:sz="8" w:color="auto"/>
            </w:tcBorders>
            <w:gridSpan w:val="2"/>
            <w:vMerge w:val="restart"/>
          </w:tcPr>
          <w:p>
            <w:pPr>
              <w:ind w:left="320"/>
              <w:spacing w:after="0"/>
              <w:rPr>
                <w:sz w:val="20"/>
                <w:szCs w:val="20"/>
                <w:color w:val="auto"/>
              </w:rPr>
            </w:pPr>
            <w:r>
              <w:rPr>
                <w:rFonts w:ascii="Arial" w:cs="Arial" w:eastAsia="Arial" w:hAnsi="Arial"/>
                <w:sz w:val="16"/>
                <w:szCs w:val="16"/>
                <w:color w:val="auto"/>
              </w:rPr>
              <w:t>consumers (0.9 million meters)</w:t>
            </w:r>
          </w:p>
        </w:tc>
        <w:tc>
          <w:tcPr>
            <w:tcW w:w="3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3820" w:type="dxa"/>
            <w:vAlign w:val="bottom"/>
            <w:tcBorders>
              <w:right w:val="single" w:sz="8" w:color="auto"/>
            </w:tcBorders>
          </w:tcPr>
          <w:p>
            <w:pPr>
              <w:spacing w:after="0"/>
              <w:rPr>
                <w:sz w:val="12"/>
                <w:szCs w:val="12"/>
                <w:color w:val="auto"/>
              </w:rPr>
            </w:pPr>
          </w:p>
        </w:tc>
        <w:tc>
          <w:tcPr>
            <w:tcW w:w="3800" w:type="dxa"/>
            <w:vAlign w:val="bottom"/>
            <w:tcBorders>
              <w:right w:val="single" w:sz="8" w:color="auto"/>
            </w:tcBorders>
            <w:gridSpan w:val="2"/>
            <w:vMerge w:val="continue"/>
          </w:tcPr>
          <w:p>
            <w:pPr>
              <w:spacing w:after="0"/>
              <w:rPr>
                <w:sz w:val="12"/>
                <w:szCs w:val="12"/>
                <w:color w:val="auto"/>
              </w:rPr>
            </w:pPr>
          </w:p>
        </w:tc>
        <w:tc>
          <w:tcPr>
            <w:tcW w:w="3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3820" w:type="dxa"/>
            <w:vAlign w:val="bottom"/>
            <w:tcBorders>
              <w:bottom w:val="single" w:sz="8" w:color="auto"/>
              <w:right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3300" w:type="dxa"/>
            <w:vAlign w:val="bottom"/>
            <w:tcBorders>
              <w:bottom w:val="single" w:sz="8" w:color="auto"/>
              <w:right w:val="single" w:sz="8" w:color="auto"/>
            </w:tcBorders>
          </w:tcPr>
          <w:p>
            <w:pPr>
              <w:spacing w:after="0"/>
              <w:rPr>
                <w:sz w:val="16"/>
                <w:szCs w:val="16"/>
                <w:color w:val="auto"/>
              </w:rPr>
            </w:pPr>
          </w:p>
        </w:tc>
        <w:tc>
          <w:tcPr>
            <w:tcW w:w="3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820" w:type="dxa"/>
            <w:vAlign w:val="bottom"/>
          </w:tcPr>
          <w:p>
            <w:pPr>
              <w:spacing w:after="0" w:line="153" w:lineRule="exact"/>
              <w:rPr>
                <w:sz w:val="20"/>
                <w:szCs w:val="20"/>
                <w:color w:val="auto"/>
              </w:rPr>
            </w:pPr>
            <w:r>
              <w:rPr>
                <w:rFonts w:ascii="Arial" w:cs="Arial" w:eastAsia="Arial" w:hAnsi="Arial"/>
                <w:sz w:val="16"/>
                <w:szCs w:val="16"/>
                <w:b w:val="1"/>
                <w:bCs w:val="1"/>
                <w:color w:val="auto"/>
              </w:rPr>
              <w:t>SOUTHERN CALIFORNIA GAS COMPANY</w:t>
            </w:r>
          </w:p>
        </w:tc>
        <w:tc>
          <w:tcPr>
            <w:tcW w:w="500" w:type="dxa"/>
            <w:vAlign w:val="bottom"/>
          </w:tcPr>
          <w:p>
            <w:pPr>
              <w:ind w:left="320"/>
              <w:spacing w:after="0" w:line="153" w:lineRule="exact"/>
              <w:rPr>
                <w:sz w:val="20"/>
                <w:szCs w:val="20"/>
                <w:color w:val="auto"/>
              </w:rPr>
            </w:pPr>
            <w:r>
              <w:rPr>
                <w:rFonts w:ascii="Arial" w:cs="Arial" w:eastAsia="Arial" w:hAnsi="Arial"/>
                <w:sz w:val="16"/>
                <w:szCs w:val="16"/>
                <w:color w:val="auto"/>
              </w:rPr>
              <w:t>§</w:t>
            </w:r>
          </w:p>
        </w:tc>
        <w:tc>
          <w:tcPr>
            <w:tcW w:w="3300" w:type="dxa"/>
            <w:vAlign w:val="bottom"/>
          </w:tcPr>
          <w:p>
            <w:pPr>
              <w:ind w:left="100"/>
              <w:spacing w:after="0" w:line="153" w:lineRule="exact"/>
              <w:rPr>
                <w:sz w:val="20"/>
                <w:szCs w:val="20"/>
                <w:color w:val="auto"/>
              </w:rPr>
            </w:pPr>
            <w:r>
              <w:rPr>
                <w:rFonts w:ascii="Arial" w:cs="Arial" w:eastAsia="Arial" w:hAnsi="Arial"/>
                <w:sz w:val="16"/>
                <w:szCs w:val="16"/>
                <w:color w:val="auto"/>
              </w:rPr>
              <w:t>Residential, commercial, industrial, utility</w:t>
            </w:r>
          </w:p>
        </w:tc>
        <w:tc>
          <w:tcPr>
            <w:tcW w:w="3800" w:type="dxa"/>
            <w:vAlign w:val="bottom"/>
          </w:tcPr>
          <w:p>
            <w:pPr>
              <w:spacing w:after="0" w:line="153" w:lineRule="exact"/>
              <w:rPr>
                <w:sz w:val="20"/>
                <w:szCs w:val="20"/>
                <w:color w:val="auto"/>
              </w:rPr>
            </w:pPr>
            <w:r>
              <w:rPr>
                <w:rFonts w:ascii="Arial" w:cs="Arial" w:eastAsia="Arial" w:hAnsi="Arial"/>
                <w:sz w:val="16"/>
                <w:szCs w:val="16"/>
                <w:color w:val="auto"/>
              </w:rPr>
              <w:t>Southern California and portions of central California</w:t>
            </w:r>
          </w:p>
        </w:tc>
        <w:tc>
          <w:tcPr>
            <w:tcW w:w="0" w:type="dxa"/>
            <w:vAlign w:val="bottom"/>
          </w:tcPr>
          <w:p>
            <w:pPr>
              <w:spacing w:after="0"/>
              <w:rPr>
                <w:sz w:val="1"/>
                <w:szCs w:val="1"/>
                <w:color w:val="auto"/>
              </w:rPr>
            </w:pPr>
          </w:p>
        </w:tc>
      </w:tr>
      <w:tr>
        <w:trPr>
          <w:trHeight w:val="175"/>
        </w:trPr>
        <w:tc>
          <w:tcPr>
            <w:tcW w:w="3820" w:type="dxa"/>
            <w:vAlign w:val="bottom"/>
          </w:tcPr>
          <w:p>
            <w:pPr>
              <w:spacing w:after="0" w:line="175" w:lineRule="exact"/>
              <w:rPr>
                <w:sz w:val="20"/>
                <w:szCs w:val="20"/>
                <w:color w:val="auto"/>
              </w:rPr>
            </w:pPr>
            <w:r>
              <w:rPr>
                <w:rFonts w:ascii="Arial" w:cs="Arial" w:eastAsia="Arial" w:hAnsi="Arial"/>
                <w:sz w:val="16"/>
                <w:szCs w:val="16"/>
                <w:b w:val="1"/>
                <w:bCs w:val="1"/>
                <w:color w:val="auto"/>
              </w:rPr>
              <w:t>(SOCALGAS)</w:t>
            </w:r>
          </w:p>
        </w:tc>
        <w:tc>
          <w:tcPr>
            <w:tcW w:w="3800" w:type="dxa"/>
            <w:vAlign w:val="bottom"/>
            <w:gridSpan w:val="2"/>
            <w:vMerge w:val="restart"/>
          </w:tcPr>
          <w:p>
            <w:pPr>
              <w:ind w:left="320"/>
              <w:spacing w:after="0"/>
              <w:rPr>
                <w:sz w:val="20"/>
                <w:szCs w:val="20"/>
                <w:color w:val="auto"/>
              </w:rPr>
            </w:pPr>
            <w:r>
              <w:rPr>
                <w:rFonts w:ascii="Arial" w:cs="Arial" w:eastAsia="Arial" w:hAnsi="Arial"/>
                <w:sz w:val="16"/>
                <w:szCs w:val="16"/>
                <w:color w:val="auto"/>
              </w:rPr>
              <w:t>electric generation and wholesale customers</w:t>
            </w:r>
          </w:p>
        </w:tc>
        <w:tc>
          <w:tcPr>
            <w:tcW w:w="3800" w:type="dxa"/>
            <w:vAlign w:val="bottom"/>
          </w:tcPr>
          <w:p>
            <w:pPr>
              <w:spacing w:after="0" w:line="175" w:lineRule="exact"/>
              <w:rPr>
                <w:sz w:val="20"/>
                <w:szCs w:val="20"/>
                <w:color w:val="auto"/>
              </w:rPr>
            </w:pPr>
            <w:r>
              <w:rPr>
                <w:rFonts w:ascii="Arial" w:cs="Arial" w:eastAsia="Arial" w:hAnsi="Arial"/>
                <w:sz w:val="16"/>
                <w:szCs w:val="16"/>
                <w:color w:val="auto"/>
              </w:rPr>
              <w:t>(excluding San Diego County, the city of Long Beach</w:t>
            </w:r>
          </w:p>
        </w:tc>
        <w:tc>
          <w:tcPr>
            <w:tcW w:w="0" w:type="dxa"/>
            <w:vAlign w:val="bottom"/>
          </w:tcPr>
          <w:p>
            <w:pPr>
              <w:spacing w:after="0"/>
              <w:rPr>
                <w:sz w:val="1"/>
                <w:szCs w:val="1"/>
                <w:color w:val="auto"/>
              </w:rPr>
            </w:pPr>
          </w:p>
        </w:tc>
      </w:tr>
      <w:tr>
        <w:trPr>
          <w:trHeight w:val="73"/>
        </w:trPr>
        <w:tc>
          <w:tcPr>
            <w:tcW w:w="3820" w:type="dxa"/>
            <w:vAlign w:val="bottom"/>
            <w:vMerge w:val="restart"/>
          </w:tcPr>
          <w:p>
            <w:pPr>
              <w:spacing w:after="0" w:line="173" w:lineRule="exact"/>
              <w:rPr>
                <w:sz w:val="20"/>
                <w:szCs w:val="20"/>
                <w:color w:val="auto"/>
              </w:rPr>
            </w:pPr>
            <w:r>
              <w:rPr>
                <w:rFonts w:ascii="Arial" w:cs="Arial" w:eastAsia="Arial" w:hAnsi="Arial"/>
                <w:sz w:val="16"/>
                <w:szCs w:val="16"/>
                <w:color w:val="auto"/>
              </w:rPr>
              <w:t>A regulated public utility; infrastructure supports</w:t>
            </w:r>
          </w:p>
        </w:tc>
        <w:tc>
          <w:tcPr>
            <w:tcW w:w="3800" w:type="dxa"/>
            <w:vAlign w:val="bottom"/>
            <w:gridSpan w:val="2"/>
            <w:vMerge w:val="continue"/>
          </w:tcPr>
          <w:p>
            <w:pPr>
              <w:spacing w:after="0"/>
              <w:rPr>
                <w:sz w:val="6"/>
                <w:szCs w:val="6"/>
                <w:color w:val="auto"/>
              </w:rPr>
            </w:pPr>
          </w:p>
        </w:tc>
        <w:tc>
          <w:tcPr>
            <w:tcW w:w="3800" w:type="dxa"/>
            <w:vAlign w:val="bottom"/>
            <w:vMerge w:val="restart"/>
          </w:tcPr>
          <w:p>
            <w:pPr>
              <w:spacing w:after="0" w:line="173" w:lineRule="exact"/>
              <w:rPr>
                <w:sz w:val="20"/>
                <w:szCs w:val="20"/>
                <w:color w:val="auto"/>
              </w:rPr>
            </w:pPr>
            <w:r>
              <w:rPr>
                <w:rFonts w:ascii="Arial" w:cs="Arial" w:eastAsia="Arial" w:hAnsi="Arial"/>
                <w:sz w:val="16"/>
                <w:szCs w:val="16"/>
                <w:color w:val="auto"/>
              </w:rPr>
              <w:t>and the desert area of San Bernardino County)</w:t>
            </w:r>
          </w:p>
        </w:tc>
        <w:tc>
          <w:tcPr>
            <w:tcW w:w="0" w:type="dxa"/>
            <w:vAlign w:val="bottom"/>
          </w:tcPr>
          <w:p>
            <w:pPr>
              <w:spacing w:after="0"/>
              <w:rPr>
                <w:sz w:val="1"/>
                <w:szCs w:val="1"/>
                <w:color w:val="auto"/>
              </w:rPr>
            </w:pPr>
          </w:p>
        </w:tc>
      </w:tr>
      <w:tr>
        <w:trPr>
          <w:trHeight w:val="100"/>
        </w:trPr>
        <w:tc>
          <w:tcPr>
            <w:tcW w:w="382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3300" w:type="dxa"/>
            <w:vAlign w:val="bottom"/>
          </w:tcPr>
          <w:p>
            <w:pPr>
              <w:spacing w:after="0"/>
              <w:rPr>
                <w:sz w:val="8"/>
                <w:szCs w:val="8"/>
                <w:color w:val="auto"/>
              </w:rPr>
            </w:pPr>
          </w:p>
        </w:tc>
        <w:tc>
          <w:tcPr>
            <w:tcW w:w="3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3820" w:type="dxa"/>
            <w:vAlign w:val="bottom"/>
          </w:tcPr>
          <w:p>
            <w:pPr>
              <w:spacing w:after="0"/>
              <w:rPr>
                <w:sz w:val="20"/>
                <w:szCs w:val="20"/>
                <w:color w:val="auto"/>
              </w:rPr>
            </w:pPr>
            <w:r>
              <w:rPr>
                <w:rFonts w:ascii="Arial" w:cs="Arial" w:eastAsia="Arial" w:hAnsi="Arial"/>
                <w:sz w:val="16"/>
                <w:szCs w:val="16"/>
                <w:color w:val="auto"/>
              </w:rPr>
              <w:t>natural gas distribution, transmission and storage</w:t>
            </w:r>
          </w:p>
        </w:tc>
        <w:tc>
          <w:tcPr>
            <w:tcW w:w="500" w:type="dxa"/>
            <w:vAlign w:val="bottom"/>
            <w:vMerge w:val="restart"/>
          </w:tcPr>
          <w:p>
            <w:pPr>
              <w:ind w:left="320"/>
              <w:spacing w:after="0"/>
              <w:rPr>
                <w:sz w:val="20"/>
                <w:szCs w:val="20"/>
                <w:color w:val="auto"/>
              </w:rPr>
            </w:pPr>
            <w:r>
              <w:rPr>
                <w:rFonts w:ascii="Arial" w:cs="Arial" w:eastAsia="Arial" w:hAnsi="Arial"/>
                <w:sz w:val="16"/>
                <w:szCs w:val="16"/>
                <w:color w:val="auto"/>
              </w:rPr>
              <w:t>§</w:t>
            </w:r>
          </w:p>
        </w:tc>
        <w:tc>
          <w:tcPr>
            <w:tcW w:w="3300" w:type="dxa"/>
            <w:vAlign w:val="bottom"/>
            <w:vMerge w:val="restart"/>
          </w:tcPr>
          <w:p>
            <w:pPr>
              <w:ind w:left="100"/>
              <w:spacing w:after="0"/>
              <w:rPr>
                <w:sz w:val="20"/>
                <w:szCs w:val="20"/>
                <w:color w:val="auto"/>
              </w:rPr>
            </w:pPr>
            <w:r>
              <w:rPr>
                <w:rFonts w:ascii="Arial" w:cs="Arial" w:eastAsia="Arial" w:hAnsi="Arial"/>
                <w:sz w:val="16"/>
                <w:szCs w:val="16"/>
                <w:color w:val="auto"/>
              </w:rPr>
              <w:t>Covers a population of 21.3 million (5.8</w:t>
            </w:r>
          </w:p>
        </w:tc>
        <w:tc>
          <w:tcPr>
            <w:tcW w:w="3800" w:type="dxa"/>
            <w:vAlign w:val="bottom"/>
          </w:tcPr>
          <w:p>
            <w:pPr>
              <w:spacing w:after="0"/>
              <w:rPr>
                <w:sz w:val="20"/>
                <w:szCs w:val="20"/>
                <w:color w:val="auto"/>
              </w:rPr>
            </w:pPr>
            <w:r>
              <w:rPr>
                <w:rFonts w:ascii="Arial" w:cs="Arial" w:eastAsia="Arial" w:hAnsi="Arial"/>
                <w:sz w:val="16"/>
                <w:szCs w:val="16"/>
                <w:color w:val="auto"/>
              </w:rPr>
              <w:t>covering 20,000 square miles</w:t>
            </w:r>
          </w:p>
        </w:tc>
        <w:tc>
          <w:tcPr>
            <w:tcW w:w="0" w:type="dxa"/>
            <w:vAlign w:val="bottom"/>
          </w:tcPr>
          <w:p>
            <w:pPr>
              <w:spacing w:after="0"/>
              <w:rPr>
                <w:sz w:val="1"/>
                <w:szCs w:val="1"/>
                <w:color w:val="auto"/>
              </w:rPr>
            </w:pPr>
          </w:p>
        </w:tc>
      </w:tr>
      <w:tr>
        <w:trPr>
          <w:trHeight w:val="120"/>
        </w:trPr>
        <w:tc>
          <w:tcPr>
            <w:tcW w:w="38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3300" w:type="dxa"/>
            <w:vAlign w:val="bottom"/>
            <w:vMerge w:val="continue"/>
          </w:tcPr>
          <w:p>
            <w:pPr>
              <w:spacing w:after="0"/>
              <w:rPr>
                <w:sz w:val="10"/>
                <w:szCs w:val="10"/>
                <w:color w:val="auto"/>
              </w:rPr>
            </w:pPr>
          </w:p>
        </w:tc>
        <w:tc>
          <w:tcPr>
            <w:tcW w:w="38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-532130</wp:posOffset>
            </wp:positionV>
            <wp:extent cx="7248525" cy="8356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8525" cy="835660"/>
                    </a:xfrm>
                    <a:prstGeom prst="rect">
                      <a:avLst/>
                    </a:prstGeom>
                    <a:noFill/>
                  </pic:spPr>
                </pic:pic>
              </a:graphicData>
            </a:graphic>
          </wp:anchor>
        </w:drawing>
      </w:r>
    </w:p>
    <w:p>
      <w:pPr>
        <w:ind w:left="4140"/>
        <w:spacing w:after="0"/>
        <w:rPr>
          <w:sz w:val="20"/>
          <w:szCs w:val="20"/>
          <w:color w:val="auto"/>
        </w:rPr>
      </w:pPr>
      <w:r>
        <w:rPr>
          <w:rFonts w:ascii="Arial" w:cs="Arial" w:eastAsia="Arial" w:hAnsi="Arial"/>
          <w:sz w:val="16"/>
          <w:szCs w:val="16"/>
          <w:color w:val="auto"/>
        </w:rPr>
        <w:t>million meters)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color w:val="auto"/>
        </w:rPr>
        <w:t>We refer to SDG&amp;E and SoCalGas collectively as the California Utilities, which do not include the utilities in our Sempra International or Sempra U.S. Gas &amp; Power operating units described below.</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We provide summary descriptions of our Sempra International and Sempra U.S. Gas &amp; Power businesses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551815</wp:posOffset>
            </wp:positionV>
            <wp:extent cx="7248525" cy="135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8525" cy="135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INTERNATIONAL</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tcPr>
          <w:p>
            <w:pPr>
              <w:ind w:left="1080"/>
              <w:spacing w:after="0"/>
              <w:rPr>
                <w:sz w:val="20"/>
                <w:szCs w:val="20"/>
                <w:color w:val="auto"/>
              </w:rPr>
            </w:pPr>
            <w:r>
              <w:rPr>
                <w:rFonts w:ascii="Arial" w:cs="Arial" w:eastAsia="Arial" w:hAnsi="Arial"/>
                <w:sz w:val="14"/>
                <w:szCs w:val="14"/>
                <w:b w:val="1"/>
                <w:bCs w:val="1"/>
                <w:color w:val="auto"/>
              </w:rPr>
              <w:t>MARKET</w:t>
            </w:r>
          </w:p>
        </w:tc>
        <w:tc>
          <w:tcPr>
            <w:tcW w:w="50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GEOGRAPHIC REGION</w:t>
            </w:r>
          </w:p>
        </w:tc>
        <w:tc>
          <w:tcPr>
            <w:tcW w:w="0" w:type="dxa"/>
            <w:vAlign w:val="bottom"/>
          </w:tcPr>
          <w:p>
            <w:pPr>
              <w:spacing w:after="0"/>
              <w:rPr>
                <w:sz w:val="1"/>
                <w:szCs w:val="1"/>
                <w:color w:val="auto"/>
              </w:rPr>
            </w:pPr>
          </w:p>
        </w:tc>
      </w:tr>
      <w:tr>
        <w:trPr>
          <w:trHeight w:val="155"/>
        </w:trPr>
        <w:tc>
          <w:tcPr>
            <w:tcW w:w="3820" w:type="dxa"/>
            <w:vAlign w:val="bottom"/>
            <w:tcBorders>
              <w:right w:val="single" w:sz="8" w:color="auto"/>
            </w:tcBorders>
          </w:tcPr>
          <w:p>
            <w:pPr>
              <w:spacing w:after="0" w:line="155" w:lineRule="exact"/>
              <w:rPr>
                <w:sz w:val="20"/>
                <w:szCs w:val="20"/>
                <w:color w:val="auto"/>
              </w:rPr>
            </w:pPr>
            <w:r>
              <w:rPr>
                <w:rFonts w:ascii="Arial" w:cs="Arial" w:eastAsia="Arial" w:hAnsi="Arial"/>
                <w:sz w:val="16"/>
                <w:szCs w:val="16"/>
                <w:b w:val="1"/>
                <w:bCs w:val="1"/>
                <w:color w:val="auto"/>
              </w:rPr>
              <w:t>SEMPRA SOUTH AMERICAN UTILITIES</w:t>
            </w:r>
          </w:p>
        </w:tc>
        <w:tc>
          <w:tcPr>
            <w:tcW w:w="500" w:type="dxa"/>
            <w:vAlign w:val="bottom"/>
          </w:tcPr>
          <w:p>
            <w:pPr>
              <w:ind w:left="320"/>
              <w:spacing w:after="0" w:line="155" w:lineRule="exact"/>
              <w:rPr>
                <w:sz w:val="20"/>
                <w:szCs w:val="20"/>
                <w:color w:val="auto"/>
              </w:rPr>
            </w:pPr>
            <w:r>
              <w:rPr>
                <w:rFonts w:ascii="Arial" w:cs="Arial" w:eastAsia="Arial" w:hAnsi="Arial"/>
                <w:sz w:val="16"/>
                <w:szCs w:val="16"/>
                <w:color w:val="auto"/>
              </w:rPr>
              <w:t>§</w:t>
            </w:r>
          </w:p>
        </w:tc>
        <w:tc>
          <w:tcPr>
            <w:tcW w:w="3300" w:type="dxa"/>
            <w:vAlign w:val="bottom"/>
            <w:tcBorders>
              <w:right w:val="single" w:sz="8" w:color="auto"/>
            </w:tcBorders>
          </w:tcPr>
          <w:p>
            <w:pPr>
              <w:ind w:left="100"/>
              <w:spacing w:after="0" w:line="155" w:lineRule="exact"/>
              <w:rPr>
                <w:sz w:val="20"/>
                <w:szCs w:val="20"/>
                <w:color w:val="auto"/>
              </w:rPr>
            </w:pPr>
            <w:r>
              <w:rPr>
                <w:rFonts w:ascii="Arial" w:cs="Arial" w:eastAsia="Arial" w:hAnsi="Arial"/>
                <w:sz w:val="16"/>
                <w:szCs w:val="16"/>
                <w:color w:val="auto"/>
                <w:w w:val="99"/>
              </w:rPr>
              <w:t>Provides electricity to approximately 640,000</w:t>
            </w:r>
          </w:p>
        </w:tc>
        <w:tc>
          <w:tcPr>
            <w:tcW w:w="500" w:type="dxa"/>
            <w:vAlign w:val="bottom"/>
          </w:tcPr>
          <w:p>
            <w:pPr>
              <w:jc w:val="right"/>
              <w:ind w:right="20"/>
              <w:spacing w:after="0" w:line="155" w:lineRule="exact"/>
              <w:rPr>
                <w:sz w:val="20"/>
                <w:szCs w:val="20"/>
                <w:color w:val="auto"/>
              </w:rPr>
            </w:pPr>
            <w:r>
              <w:rPr>
                <w:rFonts w:ascii="Arial" w:cs="Arial" w:eastAsia="Arial" w:hAnsi="Arial"/>
                <w:sz w:val="16"/>
                <w:szCs w:val="16"/>
                <w:color w:val="auto"/>
              </w:rPr>
              <w:t>§</w:t>
            </w:r>
          </w:p>
        </w:tc>
        <w:tc>
          <w:tcPr>
            <w:tcW w:w="3300" w:type="dxa"/>
            <w:vAlign w:val="bottom"/>
          </w:tcPr>
          <w:p>
            <w:pPr>
              <w:ind w:left="100"/>
              <w:spacing w:after="0" w:line="155" w:lineRule="exact"/>
              <w:rPr>
                <w:sz w:val="20"/>
                <w:szCs w:val="20"/>
                <w:color w:val="auto"/>
              </w:rPr>
            </w:pPr>
            <w:r>
              <w:rPr>
                <w:rFonts w:ascii="Arial" w:cs="Arial" w:eastAsia="Arial" w:hAnsi="Arial"/>
                <w:sz w:val="16"/>
                <w:szCs w:val="16"/>
                <w:color w:val="auto"/>
              </w:rPr>
              <w:t>Chile</w:t>
            </w:r>
          </w:p>
        </w:tc>
        <w:tc>
          <w:tcPr>
            <w:tcW w:w="0" w:type="dxa"/>
            <w:vAlign w:val="bottom"/>
          </w:tcPr>
          <w:p>
            <w:pPr>
              <w:spacing w:after="0"/>
              <w:rPr>
                <w:sz w:val="1"/>
                <w:szCs w:val="1"/>
                <w:color w:val="auto"/>
              </w:rPr>
            </w:pPr>
          </w:p>
        </w:tc>
      </w:tr>
      <w:tr>
        <w:trPr>
          <w:trHeight w:val="173"/>
        </w:trPr>
        <w:tc>
          <w:tcPr>
            <w:tcW w:w="3820" w:type="dxa"/>
            <w:vAlign w:val="bottom"/>
            <w:tcBorders>
              <w:right w:val="single" w:sz="8" w:color="auto"/>
            </w:tcBorders>
          </w:tcPr>
          <w:p>
            <w:pPr>
              <w:spacing w:after="0" w:line="173" w:lineRule="exact"/>
              <w:rPr>
                <w:sz w:val="20"/>
                <w:szCs w:val="20"/>
                <w:color w:val="auto"/>
              </w:rPr>
            </w:pPr>
            <w:r>
              <w:rPr>
                <w:rFonts w:ascii="Arial" w:cs="Arial" w:eastAsia="Arial" w:hAnsi="Arial"/>
                <w:sz w:val="16"/>
                <w:szCs w:val="16"/>
                <w:color w:val="auto"/>
              </w:rPr>
              <w:t>Infrastructure supports electric transmission and</w:t>
            </w:r>
          </w:p>
        </w:tc>
        <w:tc>
          <w:tcPr>
            <w:tcW w:w="3800" w:type="dxa"/>
            <w:vAlign w:val="bottom"/>
            <w:tcBorders>
              <w:right w:val="single" w:sz="8" w:color="auto"/>
            </w:tcBorders>
            <w:gridSpan w:val="2"/>
            <w:vMerge w:val="restart"/>
          </w:tcPr>
          <w:p>
            <w:pPr>
              <w:ind w:left="320"/>
              <w:spacing w:after="0"/>
              <w:rPr>
                <w:sz w:val="20"/>
                <w:szCs w:val="20"/>
                <w:color w:val="auto"/>
              </w:rPr>
            </w:pPr>
            <w:r>
              <w:rPr>
                <w:rFonts w:ascii="Arial" w:cs="Arial" w:eastAsia="Arial" w:hAnsi="Arial"/>
                <w:sz w:val="16"/>
                <w:szCs w:val="16"/>
                <w:color w:val="auto"/>
              </w:rPr>
              <w:t>customers in Chile and 996,000 customers in</w:t>
            </w:r>
          </w:p>
        </w:tc>
        <w:tc>
          <w:tcPr>
            <w:tcW w:w="50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38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distribution</w:t>
            </w:r>
          </w:p>
        </w:tc>
        <w:tc>
          <w:tcPr>
            <w:tcW w:w="3800" w:type="dxa"/>
            <w:vAlign w:val="bottom"/>
            <w:tcBorders>
              <w:right w:val="single" w:sz="8" w:color="auto"/>
            </w:tcBorders>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3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3820" w:type="dxa"/>
            <w:vAlign w:val="bottom"/>
            <w:tcBorders>
              <w:right w:val="single" w:sz="8" w:color="auto"/>
            </w:tcBorders>
            <w:vMerge w:val="continue"/>
          </w:tcPr>
          <w:p>
            <w:pPr>
              <w:spacing w:after="0"/>
              <w:rPr>
                <w:sz w:val="10"/>
                <w:szCs w:val="10"/>
                <w:color w:val="auto"/>
              </w:rPr>
            </w:pPr>
          </w:p>
        </w:tc>
        <w:tc>
          <w:tcPr>
            <w:tcW w:w="3800" w:type="dxa"/>
            <w:vAlign w:val="bottom"/>
            <w:tcBorders>
              <w:right w:val="single" w:sz="8" w:color="auto"/>
            </w:tcBorders>
            <w:gridSpan w:val="2"/>
            <w:vMerge w:val="restart"/>
          </w:tcPr>
          <w:p>
            <w:pPr>
              <w:ind w:left="320"/>
              <w:spacing w:after="0"/>
              <w:rPr>
                <w:sz w:val="20"/>
                <w:szCs w:val="20"/>
                <w:color w:val="auto"/>
              </w:rPr>
            </w:pPr>
            <w:r>
              <w:rPr>
                <w:rFonts w:ascii="Arial" w:cs="Arial" w:eastAsia="Arial" w:hAnsi="Arial"/>
                <w:sz w:val="16"/>
                <w:szCs w:val="16"/>
                <w:color w:val="auto"/>
              </w:rPr>
              <w:t>Peru</w:t>
            </w:r>
          </w:p>
        </w:tc>
        <w:tc>
          <w:tcPr>
            <w:tcW w:w="500" w:type="dxa"/>
            <w:vAlign w:val="bottom"/>
            <w:vMerge w:val="restart"/>
          </w:tcPr>
          <w:p>
            <w:pPr>
              <w:jc w:val="right"/>
              <w:ind w:right="20"/>
              <w:spacing w:after="0"/>
              <w:rPr>
                <w:sz w:val="20"/>
                <w:szCs w:val="20"/>
                <w:color w:val="auto"/>
              </w:rPr>
            </w:pPr>
            <w:r>
              <w:rPr>
                <w:rFonts w:ascii="Arial" w:cs="Arial" w:eastAsia="Arial" w:hAnsi="Arial"/>
                <w:sz w:val="16"/>
                <w:szCs w:val="16"/>
                <w:color w:val="auto"/>
              </w:rPr>
              <w:t>§</w:t>
            </w:r>
          </w:p>
        </w:tc>
        <w:tc>
          <w:tcPr>
            <w:tcW w:w="3300" w:type="dxa"/>
            <w:vAlign w:val="bottom"/>
            <w:vMerge w:val="restart"/>
          </w:tcPr>
          <w:p>
            <w:pPr>
              <w:ind w:left="100"/>
              <w:spacing w:after="0"/>
              <w:rPr>
                <w:sz w:val="20"/>
                <w:szCs w:val="20"/>
                <w:color w:val="auto"/>
              </w:rPr>
            </w:pPr>
            <w:r>
              <w:rPr>
                <w:rFonts w:ascii="Arial" w:cs="Arial" w:eastAsia="Arial" w:hAnsi="Arial"/>
                <w:sz w:val="16"/>
                <w:szCs w:val="16"/>
                <w:color w:val="auto"/>
              </w:rPr>
              <w:t>Peru</w:t>
            </w:r>
          </w:p>
        </w:tc>
        <w:tc>
          <w:tcPr>
            <w:tcW w:w="0" w:type="dxa"/>
            <w:vAlign w:val="bottom"/>
          </w:tcPr>
          <w:p>
            <w:pPr>
              <w:spacing w:after="0"/>
              <w:rPr>
                <w:sz w:val="1"/>
                <w:szCs w:val="1"/>
                <w:color w:val="auto"/>
              </w:rPr>
            </w:pPr>
          </w:p>
        </w:tc>
      </w:tr>
      <w:tr>
        <w:trPr>
          <w:trHeight w:val="106"/>
        </w:trPr>
        <w:tc>
          <w:tcPr>
            <w:tcW w:w="3820" w:type="dxa"/>
            <w:vAlign w:val="bottom"/>
            <w:tcBorders>
              <w:right w:val="single" w:sz="8" w:color="auto"/>
            </w:tcBorders>
          </w:tcPr>
          <w:p>
            <w:pPr>
              <w:spacing w:after="0"/>
              <w:rPr>
                <w:sz w:val="9"/>
                <w:szCs w:val="9"/>
                <w:color w:val="auto"/>
              </w:rPr>
            </w:pPr>
          </w:p>
        </w:tc>
        <w:tc>
          <w:tcPr>
            <w:tcW w:w="3800" w:type="dxa"/>
            <w:vAlign w:val="bottom"/>
            <w:tcBorders>
              <w:right w:val="single" w:sz="8" w:color="auto"/>
            </w:tcBorders>
            <w:gridSpan w:val="2"/>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3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3820" w:type="dxa"/>
            <w:vAlign w:val="bottom"/>
            <w:tcBorders>
              <w:bottom w:val="single" w:sz="8" w:color="auto"/>
              <w:right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3300" w:type="dxa"/>
            <w:vAlign w:val="bottom"/>
            <w:tcBorders>
              <w:bottom w:val="single" w:sz="8" w:color="auto"/>
              <w:right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3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3820" w:type="dxa"/>
            <w:vAlign w:val="bottom"/>
          </w:tcPr>
          <w:p>
            <w:pPr>
              <w:spacing w:after="0" w:line="155" w:lineRule="exact"/>
              <w:rPr>
                <w:sz w:val="20"/>
                <w:szCs w:val="20"/>
                <w:color w:val="auto"/>
              </w:rPr>
            </w:pPr>
            <w:r>
              <w:rPr>
                <w:rFonts w:ascii="Arial" w:cs="Arial" w:eastAsia="Arial" w:hAnsi="Arial"/>
                <w:sz w:val="16"/>
                <w:szCs w:val="16"/>
                <w:b w:val="1"/>
                <w:bCs w:val="1"/>
                <w:color w:val="auto"/>
              </w:rPr>
              <w:t>SEMPRA MEXICO</w:t>
            </w:r>
          </w:p>
        </w:tc>
        <w:tc>
          <w:tcPr>
            <w:tcW w:w="500" w:type="dxa"/>
            <w:vAlign w:val="bottom"/>
          </w:tcPr>
          <w:p>
            <w:pPr>
              <w:ind w:left="320"/>
              <w:spacing w:after="0" w:line="155" w:lineRule="exact"/>
              <w:rPr>
                <w:sz w:val="20"/>
                <w:szCs w:val="20"/>
                <w:color w:val="auto"/>
              </w:rPr>
            </w:pPr>
            <w:r>
              <w:rPr>
                <w:rFonts w:ascii="Arial" w:cs="Arial" w:eastAsia="Arial" w:hAnsi="Arial"/>
                <w:sz w:val="16"/>
                <w:szCs w:val="16"/>
                <w:color w:val="auto"/>
              </w:rPr>
              <w:t>§</w:t>
            </w:r>
          </w:p>
        </w:tc>
        <w:tc>
          <w:tcPr>
            <w:tcW w:w="3300" w:type="dxa"/>
            <w:vAlign w:val="bottom"/>
          </w:tcPr>
          <w:p>
            <w:pPr>
              <w:ind w:left="100"/>
              <w:spacing w:after="0" w:line="155" w:lineRule="exact"/>
              <w:rPr>
                <w:sz w:val="20"/>
                <w:szCs w:val="20"/>
                <w:color w:val="auto"/>
              </w:rPr>
            </w:pPr>
            <w:r>
              <w:rPr>
                <w:rFonts w:ascii="Arial" w:cs="Arial" w:eastAsia="Arial" w:hAnsi="Arial"/>
                <w:sz w:val="16"/>
                <w:szCs w:val="16"/>
                <w:color w:val="auto"/>
              </w:rPr>
              <w:t>Natural gas</w:t>
            </w:r>
          </w:p>
        </w:tc>
        <w:tc>
          <w:tcPr>
            <w:tcW w:w="500" w:type="dxa"/>
            <w:vAlign w:val="bottom"/>
          </w:tcPr>
          <w:p>
            <w:pPr>
              <w:jc w:val="right"/>
              <w:ind w:right="20"/>
              <w:spacing w:after="0" w:line="155" w:lineRule="exact"/>
              <w:rPr>
                <w:sz w:val="20"/>
                <w:szCs w:val="20"/>
                <w:color w:val="auto"/>
              </w:rPr>
            </w:pPr>
            <w:r>
              <w:rPr>
                <w:rFonts w:ascii="Arial" w:cs="Arial" w:eastAsia="Arial" w:hAnsi="Arial"/>
                <w:sz w:val="16"/>
                <w:szCs w:val="16"/>
                <w:color w:val="auto"/>
              </w:rPr>
              <w:t>§</w:t>
            </w:r>
          </w:p>
        </w:tc>
        <w:tc>
          <w:tcPr>
            <w:tcW w:w="3300" w:type="dxa"/>
            <w:vAlign w:val="bottom"/>
          </w:tcPr>
          <w:p>
            <w:pPr>
              <w:ind w:left="100"/>
              <w:spacing w:after="0" w:line="155" w:lineRule="exact"/>
              <w:rPr>
                <w:sz w:val="20"/>
                <w:szCs w:val="20"/>
                <w:color w:val="auto"/>
              </w:rPr>
            </w:pPr>
            <w:r>
              <w:rPr>
                <w:rFonts w:ascii="Arial" w:cs="Arial" w:eastAsia="Arial" w:hAnsi="Arial"/>
                <w:sz w:val="16"/>
                <w:szCs w:val="16"/>
                <w:color w:val="auto"/>
              </w:rPr>
              <w:t>Mexico</w:t>
            </w:r>
          </w:p>
        </w:tc>
        <w:tc>
          <w:tcPr>
            <w:tcW w:w="0" w:type="dxa"/>
            <w:vAlign w:val="bottom"/>
          </w:tcPr>
          <w:p>
            <w:pPr>
              <w:spacing w:after="0"/>
              <w:rPr>
                <w:sz w:val="1"/>
                <w:szCs w:val="1"/>
                <w:color w:val="auto"/>
              </w:rPr>
            </w:pPr>
          </w:p>
        </w:tc>
      </w:tr>
      <w:tr>
        <w:trPr>
          <w:trHeight w:val="188"/>
        </w:trPr>
        <w:tc>
          <w:tcPr>
            <w:tcW w:w="3820" w:type="dxa"/>
            <w:vAlign w:val="bottom"/>
          </w:tcPr>
          <w:p>
            <w:pPr>
              <w:spacing w:after="0"/>
              <w:rPr>
                <w:sz w:val="20"/>
                <w:szCs w:val="20"/>
                <w:color w:val="auto"/>
              </w:rPr>
            </w:pPr>
            <w:r>
              <w:rPr>
                <w:rFonts w:ascii="Arial" w:cs="Arial" w:eastAsia="Arial" w:hAnsi="Arial"/>
                <w:sz w:val="16"/>
                <w:szCs w:val="16"/>
                <w:color w:val="auto"/>
              </w:rPr>
              <w:t>Develops, owns and operates, or holds interests in:</w:t>
            </w:r>
          </w:p>
        </w:tc>
        <w:tc>
          <w:tcPr>
            <w:tcW w:w="50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820" w:type="dxa"/>
            <w:vAlign w:val="bottom"/>
          </w:tcPr>
          <w:p>
            <w:pPr>
              <w:ind w:left="320"/>
              <w:spacing w:after="0"/>
              <w:rPr>
                <w:sz w:val="20"/>
                <w:szCs w:val="20"/>
                <w:color w:val="auto"/>
              </w:rPr>
            </w:pPr>
            <w:r>
              <w:rPr>
                <w:rFonts w:ascii="Arial" w:cs="Arial" w:eastAsia="Arial" w:hAnsi="Arial"/>
                <w:sz w:val="16"/>
                <w:szCs w:val="16"/>
                <w:color w:val="auto"/>
              </w:rPr>
              <w:t>§   natural gas transmission pipelines and</w:t>
            </w:r>
          </w:p>
        </w:tc>
        <w:tc>
          <w:tcPr>
            <w:tcW w:w="500" w:type="dxa"/>
            <w:vAlign w:val="bottom"/>
            <w:vMerge w:val="restart"/>
          </w:tcPr>
          <w:p>
            <w:pPr>
              <w:ind w:left="320"/>
              <w:spacing w:after="0"/>
              <w:rPr>
                <w:sz w:val="20"/>
                <w:szCs w:val="20"/>
                <w:color w:val="auto"/>
              </w:rPr>
            </w:pPr>
            <w:r>
              <w:rPr>
                <w:rFonts w:ascii="Arial" w:cs="Arial" w:eastAsia="Arial" w:hAnsi="Arial"/>
                <w:sz w:val="16"/>
                <w:szCs w:val="16"/>
                <w:color w:val="auto"/>
              </w:rPr>
              <w:t>§</w:t>
            </w:r>
          </w:p>
        </w:tc>
        <w:tc>
          <w:tcPr>
            <w:tcW w:w="3300" w:type="dxa"/>
            <w:vAlign w:val="bottom"/>
            <w:vMerge w:val="restart"/>
          </w:tcPr>
          <w:p>
            <w:pPr>
              <w:ind w:left="100"/>
              <w:spacing w:after="0"/>
              <w:rPr>
                <w:sz w:val="20"/>
                <w:szCs w:val="20"/>
                <w:color w:val="auto"/>
              </w:rPr>
            </w:pPr>
            <w:r>
              <w:rPr>
                <w:rFonts w:ascii="Arial" w:cs="Arial" w:eastAsia="Arial" w:hAnsi="Arial"/>
                <w:sz w:val="16"/>
                <w:szCs w:val="16"/>
                <w:color w:val="auto"/>
              </w:rPr>
              <w:t>Wholesale electricity</w:t>
            </w:r>
          </w:p>
        </w:tc>
        <w:tc>
          <w:tcPr>
            <w:tcW w:w="50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3820" w:type="dxa"/>
            <w:vAlign w:val="bottom"/>
            <w:vMerge w:val="restart"/>
          </w:tcPr>
          <w:p>
            <w:pPr>
              <w:ind w:left="320"/>
              <w:spacing w:after="0"/>
              <w:rPr>
                <w:sz w:val="20"/>
                <w:szCs w:val="20"/>
                <w:color w:val="auto"/>
              </w:rPr>
            </w:pPr>
            <w:r>
              <w:rPr>
                <w:rFonts w:ascii="Arial" w:cs="Arial" w:eastAsia="Arial" w:hAnsi="Arial"/>
                <w:sz w:val="16"/>
                <w:szCs w:val="16"/>
                <w:color w:val="auto"/>
              </w:rPr>
              <w:t>propane and ethane systems</w:t>
            </w:r>
          </w:p>
        </w:tc>
        <w:tc>
          <w:tcPr>
            <w:tcW w:w="500" w:type="dxa"/>
            <w:vAlign w:val="bottom"/>
            <w:vMerge w:val="continue"/>
          </w:tcPr>
          <w:p>
            <w:pPr>
              <w:spacing w:after="0"/>
              <w:rPr>
                <w:sz w:val="6"/>
                <w:szCs w:val="6"/>
                <w:color w:val="auto"/>
              </w:rPr>
            </w:pPr>
          </w:p>
        </w:tc>
        <w:tc>
          <w:tcPr>
            <w:tcW w:w="330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3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382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6"/>
        </w:trPr>
        <w:tc>
          <w:tcPr>
            <w:tcW w:w="3820" w:type="dxa"/>
            <w:vAlign w:val="bottom"/>
            <w:vMerge w:val="restart"/>
          </w:tcPr>
          <w:p>
            <w:pPr>
              <w:ind w:left="320"/>
              <w:spacing w:after="0"/>
              <w:rPr>
                <w:sz w:val="20"/>
                <w:szCs w:val="20"/>
                <w:color w:val="auto"/>
              </w:rPr>
            </w:pPr>
            <w:r>
              <w:rPr>
                <w:rFonts w:ascii="Arial" w:cs="Arial" w:eastAsia="Arial" w:hAnsi="Arial"/>
                <w:sz w:val="16"/>
                <w:szCs w:val="16"/>
                <w:color w:val="auto"/>
              </w:rPr>
              <w:t>§   a natural gas distribution utility</w:t>
            </w:r>
          </w:p>
        </w:tc>
        <w:tc>
          <w:tcPr>
            <w:tcW w:w="500" w:type="dxa"/>
            <w:vAlign w:val="bottom"/>
          </w:tcPr>
          <w:p>
            <w:pPr>
              <w:ind w:left="320"/>
              <w:spacing w:after="0"/>
              <w:rPr>
                <w:sz w:val="20"/>
                <w:szCs w:val="20"/>
                <w:color w:val="auto"/>
              </w:rPr>
            </w:pPr>
            <w:r>
              <w:rPr>
                <w:rFonts w:ascii="Arial" w:cs="Arial" w:eastAsia="Arial" w:hAnsi="Arial"/>
                <w:sz w:val="16"/>
                <w:szCs w:val="16"/>
                <w:color w:val="auto"/>
              </w:rPr>
              <w:t>§</w:t>
            </w:r>
          </w:p>
        </w:tc>
        <w:tc>
          <w:tcPr>
            <w:tcW w:w="3300" w:type="dxa"/>
            <w:vAlign w:val="bottom"/>
          </w:tcPr>
          <w:p>
            <w:pPr>
              <w:ind w:left="100"/>
              <w:spacing w:after="0"/>
              <w:rPr>
                <w:sz w:val="20"/>
                <w:szCs w:val="20"/>
                <w:color w:val="auto"/>
              </w:rPr>
            </w:pPr>
            <w:r>
              <w:rPr>
                <w:rFonts w:ascii="Arial" w:cs="Arial" w:eastAsia="Arial" w:hAnsi="Arial"/>
                <w:sz w:val="16"/>
                <w:szCs w:val="16"/>
                <w:color w:val="auto"/>
              </w:rPr>
              <w:t>Liquefied natural gas</w:t>
            </w:r>
          </w:p>
        </w:tc>
        <w:tc>
          <w:tcPr>
            <w:tcW w:w="5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382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3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3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-751205</wp:posOffset>
            </wp:positionV>
            <wp:extent cx="7248525" cy="19748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8525" cy="1974850"/>
                    </a:xfrm>
                    <a:prstGeom prst="rect">
                      <a:avLst/>
                    </a:prstGeom>
                    <a:noFill/>
                  </pic:spPr>
                </pic:pic>
              </a:graphicData>
            </a:graphic>
          </wp:anchor>
        </w:drawing>
      </w:r>
    </w:p>
    <w:p>
      <w:pPr>
        <w:spacing w:after="0" w:line="213" w:lineRule="exact"/>
        <w:rPr>
          <w:sz w:val="20"/>
          <w:szCs w:val="20"/>
          <w:color w:val="auto"/>
        </w:rPr>
      </w:pPr>
    </w:p>
    <w:p>
      <w:pPr>
        <w:ind w:left="600" w:hanging="275"/>
        <w:spacing w:after="0"/>
        <w:tabs>
          <w:tab w:leader="none" w:pos="6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electric generation facilities, including wind</w:t>
      </w:r>
    </w:p>
    <w:p>
      <w:pPr>
        <w:spacing w:after="0" w:line="241" w:lineRule="exact"/>
        <w:rPr>
          <w:rFonts w:ascii="Arial" w:cs="Arial" w:eastAsia="Arial" w:hAnsi="Arial"/>
          <w:sz w:val="16"/>
          <w:szCs w:val="16"/>
          <w:color w:val="auto"/>
        </w:rPr>
      </w:pPr>
    </w:p>
    <w:p>
      <w:pPr>
        <w:ind w:left="320" w:right="7780" w:firstLine="5"/>
        <w:spacing w:after="0" w:line="270" w:lineRule="auto"/>
        <w:tabs>
          <w:tab w:leader="none" w:pos="603" w:val="left"/>
        </w:tabs>
        <w:numPr>
          <w:ilvl w:val="0"/>
          <w:numId w:val="58"/>
        </w:numPr>
        <w:rPr>
          <w:rFonts w:ascii="Arial" w:cs="Arial" w:eastAsia="Arial" w:hAnsi="Arial"/>
          <w:sz w:val="16"/>
          <w:szCs w:val="16"/>
          <w:color w:val="auto"/>
        </w:rPr>
      </w:pPr>
      <w:r>
        <w:rPr>
          <w:rFonts w:ascii="Arial" w:cs="Arial" w:eastAsia="Arial" w:hAnsi="Arial"/>
          <w:sz w:val="16"/>
          <w:szCs w:val="16"/>
          <w:color w:val="auto"/>
        </w:rPr>
        <w:t>a terminal for the import of liquefied natural gas (LNG)</w:t>
      </w:r>
    </w:p>
    <w:p>
      <w:pPr>
        <w:spacing w:after="0" w:line="197" w:lineRule="exact"/>
        <w:rPr>
          <w:rFonts w:ascii="Arial" w:cs="Arial" w:eastAsia="Arial" w:hAnsi="Arial"/>
          <w:sz w:val="16"/>
          <w:szCs w:val="16"/>
          <w:color w:val="auto"/>
        </w:rPr>
      </w:pPr>
    </w:p>
    <w:p>
      <w:pPr>
        <w:ind w:left="320" w:right="7840" w:firstLine="5"/>
        <w:spacing w:after="0" w:line="304" w:lineRule="auto"/>
        <w:tabs>
          <w:tab w:leader="none" w:pos="603" w:val="left"/>
        </w:tabs>
        <w:numPr>
          <w:ilvl w:val="0"/>
          <w:numId w:val="58"/>
        </w:numPr>
        <w:rPr>
          <w:rFonts w:ascii="Arial" w:cs="Arial" w:eastAsia="Arial" w:hAnsi="Arial"/>
          <w:sz w:val="15"/>
          <w:szCs w:val="15"/>
          <w:color w:val="auto"/>
        </w:rPr>
      </w:pPr>
      <w:r>
        <w:rPr>
          <w:rFonts w:ascii="Arial" w:cs="Arial" w:eastAsia="Arial" w:hAnsi="Arial"/>
          <w:sz w:val="15"/>
          <w:szCs w:val="15"/>
          <w:color w:val="auto"/>
        </w:rPr>
        <w:t>marketing operations for the purchase of LNG and the purchase and sale of natural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523240</wp:posOffset>
            </wp:positionV>
            <wp:extent cx="7248525" cy="135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8525" cy="135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U.S. GAS &amp; POWER</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tcPr>
          <w:p>
            <w:pPr>
              <w:ind w:left="1080"/>
              <w:spacing w:after="0"/>
              <w:rPr>
                <w:sz w:val="20"/>
                <w:szCs w:val="20"/>
                <w:color w:val="auto"/>
              </w:rPr>
            </w:pPr>
            <w:r>
              <w:rPr>
                <w:rFonts w:ascii="Arial" w:cs="Arial" w:eastAsia="Arial" w:hAnsi="Arial"/>
                <w:sz w:val="14"/>
                <w:szCs w:val="14"/>
                <w:b w:val="1"/>
                <w:bCs w:val="1"/>
                <w:color w:val="auto"/>
              </w:rPr>
              <w:t>MARKET</w:t>
            </w:r>
          </w:p>
        </w:tc>
        <w:tc>
          <w:tcPr>
            <w:tcW w:w="50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GEOGRAPHIC REGION</w:t>
            </w:r>
          </w:p>
        </w:tc>
        <w:tc>
          <w:tcPr>
            <w:tcW w:w="0" w:type="dxa"/>
            <w:vAlign w:val="bottom"/>
          </w:tcPr>
          <w:p>
            <w:pPr>
              <w:spacing w:after="0"/>
              <w:rPr>
                <w:sz w:val="1"/>
                <w:szCs w:val="1"/>
                <w:color w:val="auto"/>
              </w:rPr>
            </w:pPr>
          </w:p>
        </w:tc>
      </w:tr>
      <w:tr>
        <w:trPr>
          <w:trHeight w:val="155"/>
        </w:trPr>
        <w:tc>
          <w:tcPr>
            <w:tcW w:w="3820" w:type="dxa"/>
            <w:vAlign w:val="bottom"/>
            <w:tcBorders>
              <w:right w:val="single" w:sz="8" w:color="auto"/>
            </w:tcBorders>
          </w:tcPr>
          <w:p>
            <w:pPr>
              <w:spacing w:after="0" w:line="155" w:lineRule="exact"/>
              <w:rPr>
                <w:sz w:val="20"/>
                <w:szCs w:val="20"/>
                <w:color w:val="auto"/>
              </w:rPr>
            </w:pPr>
            <w:r>
              <w:rPr>
                <w:rFonts w:ascii="Arial" w:cs="Arial" w:eastAsia="Arial" w:hAnsi="Arial"/>
                <w:sz w:val="16"/>
                <w:szCs w:val="16"/>
                <w:b w:val="1"/>
                <w:bCs w:val="1"/>
                <w:color w:val="auto"/>
              </w:rPr>
              <w:t>SEMPRA RENEWABLES</w:t>
            </w:r>
          </w:p>
        </w:tc>
        <w:tc>
          <w:tcPr>
            <w:tcW w:w="500" w:type="dxa"/>
            <w:vAlign w:val="bottom"/>
          </w:tcPr>
          <w:p>
            <w:pPr>
              <w:jc w:val="right"/>
              <w:ind w:right="20"/>
              <w:spacing w:after="0" w:line="155" w:lineRule="exact"/>
              <w:rPr>
                <w:sz w:val="20"/>
                <w:szCs w:val="20"/>
                <w:color w:val="auto"/>
              </w:rPr>
            </w:pPr>
            <w:r>
              <w:rPr>
                <w:rFonts w:ascii="Arial" w:cs="Arial" w:eastAsia="Arial" w:hAnsi="Arial"/>
                <w:sz w:val="16"/>
                <w:szCs w:val="16"/>
                <w:color w:val="auto"/>
              </w:rPr>
              <w:t>§</w:t>
            </w:r>
          </w:p>
        </w:tc>
        <w:tc>
          <w:tcPr>
            <w:tcW w:w="3300" w:type="dxa"/>
            <w:vAlign w:val="bottom"/>
            <w:tcBorders>
              <w:right w:val="single" w:sz="8" w:color="auto"/>
            </w:tcBorders>
          </w:tcPr>
          <w:p>
            <w:pPr>
              <w:ind w:left="100"/>
              <w:spacing w:after="0" w:line="155" w:lineRule="exact"/>
              <w:rPr>
                <w:sz w:val="20"/>
                <w:szCs w:val="20"/>
                <w:color w:val="auto"/>
              </w:rPr>
            </w:pPr>
            <w:r>
              <w:rPr>
                <w:rFonts w:ascii="Arial" w:cs="Arial" w:eastAsia="Arial" w:hAnsi="Arial"/>
                <w:sz w:val="16"/>
                <w:szCs w:val="16"/>
                <w:color w:val="auto"/>
              </w:rPr>
              <w:t>Wholesale electricity</w:t>
            </w:r>
          </w:p>
        </w:tc>
        <w:tc>
          <w:tcPr>
            <w:tcW w:w="500" w:type="dxa"/>
            <w:vAlign w:val="bottom"/>
          </w:tcPr>
          <w:p>
            <w:pPr>
              <w:jc w:val="right"/>
              <w:ind w:right="20"/>
              <w:spacing w:after="0" w:line="155" w:lineRule="exact"/>
              <w:rPr>
                <w:sz w:val="20"/>
                <w:szCs w:val="20"/>
                <w:color w:val="auto"/>
              </w:rPr>
            </w:pPr>
            <w:r>
              <w:rPr>
                <w:rFonts w:ascii="Arial" w:cs="Arial" w:eastAsia="Arial" w:hAnsi="Arial"/>
                <w:sz w:val="16"/>
                <w:szCs w:val="16"/>
                <w:color w:val="auto"/>
              </w:rPr>
              <w:t>§</w:t>
            </w:r>
          </w:p>
        </w:tc>
        <w:tc>
          <w:tcPr>
            <w:tcW w:w="3300" w:type="dxa"/>
            <w:vAlign w:val="bottom"/>
          </w:tcPr>
          <w:p>
            <w:pPr>
              <w:ind w:left="100"/>
              <w:spacing w:after="0" w:line="155" w:lineRule="exact"/>
              <w:rPr>
                <w:sz w:val="20"/>
                <w:szCs w:val="20"/>
                <w:color w:val="auto"/>
              </w:rPr>
            </w:pPr>
            <w:r>
              <w:rPr>
                <w:rFonts w:ascii="Arial" w:cs="Arial" w:eastAsia="Arial" w:hAnsi="Arial"/>
                <w:sz w:val="16"/>
                <w:szCs w:val="16"/>
                <w:color w:val="auto"/>
              </w:rPr>
              <w:t>U.S.A.</w:t>
            </w:r>
          </w:p>
        </w:tc>
        <w:tc>
          <w:tcPr>
            <w:tcW w:w="0" w:type="dxa"/>
            <w:vAlign w:val="bottom"/>
          </w:tcPr>
          <w:p>
            <w:pPr>
              <w:spacing w:after="0"/>
              <w:rPr>
                <w:sz w:val="1"/>
                <w:szCs w:val="1"/>
                <w:color w:val="auto"/>
              </w:rPr>
            </w:pPr>
          </w:p>
        </w:tc>
      </w:tr>
      <w:tr>
        <w:trPr>
          <w:trHeight w:val="173"/>
        </w:trPr>
        <w:tc>
          <w:tcPr>
            <w:tcW w:w="3820" w:type="dxa"/>
            <w:vAlign w:val="bottom"/>
            <w:tcBorders>
              <w:right w:val="single" w:sz="8" w:color="auto"/>
            </w:tcBorders>
          </w:tcPr>
          <w:p>
            <w:pPr>
              <w:spacing w:after="0" w:line="173" w:lineRule="exact"/>
              <w:rPr>
                <w:sz w:val="20"/>
                <w:szCs w:val="20"/>
                <w:color w:val="auto"/>
              </w:rPr>
            </w:pPr>
            <w:r>
              <w:rPr>
                <w:rFonts w:ascii="Arial" w:cs="Arial" w:eastAsia="Arial" w:hAnsi="Arial"/>
                <w:sz w:val="16"/>
                <w:szCs w:val="16"/>
                <w:color w:val="auto"/>
              </w:rPr>
              <w:t>Develops, owns, operates, or holds interests in</w:t>
            </w:r>
          </w:p>
        </w:tc>
        <w:tc>
          <w:tcPr>
            <w:tcW w:w="500" w:type="dxa"/>
            <w:vAlign w:val="bottom"/>
          </w:tcPr>
          <w:p>
            <w:pPr>
              <w:spacing w:after="0"/>
              <w:rPr>
                <w:sz w:val="15"/>
                <w:szCs w:val="15"/>
                <w:color w:val="auto"/>
              </w:rPr>
            </w:pPr>
          </w:p>
        </w:tc>
        <w:tc>
          <w:tcPr>
            <w:tcW w:w="3300" w:type="dxa"/>
            <w:vAlign w:val="bottom"/>
            <w:tcBorders>
              <w:right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820" w:type="dxa"/>
            <w:vAlign w:val="bottom"/>
            <w:tcBorders>
              <w:bottom w:val="single" w:sz="8" w:color="auto"/>
              <w:right w:val="single" w:sz="8" w:color="auto"/>
            </w:tcBorders>
          </w:tcPr>
          <w:p>
            <w:pPr>
              <w:spacing w:after="0" w:line="171" w:lineRule="exact"/>
              <w:rPr>
                <w:sz w:val="20"/>
                <w:szCs w:val="20"/>
                <w:color w:val="auto"/>
              </w:rPr>
            </w:pPr>
            <w:r>
              <w:rPr>
                <w:rFonts w:ascii="Arial" w:cs="Arial" w:eastAsia="Arial" w:hAnsi="Arial"/>
                <w:sz w:val="16"/>
                <w:szCs w:val="16"/>
                <w:color w:val="auto"/>
              </w:rPr>
              <w:t>renewable energy generation projects</w:t>
            </w:r>
          </w:p>
        </w:tc>
        <w:tc>
          <w:tcPr>
            <w:tcW w:w="500" w:type="dxa"/>
            <w:vAlign w:val="bottom"/>
            <w:tcBorders>
              <w:bottom w:val="single" w:sz="8" w:color="auto"/>
            </w:tcBorders>
          </w:tcPr>
          <w:p>
            <w:pPr>
              <w:spacing w:after="0"/>
              <w:rPr>
                <w:sz w:val="14"/>
                <w:szCs w:val="14"/>
                <w:color w:val="auto"/>
              </w:rPr>
            </w:pPr>
          </w:p>
        </w:tc>
        <w:tc>
          <w:tcPr>
            <w:tcW w:w="3300" w:type="dxa"/>
            <w:vAlign w:val="bottom"/>
            <w:tcBorders>
              <w:bottom w:val="single" w:sz="8" w:color="auto"/>
              <w:right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20" w:type="dxa"/>
            <w:vAlign w:val="bottom"/>
          </w:tcPr>
          <w:p>
            <w:pPr>
              <w:spacing w:after="0" w:line="155" w:lineRule="exact"/>
              <w:rPr>
                <w:sz w:val="20"/>
                <w:szCs w:val="20"/>
                <w:color w:val="auto"/>
              </w:rPr>
            </w:pPr>
            <w:r>
              <w:rPr>
                <w:rFonts w:ascii="Arial" w:cs="Arial" w:eastAsia="Arial" w:hAnsi="Arial"/>
                <w:sz w:val="16"/>
                <w:szCs w:val="16"/>
                <w:b w:val="1"/>
                <w:bCs w:val="1"/>
                <w:color w:val="auto"/>
              </w:rPr>
              <w:t>SEMPRA NATURAL GAS</w:t>
            </w:r>
          </w:p>
        </w:tc>
        <w:tc>
          <w:tcPr>
            <w:tcW w:w="500" w:type="dxa"/>
            <w:vAlign w:val="bottom"/>
          </w:tcPr>
          <w:p>
            <w:pPr>
              <w:jc w:val="right"/>
              <w:ind w:right="20"/>
              <w:spacing w:after="0" w:line="155" w:lineRule="exact"/>
              <w:rPr>
                <w:sz w:val="20"/>
                <w:szCs w:val="20"/>
                <w:color w:val="auto"/>
              </w:rPr>
            </w:pPr>
            <w:r>
              <w:rPr>
                <w:rFonts w:ascii="Arial" w:cs="Arial" w:eastAsia="Arial" w:hAnsi="Arial"/>
                <w:sz w:val="16"/>
                <w:szCs w:val="16"/>
                <w:color w:val="auto"/>
              </w:rPr>
              <w:t>§</w:t>
            </w:r>
          </w:p>
        </w:tc>
        <w:tc>
          <w:tcPr>
            <w:tcW w:w="3300" w:type="dxa"/>
            <w:vAlign w:val="bottom"/>
          </w:tcPr>
          <w:p>
            <w:pPr>
              <w:ind w:left="100"/>
              <w:spacing w:after="0" w:line="155" w:lineRule="exact"/>
              <w:rPr>
                <w:sz w:val="20"/>
                <w:szCs w:val="20"/>
                <w:color w:val="auto"/>
              </w:rPr>
            </w:pPr>
            <w:r>
              <w:rPr>
                <w:rFonts w:ascii="Arial" w:cs="Arial" w:eastAsia="Arial" w:hAnsi="Arial"/>
                <w:sz w:val="16"/>
                <w:szCs w:val="16"/>
                <w:color w:val="auto"/>
              </w:rPr>
              <w:t>Wholesale electricity</w:t>
            </w:r>
          </w:p>
        </w:tc>
        <w:tc>
          <w:tcPr>
            <w:tcW w:w="500" w:type="dxa"/>
            <w:vAlign w:val="bottom"/>
          </w:tcPr>
          <w:p>
            <w:pPr>
              <w:jc w:val="right"/>
              <w:ind w:right="20"/>
              <w:spacing w:after="0" w:line="155" w:lineRule="exact"/>
              <w:rPr>
                <w:sz w:val="20"/>
                <w:szCs w:val="20"/>
                <w:color w:val="auto"/>
              </w:rPr>
            </w:pPr>
            <w:r>
              <w:rPr>
                <w:rFonts w:ascii="Arial" w:cs="Arial" w:eastAsia="Arial" w:hAnsi="Arial"/>
                <w:sz w:val="16"/>
                <w:szCs w:val="16"/>
                <w:color w:val="auto"/>
              </w:rPr>
              <w:t>§</w:t>
            </w:r>
          </w:p>
        </w:tc>
        <w:tc>
          <w:tcPr>
            <w:tcW w:w="3300" w:type="dxa"/>
            <w:vAlign w:val="bottom"/>
          </w:tcPr>
          <w:p>
            <w:pPr>
              <w:ind w:left="100"/>
              <w:spacing w:after="0" w:line="155" w:lineRule="exact"/>
              <w:rPr>
                <w:sz w:val="20"/>
                <w:szCs w:val="20"/>
                <w:color w:val="auto"/>
              </w:rPr>
            </w:pPr>
            <w:r>
              <w:rPr>
                <w:rFonts w:ascii="Arial" w:cs="Arial" w:eastAsia="Arial" w:hAnsi="Arial"/>
                <w:sz w:val="16"/>
                <w:szCs w:val="16"/>
                <w:color w:val="auto"/>
              </w:rPr>
              <w:t>U.S.A.</w:t>
            </w:r>
          </w:p>
        </w:tc>
        <w:tc>
          <w:tcPr>
            <w:tcW w:w="0" w:type="dxa"/>
            <w:vAlign w:val="bottom"/>
          </w:tcPr>
          <w:p>
            <w:pPr>
              <w:spacing w:after="0"/>
              <w:rPr>
                <w:sz w:val="1"/>
                <w:szCs w:val="1"/>
                <w:color w:val="auto"/>
              </w:rPr>
            </w:pPr>
          </w:p>
        </w:tc>
      </w:tr>
      <w:tr>
        <w:trPr>
          <w:trHeight w:val="174"/>
        </w:trPr>
        <w:tc>
          <w:tcPr>
            <w:tcW w:w="3820" w:type="dxa"/>
            <w:vAlign w:val="bottom"/>
          </w:tcPr>
          <w:p>
            <w:pPr>
              <w:spacing w:after="0" w:line="175" w:lineRule="exact"/>
              <w:rPr>
                <w:sz w:val="20"/>
                <w:szCs w:val="20"/>
                <w:color w:val="auto"/>
              </w:rPr>
            </w:pPr>
            <w:r>
              <w:rPr>
                <w:rFonts w:ascii="Arial" w:cs="Arial" w:eastAsia="Arial" w:hAnsi="Arial"/>
                <w:sz w:val="16"/>
                <w:szCs w:val="16"/>
                <w:color w:val="auto"/>
              </w:rPr>
              <w:t>Develops, owns and operates, or holds interests in:</w:t>
            </w:r>
          </w:p>
        </w:tc>
        <w:tc>
          <w:tcPr>
            <w:tcW w:w="50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3820" w:type="dxa"/>
            <w:vAlign w:val="bottom"/>
          </w:tcPr>
          <w:p>
            <w:pPr>
              <w:ind w:left="80"/>
              <w:spacing w:after="0"/>
              <w:rPr>
                <w:sz w:val="20"/>
                <w:szCs w:val="20"/>
                <w:color w:val="auto"/>
              </w:rPr>
            </w:pPr>
            <w:r>
              <w:rPr>
                <w:rFonts w:ascii="Arial" w:cs="Arial" w:eastAsia="Arial" w:hAnsi="Arial"/>
                <w:sz w:val="16"/>
                <w:szCs w:val="16"/>
                <w:color w:val="auto"/>
              </w:rPr>
              <w:t>§   natural gas pipelines and storage facilities</w:t>
            </w:r>
          </w:p>
        </w:tc>
        <w:tc>
          <w:tcPr>
            <w:tcW w:w="500" w:type="dxa"/>
            <w:vAlign w:val="bottom"/>
            <w:vMerge w:val="restart"/>
          </w:tcPr>
          <w:p>
            <w:pPr>
              <w:jc w:val="right"/>
              <w:ind w:right="20"/>
              <w:spacing w:after="0"/>
              <w:rPr>
                <w:sz w:val="20"/>
                <w:szCs w:val="20"/>
                <w:color w:val="auto"/>
              </w:rPr>
            </w:pPr>
            <w:r>
              <w:rPr>
                <w:rFonts w:ascii="Arial" w:cs="Arial" w:eastAsia="Arial" w:hAnsi="Arial"/>
                <w:sz w:val="16"/>
                <w:szCs w:val="16"/>
                <w:color w:val="auto"/>
              </w:rPr>
              <w:t>§</w:t>
            </w:r>
          </w:p>
        </w:tc>
        <w:tc>
          <w:tcPr>
            <w:tcW w:w="3300" w:type="dxa"/>
            <w:vAlign w:val="bottom"/>
            <w:vMerge w:val="restart"/>
          </w:tcPr>
          <w:p>
            <w:pPr>
              <w:ind w:left="100"/>
              <w:spacing w:after="0"/>
              <w:rPr>
                <w:sz w:val="20"/>
                <w:szCs w:val="20"/>
                <w:color w:val="auto"/>
              </w:rPr>
            </w:pPr>
            <w:r>
              <w:rPr>
                <w:rFonts w:ascii="Arial" w:cs="Arial" w:eastAsia="Arial" w:hAnsi="Arial"/>
                <w:sz w:val="16"/>
                <w:szCs w:val="16"/>
                <w:color w:val="auto"/>
              </w:rPr>
              <w:t>Natural gas</w:t>
            </w:r>
          </w:p>
        </w:tc>
        <w:tc>
          <w:tcPr>
            <w:tcW w:w="50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38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3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3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9"/>
        </w:trPr>
        <w:tc>
          <w:tcPr>
            <w:tcW w:w="3820" w:type="dxa"/>
            <w:vAlign w:val="bottom"/>
          </w:tcPr>
          <w:p>
            <w:pPr>
              <w:ind w:left="320"/>
              <w:spacing w:after="0"/>
              <w:rPr>
                <w:sz w:val="20"/>
                <w:szCs w:val="20"/>
                <w:color w:val="auto"/>
              </w:rPr>
            </w:pPr>
            <w:r>
              <w:rPr>
                <w:rFonts w:ascii="Arial" w:cs="Arial" w:eastAsia="Arial" w:hAnsi="Arial"/>
                <w:sz w:val="16"/>
                <w:szCs w:val="16"/>
                <w:color w:val="auto"/>
              </w:rPr>
              <w:t>§   natural gas distribution utilities</w:t>
            </w:r>
          </w:p>
        </w:tc>
        <w:tc>
          <w:tcPr>
            <w:tcW w:w="500" w:type="dxa"/>
            <w:vAlign w:val="bottom"/>
            <w:vMerge w:val="restart"/>
          </w:tcPr>
          <w:p>
            <w:pPr>
              <w:jc w:val="right"/>
              <w:ind w:right="20"/>
              <w:spacing w:after="0"/>
              <w:rPr>
                <w:sz w:val="20"/>
                <w:szCs w:val="20"/>
                <w:color w:val="auto"/>
              </w:rPr>
            </w:pPr>
            <w:r>
              <w:rPr>
                <w:rFonts w:ascii="Arial" w:cs="Arial" w:eastAsia="Arial" w:hAnsi="Arial"/>
                <w:sz w:val="16"/>
                <w:szCs w:val="16"/>
                <w:color w:val="auto"/>
              </w:rPr>
              <w:t>§</w:t>
            </w:r>
          </w:p>
        </w:tc>
        <w:tc>
          <w:tcPr>
            <w:tcW w:w="3300" w:type="dxa"/>
            <w:vAlign w:val="bottom"/>
            <w:vMerge w:val="restart"/>
          </w:tcPr>
          <w:p>
            <w:pPr>
              <w:ind w:left="100"/>
              <w:spacing w:after="0"/>
              <w:rPr>
                <w:sz w:val="20"/>
                <w:szCs w:val="20"/>
                <w:color w:val="auto"/>
              </w:rPr>
            </w:pPr>
            <w:r>
              <w:rPr>
                <w:rFonts w:ascii="Arial" w:cs="Arial" w:eastAsia="Arial" w:hAnsi="Arial"/>
                <w:sz w:val="16"/>
                <w:szCs w:val="16"/>
                <w:color w:val="auto"/>
              </w:rPr>
              <w:t>Liquefied natural gas</w:t>
            </w:r>
          </w:p>
        </w:tc>
        <w:tc>
          <w:tcPr>
            <w:tcW w:w="5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38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33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33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2404745</wp:posOffset>
            </wp:positionH>
            <wp:positionV relativeFrom="paragraph">
              <wp:posOffset>-683895</wp:posOffset>
            </wp:positionV>
            <wp:extent cx="33655" cy="9925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992505"/>
                    </a:xfrm>
                    <a:prstGeom prst="rect">
                      <a:avLst/>
                    </a:prstGeom>
                    <a:noFill/>
                  </pic:spPr>
                </pic:pic>
              </a:graphicData>
            </a:graphic>
          </wp:anchor>
        </w:drawing>
        <w:drawing>
          <wp:anchor simplePos="0" relativeHeight="251657728" behindDoc="1" locked="0" layoutInCell="0" allowOverlap="1">
            <wp:simplePos x="0" y="0"/>
            <wp:positionH relativeFrom="column">
              <wp:posOffset>4818380</wp:posOffset>
            </wp:positionH>
            <wp:positionV relativeFrom="paragraph">
              <wp:posOffset>-683895</wp:posOffset>
            </wp:positionV>
            <wp:extent cx="33655" cy="9925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992505"/>
                    </a:xfrm>
                    <a:prstGeom prst="rect">
                      <a:avLst/>
                    </a:prstGeom>
                    <a:noFill/>
                  </pic:spPr>
                </pic:pic>
              </a:graphicData>
            </a:graphic>
          </wp:anchor>
        </w:drawing>
      </w:r>
    </w:p>
    <w:p>
      <w:pPr>
        <w:sectPr>
          <w:pgSz w:w="11900" w:h="16838" w:orient="portrait"/>
          <w:cols w:equalWidth="0" w:num="1">
            <w:col w:w="11420"/>
          </w:cols>
          <w:pgMar w:left="240" w:top="127" w:right="239" w:bottom="59" w:gutter="0" w:footer="0" w:header="0"/>
        </w:sectPr>
      </w:pPr>
    </w:p>
    <w:bookmarkStart w:id="56" w:name="page57"/>
    <w:bookmarkEnd w:id="56"/>
    <w:p>
      <w:pPr>
        <w:spacing w:after="0" w:line="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156210</wp:posOffset>
            </wp:positionH>
            <wp:positionV relativeFrom="page">
              <wp:posOffset>88900</wp:posOffset>
            </wp:positionV>
            <wp:extent cx="7248525" cy="9664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8525" cy="966470"/>
                    </a:xfrm>
                    <a:prstGeom prst="rect">
                      <a:avLst/>
                    </a:prstGeom>
                    <a:noFill/>
                  </pic:spPr>
                </pic:pic>
              </a:graphicData>
            </a:graphic>
          </wp:anchor>
        </w:drawing>
      </w:r>
    </w:p>
    <w:p>
      <w:pPr>
        <w:ind w:left="320" w:right="8020" w:firstLine="5"/>
        <w:spacing w:after="0" w:line="270" w:lineRule="auto"/>
        <w:tabs>
          <w:tab w:leader="none" w:pos="603" w:val="left"/>
        </w:tabs>
        <w:numPr>
          <w:ilvl w:val="0"/>
          <w:numId w:val="59"/>
        </w:numPr>
        <w:rPr>
          <w:rFonts w:ascii="Arial" w:cs="Arial" w:eastAsia="Arial" w:hAnsi="Arial"/>
          <w:sz w:val="16"/>
          <w:szCs w:val="16"/>
          <w:color w:val="auto"/>
        </w:rPr>
      </w:pPr>
      <w:r>
        <w:rPr>
          <w:rFonts w:ascii="Arial" w:cs="Arial" w:eastAsia="Arial" w:hAnsi="Arial"/>
          <w:sz w:val="16"/>
          <w:szCs w:val="16"/>
          <w:color w:val="auto"/>
        </w:rPr>
        <w:t>a terminal in the U.S. for the import and export of LNG and sale of natural gas</w:t>
      </w:r>
    </w:p>
    <w:p>
      <w:pPr>
        <w:spacing w:after="0" w:line="197" w:lineRule="exact"/>
        <w:rPr>
          <w:rFonts w:ascii="Arial" w:cs="Arial" w:eastAsia="Arial" w:hAnsi="Arial"/>
          <w:sz w:val="16"/>
          <w:szCs w:val="16"/>
          <w:color w:val="auto"/>
        </w:rPr>
      </w:pPr>
    </w:p>
    <w:p>
      <w:pPr>
        <w:ind w:left="600" w:hanging="275"/>
        <w:spacing w:after="0"/>
        <w:tabs>
          <w:tab w:leader="none" w:pos="6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marketing operations</w:t>
      </w:r>
    </w:p>
    <w:p>
      <w:pPr>
        <w:spacing w:after="0" w:line="241" w:lineRule="exact"/>
        <w:rPr>
          <w:rFonts w:ascii="Arial" w:cs="Arial" w:eastAsia="Arial" w:hAnsi="Arial"/>
          <w:sz w:val="16"/>
          <w:szCs w:val="16"/>
          <w:color w:val="auto"/>
        </w:rPr>
      </w:pPr>
    </w:p>
    <w:p>
      <w:pPr>
        <w:ind w:left="600" w:hanging="275"/>
        <w:spacing w:after="0"/>
        <w:tabs>
          <w:tab w:leader="none" w:pos="6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 natural gas-fired electric generation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776605</wp:posOffset>
            </wp:positionV>
            <wp:extent cx="72656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5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9"/>
          <w:szCs w:val="19"/>
          <w:color w:val="auto"/>
        </w:rPr>
        <w:t>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discuss the following in Results of Operations:</w:t>
      </w:r>
    </w:p>
    <w:p>
      <w:pPr>
        <w:spacing w:after="0" w:line="218" w:lineRule="exact"/>
        <w:rPr>
          <w:sz w:val="20"/>
          <w:szCs w:val="20"/>
          <w:color w:val="auto"/>
        </w:rPr>
      </w:pPr>
    </w:p>
    <w:p>
      <w:pPr>
        <w:ind w:left="320" w:hanging="172"/>
        <w:spacing w:after="0"/>
        <w:tabs>
          <w:tab w:leader="none" w:pos="3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Overall results of our operations and factors affecting those results</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segment results</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Significant changes in revenues, costs and earnings between periods</w:t>
      </w:r>
    </w:p>
    <w:p>
      <w:pPr>
        <w:spacing w:after="0" w:line="24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earnings increased by $52 million (18%) to $348 million in the three months ended September 30, 2014, while diluted earnings per share increased by $0.20 per share (17%) to $1.39 per share. For the nine months ended September 30, 2014, our earnings increased by $145 million (20%) to $864 million, while diluted earnings per share increased by $0.56 per share (19%) to $3.45 per share.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Due to the delay in the issuance of a final decision in the California Utilities’ 2012 General Rate Case (GRC), which was issued by the California Public</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Utilities Commission (CPUC) in May 2013 and effective retroactive to January 1, 2012, the California Utilities recorded incremental earnings of $77 million</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($52 million at SDG&amp;E and $25 million at SoCalGas) in the second quarter of 2013 from the retroactive impact for 2012. We provide additional information on</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the 2012 GRC in Note 10 of the Notes to Condensed Consolidated Financial Statements herein.</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net increase in our earnings and diluted earnings per share for the three-month period was primarily due to the following increases (decreases), by segment:</w:t>
      </w:r>
    </w:p>
    <w:p>
      <w:pPr>
        <w:spacing w:after="0" w:line="241" w:lineRule="exact"/>
        <w:rPr>
          <w:sz w:val="20"/>
          <w:szCs w:val="20"/>
          <w:color w:val="auto"/>
        </w:rPr>
      </w:pPr>
    </w:p>
    <w:p>
      <w:pPr>
        <w:ind w:left="380"/>
        <w:spacing w:after="0"/>
        <w:rPr>
          <w:sz w:val="20"/>
          <w:szCs w:val="20"/>
          <w:color w:val="auto"/>
        </w:rPr>
      </w:pPr>
      <w:r>
        <w:rPr>
          <w:rFonts w:ascii="Arial" w:cs="Arial" w:eastAsia="Arial" w:hAnsi="Arial"/>
          <w:sz w:val="18"/>
          <w:szCs w:val="18"/>
          <w:i w:val="1"/>
          <w:iCs w:val="1"/>
          <w:u w:val="single" w:color="auto"/>
          <w:color w:val="auto"/>
        </w:rPr>
        <w:t>SDG&amp;E</w:t>
      </w:r>
    </w:p>
    <w:p>
      <w:pPr>
        <w:spacing w:after="0" w:line="218" w:lineRule="exact"/>
        <w:rPr>
          <w:sz w:val="20"/>
          <w:szCs w:val="20"/>
          <w:color w:val="auto"/>
        </w:rPr>
      </w:pPr>
    </w:p>
    <w:p>
      <w:pPr>
        <w:ind w:left="320" w:hanging="172"/>
        <w:spacing w:after="0"/>
        <w:tabs>
          <w:tab w:leader="none" w:pos="3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$10 million favorable resolution of prior years’ income tax items in 2014 compared to a $5 million unfavorable resolution in 2013</w:t>
      </w:r>
    </w:p>
    <w:p>
      <w:pPr>
        <w:spacing w:after="0" w:line="244" w:lineRule="exact"/>
        <w:rPr>
          <w:rFonts w:ascii="Arial" w:cs="Arial" w:eastAsia="Arial" w:hAnsi="Arial"/>
          <w:sz w:val="18"/>
          <w:szCs w:val="18"/>
          <w:color w:val="auto"/>
        </w:rPr>
      </w:pPr>
    </w:p>
    <w:p>
      <w:pPr>
        <w:ind w:left="320" w:right="1740" w:hanging="172"/>
        <w:spacing w:after="0" w:line="508" w:lineRule="auto"/>
        <w:tabs>
          <w:tab w:leader="none" w:pos="3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$10 million higher CPUC base operating margin authorized for 2014 in the 2012 GRC, net of higher non-refundable operating costs </w:t>
      </w:r>
      <w:r>
        <w:rPr>
          <w:rFonts w:ascii="Arial" w:cs="Arial" w:eastAsia="Arial" w:hAnsi="Arial"/>
          <w:sz w:val="18"/>
          <w:szCs w:val="18"/>
          <w:i w:val="1"/>
          <w:iCs w:val="1"/>
          <w:u w:val="single" w:color="auto"/>
          <w:color w:val="auto"/>
        </w:rPr>
        <w:t>Sempra Mexico</w:t>
      </w:r>
    </w:p>
    <w:p>
      <w:pPr>
        <w:ind w:left="320" w:hanging="172"/>
        <w:spacing w:after="0"/>
        <w:tabs>
          <w:tab w:leader="none" w:pos="3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$14 million gain from the sale of a 50-percent equity interest in the first phase of the Energía Sierra Juárez project in July 2014</w:t>
      </w:r>
    </w:p>
    <w:p>
      <w:pPr>
        <w:spacing w:after="0" w:line="244" w:lineRule="exact"/>
        <w:rPr>
          <w:rFonts w:ascii="Arial" w:cs="Arial" w:eastAsia="Arial" w:hAnsi="Arial"/>
          <w:sz w:val="18"/>
          <w:szCs w:val="18"/>
          <w:color w:val="auto"/>
        </w:rPr>
      </w:pPr>
    </w:p>
    <w:p>
      <w:pPr>
        <w:ind w:left="320" w:hanging="172"/>
        <w:spacing w:after="0" w:line="266" w:lineRule="auto"/>
        <w:tabs>
          <w:tab w:leader="none" w:pos="3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$14 million allowance for funds used during construction (AFUDC) in 2014 related to equity associated with construction of the natural gas pipeline in Sonora</w:t>
      </w:r>
    </w:p>
    <w:p>
      <w:pPr>
        <w:spacing w:after="0" w:line="205" w:lineRule="exact"/>
        <w:rPr>
          <w:rFonts w:ascii="Arial" w:cs="Arial" w:eastAsia="Arial" w:hAnsi="Arial"/>
          <w:sz w:val="18"/>
          <w:szCs w:val="18"/>
          <w:color w:val="auto"/>
        </w:rPr>
      </w:pPr>
    </w:p>
    <w:p>
      <w:pPr>
        <w:ind w:left="320" w:hanging="172"/>
        <w:spacing w:after="0" w:line="266" w:lineRule="auto"/>
        <w:tabs>
          <w:tab w:leader="none" w:pos="3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$(6) million decrease in Sempra Mexico’s earnings for earnings attributable to noncontrolling interests at IEnova following its March 2013 offerings of 18.9 percent of IEnova common stock</w:t>
      </w:r>
    </w:p>
    <w:p>
      <w:pPr>
        <w:spacing w:after="0" w:line="205"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i w:val="1"/>
          <w:iCs w:val="1"/>
          <w:u w:val="single" w:color="auto"/>
          <w:color w:val="auto"/>
        </w:rPr>
        <w:t>Sempra Renewables</w:t>
      </w:r>
    </w:p>
    <w:p>
      <w:pPr>
        <w:spacing w:after="0" w:line="218" w:lineRule="exact"/>
        <w:rPr>
          <w:rFonts w:ascii="Arial" w:cs="Arial" w:eastAsia="Arial" w:hAnsi="Arial"/>
          <w:sz w:val="18"/>
          <w:szCs w:val="18"/>
          <w:color w:val="auto"/>
        </w:rPr>
      </w:pPr>
    </w:p>
    <w:p>
      <w:pPr>
        <w:ind w:left="320" w:right="2480" w:hanging="172"/>
        <w:spacing w:after="0" w:line="508" w:lineRule="auto"/>
        <w:tabs>
          <w:tab w:leader="none" w:pos="3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$(24) million in gains from the 2013 sale of 50-percent equity interests in Mesquite Solar 1 and Copper Mountain Solar 2 </w:t>
      </w:r>
      <w:r>
        <w:rPr>
          <w:rFonts w:ascii="Arial" w:cs="Arial" w:eastAsia="Arial" w:hAnsi="Arial"/>
          <w:sz w:val="18"/>
          <w:szCs w:val="18"/>
          <w:i w:val="1"/>
          <w:iCs w:val="1"/>
          <w:u w:val="single" w:color="auto"/>
          <w:color w:val="auto"/>
        </w:rPr>
        <w:t>Sempra Natural Gas</w:t>
      </w:r>
    </w:p>
    <w:p>
      <w:pPr>
        <w:ind w:left="320" w:hanging="172"/>
        <w:spacing w:after="0" w:line="508" w:lineRule="auto"/>
        <w:tabs>
          <w:tab w:leader="none" w:pos="3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$25 million tax benefit due to the release in 2014 of Louisiana valuation allowance against a deferred tax asset associated with Cameron LNG developments </w:t>
      </w:r>
      <w:r>
        <w:rPr>
          <w:rFonts w:ascii="Arial" w:cs="Arial" w:eastAsia="Arial" w:hAnsi="Arial"/>
          <w:sz w:val="18"/>
          <w:szCs w:val="18"/>
          <w:i w:val="1"/>
          <w:iCs w:val="1"/>
          <w:u w:val="single" w:color="auto"/>
          <w:color w:val="auto"/>
        </w:rPr>
        <w:t>Parent and Other</w:t>
      </w:r>
    </w:p>
    <w:p>
      <w:pPr>
        <w:ind w:left="320" w:hanging="172"/>
        <w:spacing w:after="0"/>
        <w:tabs>
          <w:tab w:leader="none" w:pos="3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$(8) million income tax expense in 2014 for planned repatriation of current year foreign earnings</w:t>
      </w:r>
    </w:p>
    <w:p>
      <w:pPr>
        <w:spacing w:after="0" w:line="245"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color w:val="auto"/>
        </w:rPr>
        <w:t>The net increase in our earnings and diluted earnings per share for the nine-month period ended September 30, 2014 was primarily impacted by the following increases (decreases), by segment:</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SDG&amp;E</w:t>
      </w:r>
    </w:p>
    <w:p>
      <w:pPr>
        <w:spacing w:after="0" w:line="218" w:lineRule="exact"/>
        <w:rPr>
          <w:sz w:val="20"/>
          <w:szCs w:val="20"/>
          <w:color w:val="auto"/>
        </w:rPr>
      </w:pPr>
    </w:p>
    <w:p>
      <w:pPr>
        <w:jc w:val="both"/>
        <w:ind w:left="320" w:hanging="172"/>
        <w:spacing w:after="0" w:line="256" w:lineRule="auto"/>
        <w:tabs>
          <w:tab w:leader="none" w:pos="3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$119 million charge in the second quarter of 2013 for loss from plant closure associated with SDG&amp;E’s investment in San Onofre Nuclear Generating Station (SONGS), compared to a $(9) million charge in 2014 to adjust the total loss from plant closure based on a proposed settlement agreement filed with the CPUC, as we discuss in Note 9 of the Notes to Condensed Consolidated Financial Statements herein</w:t>
      </w:r>
    </w:p>
    <w:p>
      <w:pPr>
        <w:spacing w:after="0" w:line="214" w:lineRule="exact"/>
        <w:rPr>
          <w:rFonts w:ascii="Arial" w:cs="Arial" w:eastAsia="Arial" w:hAnsi="Arial"/>
          <w:sz w:val="18"/>
          <w:szCs w:val="18"/>
          <w:color w:val="auto"/>
        </w:rPr>
      </w:pPr>
    </w:p>
    <w:p>
      <w:pPr>
        <w:ind w:left="320" w:hanging="172"/>
        <w:spacing w:after="0"/>
        <w:tabs>
          <w:tab w:leader="none" w:pos="3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$19 million higher CPUC base operating margin authorized for 2014 in the 2012 GRC and lower non-refundable operating costs</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$(52) million favorable impact on 2013 earnings from the retroactive application for 2012 of the final decision in the 2012 GRC</w:t>
      </w:r>
    </w:p>
    <w:p>
      <w:pPr>
        <w:spacing w:after="0" w:line="244" w:lineRule="exact"/>
        <w:rPr>
          <w:rFonts w:ascii="Arial" w:cs="Arial" w:eastAsia="Arial" w:hAnsi="Arial"/>
          <w:sz w:val="18"/>
          <w:szCs w:val="18"/>
          <w:color w:val="auto"/>
        </w:rPr>
      </w:pPr>
    </w:p>
    <w:p>
      <w:pPr>
        <w:ind w:left="320" w:hanging="172"/>
        <w:spacing w:after="0" w:line="266" w:lineRule="auto"/>
        <w:tabs>
          <w:tab w:leader="none" w:pos="3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$(10) million lower earnings from electric transmission operations primarily due to lower Federal Energy Regulatory Commission (FERC)-authorized return on equity</w:t>
      </w:r>
    </w:p>
    <w:p>
      <w:pPr>
        <w:sectPr>
          <w:pgSz w:w="11900" w:h="16920" w:orient="portrait"/>
          <w:cols w:equalWidth="0" w:num="1">
            <w:col w:w="11420"/>
          </w:cols>
          <w:pgMar w:left="240" w:top="155" w:right="239" w:bottom="0" w:gutter="0" w:footer="0" w:header="0"/>
        </w:sectPr>
      </w:pPr>
    </w:p>
    <w:bookmarkStart w:id="57" w:name="page58"/>
    <w:bookmarkEnd w:id="57"/>
    <w:p>
      <w:pPr>
        <w:ind w:left="320"/>
        <w:spacing w:after="0"/>
        <w:rPr>
          <w:sz w:val="20"/>
          <w:szCs w:val="20"/>
          <w:color w:val="auto"/>
        </w:rPr>
      </w:pPr>
      <w:r>
        <w:rPr>
          <w:rFonts w:ascii="Arial" w:cs="Arial" w:eastAsia="Arial" w:hAnsi="Arial"/>
          <w:sz w:val="18"/>
          <w:szCs w:val="18"/>
          <w:i w:val="1"/>
          <w:iCs w:val="1"/>
          <w:u w:val="single" w:color="auto"/>
          <w:color w:val="auto"/>
        </w:rPr>
        <w:t>SoCalGas</w:t>
      </w:r>
    </w:p>
    <w:p>
      <w:pPr>
        <w:spacing w:after="0" w:line="218" w:lineRule="exact"/>
        <w:rPr>
          <w:sz w:val="20"/>
          <w:szCs w:val="20"/>
          <w:color w:val="auto"/>
        </w:rPr>
      </w:pPr>
    </w:p>
    <w:p>
      <w:pPr>
        <w:ind w:left="320" w:hanging="172"/>
        <w:spacing w:after="0"/>
        <w:tabs>
          <w:tab w:leader="none" w:pos="3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$27 million higher CPUC base operating margin authorized for 2014 in the 2012 GRC and lower non-refundable operating costs</w:t>
      </w:r>
    </w:p>
    <w:p>
      <w:pPr>
        <w:spacing w:after="0" w:line="244" w:lineRule="exact"/>
        <w:rPr>
          <w:rFonts w:ascii="Arial" w:cs="Arial" w:eastAsia="Arial" w:hAnsi="Arial"/>
          <w:sz w:val="18"/>
          <w:szCs w:val="18"/>
          <w:color w:val="auto"/>
        </w:rPr>
      </w:pPr>
    </w:p>
    <w:p>
      <w:pPr>
        <w:ind w:left="320" w:right="2020" w:hanging="172"/>
        <w:spacing w:after="0" w:line="508" w:lineRule="auto"/>
        <w:tabs>
          <w:tab w:leader="none" w:pos="3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$(25) million favorable impact on 2013 earnings from the retroactive application for 2012 of the final decision in the 2012 GRC </w:t>
      </w:r>
      <w:r>
        <w:rPr>
          <w:rFonts w:ascii="Arial" w:cs="Arial" w:eastAsia="Arial" w:hAnsi="Arial"/>
          <w:sz w:val="18"/>
          <w:szCs w:val="18"/>
          <w:i w:val="1"/>
          <w:iCs w:val="1"/>
          <w:u w:val="single" w:color="auto"/>
          <w:color w:val="auto"/>
        </w:rPr>
        <w:t>Sempra Mexico</w:t>
      </w:r>
    </w:p>
    <w:p>
      <w:pPr>
        <w:ind w:left="320" w:hanging="172"/>
        <w:spacing w:after="0"/>
        <w:tabs>
          <w:tab w:leader="none" w:pos="3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$34 million AFUDC in 2014 related to equity associated with construction of the natural gas pipeline in Sonora</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$14 million gain from the sale of a 50-percent equity interest in the first phase of the Energía Sierra Juárez project in July 2014</w:t>
      </w:r>
    </w:p>
    <w:p>
      <w:pPr>
        <w:spacing w:after="0" w:line="244" w:lineRule="exact"/>
        <w:rPr>
          <w:rFonts w:ascii="Arial" w:cs="Arial" w:eastAsia="Arial" w:hAnsi="Arial"/>
          <w:sz w:val="18"/>
          <w:szCs w:val="18"/>
          <w:color w:val="auto"/>
        </w:rPr>
      </w:pPr>
    </w:p>
    <w:p>
      <w:pPr>
        <w:ind w:left="320" w:hanging="172"/>
        <w:spacing w:after="0" w:line="266" w:lineRule="auto"/>
        <w:tabs>
          <w:tab w:leader="none" w:pos="3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$(16) million decrease in Sempra Mexico’s earnings for earnings attributable to noncontrolling interests at IEnova following its March 2013 offerings of 18.9 percent of IEnova common stock</w:t>
      </w:r>
    </w:p>
    <w:p>
      <w:pPr>
        <w:spacing w:after="0" w:line="205"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i w:val="1"/>
          <w:iCs w:val="1"/>
          <w:u w:val="single" w:color="auto"/>
          <w:color w:val="auto"/>
        </w:rPr>
        <w:t>Sempra Renewables</w:t>
      </w:r>
    </w:p>
    <w:p>
      <w:pPr>
        <w:spacing w:after="0" w:line="218" w:lineRule="exact"/>
        <w:rPr>
          <w:rFonts w:ascii="Arial" w:cs="Arial" w:eastAsia="Arial" w:hAnsi="Arial"/>
          <w:sz w:val="18"/>
          <w:szCs w:val="18"/>
          <w:color w:val="auto"/>
        </w:rPr>
      </w:pPr>
    </w:p>
    <w:p>
      <w:pPr>
        <w:ind w:left="320" w:hanging="172"/>
        <w:spacing w:after="0"/>
        <w:tabs>
          <w:tab w:leader="none" w:pos="3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$(24) million in gains from the 2013 sale of 50-percent equity interests in Mesquite Solar 1 and Copper Mountain Solar 2</w:t>
      </w:r>
    </w:p>
    <w:p>
      <w:pPr>
        <w:spacing w:after="0" w:line="244" w:lineRule="exact"/>
        <w:rPr>
          <w:rFonts w:ascii="Arial" w:cs="Arial" w:eastAsia="Arial" w:hAnsi="Arial"/>
          <w:sz w:val="18"/>
          <w:szCs w:val="18"/>
          <w:color w:val="auto"/>
        </w:rPr>
      </w:pPr>
    </w:p>
    <w:p>
      <w:pPr>
        <w:ind w:left="320" w:right="2840" w:hanging="172"/>
        <w:spacing w:after="0" w:line="508" w:lineRule="auto"/>
        <w:tabs>
          <w:tab w:leader="none" w:pos="3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$16 million gain from the sale of a 50-percent equity interest in Copper Mountain Solar 3 in the first quarter of 2014 </w:t>
      </w:r>
      <w:r>
        <w:rPr>
          <w:rFonts w:ascii="Arial" w:cs="Arial" w:eastAsia="Arial" w:hAnsi="Arial"/>
          <w:sz w:val="18"/>
          <w:szCs w:val="18"/>
          <w:i w:val="1"/>
          <w:iCs w:val="1"/>
          <w:u w:val="single" w:color="auto"/>
          <w:color w:val="auto"/>
        </w:rPr>
        <w:t>Sempra Natural Gas</w:t>
      </w:r>
    </w:p>
    <w:p>
      <w:pPr>
        <w:ind w:left="320" w:hanging="172"/>
        <w:spacing w:after="0" w:line="266" w:lineRule="auto"/>
        <w:tabs>
          <w:tab w:leader="none" w:pos="3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$(44) million gain on the sale of one 625-megawatt (MW) block of Sempra Natural Gas’ 1,250-MW Mesquite Power natural gas-fired power plant in the first quarter of 2013</w:t>
      </w:r>
    </w:p>
    <w:p>
      <w:pPr>
        <w:spacing w:after="0" w:line="205" w:lineRule="exact"/>
        <w:rPr>
          <w:rFonts w:ascii="Arial" w:cs="Arial" w:eastAsia="Arial" w:hAnsi="Arial"/>
          <w:sz w:val="18"/>
          <w:szCs w:val="18"/>
          <w:color w:val="auto"/>
        </w:rPr>
      </w:pPr>
    </w:p>
    <w:p>
      <w:pPr>
        <w:ind w:left="320" w:hanging="172"/>
        <w:spacing w:after="0" w:line="508" w:lineRule="auto"/>
        <w:tabs>
          <w:tab w:leader="none" w:pos="3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$25 million tax benefit due to the release in 2014 of Louisiana valuation allowance against a deferred tax asset associated with Cameron LNG developments </w:t>
      </w:r>
      <w:r>
        <w:rPr>
          <w:rFonts w:ascii="Arial" w:cs="Arial" w:eastAsia="Arial" w:hAnsi="Arial"/>
          <w:sz w:val="18"/>
          <w:szCs w:val="18"/>
          <w:i w:val="1"/>
          <w:iCs w:val="1"/>
          <w:u w:val="single" w:color="auto"/>
          <w:color w:val="auto"/>
        </w:rPr>
        <w:t>Parent and Other</w:t>
      </w:r>
    </w:p>
    <w:p>
      <w:pPr>
        <w:ind w:left="320" w:hanging="172"/>
        <w:spacing w:after="0"/>
        <w:tabs>
          <w:tab w:leader="none" w:pos="3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$63 million income tax expense in the first quarter of 2013 resulting from a corporate reorganization in connection with the IEnova stock offerings</w:t>
      </w:r>
    </w:p>
    <w:p>
      <w:pPr>
        <w:spacing w:after="0" w:line="256" w:lineRule="exact"/>
        <w:rPr>
          <w:rFonts w:ascii="Arial" w:cs="Arial" w:eastAsia="Arial" w:hAnsi="Arial"/>
          <w:sz w:val="17"/>
          <w:szCs w:val="17"/>
          <w:color w:val="auto"/>
        </w:rPr>
      </w:pPr>
    </w:p>
    <w:p>
      <w:pPr>
        <w:ind w:left="320" w:hanging="172"/>
        <w:spacing w:after="0"/>
        <w:tabs>
          <w:tab w:leader="none" w:pos="3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$(32) million income tax expense in 2014 for planned repatriation of current year foreign earnings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earnings (losses) by segment, which we discuss below in “Segment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298450</wp:posOffset>
            </wp:positionV>
            <wp:extent cx="7248525" cy="2787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8525" cy="27876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 EARNINGS (LOSSES) BY SEGMENT</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90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6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80" w:type="dxa"/>
            <w:vAlign w:val="bottom"/>
            <w:shd w:val="clear" w:color="auto" w:fill="C0C0C0"/>
          </w:tcPr>
          <w:p>
            <w:pPr>
              <w:spacing w:after="0"/>
              <w:rPr>
                <w:sz w:val="16"/>
                <w:szCs w:val="16"/>
                <w:color w:val="auto"/>
              </w:rPr>
            </w:pPr>
          </w:p>
        </w:tc>
        <w:tc>
          <w:tcPr>
            <w:tcW w:w="860" w:type="dxa"/>
            <w:vAlign w:val="bottom"/>
            <w:shd w:val="clear" w:color="auto" w:fill="C0C0C0"/>
          </w:tcPr>
          <w:p>
            <w:pPr>
              <w:spacing w:after="0"/>
              <w:rPr>
                <w:sz w:val="16"/>
                <w:szCs w:val="16"/>
                <w:color w:val="auto"/>
              </w:rPr>
            </w:pPr>
          </w:p>
        </w:tc>
        <w:tc>
          <w:tcPr>
            <w:tcW w:w="780" w:type="dxa"/>
            <w:vAlign w:val="bottom"/>
            <w:shd w:val="clear" w:color="auto" w:fill="C0C0C0"/>
          </w:tcPr>
          <w:p>
            <w:pPr>
              <w:spacing w:after="0"/>
              <w:rPr>
                <w:sz w:val="16"/>
                <w:szCs w:val="16"/>
                <w:color w:val="auto"/>
              </w:rPr>
            </w:pPr>
          </w:p>
        </w:tc>
        <w:tc>
          <w:tcPr>
            <w:tcW w:w="500" w:type="dxa"/>
            <w:vAlign w:val="bottom"/>
            <w:shd w:val="clear" w:color="auto" w:fill="C0C0C0"/>
          </w:tcPr>
          <w:p>
            <w:pPr>
              <w:spacing w:after="0"/>
              <w:rPr>
                <w:sz w:val="16"/>
                <w:szCs w:val="16"/>
                <w:color w:val="auto"/>
              </w:rPr>
            </w:pPr>
          </w:p>
        </w:tc>
        <w:tc>
          <w:tcPr>
            <w:tcW w:w="860" w:type="dxa"/>
            <w:vAlign w:val="bottom"/>
            <w:shd w:val="clear" w:color="auto" w:fill="C0C0C0"/>
          </w:tcPr>
          <w:p>
            <w:pPr>
              <w:spacing w:after="0"/>
              <w:rPr>
                <w:sz w:val="16"/>
                <w:szCs w:val="16"/>
                <w:color w:val="auto"/>
              </w:rPr>
            </w:pPr>
          </w:p>
        </w:tc>
        <w:tc>
          <w:tcPr>
            <w:tcW w:w="700" w:type="dxa"/>
            <w:vAlign w:val="bottom"/>
            <w:shd w:val="clear" w:color="auto" w:fill="C0C0C0"/>
          </w:tcPr>
          <w:p>
            <w:pPr>
              <w:spacing w:after="0"/>
              <w:rPr>
                <w:sz w:val="16"/>
                <w:szCs w:val="16"/>
                <w:color w:val="auto"/>
              </w:rPr>
            </w:pPr>
          </w:p>
        </w:tc>
      </w:tr>
      <w:tr>
        <w:trPr>
          <w:trHeight w:val="199"/>
        </w:trPr>
        <w:tc>
          <w:tcPr>
            <w:tcW w:w="290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4"/>
          </w:tcPr>
          <w:p>
            <w:pPr>
              <w:jc w:val="right"/>
              <w:ind w:right="209"/>
              <w:spacing w:after="0"/>
              <w:rPr>
                <w:sz w:val="20"/>
                <w:szCs w:val="20"/>
                <w:color w:val="auto"/>
              </w:rPr>
            </w:pPr>
            <w:r>
              <w:rPr>
                <w:rFonts w:ascii="Arial" w:cs="Arial" w:eastAsia="Arial" w:hAnsi="Arial"/>
                <w:sz w:val="14"/>
                <w:szCs w:val="14"/>
                <w:color w:val="auto"/>
              </w:rPr>
              <w:t>Three months ended September 30,</w:t>
            </w:r>
          </w:p>
        </w:tc>
        <w:tc>
          <w:tcPr>
            <w:tcW w:w="7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4"/>
          </w:tcPr>
          <w:p>
            <w:pPr>
              <w:jc w:val="right"/>
              <w:ind w:right="269"/>
              <w:spacing w:after="0"/>
              <w:rPr>
                <w:sz w:val="20"/>
                <w:szCs w:val="20"/>
                <w:color w:val="auto"/>
              </w:rPr>
            </w:pPr>
            <w:r>
              <w:rPr>
                <w:rFonts w:ascii="Arial" w:cs="Arial" w:eastAsia="Arial" w:hAnsi="Arial"/>
                <w:sz w:val="14"/>
                <w:szCs w:val="14"/>
                <w:color w:val="auto"/>
              </w:rPr>
              <w:t>Nine months ended September 30,</w:t>
            </w:r>
          </w:p>
        </w:tc>
        <w:tc>
          <w:tcPr>
            <w:tcW w:w="700" w:type="dxa"/>
            <w:vAlign w:val="bottom"/>
            <w:tcBorders>
              <w:bottom w:val="single" w:sz="8" w:color="auto"/>
            </w:tcBorders>
          </w:tcPr>
          <w:p>
            <w:pPr>
              <w:spacing w:after="0"/>
              <w:rPr>
                <w:sz w:val="17"/>
                <w:szCs w:val="17"/>
                <w:color w:val="auto"/>
              </w:rPr>
            </w:pPr>
          </w:p>
        </w:tc>
      </w:tr>
      <w:tr>
        <w:trPr>
          <w:trHeight w:val="206"/>
        </w:trPr>
        <w:tc>
          <w:tcPr>
            <w:tcW w:w="29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2014</w:t>
            </w:r>
          </w:p>
        </w:tc>
        <w:tc>
          <w:tcPr>
            <w:tcW w:w="7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2013</w:t>
            </w:r>
          </w:p>
        </w:tc>
        <w:tc>
          <w:tcPr>
            <w:tcW w:w="7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2014</w:t>
            </w:r>
          </w:p>
        </w:tc>
        <w:tc>
          <w:tcPr>
            <w:tcW w:w="7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2013</w:t>
            </w:r>
          </w:p>
        </w:tc>
        <w:tc>
          <w:tcPr>
            <w:tcW w:w="700" w:type="dxa"/>
            <w:vAlign w:val="bottom"/>
            <w:tcBorders>
              <w:bottom w:val="single" w:sz="8" w:color="auto"/>
            </w:tcBorders>
          </w:tcPr>
          <w:p>
            <w:pPr>
              <w:spacing w:after="0"/>
              <w:rPr>
                <w:sz w:val="17"/>
                <w:szCs w:val="17"/>
                <w:color w:val="auto"/>
              </w:rPr>
            </w:pPr>
          </w:p>
        </w:tc>
      </w:tr>
      <w:tr>
        <w:trPr>
          <w:trHeight w:val="211"/>
        </w:trPr>
        <w:tc>
          <w:tcPr>
            <w:tcW w:w="2900" w:type="dxa"/>
            <w:vAlign w:val="bottom"/>
          </w:tcPr>
          <w:p>
            <w:pPr>
              <w:spacing w:after="0"/>
              <w:rPr>
                <w:sz w:val="20"/>
                <w:szCs w:val="20"/>
                <w:color w:val="auto"/>
              </w:rPr>
            </w:pPr>
            <w:r>
              <w:rPr>
                <w:rFonts w:ascii="Arial" w:cs="Arial" w:eastAsia="Arial" w:hAnsi="Arial"/>
                <w:sz w:val="14"/>
                <w:szCs w:val="14"/>
                <w:color w:val="auto"/>
              </w:rPr>
              <w:t>California Utilities:</w:t>
            </w: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170"/>
        </w:trPr>
        <w:tc>
          <w:tcPr>
            <w:tcW w:w="2900" w:type="dxa"/>
            <w:vAlign w:val="bottom"/>
          </w:tcPr>
          <w:p>
            <w:pPr>
              <w:ind w:left="160"/>
              <w:spacing w:after="0"/>
              <w:rPr>
                <w:sz w:val="20"/>
                <w:szCs w:val="20"/>
                <w:color w:val="auto"/>
              </w:rPr>
            </w:pPr>
            <w:r>
              <w:rPr>
                <w:rFonts w:ascii="Arial" w:cs="Arial" w:eastAsia="Arial" w:hAnsi="Arial"/>
                <w:sz w:val="14"/>
                <w:szCs w:val="14"/>
                <w:color w:val="auto"/>
              </w:rPr>
              <w:t>SDG&amp;E(1)</w:t>
            </w:r>
          </w:p>
        </w:tc>
        <w:tc>
          <w:tcPr>
            <w:tcW w:w="60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29"/>
              <w:spacing w:after="0"/>
              <w:rPr>
                <w:sz w:val="20"/>
                <w:szCs w:val="20"/>
                <w:color w:val="auto"/>
              </w:rPr>
            </w:pPr>
            <w:r>
              <w:rPr>
                <w:rFonts w:ascii="Arial" w:cs="Arial" w:eastAsia="Arial" w:hAnsi="Arial"/>
                <w:sz w:val="14"/>
                <w:szCs w:val="14"/>
                <w:color w:val="auto"/>
              </w:rPr>
              <w:t>157</w:t>
            </w:r>
          </w:p>
        </w:tc>
        <w:tc>
          <w:tcPr>
            <w:tcW w:w="780" w:type="dxa"/>
            <w:vAlign w:val="bottom"/>
          </w:tcPr>
          <w:p>
            <w:pPr>
              <w:jc w:val="right"/>
              <w:ind w:right="129"/>
              <w:spacing w:after="0"/>
              <w:rPr>
                <w:sz w:val="20"/>
                <w:szCs w:val="20"/>
                <w:color w:val="auto"/>
              </w:rPr>
            </w:pPr>
            <w:r>
              <w:rPr>
                <w:rFonts w:ascii="Arial" w:cs="Arial" w:eastAsia="Arial" w:hAnsi="Arial"/>
                <w:sz w:val="14"/>
                <w:szCs w:val="14"/>
                <w:color w:val="auto"/>
              </w:rPr>
              <w:t>45%</w:t>
            </w:r>
          </w:p>
        </w:tc>
        <w:tc>
          <w:tcPr>
            <w:tcW w:w="5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29"/>
              <w:spacing w:after="0"/>
              <w:rPr>
                <w:sz w:val="20"/>
                <w:szCs w:val="20"/>
                <w:color w:val="auto"/>
              </w:rPr>
            </w:pPr>
            <w:r>
              <w:rPr>
                <w:rFonts w:ascii="Arial" w:cs="Arial" w:eastAsia="Arial" w:hAnsi="Arial"/>
                <w:sz w:val="14"/>
                <w:szCs w:val="14"/>
                <w:color w:val="auto"/>
              </w:rPr>
              <w:t>129</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44%</w:t>
            </w:r>
          </w:p>
        </w:tc>
        <w:tc>
          <w:tcPr>
            <w:tcW w:w="58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29"/>
              <w:spacing w:after="0"/>
              <w:rPr>
                <w:sz w:val="20"/>
                <w:szCs w:val="20"/>
                <w:color w:val="auto"/>
              </w:rPr>
            </w:pPr>
            <w:r>
              <w:rPr>
                <w:rFonts w:ascii="Arial" w:cs="Arial" w:eastAsia="Arial" w:hAnsi="Arial"/>
                <w:sz w:val="14"/>
                <w:szCs w:val="14"/>
                <w:color w:val="auto"/>
              </w:rPr>
              <w:t>379</w:t>
            </w:r>
          </w:p>
        </w:tc>
        <w:tc>
          <w:tcPr>
            <w:tcW w:w="780" w:type="dxa"/>
            <w:vAlign w:val="bottom"/>
          </w:tcPr>
          <w:p>
            <w:pPr>
              <w:jc w:val="right"/>
              <w:ind w:right="129"/>
              <w:spacing w:after="0"/>
              <w:rPr>
                <w:sz w:val="20"/>
                <w:szCs w:val="20"/>
                <w:color w:val="auto"/>
              </w:rPr>
            </w:pPr>
            <w:r>
              <w:rPr>
                <w:rFonts w:ascii="Arial" w:cs="Arial" w:eastAsia="Arial" w:hAnsi="Arial"/>
                <w:sz w:val="14"/>
                <w:szCs w:val="14"/>
                <w:color w:val="auto"/>
              </w:rPr>
              <w:t>44%</w:t>
            </w:r>
          </w:p>
        </w:tc>
        <w:tc>
          <w:tcPr>
            <w:tcW w:w="5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29"/>
              <w:spacing w:after="0"/>
              <w:rPr>
                <w:sz w:val="20"/>
                <w:szCs w:val="20"/>
                <w:color w:val="auto"/>
              </w:rPr>
            </w:pPr>
            <w:r>
              <w:rPr>
                <w:rFonts w:ascii="Arial" w:cs="Arial" w:eastAsia="Arial" w:hAnsi="Arial"/>
                <w:sz w:val="14"/>
                <w:szCs w:val="14"/>
                <w:color w:val="auto"/>
              </w:rPr>
              <w:t>285</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40%</w:t>
            </w:r>
          </w:p>
        </w:tc>
      </w:tr>
      <w:tr>
        <w:trPr>
          <w:trHeight w:val="213"/>
        </w:trPr>
        <w:tc>
          <w:tcPr>
            <w:tcW w:w="2900" w:type="dxa"/>
            <w:vAlign w:val="bottom"/>
          </w:tcPr>
          <w:p>
            <w:pPr>
              <w:ind w:left="160"/>
              <w:spacing w:after="0"/>
              <w:rPr>
                <w:sz w:val="20"/>
                <w:szCs w:val="20"/>
                <w:color w:val="auto"/>
              </w:rPr>
            </w:pPr>
            <w:r>
              <w:rPr>
                <w:rFonts w:ascii="Arial" w:cs="Arial" w:eastAsia="Arial" w:hAnsi="Arial"/>
                <w:sz w:val="14"/>
                <w:szCs w:val="14"/>
                <w:color w:val="auto"/>
              </w:rPr>
              <w:t>SoCalGas(2)</w:t>
            </w:r>
          </w:p>
        </w:tc>
        <w:tc>
          <w:tcPr>
            <w:tcW w:w="600" w:type="dxa"/>
            <w:vAlign w:val="bottom"/>
          </w:tcPr>
          <w:p>
            <w:pPr>
              <w:spacing w:after="0"/>
              <w:rPr>
                <w:sz w:val="18"/>
                <w:szCs w:val="18"/>
                <w:color w:val="auto"/>
              </w:rPr>
            </w:pPr>
          </w:p>
        </w:tc>
        <w:tc>
          <w:tcPr>
            <w:tcW w:w="800" w:type="dxa"/>
            <w:vAlign w:val="bottom"/>
          </w:tcPr>
          <w:p>
            <w:pPr>
              <w:jc w:val="right"/>
              <w:ind w:right="229"/>
              <w:spacing w:after="0"/>
              <w:rPr>
                <w:sz w:val="20"/>
                <w:szCs w:val="20"/>
                <w:color w:val="auto"/>
              </w:rPr>
            </w:pPr>
            <w:r>
              <w:rPr>
                <w:rFonts w:ascii="Arial" w:cs="Arial" w:eastAsia="Arial" w:hAnsi="Arial"/>
                <w:sz w:val="14"/>
                <w:szCs w:val="14"/>
                <w:color w:val="auto"/>
              </w:rPr>
              <w:t>98</w:t>
            </w:r>
          </w:p>
        </w:tc>
        <w:tc>
          <w:tcPr>
            <w:tcW w:w="780" w:type="dxa"/>
            <w:vAlign w:val="bottom"/>
          </w:tcPr>
          <w:p>
            <w:pPr>
              <w:jc w:val="right"/>
              <w:ind w:right="249"/>
              <w:spacing w:after="0"/>
              <w:rPr>
                <w:sz w:val="20"/>
                <w:szCs w:val="20"/>
                <w:color w:val="auto"/>
              </w:rPr>
            </w:pPr>
            <w:r>
              <w:rPr>
                <w:rFonts w:ascii="Arial" w:cs="Arial" w:eastAsia="Arial" w:hAnsi="Arial"/>
                <w:sz w:val="14"/>
                <w:szCs w:val="14"/>
                <w:color w:val="auto"/>
              </w:rPr>
              <w:t>28</w:t>
            </w:r>
          </w:p>
        </w:tc>
        <w:tc>
          <w:tcPr>
            <w:tcW w:w="540" w:type="dxa"/>
            <w:vAlign w:val="bottom"/>
          </w:tcPr>
          <w:p>
            <w:pPr>
              <w:spacing w:after="0"/>
              <w:rPr>
                <w:sz w:val="18"/>
                <w:szCs w:val="18"/>
                <w:color w:val="auto"/>
              </w:rPr>
            </w:pPr>
          </w:p>
        </w:tc>
        <w:tc>
          <w:tcPr>
            <w:tcW w:w="820" w:type="dxa"/>
            <w:vAlign w:val="bottom"/>
          </w:tcPr>
          <w:p>
            <w:pPr>
              <w:jc w:val="right"/>
              <w:ind w:right="229"/>
              <w:spacing w:after="0"/>
              <w:rPr>
                <w:sz w:val="20"/>
                <w:szCs w:val="20"/>
                <w:color w:val="auto"/>
              </w:rPr>
            </w:pPr>
            <w:r>
              <w:rPr>
                <w:rFonts w:ascii="Arial" w:cs="Arial" w:eastAsia="Arial" w:hAnsi="Arial"/>
                <w:sz w:val="14"/>
                <w:szCs w:val="14"/>
                <w:color w:val="auto"/>
              </w:rPr>
              <w:t>102</w:t>
            </w:r>
          </w:p>
        </w:tc>
        <w:tc>
          <w:tcPr>
            <w:tcW w:w="700" w:type="dxa"/>
            <w:vAlign w:val="bottom"/>
          </w:tcPr>
          <w:p>
            <w:pPr>
              <w:jc w:val="right"/>
              <w:ind w:right="169"/>
              <w:spacing w:after="0"/>
              <w:rPr>
                <w:sz w:val="20"/>
                <w:szCs w:val="20"/>
                <w:color w:val="auto"/>
              </w:rPr>
            </w:pPr>
            <w:r>
              <w:rPr>
                <w:rFonts w:ascii="Arial" w:cs="Arial" w:eastAsia="Arial" w:hAnsi="Arial"/>
                <w:sz w:val="14"/>
                <w:szCs w:val="14"/>
                <w:color w:val="auto"/>
              </w:rPr>
              <w:t>34</w:t>
            </w:r>
          </w:p>
        </w:tc>
        <w:tc>
          <w:tcPr>
            <w:tcW w:w="580" w:type="dxa"/>
            <w:vAlign w:val="bottom"/>
          </w:tcPr>
          <w:p>
            <w:pPr>
              <w:spacing w:after="0"/>
              <w:rPr>
                <w:sz w:val="18"/>
                <w:szCs w:val="18"/>
                <w:color w:val="auto"/>
              </w:rPr>
            </w:pPr>
          </w:p>
        </w:tc>
        <w:tc>
          <w:tcPr>
            <w:tcW w:w="860" w:type="dxa"/>
            <w:vAlign w:val="bottom"/>
          </w:tcPr>
          <w:p>
            <w:pPr>
              <w:jc w:val="right"/>
              <w:ind w:right="229"/>
              <w:spacing w:after="0"/>
              <w:rPr>
                <w:sz w:val="20"/>
                <w:szCs w:val="20"/>
                <w:color w:val="auto"/>
              </w:rPr>
            </w:pPr>
            <w:r>
              <w:rPr>
                <w:rFonts w:ascii="Arial" w:cs="Arial" w:eastAsia="Arial" w:hAnsi="Arial"/>
                <w:sz w:val="14"/>
                <w:szCs w:val="14"/>
                <w:color w:val="auto"/>
              </w:rPr>
              <w:t>256</w:t>
            </w:r>
          </w:p>
        </w:tc>
        <w:tc>
          <w:tcPr>
            <w:tcW w:w="780" w:type="dxa"/>
            <w:vAlign w:val="bottom"/>
          </w:tcPr>
          <w:p>
            <w:pPr>
              <w:jc w:val="right"/>
              <w:ind w:right="269"/>
              <w:spacing w:after="0"/>
              <w:rPr>
                <w:sz w:val="20"/>
                <w:szCs w:val="20"/>
                <w:color w:val="auto"/>
              </w:rPr>
            </w:pPr>
            <w:r>
              <w:rPr>
                <w:rFonts w:ascii="Arial" w:cs="Arial" w:eastAsia="Arial" w:hAnsi="Arial"/>
                <w:sz w:val="14"/>
                <w:szCs w:val="14"/>
                <w:color w:val="auto"/>
              </w:rPr>
              <w:t>30</w:t>
            </w:r>
          </w:p>
        </w:tc>
        <w:tc>
          <w:tcPr>
            <w:tcW w:w="500" w:type="dxa"/>
            <w:vAlign w:val="bottom"/>
          </w:tcPr>
          <w:p>
            <w:pPr>
              <w:spacing w:after="0"/>
              <w:rPr>
                <w:sz w:val="18"/>
                <w:szCs w:val="18"/>
                <w:color w:val="auto"/>
              </w:rPr>
            </w:pPr>
          </w:p>
        </w:tc>
        <w:tc>
          <w:tcPr>
            <w:tcW w:w="860" w:type="dxa"/>
            <w:vAlign w:val="bottom"/>
          </w:tcPr>
          <w:p>
            <w:pPr>
              <w:jc w:val="right"/>
              <w:ind w:right="229"/>
              <w:spacing w:after="0"/>
              <w:rPr>
                <w:sz w:val="20"/>
                <w:szCs w:val="20"/>
                <w:color w:val="auto"/>
              </w:rPr>
            </w:pPr>
            <w:r>
              <w:rPr>
                <w:rFonts w:ascii="Arial" w:cs="Arial" w:eastAsia="Arial" w:hAnsi="Arial"/>
                <w:sz w:val="14"/>
                <w:szCs w:val="14"/>
                <w:color w:val="auto"/>
              </w:rPr>
              <w:t>266</w:t>
            </w:r>
          </w:p>
        </w:tc>
        <w:tc>
          <w:tcPr>
            <w:tcW w:w="700" w:type="dxa"/>
            <w:vAlign w:val="bottom"/>
          </w:tcPr>
          <w:p>
            <w:pPr>
              <w:jc w:val="right"/>
              <w:ind w:right="189"/>
              <w:spacing w:after="0"/>
              <w:rPr>
                <w:sz w:val="20"/>
                <w:szCs w:val="20"/>
                <w:color w:val="auto"/>
              </w:rPr>
            </w:pPr>
            <w:r>
              <w:rPr>
                <w:rFonts w:ascii="Arial" w:cs="Arial" w:eastAsia="Arial" w:hAnsi="Arial"/>
                <w:sz w:val="14"/>
                <w:szCs w:val="14"/>
                <w:color w:val="auto"/>
              </w:rPr>
              <w:t>37</w:t>
            </w:r>
          </w:p>
        </w:tc>
      </w:tr>
      <w:tr>
        <w:trPr>
          <w:trHeight w:val="213"/>
        </w:trPr>
        <w:tc>
          <w:tcPr>
            <w:tcW w:w="2900" w:type="dxa"/>
            <w:vAlign w:val="bottom"/>
          </w:tcPr>
          <w:p>
            <w:pPr>
              <w:spacing w:after="0"/>
              <w:rPr>
                <w:sz w:val="20"/>
                <w:szCs w:val="20"/>
                <w:color w:val="auto"/>
              </w:rPr>
            </w:pPr>
            <w:r>
              <w:rPr>
                <w:rFonts w:ascii="Arial" w:cs="Arial" w:eastAsia="Arial" w:hAnsi="Arial"/>
                <w:sz w:val="14"/>
                <w:szCs w:val="14"/>
                <w:color w:val="auto"/>
              </w:rPr>
              <w:t>Sempra International:</w:t>
            </w: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3"/>
        </w:trPr>
        <w:tc>
          <w:tcPr>
            <w:tcW w:w="2900" w:type="dxa"/>
            <w:vAlign w:val="bottom"/>
          </w:tcPr>
          <w:p>
            <w:pPr>
              <w:ind w:left="160"/>
              <w:spacing w:after="0"/>
              <w:rPr>
                <w:sz w:val="20"/>
                <w:szCs w:val="20"/>
                <w:color w:val="auto"/>
              </w:rPr>
            </w:pPr>
            <w:r>
              <w:rPr>
                <w:rFonts w:ascii="Arial" w:cs="Arial" w:eastAsia="Arial" w:hAnsi="Arial"/>
                <w:sz w:val="14"/>
                <w:szCs w:val="14"/>
                <w:color w:val="auto"/>
              </w:rPr>
              <w:t>Sempra South American Utilities</w:t>
            </w:r>
          </w:p>
        </w:tc>
        <w:tc>
          <w:tcPr>
            <w:tcW w:w="600" w:type="dxa"/>
            <w:vAlign w:val="bottom"/>
          </w:tcPr>
          <w:p>
            <w:pPr>
              <w:spacing w:after="0"/>
              <w:rPr>
                <w:sz w:val="18"/>
                <w:szCs w:val="18"/>
                <w:color w:val="auto"/>
              </w:rPr>
            </w:pPr>
          </w:p>
        </w:tc>
        <w:tc>
          <w:tcPr>
            <w:tcW w:w="800" w:type="dxa"/>
            <w:vAlign w:val="bottom"/>
          </w:tcPr>
          <w:p>
            <w:pPr>
              <w:jc w:val="right"/>
              <w:ind w:right="229"/>
              <w:spacing w:after="0"/>
              <w:rPr>
                <w:sz w:val="20"/>
                <w:szCs w:val="20"/>
                <w:color w:val="auto"/>
              </w:rPr>
            </w:pPr>
            <w:r>
              <w:rPr>
                <w:rFonts w:ascii="Arial" w:cs="Arial" w:eastAsia="Arial" w:hAnsi="Arial"/>
                <w:sz w:val="14"/>
                <w:szCs w:val="14"/>
                <w:color w:val="auto"/>
              </w:rPr>
              <w:t>32</w:t>
            </w:r>
          </w:p>
        </w:tc>
        <w:tc>
          <w:tcPr>
            <w:tcW w:w="780" w:type="dxa"/>
            <w:vAlign w:val="bottom"/>
          </w:tcPr>
          <w:p>
            <w:pPr>
              <w:jc w:val="right"/>
              <w:ind w:right="249"/>
              <w:spacing w:after="0"/>
              <w:rPr>
                <w:sz w:val="20"/>
                <w:szCs w:val="20"/>
                <w:color w:val="auto"/>
              </w:rPr>
            </w:pPr>
            <w:r>
              <w:rPr>
                <w:rFonts w:ascii="Arial" w:cs="Arial" w:eastAsia="Arial" w:hAnsi="Arial"/>
                <w:sz w:val="14"/>
                <w:szCs w:val="14"/>
                <w:color w:val="auto"/>
              </w:rPr>
              <w:t>9</w:t>
            </w:r>
          </w:p>
        </w:tc>
        <w:tc>
          <w:tcPr>
            <w:tcW w:w="540" w:type="dxa"/>
            <w:vAlign w:val="bottom"/>
          </w:tcPr>
          <w:p>
            <w:pPr>
              <w:spacing w:after="0"/>
              <w:rPr>
                <w:sz w:val="18"/>
                <w:szCs w:val="18"/>
                <w:color w:val="auto"/>
              </w:rPr>
            </w:pPr>
          </w:p>
        </w:tc>
        <w:tc>
          <w:tcPr>
            <w:tcW w:w="820" w:type="dxa"/>
            <w:vAlign w:val="bottom"/>
          </w:tcPr>
          <w:p>
            <w:pPr>
              <w:jc w:val="right"/>
              <w:ind w:right="229"/>
              <w:spacing w:after="0"/>
              <w:rPr>
                <w:sz w:val="20"/>
                <w:szCs w:val="20"/>
                <w:color w:val="auto"/>
              </w:rPr>
            </w:pPr>
            <w:r>
              <w:rPr>
                <w:rFonts w:ascii="Arial" w:cs="Arial" w:eastAsia="Arial" w:hAnsi="Arial"/>
                <w:sz w:val="14"/>
                <w:szCs w:val="14"/>
                <w:color w:val="auto"/>
              </w:rPr>
              <w:t>39</w:t>
            </w:r>
          </w:p>
        </w:tc>
        <w:tc>
          <w:tcPr>
            <w:tcW w:w="700" w:type="dxa"/>
            <w:vAlign w:val="bottom"/>
          </w:tcPr>
          <w:p>
            <w:pPr>
              <w:jc w:val="right"/>
              <w:ind w:right="169"/>
              <w:spacing w:after="0"/>
              <w:rPr>
                <w:sz w:val="20"/>
                <w:szCs w:val="20"/>
                <w:color w:val="auto"/>
              </w:rPr>
            </w:pPr>
            <w:r>
              <w:rPr>
                <w:rFonts w:ascii="Arial" w:cs="Arial" w:eastAsia="Arial" w:hAnsi="Arial"/>
                <w:sz w:val="14"/>
                <w:szCs w:val="14"/>
                <w:color w:val="auto"/>
              </w:rPr>
              <w:t>13</w:t>
            </w:r>
          </w:p>
        </w:tc>
        <w:tc>
          <w:tcPr>
            <w:tcW w:w="580" w:type="dxa"/>
            <w:vAlign w:val="bottom"/>
          </w:tcPr>
          <w:p>
            <w:pPr>
              <w:spacing w:after="0"/>
              <w:rPr>
                <w:sz w:val="18"/>
                <w:szCs w:val="18"/>
                <w:color w:val="auto"/>
              </w:rPr>
            </w:pPr>
          </w:p>
        </w:tc>
        <w:tc>
          <w:tcPr>
            <w:tcW w:w="860" w:type="dxa"/>
            <w:vAlign w:val="bottom"/>
          </w:tcPr>
          <w:p>
            <w:pPr>
              <w:jc w:val="right"/>
              <w:ind w:right="229"/>
              <w:spacing w:after="0"/>
              <w:rPr>
                <w:sz w:val="20"/>
                <w:szCs w:val="20"/>
                <w:color w:val="auto"/>
              </w:rPr>
            </w:pPr>
            <w:r>
              <w:rPr>
                <w:rFonts w:ascii="Arial" w:cs="Arial" w:eastAsia="Arial" w:hAnsi="Arial"/>
                <w:sz w:val="14"/>
                <w:szCs w:val="14"/>
                <w:color w:val="auto"/>
              </w:rPr>
              <w:t>109</w:t>
            </w:r>
          </w:p>
        </w:tc>
        <w:tc>
          <w:tcPr>
            <w:tcW w:w="780" w:type="dxa"/>
            <w:vAlign w:val="bottom"/>
          </w:tcPr>
          <w:p>
            <w:pPr>
              <w:jc w:val="right"/>
              <w:ind w:right="269"/>
              <w:spacing w:after="0"/>
              <w:rPr>
                <w:sz w:val="20"/>
                <w:szCs w:val="20"/>
                <w:color w:val="auto"/>
              </w:rPr>
            </w:pPr>
            <w:r>
              <w:rPr>
                <w:rFonts w:ascii="Arial" w:cs="Arial" w:eastAsia="Arial" w:hAnsi="Arial"/>
                <w:sz w:val="14"/>
                <w:szCs w:val="14"/>
                <w:color w:val="auto"/>
              </w:rPr>
              <w:t>13</w:t>
            </w:r>
          </w:p>
        </w:tc>
        <w:tc>
          <w:tcPr>
            <w:tcW w:w="500" w:type="dxa"/>
            <w:vAlign w:val="bottom"/>
          </w:tcPr>
          <w:p>
            <w:pPr>
              <w:spacing w:after="0"/>
              <w:rPr>
                <w:sz w:val="18"/>
                <w:szCs w:val="18"/>
                <w:color w:val="auto"/>
              </w:rPr>
            </w:pPr>
          </w:p>
        </w:tc>
        <w:tc>
          <w:tcPr>
            <w:tcW w:w="860" w:type="dxa"/>
            <w:vAlign w:val="bottom"/>
          </w:tcPr>
          <w:p>
            <w:pPr>
              <w:jc w:val="right"/>
              <w:ind w:right="229"/>
              <w:spacing w:after="0"/>
              <w:rPr>
                <w:sz w:val="20"/>
                <w:szCs w:val="20"/>
                <w:color w:val="auto"/>
              </w:rPr>
            </w:pPr>
            <w:r>
              <w:rPr>
                <w:rFonts w:ascii="Arial" w:cs="Arial" w:eastAsia="Arial" w:hAnsi="Arial"/>
                <w:sz w:val="14"/>
                <w:szCs w:val="14"/>
                <w:color w:val="auto"/>
              </w:rPr>
              <w:t>110</w:t>
            </w:r>
          </w:p>
        </w:tc>
        <w:tc>
          <w:tcPr>
            <w:tcW w:w="700" w:type="dxa"/>
            <w:vAlign w:val="bottom"/>
          </w:tcPr>
          <w:p>
            <w:pPr>
              <w:jc w:val="right"/>
              <w:ind w:right="189"/>
              <w:spacing w:after="0"/>
              <w:rPr>
                <w:sz w:val="20"/>
                <w:szCs w:val="20"/>
                <w:color w:val="auto"/>
              </w:rPr>
            </w:pPr>
            <w:r>
              <w:rPr>
                <w:rFonts w:ascii="Arial" w:cs="Arial" w:eastAsia="Arial" w:hAnsi="Arial"/>
                <w:sz w:val="14"/>
                <w:szCs w:val="14"/>
                <w:color w:val="auto"/>
              </w:rPr>
              <w:t>15</w:t>
            </w:r>
          </w:p>
        </w:tc>
      </w:tr>
      <w:tr>
        <w:trPr>
          <w:trHeight w:val="213"/>
        </w:trPr>
        <w:tc>
          <w:tcPr>
            <w:tcW w:w="2900" w:type="dxa"/>
            <w:vAlign w:val="bottom"/>
          </w:tcPr>
          <w:p>
            <w:pPr>
              <w:ind w:left="160"/>
              <w:spacing w:after="0"/>
              <w:rPr>
                <w:sz w:val="20"/>
                <w:szCs w:val="20"/>
                <w:color w:val="auto"/>
              </w:rPr>
            </w:pPr>
            <w:r>
              <w:rPr>
                <w:rFonts w:ascii="Arial" w:cs="Arial" w:eastAsia="Arial" w:hAnsi="Arial"/>
                <w:sz w:val="14"/>
                <w:szCs w:val="14"/>
                <w:color w:val="auto"/>
              </w:rPr>
              <w:t>Sempra Mexico</w:t>
            </w:r>
          </w:p>
        </w:tc>
        <w:tc>
          <w:tcPr>
            <w:tcW w:w="600" w:type="dxa"/>
            <w:vAlign w:val="bottom"/>
          </w:tcPr>
          <w:p>
            <w:pPr>
              <w:spacing w:after="0"/>
              <w:rPr>
                <w:sz w:val="18"/>
                <w:szCs w:val="18"/>
                <w:color w:val="auto"/>
              </w:rPr>
            </w:pPr>
          </w:p>
        </w:tc>
        <w:tc>
          <w:tcPr>
            <w:tcW w:w="800" w:type="dxa"/>
            <w:vAlign w:val="bottom"/>
          </w:tcPr>
          <w:p>
            <w:pPr>
              <w:jc w:val="right"/>
              <w:ind w:right="229"/>
              <w:spacing w:after="0"/>
              <w:rPr>
                <w:sz w:val="20"/>
                <w:szCs w:val="20"/>
                <w:color w:val="auto"/>
              </w:rPr>
            </w:pPr>
            <w:r>
              <w:rPr>
                <w:rFonts w:ascii="Arial" w:cs="Arial" w:eastAsia="Arial" w:hAnsi="Arial"/>
                <w:sz w:val="14"/>
                <w:szCs w:val="14"/>
                <w:color w:val="auto"/>
              </w:rPr>
              <w:t>63</w:t>
            </w:r>
          </w:p>
        </w:tc>
        <w:tc>
          <w:tcPr>
            <w:tcW w:w="780" w:type="dxa"/>
            <w:vAlign w:val="bottom"/>
          </w:tcPr>
          <w:p>
            <w:pPr>
              <w:jc w:val="right"/>
              <w:ind w:right="249"/>
              <w:spacing w:after="0"/>
              <w:rPr>
                <w:sz w:val="20"/>
                <w:szCs w:val="20"/>
                <w:color w:val="auto"/>
              </w:rPr>
            </w:pPr>
            <w:r>
              <w:rPr>
                <w:rFonts w:ascii="Arial" w:cs="Arial" w:eastAsia="Arial" w:hAnsi="Arial"/>
                <w:sz w:val="14"/>
                <w:szCs w:val="14"/>
                <w:color w:val="auto"/>
              </w:rPr>
              <w:t>18</w:t>
            </w:r>
          </w:p>
        </w:tc>
        <w:tc>
          <w:tcPr>
            <w:tcW w:w="540" w:type="dxa"/>
            <w:vAlign w:val="bottom"/>
          </w:tcPr>
          <w:p>
            <w:pPr>
              <w:spacing w:after="0"/>
              <w:rPr>
                <w:sz w:val="18"/>
                <w:szCs w:val="18"/>
                <w:color w:val="auto"/>
              </w:rPr>
            </w:pPr>
          </w:p>
        </w:tc>
        <w:tc>
          <w:tcPr>
            <w:tcW w:w="820" w:type="dxa"/>
            <w:vAlign w:val="bottom"/>
          </w:tcPr>
          <w:p>
            <w:pPr>
              <w:jc w:val="right"/>
              <w:ind w:right="229"/>
              <w:spacing w:after="0"/>
              <w:rPr>
                <w:sz w:val="20"/>
                <w:szCs w:val="20"/>
                <w:color w:val="auto"/>
              </w:rPr>
            </w:pPr>
            <w:r>
              <w:rPr>
                <w:rFonts w:ascii="Arial" w:cs="Arial" w:eastAsia="Arial" w:hAnsi="Arial"/>
                <w:sz w:val="14"/>
                <w:szCs w:val="14"/>
                <w:color w:val="auto"/>
              </w:rPr>
              <w:t>39</w:t>
            </w:r>
          </w:p>
        </w:tc>
        <w:tc>
          <w:tcPr>
            <w:tcW w:w="700" w:type="dxa"/>
            <w:vAlign w:val="bottom"/>
          </w:tcPr>
          <w:p>
            <w:pPr>
              <w:jc w:val="right"/>
              <w:ind w:right="169"/>
              <w:spacing w:after="0"/>
              <w:rPr>
                <w:sz w:val="20"/>
                <w:szCs w:val="20"/>
                <w:color w:val="auto"/>
              </w:rPr>
            </w:pPr>
            <w:r>
              <w:rPr>
                <w:rFonts w:ascii="Arial" w:cs="Arial" w:eastAsia="Arial" w:hAnsi="Arial"/>
                <w:sz w:val="14"/>
                <w:szCs w:val="14"/>
                <w:color w:val="auto"/>
              </w:rPr>
              <w:t>13</w:t>
            </w:r>
          </w:p>
        </w:tc>
        <w:tc>
          <w:tcPr>
            <w:tcW w:w="580" w:type="dxa"/>
            <w:vAlign w:val="bottom"/>
          </w:tcPr>
          <w:p>
            <w:pPr>
              <w:spacing w:after="0"/>
              <w:rPr>
                <w:sz w:val="18"/>
                <w:szCs w:val="18"/>
                <w:color w:val="auto"/>
              </w:rPr>
            </w:pPr>
          </w:p>
        </w:tc>
        <w:tc>
          <w:tcPr>
            <w:tcW w:w="860" w:type="dxa"/>
            <w:vAlign w:val="bottom"/>
          </w:tcPr>
          <w:p>
            <w:pPr>
              <w:jc w:val="right"/>
              <w:ind w:right="229"/>
              <w:spacing w:after="0"/>
              <w:rPr>
                <w:sz w:val="20"/>
                <w:szCs w:val="20"/>
                <w:color w:val="auto"/>
              </w:rPr>
            </w:pPr>
            <w:r>
              <w:rPr>
                <w:rFonts w:ascii="Arial" w:cs="Arial" w:eastAsia="Arial" w:hAnsi="Arial"/>
                <w:sz w:val="14"/>
                <w:szCs w:val="14"/>
                <w:color w:val="auto"/>
              </w:rPr>
              <w:t>139</w:t>
            </w:r>
          </w:p>
        </w:tc>
        <w:tc>
          <w:tcPr>
            <w:tcW w:w="780" w:type="dxa"/>
            <w:vAlign w:val="bottom"/>
          </w:tcPr>
          <w:p>
            <w:pPr>
              <w:jc w:val="right"/>
              <w:ind w:right="269"/>
              <w:spacing w:after="0"/>
              <w:rPr>
                <w:sz w:val="20"/>
                <w:szCs w:val="20"/>
                <w:color w:val="auto"/>
              </w:rPr>
            </w:pPr>
            <w:r>
              <w:rPr>
                <w:rFonts w:ascii="Arial" w:cs="Arial" w:eastAsia="Arial" w:hAnsi="Arial"/>
                <w:sz w:val="14"/>
                <w:szCs w:val="14"/>
                <w:color w:val="auto"/>
              </w:rPr>
              <w:t>16</w:t>
            </w:r>
          </w:p>
        </w:tc>
        <w:tc>
          <w:tcPr>
            <w:tcW w:w="500" w:type="dxa"/>
            <w:vAlign w:val="bottom"/>
          </w:tcPr>
          <w:p>
            <w:pPr>
              <w:spacing w:after="0"/>
              <w:rPr>
                <w:sz w:val="18"/>
                <w:szCs w:val="18"/>
                <w:color w:val="auto"/>
              </w:rPr>
            </w:pPr>
          </w:p>
        </w:tc>
        <w:tc>
          <w:tcPr>
            <w:tcW w:w="860" w:type="dxa"/>
            <w:vAlign w:val="bottom"/>
          </w:tcPr>
          <w:p>
            <w:pPr>
              <w:jc w:val="right"/>
              <w:ind w:right="229"/>
              <w:spacing w:after="0"/>
              <w:rPr>
                <w:sz w:val="20"/>
                <w:szCs w:val="20"/>
                <w:color w:val="auto"/>
              </w:rPr>
            </w:pPr>
            <w:r>
              <w:rPr>
                <w:rFonts w:ascii="Arial" w:cs="Arial" w:eastAsia="Arial" w:hAnsi="Arial"/>
                <w:sz w:val="14"/>
                <w:szCs w:val="14"/>
                <w:color w:val="auto"/>
              </w:rPr>
              <w:t>96</w:t>
            </w:r>
          </w:p>
        </w:tc>
        <w:tc>
          <w:tcPr>
            <w:tcW w:w="700" w:type="dxa"/>
            <w:vAlign w:val="bottom"/>
          </w:tcPr>
          <w:p>
            <w:pPr>
              <w:jc w:val="right"/>
              <w:ind w:right="189"/>
              <w:spacing w:after="0"/>
              <w:rPr>
                <w:sz w:val="20"/>
                <w:szCs w:val="20"/>
                <w:color w:val="auto"/>
              </w:rPr>
            </w:pPr>
            <w:r>
              <w:rPr>
                <w:rFonts w:ascii="Arial" w:cs="Arial" w:eastAsia="Arial" w:hAnsi="Arial"/>
                <w:sz w:val="14"/>
                <w:szCs w:val="14"/>
                <w:color w:val="auto"/>
              </w:rPr>
              <w:t>13</w:t>
            </w:r>
          </w:p>
        </w:tc>
      </w:tr>
      <w:tr>
        <w:trPr>
          <w:trHeight w:val="213"/>
        </w:trPr>
        <w:tc>
          <w:tcPr>
            <w:tcW w:w="2900" w:type="dxa"/>
            <w:vAlign w:val="bottom"/>
          </w:tcPr>
          <w:p>
            <w:pPr>
              <w:spacing w:after="0"/>
              <w:rPr>
                <w:sz w:val="20"/>
                <w:szCs w:val="20"/>
                <w:color w:val="auto"/>
              </w:rPr>
            </w:pPr>
            <w:r>
              <w:rPr>
                <w:rFonts w:ascii="Arial" w:cs="Arial" w:eastAsia="Arial" w:hAnsi="Arial"/>
                <w:sz w:val="14"/>
                <w:szCs w:val="14"/>
                <w:color w:val="auto"/>
              </w:rPr>
              <w:t>Sempra U.S. Gas &amp; Power:</w:t>
            </w: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3"/>
        </w:trPr>
        <w:tc>
          <w:tcPr>
            <w:tcW w:w="2900" w:type="dxa"/>
            <w:vAlign w:val="bottom"/>
          </w:tcPr>
          <w:p>
            <w:pPr>
              <w:ind w:left="160"/>
              <w:spacing w:after="0"/>
              <w:rPr>
                <w:sz w:val="20"/>
                <w:szCs w:val="20"/>
                <w:color w:val="auto"/>
              </w:rPr>
            </w:pPr>
            <w:r>
              <w:rPr>
                <w:rFonts w:ascii="Arial" w:cs="Arial" w:eastAsia="Arial" w:hAnsi="Arial"/>
                <w:sz w:val="14"/>
                <w:szCs w:val="14"/>
                <w:color w:val="auto"/>
              </w:rPr>
              <w:t>Sempra Renewables</w:t>
            </w:r>
          </w:p>
        </w:tc>
        <w:tc>
          <w:tcPr>
            <w:tcW w:w="600" w:type="dxa"/>
            <w:vAlign w:val="bottom"/>
          </w:tcPr>
          <w:p>
            <w:pPr>
              <w:spacing w:after="0"/>
              <w:rPr>
                <w:sz w:val="18"/>
                <w:szCs w:val="18"/>
                <w:color w:val="auto"/>
              </w:rPr>
            </w:pPr>
          </w:p>
        </w:tc>
        <w:tc>
          <w:tcPr>
            <w:tcW w:w="800" w:type="dxa"/>
            <w:vAlign w:val="bottom"/>
          </w:tcPr>
          <w:p>
            <w:pPr>
              <w:jc w:val="right"/>
              <w:ind w:right="229"/>
              <w:spacing w:after="0"/>
              <w:rPr>
                <w:sz w:val="20"/>
                <w:szCs w:val="20"/>
                <w:color w:val="auto"/>
              </w:rPr>
            </w:pPr>
            <w:r>
              <w:rPr>
                <w:rFonts w:ascii="Arial" w:cs="Arial" w:eastAsia="Arial" w:hAnsi="Arial"/>
                <w:sz w:val="14"/>
                <w:szCs w:val="14"/>
                <w:color w:val="auto"/>
              </w:rPr>
              <w:t>17</w:t>
            </w:r>
          </w:p>
        </w:tc>
        <w:tc>
          <w:tcPr>
            <w:tcW w:w="780" w:type="dxa"/>
            <w:vAlign w:val="bottom"/>
          </w:tcPr>
          <w:p>
            <w:pPr>
              <w:jc w:val="right"/>
              <w:ind w:right="249"/>
              <w:spacing w:after="0"/>
              <w:rPr>
                <w:sz w:val="20"/>
                <w:szCs w:val="20"/>
                <w:color w:val="auto"/>
              </w:rPr>
            </w:pPr>
            <w:r>
              <w:rPr>
                <w:rFonts w:ascii="Arial" w:cs="Arial" w:eastAsia="Arial" w:hAnsi="Arial"/>
                <w:sz w:val="14"/>
                <w:szCs w:val="14"/>
                <w:color w:val="auto"/>
              </w:rPr>
              <w:t>5</w:t>
            </w:r>
          </w:p>
        </w:tc>
        <w:tc>
          <w:tcPr>
            <w:tcW w:w="540" w:type="dxa"/>
            <w:vAlign w:val="bottom"/>
          </w:tcPr>
          <w:p>
            <w:pPr>
              <w:spacing w:after="0"/>
              <w:rPr>
                <w:sz w:val="18"/>
                <w:szCs w:val="18"/>
                <w:color w:val="auto"/>
              </w:rPr>
            </w:pPr>
          </w:p>
        </w:tc>
        <w:tc>
          <w:tcPr>
            <w:tcW w:w="820" w:type="dxa"/>
            <w:vAlign w:val="bottom"/>
          </w:tcPr>
          <w:p>
            <w:pPr>
              <w:jc w:val="right"/>
              <w:ind w:right="229"/>
              <w:spacing w:after="0"/>
              <w:rPr>
                <w:sz w:val="20"/>
                <w:szCs w:val="20"/>
                <w:color w:val="auto"/>
              </w:rPr>
            </w:pPr>
            <w:r>
              <w:rPr>
                <w:rFonts w:ascii="Arial" w:cs="Arial" w:eastAsia="Arial" w:hAnsi="Arial"/>
                <w:sz w:val="14"/>
                <w:szCs w:val="14"/>
                <w:color w:val="auto"/>
              </w:rPr>
              <w:t>37</w:t>
            </w:r>
          </w:p>
        </w:tc>
        <w:tc>
          <w:tcPr>
            <w:tcW w:w="700" w:type="dxa"/>
            <w:vAlign w:val="bottom"/>
          </w:tcPr>
          <w:p>
            <w:pPr>
              <w:jc w:val="right"/>
              <w:ind w:right="169"/>
              <w:spacing w:after="0"/>
              <w:rPr>
                <w:sz w:val="20"/>
                <w:szCs w:val="20"/>
                <w:color w:val="auto"/>
              </w:rPr>
            </w:pPr>
            <w:r>
              <w:rPr>
                <w:rFonts w:ascii="Arial" w:cs="Arial" w:eastAsia="Arial" w:hAnsi="Arial"/>
                <w:sz w:val="14"/>
                <w:szCs w:val="14"/>
                <w:color w:val="auto"/>
              </w:rPr>
              <w:t>13</w:t>
            </w:r>
          </w:p>
        </w:tc>
        <w:tc>
          <w:tcPr>
            <w:tcW w:w="580" w:type="dxa"/>
            <w:vAlign w:val="bottom"/>
          </w:tcPr>
          <w:p>
            <w:pPr>
              <w:spacing w:after="0"/>
              <w:rPr>
                <w:sz w:val="18"/>
                <w:szCs w:val="18"/>
                <w:color w:val="auto"/>
              </w:rPr>
            </w:pPr>
          </w:p>
        </w:tc>
        <w:tc>
          <w:tcPr>
            <w:tcW w:w="860" w:type="dxa"/>
            <w:vAlign w:val="bottom"/>
          </w:tcPr>
          <w:p>
            <w:pPr>
              <w:jc w:val="right"/>
              <w:ind w:right="229"/>
              <w:spacing w:after="0"/>
              <w:rPr>
                <w:sz w:val="20"/>
                <w:szCs w:val="20"/>
                <w:color w:val="auto"/>
              </w:rPr>
            </w:pPr>
            <w:r>
              <w:rPr>
                <w:rFonts w:ascii="Arial" w:cs="Arial" w:eastAsia="Arial" w:hAnsi="Arial"/>
                <w:sz w:val="14"/>
                <w:szCs w:val="14"/>
                <w:color w:val="auto"/>
              </w:rPr>
              <w:t>63</w:t>
            </w:r>
          </w:p>
        </w:tc>
        <w:tc>
          <w:tcPr>
            <w:tcW w:w="780" w:type="dxa"/>
            <w:vAlign w:val="bottom"/>
          </w:tcPr>
          <w:p>
            <w:pPr>
              <w:jc w:val="right"/>
              <w:ind w:right="269"/>
              <w:spacing w:after="0"/>
              <w:rPr>
                <w:sz w:val="20"/>
                <w:szCs w:val="20"/>
                <w:color w:val="auto"/>
              </w:rPr>
            </w:pPr>
            <w:r>
              <w:rPr>
                <w:rFonts w:ascii="Arial" w:cs="Arial" w:eastAsia="Arial" w:hAnsi="Arial"/>
                <w:sz w:val="14"/>
                <w:szCs w:val="14"/>
                <w:color w:val="auto"/>
              </w:rPr>
              <w:t>7</w:t>
            </w:r>
          </w:p>
        </w:tc>
        <w:tc>
          <w:tcPr>
            <w:tcW w:w="500" w:type="dxa"/>
            <w:vAlign w:val="bottom"/>
          </w:tcPr>
          <w:p>
            <w:pPr>
              <w:spacing w:after="0"/>
              <w:rPr>
                <w:sz w:val="18"/>
                <w:szCs w:val="18"/>
                <w:color w:val="auto"/>
              </w:rPr>
            </w:pPr>
          </w:p>
        </w:tc>
        <w:tc>
          <w:tcPr>
            <w:tcW w:w="860" w:type="dxa"/>
            <w:vAlign w:val="bottom"/>
          </w:tcPr>
          <w:p>
            <w:pPr>
              <w:jc w:val="right"/>
              <w:ind w:right="229"/>
              <w:spacing w:after="0"/>
              <w:rPr>
                <w:sz w:val="20"/>
                <w:szCs w:val="20"/>
                <w:color w:val="auto"/>
              </w:rPr>
            </w:pPr>
            <w:r>
              <w:rPr>
                <w:rFonts w:ascii="Arial" w:cs="Arial" w:eastAsia="Arial" w:hAnsi="Arial"/>
                <w:sz w:val="14"/>
                <w:szCs w:val="14"/>
                <w:color w:val="auto"/>
              </w:rPr>
              <w:t>56</w:t>
            </w:r>
          </w:p>
        </w:tc>
        <w:tc>
          <w:tcPr>
            <w:tcW w:w="700" w:type="dxa"/>
            <w:vAlign w:val="bottom"/>
          </w:tcPr>
          <w:p>
            <w:pPr>
              <w:jc w:val="right"/>
              <w:ind w:right="189"/>
              <w:spacing w:after="0"/>
              <w:rPr>
                <w:sz w:val="20"/>
                <w:szCs w:val="20"/>
                <w:color w:val="auto"/>
              </w:rPr>
            </w:pPr>
            <w:r>
              <w:rPr>
                <w:rFonts w:ascii="Arial" w:cs="Arial" w:eastAsia="Arial" w:hAnsi="Arial"/>
                <w:sz w:val="14"/>
                <w:szCs w:val="14"/>
                <w:color w:val="auto"/>
              </w:rPr>
              <w:t>8</w:t>
            </w:r>
          </w:p>
        </w:tc>
      </w:tr>
      <w:tr>
        <w:trPr>
          <w:trHeight w:val="213"/>
        </w:trPr>
        <w:tc>
          <w:tcPr>
            <w:tcW w:w="2900" w:type="dxa"/>
            <w:vAlign w:val="bottom"/>
          </w:tcPr>
          <w:p>
            <w:pPr>
              <w:ind w:left="160"/>
              <w:spacing w:after="0"/>
              <w:rPr>
                <w:sz w:val="20"/>
                <w:szCs w:val="20"/>
                <w:color w:val="auto"/>
              </w:rPr>
            </w:pPr>
            <w:r>
              <w:rPr>
                <w:rFonts w:ascii="Arial" w:cs="Arial" w:eastAsia="Arial" w:hAnsi="Arial"/>
                <w:sz w:val="14"/>
                <w:szCs w:val="14"/>
                <w:color w:val="auto"/>
              </w:rPr>
              <w:t>Sempra Natural Gas</w:t>
            </w:r>
          </w:p>
        </w:tc>
        <w:tc>
          <w:tcPr>
            <w:tcW w:w="600" w:type="dxa"/>
            <w:vAlign w:val="bottom"/>
          </w:tcPr>
          <w:p>
            <w:pPr>
              <w:spacing w:after="0"/>
              <w:rPr>
                <w:sz w:val="18"/>
                <w:szCs w:val="18"/>
                <w:color w:val="auto"/>
              </w:rPr>
            </w:pPr>
          </w:p>
        </w:tc>
        <w:tc>
          <w:tcPr>
            <w:tcW w:w="800" w:type="dxa"/>
            <w:vAlign w:val="bottom"/>
          </w:tcPr>
          <w:p>
            <w:pPr>
              <w:jc w:val="right"/>
              <w:ind w:right="229"/>
              <w:spacing w:after="0"/>
              <w:rPr>
                <w:sz w:val="20"/>
                <w:szCs w:val="20"/>
                <w:color w:val="auto"/>
              </w:rPr>
            </w:pPr>
            <w:r>
              <w:rPr>
                <w:rFonts w:ascii="Arial" w:cs="Arial" w:eastAsia="Arial" w:hAnsi="Arial"/>
                <w:sz w:val="14"/>
                <w:szCs w:val="14"/>
                <w:color w:val="auto"/>
              </w:rPr>
              <w:t>26</w:t>
            </w:r>
          </w:p>
        </w:tc>
        <w:tc>
          <w:tcPr>
            <w:tcW w:w="780" w:type="dxa"/>
            <w:vAlign w:val="bottom"/>
          </w:tcPr>
          <w:p>
            <w:pPr>
              <w:jc w:val="right"/>
              <w:ind w:right="249"/>
              <w:spacing w:after="0"/>
              <w:rPr>
                <w:sz w:val="20"/>
                <w:szCs w:val="20"/>
                <w:color w:val="auto"/>
              </w:rPr>
            </w:pPr>
            <w:r>
              <w:rPr>
                <w:rFonts w:ascii="Arial" w:cs="Arial" w:eastAsia="Arial" w:hAnsi="Arial"/>
                <w:sz w:val="14"/>
                <w:szCs w:val="14"/>
                <w:color w:val="auto"/>
              </w:rPr>
              <w:t>8</w:t>
            </w:r>
          </w:p>
        </w:tc>
        <w:tc>
          <w:tcPr>
            <w:tcW w:w="540" w:type="dxa"/>
            <w:vAlign w:val="bottom"/>
          </w:tcPr>
          <w:p>
            <w:pPr>
              <w:spacing w:after="0"/>
              <w:rPr>
                <w:sz w:val="18"/>
                <w:szCs w:val="18"/>
                <w:color w:val="auto"/>
              </w:rPr>
            </w:pPr>
          </w:p>
        </w:tc>
        <w:tc>
          <w:tcPr>
            <w:tcW w:w="820" w:type="dxa"/>
            <w:vAlign w:val="bottom"/>
          </w:tcPr>
          <w:p>
            <w:pPr>
              <w:jc w:val="right"/>
              <w:ind w:right="229"/>
              <w:spacing w:after="0"/>
              <w:rPr>
                <w:sz w:val="20"/>
                <w:szCs w:val="20"/>
                <w:color w:val="auto"/>
              </w:rPr>
            </w:pPr>
            <w:r>
              <w:rPr>
                <w:rFonts w:ascii="Arial" w:cs="Arial" w:eastAsia="Arial" w:hAnsi="Arial"/>
                <w:sz w:val="14"/>
                <w:szCs w:val="14"/>
                <w:color w:val="auto"/>
              </w:rPr>
              <w:t>(7)</w:t>
            </w:r>
          </w:p>
        </w:tc>
        <w:tc>
          <w:tcPr>
            <w:tcW w:w="700" w:type="dxa"/>
            <w:vAlign w:val="bottom"/>
          </w:tcPr>
          <w:p>
            <w:pPr>
              <w:jc w:val="right"/>
              <w:ind w:right="169"/>
              <w:spacing w:after="0"/>
              <w:rPr>
                <w:sz w:val="20"/>
                <w:szCs w:val="20"/>
                <w:color w:val="auto"/>
              </w:rPr>
            </w:pPr>
            <w:r>
              <w:rPr>
                <w:rFonts w:ascii="Arial" w:cs="Arial" w:eastAsia="Arial" w:hAnsi="Arial"/>
                <w:sz w:val="14"/>
                <w:szCs w:val="14"/>
                <w:color w:val="auto"/>
              </w:rPr>
              <w:t>(2)</w:t>
            </w:r>
          </w:p>
        </w:tc>
        <w:tc>
          <w:tcPr>
            <w:tcW w:w="580" w:type="dxa"/>
            <w:vAlign w:val="bottom"/>
          </w:tcPr>
          <w:p>
            <w:pPr>
              <w:spacing w:after="0"/>
              <w:rPr>
                <w:sz w:val="18"/>
                <w:szCs w:val="18"/>
                <w:color w:val="auto"/>
              </w:rPr>
            </w:pPr>
          </w:p>
        </w:tc>
        <w:tc>
          <w:tcPr>
            <w:tcW w:w="860" w:type="dxa"/>
            <w:vAlign w:val="bottom"/>
          </w:tcPr>
          <w:p>
            <w:pPr>
              <w:jc w:val="right"/>
              <w:ind w:right="229"/>
              <w:spacing w:after="0"/>
              <w:rPr>
                <w:sz w:val="20"/>
                <w:szCs w:val="20"/>
                <w:color w:val="auto"/>
              </w:rPr>
            </w:pPr>
            <w:r>
              <w:rPr>
                <w:rFonts w:ascii="Arial" w:cs="Arial" w:eastAsia="Arial" w:hAnsi="Arial"/>
                <w:sz w:val="14"/>
                <w:szCs w:val="14"/>
                <w:color w:val="auto"/>
              </w:rPr>
              <w:t>39</w:t>
            </w:r>
          </w:p>
        </w:tc>
        <w:tc>
          <w:tcPr>
            <w:tcW w:w="780" w:type="dxa"/>
            <w:vAlign w:val="bottom"/>
          </w:tcPr>
          <w:p>
            <w:pPr>
              <w:jc w:val="right"/>
              <w:ind w:right="269"/>
              <w:spacing w:after="0"/>
              <w:rPr>
                <w:sz w:val="20"/>
                <w:szCs w:val="20"/>
                <w:color w:val="auto"/>
              </w:rPr>
            </w:pPr>
            <w:r>
              <w:rPr>
                <w:rFonts w:ascii="Arial" w:cs="Arial" w:eastAsia="Arial" w:hAnsi="Arial"/>
                <w:sz w:val="14"/>
                <w:szCs w:val="14"/>
                <w:color w:val="auto"/>
              </w:rPr>
              <w:t>4</w:t>
            </w:r>
          </w:p>
        </w:tc>
        <w:tc>
          <w:tcPr>
            <w:tcW w:w="500" w:type="dxa"/>
            <w:vAlign w:val="bottom"/>
          </w:tcPr>
          <w:p>
            <w:pPr>
              <w:spacing w:after="0"/>
              <w:rPr>
                <w:sz w:val="18"/>
                <w:szCs w:val="18"/>
                <w:color w:val="auto"/>
              </w:rPr>
            </w:pPr>
          </w:p>
        </w:tc>
        <w:tc>
          <w:tcPr>
            <w:tcW w:w="860" w:type="dxa"/>
            <w:vAlign w:val="bottom"/>
          </w:tcPr>
          <w:p>
            <w:pPr>
              <w:jc w:val="right"/>
              <w:ind w:right="229"/>
              <w:spacing w:after="0"/>
              <w:rPr>
                <w:sz w:val="20"/>
                <w:szCs w:val="20"/>
                <w:color w:val="auto"/>
              </w:rPr>
            </w:pPr>
            <w:r>
              <w:rPr>
                <w:rFonts w:ascii="Arial" w:cs="Arial" w:eastAsia="Arial" w:hAnsi="Arial"/>
                <w:sz w:val="14"/>
                <w:szCs w:val="14"/>
                <w:color w:val="auto"/>
              </w:rPr>
              <w:t>55</w:t>
            </w:r>
          </w:p>
        </w:tc>
        <w:tc>
          <w:tcPr>
            <w:tcW w:w="700" w:type="dxa"/>
            <w:vAlign w:val="bottom"/>
          </w:tcPr>
          <w:p>
            <w:pPr>
              <w:jc w:val="right"/>
              <w:ind w:right="189"/>
              <w:spacing w:after="0"/>
              <w:rPr>
                <w:sz w:val="20"/>
                <w:szCs w:val="20"/>
                <w:color w:val="auto"/>
              </w:rPr>
            </w:pPr>
            <w:r>
              <w:rPr>
                <w:rFonts w:ascii="Arial" w:cs="Arial" w:eastAsia="Arial" w:hAnsi="Arial"/>
                <w:sz w:val="14"/>
                <w:szCs w:val="14"/>
                <w:color w:val="auto"/>
              </w:rPr>
              <w:t>8</w:t>
            </w:r>
          </w:p>
        </w:tc>
      </w:tr>
      <w:tr>
        <w:trPr>
          <w:trHeight w:val="197"/>
        </w:trPr>
        <w:tc>
          <w:tcPr>
            <w:tcW w:w="2900" w:type="dxa"/>
            <w:vAlign w:val="bottom"/>
          </w:tcPr>
          <w:p>
            <w:pPr>
              <w:spacing w:after="0"/>
              <w:rPr>
                <w:sz w:val="20"/>
                <w:szCs w:val="20"/>
                <w:color w:val="auto"/>
              </w:rPr>
            </w:pPr>
            <w:r>
              <w:rPr>
                <w:rFonts w:ascii="Arial" w:cs="Arial" w:eastAsia="Arial" w:hAnsi="Arial"/>
                <w:sz w:val="14"/>
                <w:szCs w:val="14"/>
                <w:color w:val="auto"/>
              </w:rPr>
              <w:t>Parent and other(3)</w:t>
            </w:r>
          </w:p>
        </w:tc>
        <w:tc>
          <w:tcPr>
            <w:tcW w:w="6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(45)</w:t>
            </w:r>
          </w:p>
        </w:tc>
        <w:tc>
          <w:tcPr>
            <w:tcW w:w="78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rPr>
              <w:t>(13)</w:t>
            </w:r>
          </w:p>
        </w:tc>
        <w:tc>
          <w:tcPr>
            <w:tcW w:w="5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(43)</w:t>
            </w:r>
          </w:p>
        </w:tc>
        <w:tc>
          <w:tcPr>
            <w:tcW w:w="70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(15)</w:t>
            </w:r>
          </w:p>
        </w:tc>
        <w:tc>
          <w:tcPr>
            <w:tcW w:w="5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(121)</w:t>
            </w:r>
          </w:p>
        </w:tc>
        <w:tc>
          <w:tcPr>
            <w:tcW w:w="78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(14)</w:t>
            </w:r>
          </w:p>
        </w:tc>
        <w:tc>
          <w:tcPr>
            <w:tcW w:w="5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(149)</w:t>
            </w:r>
          </w:p>
        </w:tc>
        <w:tc>
          <w:tcPr>
            <w:tcW w:w="70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(21)</w:t>
            </w:r>
          </w:p>
        </w:tc>
      </w:tr>
      <w:tr>
        <w:trPr>
          <w:trHeight w:val="159"/>
        </w:trPr>
        <w:tc>
          <w:tcPr>
            <w:tcW w:w="2900" w:type="dxa"/>
            <w:vAlign w:val="bottom"/>
            <w:tcBorders>
              <w:bottom w:val="single" w:sz="8" w:color="auto"/>
            </w:tcBorders>
          </w:tcPr>
          <w:p>
            <w:pPr>
              <w:spacing w:after="0" w:line="153" w:lineRule="exact"/>
              <w:rPr>
                <w:sz w:val="20"/>
                <w:szCs w:val="20"/>
                <w:color w:val="auto"/>
              </w:rPr>
            </w:pPr>
            <w:r>
              <w:rPr>
                <w:rFonts w:ascii="Arial" w:cs="Arial" w:eastAsia="Arial" w:hAnsi="Arial"/>
                <w:sz w:val="14"/>
                <w:szCs w:val="14"/>
                <w:color w:val="auto"/>
              </w:rPr>
              <w:t>Earnings</w:t>
            </w:r>
          </w:p>
        </w:tc>
        <w:tc>
          <w:tcPr>
            <w:tcW w:w="600" w:type="dxa"/>
            <w:vAlign w:val="bottom"/>
            <w:tcBorders>
              <w:bottom w:val="single" w:sz="8" w:color="auto"/>
            </w:tcBorders>
          </w:tcPr>
          <w:p>
            <w:pPr>
              <w:jc w:val="right"/>
              <w:ind w:right="169"/>
              <w:spacing w:after="0" w:line="153"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29"/>
              <w:spacing w:after="0" w:line="153" w:lineRule="exact"/>
              <w:rPr>
                <w:sz w:val="20"/>
                <w:szCs w:val="20"/>
                <w:color w:val="auto"/>
              </w:rPr>
            </w:pPr>
            <w:r>
              <w:rPr>
                <w:rFonts w:ascii="Arial" w:cs="Arial" w:eastAsia="Arial" w:hAnsi="Arial"/>
                <w:sz w:val="14"/>
                <w:szCs w:val="14"/>
                <w:color w:val="auto"/>
              </w:rPr>
              <w:t>348</w:t>
            </w:r>
          </w:p>
        </w:tc>
        <w:tc>
          <w:tcPr>
            <w:tcW w:w="780" w:type="dxa"/>
            <w:vAlign w:val="bottom"/>
            <w:tcBorders>
              <w:bottom w:val="single" w:sz="8" w:color="auto"/>
            </w:tcBorders>
          </w:tcPr>
          <w:p>
            <w:pPr>
              <w:jc w:val="right"/>
              <w:ind w:right="129"/>
              <w:spacing w:after="0" w:line="153" w:lineRule="exact"/>
              <w:rPr>
                <w:sz w:val="20"/>
                <w:szCs w:val="20"/>
                <w:color w:val="auto"/>
              </w:rPr>
            </w:pPr>
            <w:r>
              <w:rPr>
                <w:rFonts w:ascii="Arial" w:cs="Arial" w:eastAsia="Arial" w:hAnsi="Arial"/>
                <w:sz w:val="14"/>
                <w:szCs w:val="14"/>
                <w:color w:val="auto"/>
              </w:rPr>
              <w:t>100%</w:t>
            </w:r>
          </w:p>
        </w:tc>
        <w:tc>
          <w:tcPr>
            <w:tcW w:w="540" w:type="dxa"/>
            <w:vAlign w:val="bottom"/>
            <w:tcBorders>
              <w:bottom w:val="single" w:sz="8" w:color="auto"/>
            </w:tcBorders>
          </w:tcPr>
          <w:p>
            <w:pPr>
              <w:jc w:val="right"/>
              <w:ind w:right="169"/>
              <w:spacing w:after="0" w:line="153"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29"/>
              <w:spacing w:after="0" w:line="153" w:lineRule="exact"/>
              <w:rPr>
                <w:sz w:val="20"/>
                <w:szCs w:val="20"/>
                <w:color w:val="auto"/>
              </w:rPr>
            </w:pPr>
            <w:r>
              <w:rPr>
                <w:rFonts w:ascii="Arial" w:cs="Arial" w:eastAsia="Arial" w:hAnsi="Arial"/>
                <w:sz w:val="14"/>
                <w:szCs w:val="14"/>
                <w:color w:val="auto"/>
              </w:rPr>
              <w:t>296</w:t>
            </w:r>
          </w:p>
        </w:tc>
        <w:tc>
          <w:tcPr>
            <w:tcW w:w="700" w:type="dxa"/>
            <w:vAlign w:val="bottom"/>
            <w:tcBorders>
              <w:bottom w:val="single" w:sz="8" w:color="auto"/>
            </w:tcBorders>
          </w:tcPr>
          <w:p>
            <w:pPr>
              <w:jc w:val="right"/>
              <w:ind w:right="49"/>
              <w:spacing w:after="0" w:line="153" w:lineRule="exact"/>
              <w:rPr>
                <w:sz w:val="20"/>
                <w:szCs w:val="20"/>
                <w:color w:val="auto"/>
              </w:rPr>
            </w:pPr>
            <w:r>
              <w:rPr>
                <w:rFonts w:ascii="Arial" w:cs="Arial" w:eastAsia="Arial" w:hAnsi="Arial"/>
                <w:sz w:val="14"/>
                <w:szCs w:val="14"/>
                <w:color w:val="auto"/>
              </w:rPr>
              <w:t>100%</w:t>
            </w:r>
          </w:p>
        </w:tc>
        <w:tc>
          <w:tcPr>
            <w:tcW w:w="580" w:type="dxa"/>
            <w:vAlign w:val="bottom"/>
            <w:tcBorders>
              <w:bottom w:val="single" w:sz="8" w:color="auto"/>
            </w:tcBorders>
          </w:tcPr>
          <w:p>
            <w:pPr>
              <w:jc w:val="right"/>
              <w:ind w:right="129"/>
              <w:spacing w:after="0" w:line="153"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29"/>
              <w:spacing w:after="0" w:line="153" w:lineRule="exact"/>
              <w:rPr>
                <w:sz w:val="20"/>
                <w:szCs w:val="20"/>
                <w:color w:val="auto"/>
              </w:rPr>
            </w:pPr>
            <w:r>
              <w:rPr>
                <w:rFonts w:ascii="Arial" w:cs="Arial" w:eastAsia="Arial" w:hAnsi="Arial"/>
                <w:sz w:val="14"/>
                <w:szCs w:val="14"/>
                <w:color w:val="auto"/>
              </w:rPr>
              <w:t>864</w:t>
            </w:r>
          </w:p>
        </w:tc>
        <w:tc>
          <w:tcPr>
            <w:tcW w:w="780" w:type="dxa"/>
            <w:vAlign w:val="bottom"/>
            <w:tcBorders>
              <w:bottom w:val="single" w:sz="8" w:color="auto"/>
            </w:tcBorders>
          </w:tcPr>
          <w:p>
            <w:pPr>
              <w:jc w:val="right"/>
              <w:ind w:right="129"/>
              <w:spacing w:after="0" w:line="153" w:lineRule="exact"/>
              <w:rPr>
                <w:sz w:val="20"/>
                <w:szCs w:val="20"/>
                <w:color w:val="auto"/>
              </w:rPr>
            </w:pPr>
            <w:r>
              <w:rPr>
                <w:rFonts w:ascii="Arial" w:cs="Arial" w:eastAsia="Arial" w:hAnsi="Arial"/>
                <w:sz w:val="14"/>
                <w:szCs w:val="14"/>
                <w:color w:val="auto"/>
              </w:rPr>
              <w:t>100%</w:t>
            </w:r>
          </w:p>
        </w:tc>
        <w:tc>
          <w:tcPr>
            <w:tcW w:w="500" w:type="dxa"/>
            <w:vAlign w:val="bottom"/>
            <w:tcBorders>
              <w:bottom w:val="single" w:sz="8" w:color="auto"/>
            </w:tcBorders>
          </w:tcPr>
          <w:p>
            <w:pPr>
              <w:jc w:val="right"/>
              <w:ind w:right="129"/>
              <w:spacing w:after="0" w:line="153"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29"/>
              <w:spacing w:after="0" w:line="153" w:lineRule="exact"/>
              <w:rPr>
                <w:sz w:val="20"/>
                <w:szCs w:val="20"/>
                <w:color w:val="auto"/>
              </w:rPr>
            </w:pPr>
            <w:r>
              <w:rPr>
                <w:rFonts w:ascii="Arial" w:cs="Arial" w:eastAsia="Arial" w:hAnsi="Arial"/>
                <w:sz w:val="14"/>
                <w:szCs w:val="14"/>
                <w:color w:val="auto"/>
              </w:rPr>
              <w:t>719</w:t>
            </w:r>
          </w:p>
        </w:tc>
        <w:tc>
          <w:tcPr>
            <w:tcW w:w="700" w:type="dxa"/>
            <w:vAlign w:val="bottom"/>
            <w:tcBorders>
              <w:bottom w:val="single" w:sz="8" w:color="auto"/>
            </w:tcBorders>
          </w:tcPr>
          <w:p>
            <w:pPr>
              <w:jc w:val="right"/>
              <w:ind w:right="49"/>
              <w:spacing w:after="0" w:line="153" w:lineRule="exact"/>
              <w:rPr>
                <w:sz w:val="20"/>
                <w:szCs w:val="20"/>
                <w:color w:val="auto"/>
              </w:rPr>
            </w:pPr>
            <w:r>
              <w:rPr>
                <w:rFonts w:ascii="Arial" w:cs="Arial" w:eastAsia="Arial" w:hAnsi="Arial"/>
                <w:sz w:val="14"/>
                <w:szCs w:val="14"/>
                <w:color w:val="auto"/>
              </w:rPr>
              <w:t>100%</w:t>
            </w:r>
          </w:p>
        </w:tc>
      </w:tr>
    </w:tbl>
    <w:p>
      <w:pPr>
        <w:ind w:left="500" w:hanging="494"/>
        <w:spacing w:after="0"/>
        <w:tabs>
          <w:tab w:leader="none" w:pos="500" w:val="left"/>
        </w:tabs>
        <w:numPr>
          <w:ilvl w:val="0"/>
          <w:numId w:val="64"/>
        </w:numPr>
        <w:rPr>
          <w:rFonts w:ascii="Arial" w:cs="Arial" w:eastAsia="Arial" w:hAnsi="Arial"/>
          <w:sz w:val="14"/>
          <w:szCs w:val="14"/>
          <w:i w:val="1"/>
          <w:iCs w:val="1"/>
          <w:color w:val="auto"/>
        </w:rPr>
      </w:pPr>
      <w:r>
        <w:rPr>
          <w:rFonts w:ascii="Arial" w:cs="Arial" w:eastAsia="Arial" w:hAnsi="Arial"/>
          <w:sz w:val="14"/>
          <w:szCs w:val="14"/>
          <w:i w:val="1"/>
          <w:iCs w:val="1"/>
          <w:color w:val="auto"/>
        </w:rPr>
        <w:t>After preferred dividends and call premium on preferred stock for 2013.</w:t>
      </w:r>
    </w:p>
    <w:p>
      <w:pPr>
        <w:spacing w:after="0" w:line="42" w:lineRule="exact"/>
        <w:rPr>
          <w:rFonts w:ascii="Arial" w:cs="Arial" w:eastAsia="Arial" w:hAnsi="Arial"/>
          <w:sz w:val="14"/>
          <w:szCs w:val="14"/>
          <w:i w:val="1"/>
          <w:iCs w:val="1"/>
          <w:color w:val="auto"/>
        </w:rPr>
      </w:pPr>
    </w:p>
    <w:p>
      <w:pPr>
        <w:ind w:left="500" w:hanging="494"/>
        <w:spacing w:after="0"/>
        <w:tabs>
          <w:tab w:leader="none" w:pos="500" w:val="left"/>
        </w:tabs>
        <w:numPr>
          <w:ilvl w:val="0"/>
          <w:numId w:val="64"/>
        </w:numPr>
        <w:rPr>
          <w:rFonts w:ascii="Arial" w:cs="Arial" w:eastAsia="Arial" w:hAnsi="Arial"/>
          <w:sz w:val="14"/>
          <w:szCs w:val="14"/>
          <w:i w:val="1"/>
          <w:iCs w:val="1"/>
          <w:color w:val="auto"/>
        </w:rPr>
      </w:pPr>
      <w:r>
        <w:rPr>
          <w:rFonts w:ascii="Arial" w:cs="Arial" w:eastAsia="Arial" w:hAnsi="Arial"/>
          <w:sz w:val="14"/>
          <w:szCs w:val="14"/>
          <w:i w:val="1"/>
          <w:iCs w:val="1"/>
          <w:color w:val="auto"/>
        </w:rPr>
        <w:t>After preferred dividends.</w:t>
      </w:r>
    </w:p>
    <w:p>
      <w:pPr>
        <w:spacing w:after="0" w:line="51" w:lineRule="exact"/>
        <w:rPr>
          <w:rFonts w:ascii="Arial" w:cs="Arial" w:eastAsia="Arial" w:hAnsi="Arial"/>
          <w:sz w:val="14"/>
          <w:szCs w:val="14"/>
          <w:i w:val="1"/>
          <w:iCs w:val="1"/>
          <w:color w:val="auto"/>
        </w:rPr>
      </w:pPr>
    </w:p>
    <w:p>
      <w:pPr>
        <w:ind w:left="500" w:right="120" w:hanging="494"/>
        <w:spacing w:after="0" w:line="272" w:lineRule="auto"/>
        <w:tabs>
          <w:tab w:leader="none" w:pos="500" w:val="left"/>
        </w:tabs>
        <w:numPr>
          <w:ilvl w:val="0"/>
          <w:numId w:val="64"/>
        </w:numPr>
        <w:rPr>
          <w:rFonts w:ascii="Arial" w:cs="Arial" w:eastAsia="Arial" w:hAnsi="Arial"/>
          <w:sz w:val="14"/>
          <w:szCs w:val="14"/>
          <w:i w:val="1"/>
          <w:iCs w:val="1"/>
          <w:color w:val="auto"/>
        </w:rPr>
      </w:pPr>
      <w:r>
        <w:rPr>
          <w:rFonts w:ascii="Arial" w:cs="Arial" w:eastAsia="Arial" w:hAnsi="Arial"/>
          <w:sz w:val="14"/>
          <w:szCs w:val="14"/>
          <w:i w:val="1"/>
          <w:iCs w:val="1"/>
          <w:color w:val="auto"/>
        </w:rPr>
        <w:t>Includes after-tax interest expense ($37 million and $36 million for the three months ended September 30, 2014 and 2013, respectively, and $106 million and $109 million for the nine months ended September 30, 2014 and 2013, respectively), intercompany eliminations recorded in consolidation and certain corporate costs.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224" w:lineRule="exact"/>
        <w:rPr>
          <w:sz w:val="20"/>
          <w:szCs w:val="20"/>
          <w:color w:val="auto"/>
        </w:rPr>
      </w:pPr>
    </w:p>
    <w:p>
      <w:pPr>
        <w:ind w:right="600"/>
        <w:spacing w:after="0" w:line="266" w:lineRule="auto"/>
        <w:rPr>
          <w:sz w:val="20"/>
          <w:szCs w:val="20"/>
          <w:color w:val="auto"/>
        </w:rPr>
      </w:pPr>
      <w:r>
        <w:rPr>
          <w:rFonts w:ascii="Arial" w:cs="Arial" w:eastAsia="Arial" w:hAnsi="Arial"/>
          <w:sz w:val="18"/>
          <w:szCs w:val="18"/>
          <w:color w:val="auto"/>
        </w:rPr>
        <w:t>The following section is a discussion of earnings (losses) by Sempra Energy segment, as presented in the table above. Variance amounts are the after-tax earnings impact (based on applicable statutory tax rates),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222885</wp:posOffset>
            </wp:positionV>
            <wp:extent cx="7248525" cy="2444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8525" cy="244475"/>
                    </a:xfrm>
                    <a:prstGeom prst="rect">
                      <a:avLst/>
                    </a:prstGeom>
                    <a:noFill/>
                  </pic:spPr>
                </pic:pic>
              </a:graphicData>
            </a:graphic>
          </wp:anchor>
        </w:drawing>
      </w: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EARNINGS BY SEGMENT – CALIFORNIA UTILITIES</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ectPr>
          <w:pgSz w:w="11900" w:h="16838" w:orient="portrait"/>
          <w:cols w:equalWidth="0" w:num="1">
            <w:col w:w="11420"/>
          </w:cols>
          <w:pgMar w:left="240" w:top="366" w:right="239" w:bottom="1440" w:gutter="0" w:footer="0" w:header="0"/>
        </w:sectPr>
      </w:pPr>
    </w:p>
    <w:bookmarkStart w:id="58" w:name="page59"/>
    <w:bookmarkEnd w:id="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156210</wp:posOffset>
            </wp:positionH>
            <wp:positionV relativeFrom="page">
              <wp:posOffset>88900</wp:posOffset>
            </wp:positionV>
            <wp:extent cx="5906770" cy="29533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clrChange>
                        <a:clrFrom>
                          <a:srgbClr val="FFFFFF"/>
                        </a:clrFrom>
                        <a:clrTo>
                          <a:srgbClr val="FFFFFF">
                            <a:alpha val="0"/>
                          </a:srgbClr>
                        </a:clrTo>
                      </a:clrChange>
                      <a:extLst>
                        <a:ext uri="{28A0092B-C50C-407E-A947-70E740481C1C}"/>
                      </a:extLst>
                    </a:blip>
                    <a:srcRect/>
                    <a:stretch>
                      <a:fillRect/>
                    </a:stretch>
                  </pic:blipFill>
                  <pic:spPr bwMode="auto">
                    <a:xfrm>
                      <a:off x="0" y="0"/>
                      <a:ext cx="5906770" cy="2953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Due to the delay in the issuance of a final decision in the California Utilities’ 2012 GRC, which was issued by the CPUC in May 2013 and effective retroactive to January 1, 2012, the California Utilities recorded the retroactive impact for full-year 2012 in the second quarter of 2013, resulting in incremental earnings of $77 million ($52 million at SDG&amp;E and $25 million at SoCalGas) for the nine months ended September 30, 2013. We provide additional information on the 2012 GRC in Note 10 of the Notes to Condensed Consolidated Financial Statements herein.</w:t>
      </w:r>
    </w:p>
    <w:p>
      <w:pPr>
        <w:spacing w:after="0" w:line="38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SDG&amp;E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Our SDG&amp;E segment recorded earnings of:</w:t>
      </w:r>
    </w:p>
    <w:p>
      <w:pPr>
        <w:spacing w:after="0" w:line="218" w:lineRule="exact"/>
        <w:rPr>
          <w:sz w:val="20"/>
          <w:szCs w:val="20"/>
          <w:color w:val="auto"/>
        </w:rPr>
      </w:pPr>
    </w:p>
    <w:p>
      <w:pPr>
        <w:ind w:left="320" w:hanging="172"/>
        <w:spacing w:after="0"/>
        <w:tabs>
          <w:tab w:leader="none" w:pos="3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$157 million in the three months ended September 30, 2014</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$129 million in the three months ended September 30, 2013 ($134 million before preferred dividends and call premium)</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$379 million for the first nine months of 2014</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$285 million for the first nine months of 2013 ($292 million before preferred dividends and call premium)</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earnings of $28 million (22%) in the three months ended September 30, 2014 was primarily due to:</w:t>
      </w:r>
    </w:p>
    <w:p>
      <w:pPr>
        <w:spacing w:after="0" w:line="218" w:lineRule="exact"/>
        <w:rPr>
          <w:sz w:val="20"/>
          <w:szCs w:val="20"/>
          <w:color w:val="auto"/>
        </w:rPr>
      </w:pPr>
    </w:p>
    <w:p>
      <w:pPr>
        <w:ind w:left="320" w:hanging="172"/>
        <w:spacing w:after="0"/>
        <w:tabs>
          <w:tab w:leader="none" w:pos="3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$10 million favorable resolution of prior years’ income tax items in 2014 compared to a $5 million unfavorable resolution in 2013;</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$10 million higher CPUC base operating margin authorized for 2014 in the 2012 GRC, net of higher non-refundable operating costs; and</w:t>
      </w:r>
    </w:p>
    <w:p>
      <w:pPr>
        <w:spacing w:after="0" w:line="244" w:lineRule="exact"/>
        <w:rPr>
          <w:rFonts w:ascii="Arial" w:cs="Arial" w:eastAsia="Arial" w:hAnsi="Arial"/>
          <w:sz w:val="18"/>
          <w:szCs w:val="18"/>
          <w:color w:val="auto"/>
        </w:rPr>
      </w:pPr>
    </w:p>
    <w:p>
      <w:pPr>
        <w:ind w:left="320" w:hanging="172"/>
        <w:spacing w:after="0" w:line="266" w:lineRule="auto"/>
        <w:tabs>
          <w:tab w:leader="none" w:pos="320" w:val="left"/>
        </w:tabs>
        <w:numPr>
          <w:ilvl w:val="0"/>
          <w:numId w:val="66"/>
        </w:numPr>
        <w:rPr>
          <w:rFonts w:ascii="Arial" w:cs="Arial" w:eastAsia="Arial" w:hAnsi="Arial"/>
          <w:sz w:val="18"/>
          <w:szCs w:val="18"/>
          <w:b w:val="1"/>
          <w:bCs w:val="1"/>
          <w:color w:val="auto"/>
        </w:rPr>
      </w:pPr>
      <w:r>
        <w:rPr>
          <w:rFonts w:ascii="Arial" w:cs="Arial" w:eastAsia="Arial" w:hAnsi="Arial"/>
          <w:sz w:val="18"/>
          <w:szCs w:val="18"/>
          <w:color w:val="auto"/>
        </w:rPr>
        <w:t xml:space="preserve">$8 million favorable impact on the effective tax rate in 2014 compared to unfavorable impact in 2013, primarily due to updates for forecasted deductions for the full year; </w:t>
      </w:r>
      <w:r>
        <w:rPr>
          <w:rFonts w:ascii="Arial" w:cs="Arial" w:eastAsia="Arial" w:hAnsi="Arial"/>
          <w:sz w:val="18"/>
          <w:szCs w:val="18"/>
          <w:b w:val="1"/>
          <w:bCs w:val="1"/>
          <w:color w:val="auto"/>
        </w:rPr>
        <w:t>offset by</w:t>
      </w:r>
    </w:p>
    <w:p>
      <w:pPr>
        <w:spacing w:after="0" w:line="205" w:lineRule="exact"/>
        <w:rPr>
          <w:rFonts w:ascii="Arial" w:cs="Arial" w:eastAsia="Arial" w:hAnsi="Arial"/>
          <w:sz w:val="18"/>
          <w:szCs w:val="18"/>
          <w:b w:val="1"/>
          <w:bCs w:val="1"/>
          <w:color w:val="auto"/>
        </w:rPr>
      </w:pPr>
    </w:p>
    <w:p>
      <w:pPr>
        <w:ind w:left="320" w:hanging="172"/>
        <w:spacing w:after="0"/>
        <w:tabs>
          <w:tab w:leader="none" w:pos="3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$4 million lower earnings from electric transmission operations primarily due to lower FERC-authorized return on equity.</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earnings of $94 million (33%) in the first nine months of 2014 was primarily due to:</w:t>
      </w:r>
    </w:p>
    <w:p>
      <w:pPr>
        <w:spacing w:after="0" w:line="218" w:lineRule="exact"/>
        <w:rPr>
          <w:sz w:val="20"/>
          <w:szCs w:val="20"/>
          <w:color w:val="auto"/>
        </w:rPr>
      </w:pPr>
    </w:p>
    <w:p>
      <w:pPr>
        <w:ind w:left="320" w:hanging="172"/>
        <w:spacing w:after="0" w:line="329" w:lineRule="auto"/>
        <w:tabs>
          <w:tab w:leader="none" w:pos="3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$119 million charge in the second quarter of 2013 for loss from plant closure associated with SDG&amp;E’s investment in SONGS, compared to a $9 million charge in 2014 to adjust the total loss from plant closure, as we discuss in Note 9 of the Notes to Condensed Consolidated Financial Statements herein;</w:t>
      </w:r>
    </w:p>
    <w:p>
      <w:pPr>
        <w:spacing w:after="0" w:line="160" w:lineRule="exact"/>
        <w:rPr>
          <w:rFonts w:ascii="Arial" w:cs="Arial" w:eastAsia="Arial" w:hAnsi="Arial"/>
          <w:sz w:val="16"/>
          <w:szCs w:val="16"/>
          <w:color w:val="auto"/>
        </w:rPr>
      </w:pPr>
    </w:p>
    <w:p>
      <w:pPr>
        <w:ind w:left="320" w:hanging="172"/>
        <w:spacing w:after="0"/>
        <w:tabs>
          <w:tab w:leader="none" w:pos="3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$19 million higher CPUC base operating margin authorized for 2014 in the 2012 GRC and lower non-refundable operating costs; and</w:t>
      </w:r>
    </w:p>
    <w:p>
      <w:pPr>
        <w:spacing w:after="0" w:line="238" w:lineRule="exact"/>
        <w:rPr>
          <w:rFonts w:ascii="Arial" w:cs="Arial" w:eastAsia="Arial" w:hAnsi="Arial"/>
          <w:sz w:val="18"/>
          <w:szCs w:val="18"/>
          <w:color w:val="auto"/>
        </w:rPr>
      </w:pPr>
    </w:p>
    <w:p>
      <w:pPr>
        <w:ind w:left="320" w:hanging="172"/>
        <w:spacing w:after="0"/>
        <w:tabs>
          <w:tab w:leader="none" w:pos="320" w:val="left"/>
        </w:tabs>
        <w:numPr>
          <w:ilvl w:val="0"/>
          <w:numId w:val="67"/>
        </w:numPr>
        <w:rPr>
          <w:rFonts w:ascii="Arial" w:cs="Arial" w:eastAsia="Arial" w:hAnsi="Arial"/>
          <w:sz w:val="18"/>
          <w:szCs w:val="18"/>
          <w:b w:val="1"/>
          <w:bCs w:val="1"/>
          <w:color w:val="auto"/>
        </w:rPr>
      </w:pPr>
      <w:r>
        <w:rPr>
          <w:rFonts w:ascii="Arial" w:cs="Arial" w:eastAsia="Arial" w:hAnsi="Arial"/>
          <w:sz w:val="18"/>
          <w:szCs w:val="18"/>
          <w:color w:val="auto"/>
        </w:rPr>
        <w:t xml:space="preserve">$10 million favorable resolution of prior years’ income tax items in 2014 compared to a $5 million unfavorable resolution in 2013; </w:t>
      </w:r>
      <w:r>
        <w:rPr>
          <w:rFonts w:ascii="Arial" w:cs="Arial" w:eastAsia="Arial" w:hAnsi="Arial"/>
          <w:sz w:val="18"/>
          <w:szCs w:val="18"/>
          <w:b w:val="1"/>
          <w:bCs w:val="1"/>
          <w:color w:val="auto"/>
        </w:rPr>
        <w:t>offset by</w:t>
      </w:r>
    </w:p>
    <w:p>
      <w:pPr>
        <w:spacing w:after="0" w:line="250" w:lineRule="exact"/>
        <w:rPr>
          <w:rFonts w:ascii="Arial" w:cs="Arial" w:eastAsia="Arial" w:hAnsi="Arial"/>
          <w:sz w:val="18"/>
          <w:szCs w:val="18"/>
          <w:b w:val="1"/>
          <w:bCs w:val="1"/>
          <w:color w:val="auto"/>
        </w:rPr>
      </w:pPr>
    </w:p>
    <w:p>
      <w:pPr>
        <w:ind w:left="320" w:hanging="172"/>
        <w:spacing w:after="0"/>
        <w:tabs>
          <w:tab w:leader="none" w:pos="3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$52 million favorable impact on 2013 earnings from the retroactive application for 2012 of the final decision in the 2012 GRC; and</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$10 million lower earnings from electric transmission operations primarily due to lower FERC-authorized return on equity.</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SoCalGas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Our SoCalGas segment recorded earnings of:</w:t>
      </w:r>
    </w:p>
    <w:p>
      <w:pPr>
        <w:spacing w:after="0" w:line="218" w:lineRule="exact"/>
        <w:rPr>
          <w:sz w:val="20"/>
          <w:szCs w:val="20"/>
          <w:color w:val="auto"/>
        </w:rPr>
      </w:pPr>
    </w:p>
    <w:p>
      <w:pPr>
        <w:ind w:left="320" w:hanging="172"/>
        <w:spacing w:after="0"/>
        <w:tabs>
          <w:tab w:leader="none" w:pos="3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$98 million in the three months ended September 30, 2014 (both before and after preferred dividends)</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$102 million in the three months ended September 30, 2013 (both before and after preferred dividends)</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$256 million for the first nine months of 2014 ($257 million before preferred dividends)</w:t>
      </w:r>
    </w:p>
    <w:p>
      <w:pPr>
        <w:sectPr>
          <w:pgSz w:w="11900" w:h="16838" w:orient="portrait"/>
          <w:cols w:equalWidth="0" w:num="1">
            <w:col w:w="11420"/>
          </w:cols>
          <w:pgMar w:left="240" w:top="1440" w:right="239" w:bottom="0" w:gutter="0" w:footer="0" w:header="0"/>
        </w:sectPr>
      </w:pPr>
    </w:p>
    <w:bookmarkStart w:id="59" w:name="page60"/>
    <w:bookmarkEnd w:id="59"/>
    <w:p>
      <w:pPr>
        <w:ind w:left="140"/>
        <w:spacing w:after="0"/>
        <w:rPr>
          <w:sz w:val="20"/>
          <w:szCs w:val="20"/>
          <w:color w:val="auto"/>
        </w:rPr>
      </w:pPr>
      <w:r>
        <w:rPr>
          <w:rFonts w:ascii="Arial" w:cs="Arial" w:eastAsia="Arial" w:hAnsi="Arial"/>
          <w:sz w:val="18"/>
          <w:szCs w:val="18"/>
          <w:color w:val="auto"/>
        </w:rPr>
        <w:t>§ $266 million for the first nine months of 2013 ($267 million before preferred dividends)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earnings of $4 million (4%) in the three months ended September 30, 2014 was primarily due to:</w:t>
      </w:r>
    </w:p>
    <w:p>
      <w:pPr>
        <w:spacing w:after="0" w:line="218" w:lineRule="exact"/>
        <w:rPr>
          <w:sz w:val="20"/>
          <w:szCs w:val="20"/>
          <w:color w:val="auto"/>
        </w:rPr>
      </w:pPr>
    </w:p>
    <w:p>
      <w:pPr>
        <w:ind w:left="320" w:hanging="172"/>
        <w:spacing w:after="0"/>
        <w:tabs>
          <w:tab w:leader="none" w:pos="3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$4 million insurance recovery in 2013 of previously expensed costs; and</w:t>
      </w:r>
    </w:p>
    <w:p>
      <w:pPr>
        <w:spacing w:after="0" w:line="238" w:lineRule="exact"/>
        <w:rPr>
          <w:rFonts w:ascii="Arial" w:cs="Arial" w:eastAsia="Arial" w:hAnsi="Arial"/>
          <w:sz w:val="18"/>
          <w:szCs w:val="18"/>
          <w:color w:val="auto"/>
        </w:rPr>
      </w:pPr>
    </w:p>
    <w:p>
      <w:pPr>
        <w:ind w:left="320" w:hanging="172"/>
        <w:spacing w:after="0"/>
        <w:tabs>
          <w:tab w:leader="none" w:pos="3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$3 million favorable resolution of prior years’ income tax items in 2013; </w:t>
      </w:r>
      <w:r>
        <w:rPr>
          <w:rFonts w:ascii="Arial" w:cs="Arial" w:eastAsia="Arial" w:hAnsi="Arial"/>
          <w:sz w:val="18"/>
          <w:szCs w:val="18"/>
          <w:b w:val="1"/>
          <w:bCs w:val="1"/>
          <w:color w:val="auto"/>
        </w:rPr>
        <w:t>offset by</w:t>
      </w:r>
    </w:p>
    <w:p>
      <w:pPr>
        <w:spacing w:after="0" w:line="250" w:lineRule="exact"/>
        <w:rPr>
          <w:rFonts w:ascii="Arial" w:cs="Arial" w:eastAsia="Arial" w:hAnsi="Arial"/>
          <w:sz w:val="18"/>
          <w:szCs w:val="18"/>
          <w:color w:val="auto"/>
        </w:rPr>
      </w:pPr>
    </w:p>
    <w:p>
      <w:pPr>
        <w:ind w:left="320" w:hanging="172"/>
        <w:spacing w:after="0"/>
        <w:tabs>
          <w:tab w:leader="none" w:pos="3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$3 million higher CPUC base operating margin authorized for 2014 in the 2012 GRC, net of higher non-refundable operating costs.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20" w:hanging="172"/>
        <w:spacing w:after="0"/>
        <w:tabs>
          <w:tab w:leader="none" w:pos="3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$25 million favorable impact on 2013 earnings from the retroactive application for 2012 of the final decision in the 2012 GRC;</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$7 million favorable resolution of prior years’ income tax items in 2013;</w:t>
      </w:r>
    </w:p>
    <w:p>
      <w:pPr>
        <w:spacing w:after="0" w:line="244" w:lineRule="exact"/>
        <w:rPr>
          <w:rFonts w:ascii="Arial" w:cs="Arial" w:eastAsia="Arial" w:hAnsi="Arial"/>
          <w:sz w:val="18"/>
          <w:szCs w:val="18"/>
          <w:color w:val="auto"/>
        </w:rPr>
      </w:pPr>
    </w:p>
    <w:p>
      <w:pPr>
        <w:ind w:left="320" w:hanging="172"/>
        <w:spacing w:after="0" w:line="266" w:lineRule="auto"/>
        <w:tabs>
          <w:tab w:leader="none" w:pos="3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$5 million write-off in 2014 of certain costs incurred associated with the Pipeline Safety Enhancement Plan (PSEP) that were disallowed for recovery in the final PSEP decision (as we discuss in Note 10 of the Notes to Condensed Consolidated Financial Statements herein); and</w:t>
      </w:r>
    </w:p>
    <w:p>
      <w:pPr>
        <w:spacing w:after="0" w:line="199" w:lineRule="exact"/>
        <w:rPr>
          <w:rFonts w:ascii="Arial" w:cs="Arial" w:eastAsia="Arial" w:hAnsi="Arial"/>
          <w:sz w:val="18"/>
          <w:szCs w:val="18"/>
          <w:color w:val="auto"/>
        </w:rPr>
      </w:pPr>
    </w:p>
    <w:p>
      <w:pPr>
        <w:ind w:left="320" w:hanging="172"/>
        <w:spacing w:after="0"/>
        <w:tabs>
          <w:tab w:leader="none" w:pos="3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$4 million insurance recovery in 2013 of previously expensed costs; </w:t>
      </w:r>
      <w:r>
        <w:rPr>
          <w:rFonts w:ascii="Arial" w:cs="Arial" w:eastAsia="Arial" w:hAnsi="Arial"/>
          <w:sz w:val="18"/>
          <w:szCs w:val="18"/>
          <w:b w:val="1"/>
          <w:bCs w:val="1"/>
          <w:color w:val="auto"/>
        </w:rPr>
        <w:t>offset by</w:t>
      </w:r>
    </w:p>
    <w:p>
      <w:pPr>
        <w:spacing w:after="0" w:line="250" w:lineRule="exact"/>
        <w:rPr>
          <w:rFonts w:ascii="Arial" w:cs="Arial" w:eastAsia="Arial" w:hAnsi="Arial"/>
          <w:sz w:val="18"/>
          <w:szCs w:val="18"/>
          <w:color w:val="auto"/>
        </w:rPr>
      </w:pPr>
    </w:p>
    <w:p>
      <w:pPr>
        <w:ind w:left="320" w:hanging="172"/>
        <w:spacing w:after="0"/>
        <w:tabs>
          <w:tab w:leader="none" w:pos="3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$27 million higher CPUC base operating margin authorized for 2014 in the 2012 GRC and lower non-refundable operating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450215</wp:posOffset>
            </wp:positionV>
            <wp:extent cx="7248525" cy="2444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8525" cy="244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EARNINGS BY SEGMENT – SEMPRA INTERNATIONAL</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5906770" cy="29533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906770" cy="2953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Sempra South American Utilities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Our Sempra South American Utilities segment recorded earnings of:</w:t>
      </w:r>
    </w:p>
    <w:p>
      <w:pPr>
        <w:spacing w:after="0" w:line="218" w:lineRule="exact"/>
        <w:rPr>
          <w:sz w:val="20"/>
          <w:szCs w:val="20"/>
          <w:color w:val="auto"/>
        </w:rPr>
      </w:pPr>
    </w:p>
    <w:p>
      <w:pPr>
        <w:ind w:left="320" w:hanging="172"/>
        <w:spacing w:after="0"/>
        <w:tabs>
          <w:tab w:leader="none" w:pos="3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$32 million in the three months ended September 30, 2014</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$39 million in the three months ended September 30, 2013</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$109 million for the first nine months of 2014</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$110 million for the first nine months of 2013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20" w:hanging="172"/>
        <w:spacing w:after="0" w:line="266" w:lineRule="auto"/>
        <w:tabs>
          <w:tab w:leader="none" w:pos="3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$8 million higher income tax expense, including $6 million related to Chilean tax reform as we discuss below under “Income Taxes – Chilean Tax Reform;” and</w:t>
      </w:r>
    </w:p>
    <w:p>
      <w:pPr>
        <w:spacing w:after="0" w:line="199" w:lineRule="exact"/>
        <w:rPr>
          <w:rFonts w:ascii="Arial" w:cs="Arial" w:eastAsia="Arial" w:hAnsi="Arial"/>
          <w:sz w:val="18"/>
          <w:szCs w:val="18"/>
          <w:color w:val="auto"/>
        </w:rPr>
      </w:pPr>
    </w:p>
    <w:p>
      <w:pPr>
        <w:ind w:left="320" w:hanging="172"/>
        <w:spacing w:after="0"/>
        <w:tabs>
          <w:tab w:leader="none" w:pos="3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$4 million lower earnings from foreign currency effects; </w:t>
      </w:r>
      <w:r>
        <w:rPr>
          <w:rFonts w:ascii="Arial" w:cs="Arial" w:eastAsia="Arial" w:hAnsi="Arial"/>
          <w:sz w:val="18"/>
          <w:szCs w:val="18"/>
          <w:b w:val="1"/>
          <w:bCs w:val="1"/>
          <w:color w:val="auto"/>
        </w:rPr>
        <w:t>offset by</w:t>
      </w:r>
    </w:p>
    <w:p>
      <w:pPr>
        <w:spacing w:after="0" w:line="250" w:lineRule="exact"/>
        <w:rPr>
          <w:rFonts w:ascii="Arial" w:cs="Arial" w:eastAsia="Arial" w:hAnsi="Arial"/>
          <w:sz w:val="18"/>
          <w:szCs w:val="18"/>
          <w:color w:val="auto"/>
        </w:rPr>
      </w:pPr>
    </w:p>
    <w:p>
      <w:pPr>
        <w:ind w:left="320" w:hanging="172"/>
        <w:spacing w:after="0"/>
        <w:tabs>
          <w:tab w:leader="none" w:pos="3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$5 million higher earnings from operations mainly due to an increase in volume and lower costs.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earnings of $1 million (1%) in the first nine months of 2014 was primarily due to:</w:t>
      </w:r>
    </w:p>
    <w:p>
      <w:pPr>
        <w:spacing w:after="0" w:line="20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 $12 million lower earnings from foreign currency effects;</w:t>
      </w:r>
    </w:p>
    <w:p>
      <w:pPr>
        <w:sectPr>
          <w:pgSz w:w="11900" w:h="16838" w:orient="portrait"/>
          <w:cols w:equalWidth="0" w:num="1">
            <w:col w:w="11420"/>
          </w:cols>
          <w:pgMar w:left="240" w:top="127" w:right="239" w:bottom="0" w:gutter="0" w:footer="0" w:header="0"/>
        </w:sectPr>
      </w:pPr>
    </w:p>
    <w:bookmarkStart w:id="60" w:name="page61"/>
    <w:bookmarkEnd w:id="60"/>
    <w:p>
      <w:pPr>
        <w:ind w:left="320" w:hanging="172"/>
        <w:spacing w:after="0"/>
        <w:tabs>
          <w:tab w:leader="none" w:pos="3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$9 million higher income tax expense, including $6 million related to Chilean tax reform; and</w:t>
      </w:r>
    </w:p>
    <w:p>
      <w:pPr>
        <w:spacing w:after="0" w:line="238" w:lineRule="exact"/>
        <w:rPr>
          <w:rFonts w:ascii="Arial" w:cs="Arial" w:eastAsia="Arial" w:hAnsi="Arial"/>
          <w:sz w:val="18"/>
          <w:szCs w:val="18"/>
          <w:color w:val="auto"/>
        </w:rPr>
      </w:pPr>
    </w:p>
    <w:p>
      <w:pPr>
        <w:ind w:left="320" w:hanging="172"/>
        <w:spacing w:after="0"/>
        <w:tabs>
          <w:tab w:leader="none" w:pos="3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$5 million higher interest expense mainly in Chile related to inflationary effect on local bonds; </w:t>
      </w:r>
      <w:r>
        <w:rPr>
          <w:rFonts w:ascii="Arial" w:cs="Arial" w:eastAsia="Arial" w:hAnsi="Arial"/>
          <w:sz w:val="18"/>
          <w:szCs w:val="18"/>
          <w:b w:val="1"/>
          <w:bCs w:val="1"/>
          <w:color w:val="auto"/>
        </w:rPr>
        <w:t>offset by</w:t>
      </w:r>
    </w:p>
    <w:p>
      <w:pPr>
        <w:spacing w:after="0" w:line="250" w:lineRule="exact"/>
        <w:rPr>
          <w:rFonts w:ascii="Arial" w:cs="Arial" w:eastAsia="Arial" w:hAnsi="Arial"/>
          <w:sz w:val="18"/>
          <w:szCs w:val="18"/>
          <w:color w:val="auto"/>
        </w:rPr>
      </w:pPr>
    </w:p>
    <w:p>
      <w:pPr>
        <w:ind w:left="320" w:hanging="172"/>
        <w:spacing w:after="0"/>
        <w:tabs>
          <w:tab w:leader="none" w:pos="3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$13 million higher earnings from operations mainly due to an increase in volume, primarily from customer growth, and lower costs; and</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$11 million equity losses related to our investments in two Argentine natural gas utility holding companies that were sold in 2013.</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Sempra Mexico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Our Sempra Mexico segment recorded earnings of:</w:t>
      </w:r>
    </w:p>
    <w:p>
      <w:pPr>
        <w:spacing w:after="0" w:line="218" w:lineRule="exact"/>
        <w:rPr>
          <w:sz w:val="20"/>
          <w:szCs w:val="20"/>
          <w:color w:val="auto"/>
        </w:rPr>
      </w:pPr>
    </w:p>
    <w:p>
      <w:pPr>
        <w:ind w:left="320" w:hanging="172"/>
        <w:spacing w:after="0"/>
        <w:tabs>
          <w:tab w:leader="none" w:pos="3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$63 million in the three months ended September 30, 2014</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$39 million in the three months ended September 30, 2013</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$139 million for the first nine months of 2014</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$96 million for the first nine months of 2013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20" w:hanging="172"/>
        <w:spacing w:after="0"/>
        <w:tabs>
          <w:tab w:leader="none" w:pos="3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$14 million gain from the sale of a 50-percent equity interest in the first phase of the Energía Sierra Juárez project in July 2014;</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$14 million AFUDC in 2014 related to equity associated with construction of the natural gas pipeline in Sonora;</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$6 million higher earnings from operations at our Mexicali power plant in 2014; and</w:t>
      </w:r>
    </w:p>
    <w:p>
      <w:pPr>
        <w:spacing w:after="0" w:line="238" w:lineRule="exact"/>
        <w:rPr>
          <w:rFonts w:ascii="Arial" w:cs="Arial" w:eastAsia="Arial" w:hAnsi="Arial"/>
          <w:sz w:val="18"/>
          <w:szCs w:val="18"/>
          <w:color w:val="auto"/>
        </w:rPr>
      </w:pPr>
    </w:p>
    <w:p>
      <w:pPr>
        <w:ind w:left="320" w:hanging="172"/>
        <w:spacing w:after="0"/>
        <w:tabs>
          <w:tab w:leader="none" w:pos="3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$3 million lower income tax expense primarily due to the effects from foreign currency and translation of deferred tax balances; </w:t>
      </w:r>
      <w:r>
        <w:rPr>
          <w:rFonts w:ascii="Arial" w:cs="Arial" w:eastAsia="Arial" w:hAnsi="Arial"/>
          <w:sz w:val="18"/>
          <w:szCs w:val="18"/>
          <w:b w:val="1"/>
          <w:bCs w:val="1"/>
          <w:color w:val="auto"/>
        </w:rPr>
        <w:t>offset by</w:t>
      </w:r>
    </w:p>
    <w:p>
      <w:pPr>
        <w:spacing w:after="0" w:line="250" w:lineRule="exact"/>
        <w:rPr>
          <w:rFonts w:ascii="Arial" w:cs="Arial" w:eastAsia="Arial" w:hAnsi="Arial"/>
          <w:sz w:val="18"/>
          <w:szCs w:val="18"/>
          <w:color w:val="auto"/>
        </w:rPr>
      </w:pPr>
    </w:p>
    <w:p>
      <w:pPr>
        <w:ind w:left="320" w:hanging="172"/>
        <w:spacing w:after="0"/>
        <w:tabs>
          <w:tab w:leader="none" w:pos="3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$15 million earnings attributable to noncontrolling interests at IEnova in 2014 compared to $9 million in 2013; and</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$5 million unfavorable translation effect primarily on Peso-denominated receivables.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20" w:hanging="172"/>
        <w:spacing w:after="0"/>
        <w:tabs>
          <w:tab w:leader="none" w:pos="3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$34 million AFUDC in 2014 related to equity associated with construction of the natural gas pipeline in Sonora;</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$14 million gain from the sale of a 50-percent equity interest in the first phase of the Energía Sierra Juárez project in July 2014;</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$12 million higher earnings from operations mainly due to prior year’s scheduled major maintenance and improved results at our Mexicali power plant; and</w:t>
      </w:r>
    </w:p>
    <w:p>
      <w:pPr>
        <w:spacing w:after="0" w:line="261" w:lineRule="exact"/>
        <w:rPr>
          <w:rFonts w:ascii="Arial" w:cs="Arial" w:eastAsia="Arial" w:hAnsi="Arial"/>
          <w:sz w:val="16"/>
          <w:szCs w:val="16"/>
          <w:color w:val="auto"/>
        </w:rPr>
      </w:pPr>
    </w:p>
    <w:p>
      <w:pPr>
        <w:ind w:left="320" w:hanging="172"/>
        <w:spacing w:after="0"/>
        <w:tabs>
          <w:tab w:leader="none" w:pos="3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$6 million lower income tax expense including the effects from foreign currency and inflation; </w:t>
      </w:r>
      <w:r>
        <w:rPr>
          <w:rFonts w:ascii="Arial" w:cs="Arial" w:eastAsia="Arial" w:hAnsi="Arial"/>
          <w:sz w:val="18"/>
          <w:szCs w:val="18"/>
          <w:b w:val="1"/>
          <w:bCs w:val="1"/>
          <w:color w:val="auto"/>
        </w:rPr>
        <w:t>offset by</w:t>
      </w:r>
    </w:p>
    <w:p>
      <w:pPr>
        <w:spacing w:after="0" w:line="250" w:lineRule="exact"/>
        <w:rPr>
          <w:rFonts w:ascii="Arial" w:cs="Arial" w:eastAsia="Arial" w:hAnsi="Arial"/>
          <w:sz w:val="18"/>
          <w:szCs w:val="18"/>
          <w:color w:val="auto"/>
        </w:rPr>
      </w:pPr>
    </w:p>
    <w:p>
      <w:pPr>
        <w:ind w:left="320" w:hanging="172"/>
        <w:spacing w:after="0"/>
        <w:tabs>
          <w:tab w:leader="none" w:pos="3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$34 million earnings attributable to noncontrolling interests at IEnova in 2014 compared to $18 million in 2013; and</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$5 million higher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416560</wp:posOffset>
            </wp:positionV>
            <wp:extent cx="7248525" cy="2444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8525" cy="244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EARNINGS (LOSSES) BY SEGMENT – SEMPRA U.S. GAS &amp; POWER</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ectPr>
          <w:pgSz w:w="11900" w:h="16838" w:orient="portrait"/>
          <w:cols w:equalWidth="0" w:num="1">
            <w:col w:w="11380"/>
          </w:cols>
          <w:pgMar w:left="240" w:top="127" w:right="279" w:bottom="1440" w:gutter="0" w:footer="0" w:header="0"/>
        </w:sectPr>
      </w:pPr>
    </w:p>
    <w:bookmarkStart w:id="61" w:name="page62"/>
    <w:bookmarkEnd w:id="6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156210</wp:posOffset>
            </wp:positionH>
            <wp:positionV relativeFrom="page">
              <wp:posOffset>88900</wp:posOffset>
            </wp:positionV>
            <wp:extent cx="5906770" cy="29533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clrChange>
                        <a:clrFrom>
                          <a:srgbClr val="FFFFFF"/>
                        </a:clrFrom>
                        <a:clrTo>
                          <a:srgbClr val="FFFFFF">
                            <a:alpha val="0"/>
                          </a:srgbClr>
                        </a:clrTo>
                      </a:clrChange>
                      <a:extLst>
                        <a:ext uri="{28A0092B-C50C-407E-A947-70E740481C1C}"/>
                      </a:extLst>
                    </a:blip>
                    <a:srcRect/>
                    <a:stretch>
                      <a:fillRect/>
                    </a:stretch>
                  </pic:blipFill>
                  <pic:spPr bwMode="auto">
                    <a:xfrm>
                      <a:off x="0" y="0"/>
                      <a:ext cx="5906770" cy="2953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Sempra Renewables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Our Sempra Renewables segment recorded earnings of:</w:t>
      </w:r>
    </w:p>
    <w:p>
      <w:pPr>
        <w:spacing w:after="0" w:line="218" w:lineRule="exact"/>
        <w:rPr>
          <w:sz w:val="20"/>
          <w:szCs w:val="20"/>
          <w:color w:val="auto"/>
        </w:rPr>
      </w:pPr>
    </w:p>
    <w:p>
      <w:pPr>
        <w:ind w:left="320" w:hanging="172"/>
        <w:spacing w:after="0"/>
        <w:tabs>
          <w:tab w:leader="none" w:pos="3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$17 million in the three months ended September 30, 2014</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$37 million in the three months ended September 30, 2013</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$63 million for the first nine months of 2014</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$56 million for the first nine months of 2013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20" w:hanging="172"/>
        <w:spacing w:after="0"/>
        <w:tabs>
          <w:tab w:leader="none" w:pos="3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$24 million in gains from the 2013 sale of 50-percent equity interests in Mesquite Solar 1 and Copper Mountain Solar 2; and</w:t>
      </w:r>
    </w:p>
    <w:p>
      <w:pPr>
        <w:spacing w:after="0" w:line="238" w:lineRule="exact"/>
        <w:rPr>
          <w:rFonts w:ascii="Arial" w:cs="Arial" w:eastAsia="Arial" w:hAnsi="Arial"/>
          <w:sz w:val="18"/>
          <w:szCs w:val="18"/>
          <w:color w:val="auto"/>
        </w:rPr>
      </w:pPr>
    </w:p>
    <w:p>
      <w:pPr>
        <w:ind w:left="320" w:hanging="172"/>
        <w:spacing w:after="0"/>
        <w:tabs>
          <w:tab w:leader="none" w:pos="3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 xml:space="preserve">$2 million lower earnings attributable to our solar assets, primarily resulting from the third-quarter 2013 sales of equity interests noted above; </w:t>
      </w:r>
      <w:r>
        <w:rPr>
          <w:rFonts w:ascii="Arial" w:cs="Arial" w:eastAsia="Arial" w:hAnsi="Arial"/>
          <w:sz w:val="16"/>
          <w:szCs w:val="16"/>
          <w:b w:val="1"/>
          <w:bCs w:val="1"/>
          <w:color w:val="auto"/>
        </w:rPr>
        <w:t>offset by</w:t>
      </w:r>
    </w:p>
    <w:p>
      <w:pPr>
        <w:spacing w:after="0" w:line="273" w:lineRule="exact"/>
        <w:rPr>
          <w:rFonts w:ascii="Arial" w:cs="Arial" w:eastAsia="Arial" w:hAnsi="Arial"/>
          <w:sz w:val="16"/>
          <w:szCs w:val="16"/>
          <w:color w:val="auto"/>
        </w:rPr>
      </w:pPr>
    </w:p>
    <w:p>
      <w:pPr>
        <w:ind w:left="320" w:hanging="172"/>
        <w:spacing w:after="0"/>
        <w:tabs>
          <w:tab w:leader="none" w:pos="320" w:val="left"/>
        </w:tabs>
        <w:numPr>
          <w:ilvl w:val="0"/>
          <w:numId w:val="78"/>
        </w:numPr>
        <w:rPr>
          <w:rFonts w:ascii="Arial" w:cs="Arial" w:eastAsia="Arial" w:hAnsi="Arial"/>
          <w:sz w:val="18"/>
          <w:szCs w:val="18"/>
          <w:b w:val="1"/>
          <w:bCs w:val="1"/>
          <w:color w:val="auto"/>
        </w:rPr>
      </w:pPr>
      <w:r>
        <w:rPr>
          <w:rFonts w:ascii="Arial" w:cs="Arial" w:eastAsia="Arial" w:hAnsi="Arial"/>
          <w:sz w:val="18"/>
          <w:szCs w:val="18"/>
          <w:color w:val="auto"/>
        </w:rPr>
        <w:t>$6 million higher deferred income tax benefits from projects placed in service in 2014.</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20" w:hanging="172"/>
        <w:spacing w:after="0"/>
        <w:tabs>
          <w:tab w:leader="none" w:pos="3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$16 million gain from the sale of a 50-percent equity interest in Copper Mountain Solar 3 in the first quarter of 2014; and</w:t>
      </w:r>
    </w:p>
    <w:p>
      <w:pPr>
        <w:spacing w:after="0" w:line="244" w:lineRule="exact"/>
        <w:rPr>
          <w:rFonts w:ascii="Arial" w:cs="Arial" w:eastAsia="Arial" w:hAnsi="Arial"/>
          <w:sz w:val="18"/>
          <w:szCs w:val="18"/>
          <w:color w:val="auto"/>
        </w:rPr>
      </w:pPr>
    </w:p>
    <w:p>
      <w:pPr>
        <w:ind w:left="320" w:hanging="172"/>
        <w:spacing w:after="0" w:line="266" w:lineRule="auto"/>
        <w:tabs>
          <w:tab w:leader="none" w:pos="320" w:val="left"/>
        </w:tabs>
        <w:numPr>
          <w:ilvl w:val="0"/>
          <w:numId w:val="79"/>
        </w:numPr>
        <w:rPr>
          <w:rFonts w:ascii="Arial" w:cs="Arial" w:eastAsia="Arial" w:hAnsi="Arial"/>
          <w:sz w:val="18"/>
          <w:szCs w:val="18"/>
          <w:b w:val="1"/>
          <w:bCs w:val="1"/>
          <w:color w:val="auto"/>
        </w:rPr>
      </w:pPr>
      <w:r>
        <w:rPr>
          <w:rFonts w:ascii="Arial" w:cs="Arial" w:eastAsia="Arial" w:hAnsi="Arial"/>
          <w:sz w:val="18"/>
          <w:szCs w:val="18"/>
          <w:color w:val="auto"/>
        </w:rPr>
        <w:t xml:space="preserve">$16 million higher deferred income tax benefits, including the benefits of projects placed in service in 2014 and a $5 million reduction of benefits in 2013 as a result of Treasury Grant sequestration; </w:t>
      </w:r>
      <w:r>
        <w:rPr>
          <w:rFonts w:ascii="Arial" w:cs="Arial" w:eastAsia="Arial" w:hAnsi="Arial"/>
          <w:sz w:val="18"/>
          <w:szCs w:val="18"/>
          <w:b w:val="1"/>
          <w:bCs w:val="1"/>
          <w:color w:val="auto"/>
        </w:rPr>
        <w:t>offset by</w:t>
      </w:r>
    </w:p>
    <w:p>
      <w:pPr>
        <w:spacing w:after="0" w:line="205" w:lineRule="exact"/>
        <w:rPr>
          <w:rFonts w:ascii="Arial" w:cs="Arial" w:eastAsia="Arial" w:hAnsi="Arial"/>
          <w:sz w:val="18"/>
          <w:szCs w:val="18"/>
          <w:b w:val="1"/>
          <w:bCs w:val="1"/>
          <w:color w:val="auto"/>
        </w:rPr>
      </w:pPr>
    </w:p>
    <w:p>
      <w:pPr>
        <w:ind w:left="320" w:hanging="172"/>
        <w:spacing w:after="0"/>
        <w:tabs>
          <w:tab w:leader="none" w:pos="3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$24 million in gains from the 2013 sale of 50-percent equity interests in Mesquite Solar 1 and Copper Mountain Solar 2.</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Sempra Natural Gas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Our Sempra Natural Gas segment recorded earnings (losses) of:</w:t>
      </w:r>
    </w:p>
    <w:p>
      <w:pPr>
        <w:spacing w:after="0" w:line="218" w:lineRule="exact"/>
        <w:rPr>
          <w:sz w:val="20"/>
          <w:szCs w:val="20"/>
          <w:color w:val="auto"/>
        </w:rPr>
      </w:pPr>
    </w:p>
    <w:p>
      <w:pPr>
        <w:ind w:left="320" w:hanging="172"/>
        <w:spacing w:after="0"/>
        <w:tabs>
          <w:tab w:leader="none" w:pos="3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$26 million in the three months ended September 30, 2014</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$(7) million in the three months ended September 30, 2013</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$39 million for the first nine months of 2014</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$55 million for the first nine months of 2013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20" w:hanging="172"/>
        <w:spacing w:after="0" w:line="266" w:lineRule="auto"/>
        <w:tabs>
          <w:tab w:leader="none" w:pos="3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$25 million tax benefit due to the release in 2014 of Louisiana valuation allowance against a deferred tax asset associated with Cameron LNG developments;</w:t>
      </w:r>
    </w:p>
    <w:p>
      <w:pPr>
        <w:spacing w:after="0" w:line="205" w:lineRule="exact"/>
        <w:rPr>
          <w:rFonts w:ascii="Arial" w:cs="Arial" w:eastAsia="Arial" w:hAnsi="Arial"/>
          <w:sz w:val="18"/>
          <w:szCs w:val="18"/>
          <w:color w:val="auto"/>
        </w:rPr>
      </w:pPr>
    </w:p>
    <w:p>
      <w:pPr>
        <w:ind w:left="320" w:hanging="172"/>
        <w:spacing w:after="0"/>
        <w:tabs>
          <w:tab w:leader="none" w:pos="3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$5 million higher net intercompany interest income; and</w:t>
      </w:r>
    </w:p>
    <w:p>
      <w:pPr>
        <w:spacing w:after="0" w:line="238" w:lineRule="exact"/>
        <w:rPr>
          <w:rFonts w:ascii="Arial" w:cs="Arial" w:eastAsia="Arial" w:hAnsi="Arial"/>
          <w:sz w:val="18"/>
          <w:szCs w:val="18"/>
          <w:color w:val="auto"/>
        </w:rPr>
      </w:pPr>
    </w:p>
    <w:p>
      <w:pPr>
        <w:ind w:left="320" w:hanging="172"/>
        <w:spacing w:after="0"/>
        <w:tabs>
          <w:tab w:leader="none" w:pos="3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$4 million higher earnings, primarily from LNG marketing operations, due to the impact of higher natural gas prices in 2014; </w:t>
      </w:r>
      <w:r>
        <w:rPr>
          <w:rFonts w:ascii="Arial" w:cs="Arial" w:eastAsia="Arial" w:hAnsi="Arial"/>
          <w:sz w:val="18"/>
          <w:szCs w:val="18"/>
          <w:b w:val="1"/>
          <w:bCs w:val="1"/>
          <w:color w:val="auto"/>
        </w:rPr>
        <w:t>offset by</w:t>
      </w:r>
    </w:p>
    <w:p>
      <w:pPr>
        <w:sectPr>
          <w:pgSz w:w="11900" w:h="16838" w:orient="portrait"/>
          <w:cols w:equalWidth="0" w:num="1">
            <w:col w:w="11420"/>
          </w:cols>
          <w:pgMar w:left="240" w:top="1440" w:right="239" w:bottom="25" w:gutter="0" w:footer="0" w:header="0"/>
        </w:sectPr>
      </w:pPr>
    </w:p>
    <w:bookmarkStart w:id="62" w:name="page63"/>
    <w:bookmarkEnd w:id="62"/>
    <w:p>
      <w:pPr>
        <w:ind w:left="140"/>
        <w:spacing w:after="0"/>
        <w:rPr>
          <w:sz w:val="20"/>
          <w:szCs w:val="20"/>
          <w:color w:val="auto"/>
        </w:rPr>
      </w:pPr>
      <w:r>
        <w:rPr>
          <w:rFonts w:ascii="Arial" w:cs="Arial" w:eastAsia="Arial" w:hAnsi="Arial"/>
          <w:sz w:val="18"/>
          <w:szCs w:val="18"/>
          <w:color w:val="auto"/>
        </w:rPr>
        <w:t>§ $7 million lower results from gas storage operations and natural gas marketing activities.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earnings of $16 million (29%) in the first nine months of 2014 was primarily due to:</w:t>
      </w:r>
    </w:p>
    <w:p>
      <w:pPr>
        <w:spacing w:after="0" w:line="218" w:lineRule="exact"/>
        <w:rPr>
          <w:sz w:val="20"/>
          <w:szCs w:val="20"/>
          <w:color w:val="auto"/>
        </w:rPr>
      </w:pPr>
    </w:p>
    <w:p>
      <w:pPr>
        <w:ind w:left="320" w:hanging="172"/>
        <w:spacing w:after="0"/>
        <w:tabs>
          <w:tab w:leader="none" w:pos="3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$44 million gain in 2013 on the sale of a 625-MW block of its Mesquite Power plant, net of related expenses; and</w:t>
      </w:r>
    </w:p>
    <w:p>
      <w:pPr>
        <w:spacing w:after="0" w:line="238" w:lineRule="exact"/>
        <w:rPr>
          <w:rFonts w:ascii="Arial" w:cs="Arial" w:eastAsia="Arial" w:hAnsi="Arial"/>
          <w:sz w:val="18"/>
          <w:szCs w:val="18"/>
          <w:color w:val="auto"/>
        </w:rPr>
      </w:pPr>
    </w:p>
    <w:p>
      <w:pPr>
        <w:ind w:left="320" w:hanging="172"/>
        <w:spacing w:after="0"/>
        <w:tabs>
          <w:tab w:leader="none" w:pos="3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$12 million lower results from gas storage operations and natural gas marketing activities; </w:t>
      </w:r>
      <w:r>
        <w:rPr>
          <w:rFonts w:ascii="Arial" w:cs="Arial" w:eastAsia="Arial" w:hAnsi="Arial"/>
          <w:sz w:val="18"/>
          <w:szCs w:val="18"/>
          <w:b w:val="1"/>
          <w:bCs w:val="1"/>
          <w:color w:val="auto"/>
        </w:rPr>
        <w:t>offset by</w:t>
      </w:r>
    </w:p>
    <w:p>
      <w:pPr>
        <w:spacing w:after="0" w:line="250" w:lineRule="exact"/>
        <w:rPr>
          <w:rFonts w:ascii="Arial" w:cs="Arial" w:eastAsia="Arial" w:hAnsi="Arial"/>
          <w:sz w:val="18"/>
          <w:szCs w:val="18"/>
          <w:color w:val="auto"/>
        </w:rPr>
      </w:pPr>
    </w:p>
    <w:p>
      <w:pPr>
        <w:ind w:left="320" w:hanging="172"/>
        <w:spacing w:after="0" w:line="266" w:lineRule="auto"/>
        <w:tabs>
          <w:tab w:leader="none" w:pos="3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$25 million tax benefit due to the release in 2014 of Louisiana valuation allowance against a deferred tax asset associated with Cameron LNG developments;</w:t>
      </w:r>
    </w:p>
    <w:p>
      <w:pPr>
        <w:spacing w:after="0" w:line="205" w:lineRule="exact"/>
        <w:rPr>
          <w:rFonts w:ascii="Arial" w:cs="Arial" w:eastAsia="Arial" w:hAnsi="Arial"/>
          <w:sz w:val="18"/>
          <w:szCs w:val="18"/>
          <w:color w:val="auto"/>
        </w:rPr>
      </w:pPr>
    </w:p>
    <w:p>
      <w:pPr>
        <w:ind w:left="320" w:hanging="172"/>
        <w:spacing w:after="0"/>
        <w:tabs>
          <w:tab w:leader="none" w:pos="3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$8 million higher net intercompany interest income; and</w:t>
      </w:r>
    </w:p>
    <w:p>
      <w:pPr>
        <w:spacing w:after="0" w:line="244" w:lineRule="exact"/>
        <w:rPr>
          <w:rFonts w:ascii="Arial" w:cs="Arial" w:eastAsia="Arial" w:hAnsi="Arial"/>
          <w:sz w:val="18"/>
          <w:szCs w:val="18"/>
          <w:color w:val="auto"/>
        </w:rPr>
      </w:pPr>
    </w:p>
    <w:p>
      <w:pPr>
        <w:ind w:left="320" w:hanging="172"/>
        <w:spacing w:after="0" w:line="266" w:lineRule="auto"/>
        <w:tabs>
          <w:tab w:leader="none" w:pos="3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$7 million lower operating costs at the Mesquite Power plant, primarily depreciation due to the classification of the remaining 625-MW block as an asset held for sale.</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Parent and Other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Losses for Parent and Other were</w:t>
      </w:r>
    </w:p>
    <w:p>
      <w:pPr>
        <w:spacing w:after="0" w:line="218" w:lineRule="exact"/>
        <w:rPr>
          <w:sz w:val="20"/>
          <w:szCs w:val="20"/>
          <w:color w:val="auto"/>
        </w:rPr>
      </w:pPr>
    </w:p>
    <w:p>
      <w:pPr>
        <w:ind w:left="320" w:hanging="172"/>
        <w:spacing w:after="0"/>
        <w:tabs>
          <w:tab w:leader="none" w:pos="3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$45 million in the three months ended September 30, 2014</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$43 million in the three months ended September 30, 2013</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$121 million for the first nine months of 2014</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$149 million for the first nine months of 2013</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20" w:hanging="172"/>
        <w:spacing w:after="0"/>
        <w:tabs>
          <w:tab w:leader="none" w:pos="3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$8 million income tax expense in 2014 for planned repatriation of current year foreign earnings; </w:t>
      </w:r>
      <w:r>
        <w:rPr>
          <w:rFonts w:ascii="Arial" w:cs="Arial" w:eastAsia="Arial" w:hAnsi="Arial"/>
          <w:sz w:val="18"/>
          <w:szCs w:val="18"/>
          <w:b w:val="1"/>
          <w:bCs w:val="1"/>
          <w:color w:val="auto"/>
        </w:rPr>
        <w:t>offset by</w:t>
      </w:r>
    </w:p>
    <w:p>
      <w:pPr>
        <w:spacing w:after="0" w:line="250" w:lineRule="exact"/>
        <w:rPr>
          <w:rFonts w:ascii="Arial" w:cs="Arial" w:eastAsia="Arial" w:hAnsi="Arial"/>
          <w:sz w:val="18"/>
          <w:szCs w:val="18"/>
          <w:color w:val="auto"/>
        </w:rPr>
      </w:pPr>
    </w:p>
    <w:p>
      <w:pPr>
        <w:ind w:right="1820" w:firstLine="148"/>
        <w:spacing w:after="0" w:line="508" w:lineRule="auto"/>
        <w:tabs>
          <w:tab w:leader="none" w:pos="319" w:val="left"/>
        </w:tabs>
        <w:numPr>
          <w:ilvl w:val="0"/>
          <w:numId w:val="84"/>
        </w:numPr>
        <w:rPr>
          <w:rFonts w:ascii="Arial" w:cs="Arial" w:eastAsia="Arial" w:hAnsi="Arial"/>
          <w:sz w:val="18"/>
          <w:szCs w:val="18"/>
          <w:color w:val="auto"/>
        </w:rPr>
      </w:pPr>
      <w:r>
        <w:rPr>
          <w:rFonts w:ascii="Arial" w:cs="Arial" w:eastAsia="Arial" w:hAnsi="Arial"/>
          <w:sz w:val="18"/>
          <w:szCs w:val="18"/>
          <w:color w:val="auto"/>
        </w:rPr>
        <w:t>$4 million lower investment net losses on dedicated assets in support of our executive retirement and deferred compensation plans. The decrease in losses of $28 million (19%) in the first nine months of 2014 was primarily due to:</w:t>
      </w:r>
    </w:p>
    <w:p>
      <w:pPr>
        <w:ind w:left="320" w:hanging="172"/>
        <w:spacing w:after="0"/>
        <w:tabs>
          <w:tab w:leader="none" w:pos="3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$63 million income tax expense in 2013 resulting from a corporate reorganization in connection with the IEnova stock offerings; and</w:t>
      </w:r>
    </w:p>
    <w:p>
      <w:pPr>
        <w:spacing w:after="0" w:line="238" w:lineRule="exact"/>
        <w:rPr>
          <w:rFonts w:ascii="Arial" w:cs="Arial" w:eastAsia="Arial" w:hAnsi="Arial"/>
          <w:sz w:val="18"/>
          <w:szCs w:val="18"/>
          <w:color w:val="auto"/>
        </w:rPr>
      </w:pPr>
    </w:p>
    <w:p>
      <w:pPr>
        <w:ind w:left="320" w:hanging="172"/>
        <w:spacing w:after="0"/>
        <w:tabs>
          <w:tab w:leader="none" w:pos="3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 xml:space="preserve">$5 million higher investment net gains on dedicated assets in support of our executive retirement and deferred compensation plans; </w:t>
      </w:r>
      <w:r>
        <w:rPr>
          <w:rFonts w:ascii="Arial" w:cs="Arial" w:eastAsia="Arial" w:hAnsi="Arial"/>
          <w:sz w:val="17"/>
          <w:szCs w:val="17"/>
          <w:b w:val="1"/>
          <w:bCs w:val="1"/>
          <w:color w:val="auto"/>
        </w:rPr>
        <w:t>offset by</w:t>
      </w:r>
    </w:p>
    <w:p>
      <w:pPr>
        <w:spacing w:after="0" w:line="262" w:lineRule="exact"/>
        <w:rPr>
          <w:rFonts w:ascii="Arial" w:cs="Arial" w:eastAsia="Arial" w:hAnsi="Arial"/>
          <w:sz w:val="17"/>
          <w:szCs w:val="17"/>
          <w:color w:val="auto"/>
        </w:rPr>
      </w:pPr>
    </w:p>
    <w:p>
      <w:pPr>
        <w:ind w:left="320" w:hanging="172"/>
        <w:spacing w:after="0"/>
        <w:tabs>
          <w:tab w:leader="none" w:pos="3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$32 million income tax expense in 2014 for planned repatriation of current year foreign earnings; and</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$8 million higher net interest expense.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REVENUES, COSTS AND EARNINGS</w:t>
      </w:r>
    </w:p>
    <w:p>
      <w:pPr>
        <w:spacing w:after="0" w:line="229" w:lineRule="exact"/>
        <w:rPr>
          <w:sz w:val="20"/>
          <w:szCs w:val="20"/>
          <w:color w:val="auto"/>
        </w:rPr>
      </w:pPr>
    </w:p>
    <w:p>
      <w:pPr>
        <w:ind w:right="400"/>
        <w:spacing w:after="0" w:line="266" w:lineRule="auto"/>
        <w:rPr>
          <w:sz w:val="20"/>
          <w:szCs w:val="20"/>
          <w:color w:val="auto"/>
        </w:rPr>
      </w:pPr>
      <w:r>
        <w:rPr>
          <w:rFonts w:ascii="Arial" w:cs="Arial" w:eastAsia="Arial" w:hAnsi="Arial"/>
          <w:sz w:val="18"/>
          <w:szCs w:val="18"/>
          <w:color w:val="auto"/>
        </w:rPr>
        <w:t>This section contains a discussion of the differences between periods in the specific line items of the Condensed Consolidated Statements of Operations for Sempra Energy, SDG&amp;E and SoCalGas.</w:t>
      </w:r>
    </w:p>
    <w:p>
      <w:pPr>
        <w:spacing w:after="0" w:line="38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Utilities Revenues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Our utilities revenues include</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Natural gas revenues at:</w:t>
      </w:r>
    </w:p>
    <w:p>
      <w:pPr>
        <w:spacing w:after="0" w:line="211" w:lineRule="exact"/>
        <w:rPr>
          <w:sz w:val="20"/>
          <w:szCs w:val="20"/>
          <w:color w:val="auto"/>
        </w:rPr>
      </w:pPr>
    </w:p>
    <w:p>
      <w:pPr>
        <w:ind w:left="320" w:hanging="172"/>
        <w:spacing w:after="0"/>
        <w:tabs>
          <w:tab w:leader="none" w:pos="3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SDG&amp;E</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SoCalGas</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Sempra Mexico’s Ecogas México, S. de R.L. de C.V. (Ecogas)</w:t>
      </w:r>
    </w:p>
    <w:p>
      <w:pPr>
        <w:spacing w:after="0" w:line="244" w:lineRule="exact"/>
        <w:rPr>
          <w:rFonts w:ascii="Arial" w:cs="Arial" w:eastAsia="Arial" w:hAnsi="Arial"/>
          <w:sz w:val="18"/>
          <w:szCs w:val="18"/>
          <w:color w:val="auto"/>
        </w:rPr>
      </w:pPr>
    </w:p>
    <w:p>
      <w:pPr>
        <w:ind w:left="320" w:hanging="181"/>
        <w:spacing w:after="0"/>
        <w:tabs>
          <w:tab w:leader="none" w:pos="320" w:val="left"/>
        </w:tabs>
        <w:numPr>
          <w:ilvl w:val="0"/>
          <w:numId w:val="85"/>
        </w:numPr>
        <w:rPr>
          <w:rFonts w:ascii="Arial" w:cs="Arial" w:eastAsia="Arial" w:hAnsi="Arial"/>
          <w:sz w:val="19"/>
          <w:szCs w:val="19"/>
          <w:i w:val="1"/>
          <w:iCs w:val="1"/>
          <w:color w:val="auto"/>
        </w:rPr>
      </w:pPr>
      <w:r>
        <w:rPr>
          <w:rFonts w:ascii="Arial" w:cs="Arial" w:eastAsia="Arial" w:hAnsi="Arial"/>
          <w:sz w:val="18"/>
          <w:szCs w:val="18"/>
          <w:color w:val="auto"/>
        </w:rPr>
        <w:t>Sempra Natural Gas’ Mobile Gas Service Corporation (Mobile Gas) and Willmut Gas Company (Willmut Gas)</w:t>
      </w: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Electric revenues at:</w:t>
      </w:r>
    </w:p>
    <w:p>
      <w:pPr>
        <w:spacing w:after="0" w:line="211" w:lineRule="exact"/>
        <w:rPr>
          <w:sz w:val="20"/>
          <w:szCs w:val="20"/>
          <w:color w:val="auto"/>
        </w:rPr>
      </w:pPr>
    </w:p>
    <w:p>
      <w:pPr>
        <w:ind w:left="320" w:hanging="172"/>
        <w:spacing w:after="0"/>
        <w:tabs>
          <w:tab w:leader="none" w:pos="3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SDG&amp;E</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Sempra South American Utilities’ Chilquinta Energía and Luz del Sur</w:t>
      </w:r>
    </w:p>
    <w:p>
      <w:pPr>
        <w:spacing w:after="0" w:line="245" w:lineRule="exact"/>
        <w:rPr>
          <w:sz w:val="20"/>
          <w:szCs w:val="20"/>
          <w:color w:val="auto"/>
        </w:rPr>
      </w:pPr>
    </w:p>
    <w:p>
      <w:pPr>
        <w:spacing w:after="0"/>
        <w:rPr>
          <w:sz w:val="20"/>
          <w:szCs w:val="20"/>
          <w:color w:val="auto"/>
        </w:rPr>
      </w:pPr>
      <w:r>
        <w:rPr>
          <w:rFonts w:ascii="Arial" w:cs="Arial" w:eastAsia="Arial" w:hAnsi="Arial"/>
          <w:sz w:val="14"/>
          <w:szCs w:val="14"/>
          <w:color w:val="auto"/>
        </w:rPr>
        <w:t>Intercompany revenues included in the separate revenues of each utility are eliminated in the Sempra Energy Condensed Consolidated Statements of Operations.</w:t>
      </w:r>
    </w:p>
    <w:p>
      <w:pPr>
        <w:sectPr>
          <w:pgSz w:w="11900" w:h="16838" w:orient="portrait"/>
          <w:cols w:equalWidth="0" w:num="1">
            <w:col w:w="11420"/>
          </w:cols>
          <w:pgMar w:left="240" w:top="127" w:right="239" w:bottom="0" w:gutter="0" w:footer="0" w:header="0"/>
        </w:sectPr>
      </w:pPr>
    </w:p>
    <w:bookmarkStart w:id="63" w:name="page64"/>
    <w:bookmarkEnd w:id="63"/>
    <w:p>
      <w:pPr>
        <w:spacing w:after="0"/>
        <w:rPr>
          <w:sz w:val="20"/>
          <w:szCs w:val="20"/>
          <w:color w:val="auto"/>
        </w:rPr>
      </w:pPr>
      <w:r>
        <w:rPr>
          <w:rFonts w:ascii="Arial" w:cs="Arial" w:eastAsia="Arial" w:hAnsi="Arial"/>
          <w:sz w:val="19"/>
          <w:szCs w:val="19"/>
          <w:i w:val="1"/>
          <w:iCs w:val="1"/>
          <w:color w:val="auto"/>
        </w:rPr>
        <w:t>The California Utilities</w:t>
      </w:r>
    </w:p>
    <w:p>
      <w:pPr>
        <w:spacing w:after="0" w:line="211"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The current regulatory framework for SoCalGas and SDG&amp;E permits the cost of natural gas purchased for core customers (primarily residential and small commercial and industrial customers) to be passed through to customers in rates substantially as incurred. However, SoCalGas’ Gas Cost Incentive Mechanism provides SoCalGas the opportunity to share in the savings and/or costs from buying natural gas for its core customers at prices below or above monthly market-based benchmarks. This mechanism permits full recovery of costs incurred when average purchase costs are within a price range around the benchmark price. Any higher costs incurred or savings realized outside this range are shared between the core customers and SoCalGas. We provide further discussion in Notes 1 and 14 of the Notes to Consolidated Financial Statements in the Annual Report.</w:t>
      </w:r>
    </w:p>
    <w:p>
      <w:pPr>
        <w:spacing w:after="0" w:line="179" w:lineRule="exact"/>
        <w:rPr>
          <w:sz w:val="20"/>
          <w:szCs w:val="20"/>
          <w:color w:val="auto"/>
        </w:rPr>
      </w:pPr>
    </w:p>
    <w:p>
      <w:pPr>
        <w:ind w:right="320"/>
        <w:spacing w:after="0" w:line="295" w:lineRule="auto"/>
        <w:rPr>
          <w:sz w:val="20"/>
          <w:szCs w:val="20"/>
          <w:color w:val="auto"/>
        </w:rPr>
      </w:pPr>
      <w:r>
        <w:rPr>
          <w:rFonts w:ascii="Arial" w:cs="Arial" w:eastAsia="Arial" w:hAnsi="Arial"/>
          <w:sz w:val="17"/>
          <w:szCs w:val="17"/>
          <w:color w:val="auto"/>
        </w:rPr>
        <w:t>The regulatory framework also permits SDG&amp;E to recover the actual cost incurred to generate or procure electricity based on annual estimates of the cost of electricity supplied to customers. The differences in cost between estimates and actual are recovered in the next year through rates.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revenues and cost of sales for our utilities, net of intercompany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298450</wp:posOffset>
            </wp:positionV>
            <wp:extent cx="7248525" cy="2787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8525" cy="27876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UTILITIES REVENUES AND COST OF SALES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82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9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shd w:val="clear" w:color="auto" w:fill="C0C0C0"/>
          </w:tcPr>
          <w:p>
            <w:pPr>
              <w:spacing w:after="0"/>
              <w:rPr>
                <w:sz w:val="16"/>
                <w:szCs w:val="16"/>
                <w:color w:val="auto"/>
              </w:rPr>
            </w:pPr>
          </w:p>
        </w:tc>
        <w:tc>
          <w:tcPr>
            <w:tcW w:w="380" w:type="dxa"/>
            <w:vAlign w:val="bottom"/>
            <w:shd w:val="clear" w:color="auto" w:fill="C0C0C0"/>
          </w:tcPr>
          <w:p>
            <w:pPr>
              <w:spacing w:after="0"/>
              <w:rPr>
                <w:sz w:val="16"/>
                <w:szCs w:val="16"/>
                <w:color w:val="auto"/>
              </w:rPr>
            </w:pPr>
          </w:p>
        </w:tc>
        <w:tc>
          <w:tcPr>
            <w:tcW w:w="1260" w:type="dxa"/>
            <w:vAlign w:val="bottom"/>
            <w:shd w:val="clear" w:color="auto" w:fill="C0C0C0"/>
          </w:tcPr>
          <w:p>
            <w:pPr>
              <w:spacing w:after="0"/>
              <w:rPr>
                <w:sz w:val="16"/>
                <w:szCs w:val="16"/>
                <w:color w:val="auto"/>
              </w:rPr>
            </w:pPr>
          </w:p>
        </w:tc>
        <w:tc>
          <w:tcPr>
            <w:tcW w:w="500" w:type="dxa"/>
            <w:vAlign w:val="bottom"/>
            <w:shd w:val="clear" w:color="auto" w:fill="C0C0C0"/>
          </w:tcPr>
          <w:p>
            <w:pPr>
              <w:spacing w:after="0"/>
              <w:rPr>
                <w:sz w:val="16"/>
                <w:szCs w:val="16"/>
                <w:color w:val="auto"/>
              </w:rPr>
            </w:pPr>
          </w:p>
        </w:tc>
        <w:tc>
          <w:tcPr>
            <w:tcW w:w="1020" w:type="dxa"/>
            <w:vAlign w:val="bottom"/>
            <w:shd w:val="clear" w:color="auto" w:fill="C0C0C0"/>
          </w:tcPr>
          <w:p>
            <w:pPr>
              <w:spacing w:after="0"/>
              <w:rPr>
                <w:sz w:val="16"/>
                <w:szCs w:val="16"/>
                <w:color w:val="auto"/>
              </w:rPr>
            </w:pPr>
          </w:p>
        </w:tc>
      </w:tr>
      <w:tr>
        <w:trPr>
          <w:trHeight w:val="228"/>
        </w:trPr>
        <w:tc>
          <w:tcPr>
            <w:tcW w:w="48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760" w:type="dxa"/>
            <w:vAlign w:val="bottom"/>
            <w:gridSpan w:val="2"/>
          </w:tcPr>
          <w:p>
            <w:pPr>
              <w:jc w:val="right"/>
              <w:ind w:right="362"/>
              <w:spacing w:after="0"/>
              <w:rPr>
                <w:sz w:val="20"/>
                <w:szCs w:val="20"/>
                <w:color w:val="auto"/>
              </w:rPr>
            </w:pPr>
            <w:r>
              <w:rPr>
                <w:rFonts w:ascii="Arial" w:cs="Arial" w:eastAsia="Arial" w:hAnsi="Arial"/>
                <w:sz w:val="14"/>
                <w:szCs w:val="14"/>
                <w:color w:val="auto"/>
              </w:rPr>
              <w:t>Three months ended</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60" w:type="dxa"/>
            <w:vAlign w:val="bottom"/>
            <w:gridSpan w:val="2"/>
          </w:tcPr>
          <w:p>
            <w:pPr>
              <w:jc w:val="right"/>
              <w:spacing w:after="0"/>
              <w:rPr>
                <w:sz w:val="20"/>
                <w:szCs w:val="20"/>
                <w:color w:val="auto"/>
              </w:rPr>
            </w:pPr>
            <w:r>
              <w:rPr>
                <w:rFonts w:ascii="Arial" w:cs="Arial" w:eastAsia="Arial" w:hAnsi="Arial"/>
                <w:sz w:val="14"/>
                <w:szCs w:val="14"/>
                <w:color w:val="auto"/>
              </w:rPr>
              <w:t>Nine months ended</w:t>
            </w:r>
          </w:p>
        </w:tc>
        <w:tc>
          <w:tcPr>
            <w:tcW w:w="1020" w:type="dxa"/>
            <w:vAlign w:val="bottom"/>
          </w:tcPr>
          <w:p>
            <w:pPr>
              <w:spacing w:after="0"/>
              <w:rPr>
                <w:sz w:val="19"/>
                <w:szCs w:val="19"/>
                <w:color w:val="auto"/>
              </w:rPr>
            </w:pPr>
          </w:p>
        </w:tc>
      </w:tr>
      <w:tr>
        <w:trPr>
          <w:trHeight w:val="184"/>
        </w:trPr>
        <w:tc>
          <w:tcPr>
            <w:tcW w:w="482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2"/>
          </w:tcPr>
          <w:p>
            <w:pPr>
              <w:jc w:val="right"/>
              <w:ind w:right="562"/>
              <w:spacing w:after="0"/>
              <w:rPr>
                <w:sz w:val="20"/>
                <w:szCs w:val="20"/>
                <w:color w:val="auto"/>
              </w:rPr>
            </w:pPr>
            <w:r>
              <w:rPr>
                <w:rFonts w:ascii="Arial" w:cs="Arial" w:eastAsia="Arial" w:hAnsi="Arial"/>
                <w:sz w:val="14"/>
                <w:szCs w:val="14"/>
                <w:color w:val="auto"/>
              </w:rPr>
              <w:t>September 30,</w:t>
            </w:r>
          </w:p>
        </w:tc>
        <w:tc>
          <w:tcPr>
            <w:tcW w:w="5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September 30,</w:t>
            </w:r>
          </w:p>
        </w:tc>
        <w:tc>
          <w:tcPr>
            <w:tcW w:w="1020" w:type="dxa"/>
            <w:vAlign w:val="bottom"/>
            <w:tcBorders>
              <w:bottom w:val="single" w:sz="8" w:color="auto"/>
            </w:tcBorders>
          </w:tcPr>
          <w:p>
            <w:pPr>
              <w:spacing w:after="0"/>
              <w:rPr>
                <w:sz w:val="15"/>
                <w:szCs w:val="15"/>
                <w:color w:val="auto"/>
              </w:rPr>
            </w:pPr>
          </w:p>
        </w:tc>
      </w:tr>
      <w:tr>
        <w:trPr>
          <w:trHeight w:val="206"/>
        </w:trPr>
        <w:tc>
          <w:tcPr>
            <w:tcW w:w="48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2014</w:t>
            </w:r>
          </w:p>
        </w:tc>
        <w:tc>
          <w:tcPr>
            <w:tcW w:w="8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color w:val="auto"/>
              </w:rPr>
              <w:t>2013</w:t>
            </w:r>
          </w:p>
        </w:tc>
        <w:tc>
          <w:tcPr>
            <w:tcW w:w="5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741"/>
              <w:spacing w:after="0"/>
              <w:rPr>
                <w:sz w:val="20"/>
                <w:szCs w:val="20"/>
                <w:color w:val="auto"/>
              </w:rPr>
            </w:pPr>
            <w:r>
              <w:rPr>
                <w:rFonts w:ascii="Arial" w:cs="Arial" w:eastAsia="Arial" w:hAnsi="Arial"/>
                <w:sz w:val="14"/>
                <w:szCs w:val="14"/>
                <w:color w:val="auto"/>
              </w:rPr>
              <w:t>2014</w:t>
            </w:r>
          </w:p>
        </w:tc>
        <w:tc>
          <w:tcPr>
            <w:tcW w:w="5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color w:val="auto"/>
              </w:rPr>
              <w:t>2013</w:t>
            </w:r>
          </w:p>
        </w:tc>
      </w:tr>
      <w:tr>
        <w:trPr>
          <w:trHeight w:val="194"/>
        </w:trPr>
        <w:tc>
          <w:tcPr>
            <w:tcW w:w="4820" w:type="dxa"/>
            <w:vAlign w:val="bottom"/>
          </w:tcPr>
          <w:p>
            <w:pPr>
              <w:spacing w:after="0"/>
              <w:rPr>
                <w:sz w:val="20"/>
                <w:szCs w:val="20"/>
                <w:color w:val="auto"/>
              </w:rPr>
            </w:pPr>
            <w:r>
              <w:rPr>
                <w:rFonts w:ascii="Arial" w:cs="Arial" w:eastAsia="Arial" w:hAnsi="Arial"/>
                <w:sz w:val="16"/>
                <w:szCs w:val="16"/>
                <w:b w:val="1"/>
                <w:bCs w:val="1"/>
                <w:color w:val="auto"/>
              </w:rPr>
              <w:t>Electric revenues:</w:t>
            </w:r>
          </w:p>
        </w:tc>
        <w:tc>
          <w:tcPr>
            <w:tcW w:w="9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2"/>
        </w:trPr>
        <w:tc>
          <w:tcPr>
            <w:tcW w:w="4820" w:type="dxa"/>
            <w:vAlign w:val="bottom"/>
          </w:tcPr>
          <w:p>
            <w:pPr>
              <w:ind w:left="100"/>
              <w:spacing w:after="0"/>
              <w:rPr>
                <w:sz w:val="20"/>
                <w:szCs w:val="20"/>
                <w:color w:val="auto"/>
              </w:rPr>
            </w:pPr>
            <w:r>
              <w:rPr>
                <w:rFonts w:ascii="Arial" w:cs="Arial" w:eastAsia="Arial" w:hAnsi="Arial"/>
                <w:sz w:val="16"/>
                <w:szCs w:val="16"/>
                <w:color w:val="auto"/>
              </w:rPr>
              <w:t>SDG&amp;E</w:t>
            </w:r>
          </w:p>
        </w:tc>
        <w:tc>
          <w:tcPr>
            <w:tcW w:w="980" w:type="dxa"/>
            <w:vAlign w:val="bottom"/>
          </w:tcPr>
          <w:p>
            <w:pPr>
              <w:jc w:val="right"/>
              <w:ind w:right="502"/>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61"/>
              <w:spacing w:after="0"/>
              <w:rPr>
                <w:sz w:val="20"/>
                <w:szCs w:val="20"/>
                <w:color w:val="auto"/>
              </w:rPr>
            </w:pPr>
            <w:r>
              <w:rPr>
                <w:rFonts w:ascii="Arial" w:cs="Arial" w:eastAsia="Arial" w:hAnsi="Arial"/>
                <w:sz w:val="16"/>
                <w:szCs w:val="16"/>
                <w:color w:val="auto"/>
              </w:rPr>
              <w:t>1,133</w:t>
            </w:r>
          </w:p>
        </w:tc>
        <w:tc>
          <w:tcPr>
            <w:tcW w:w="960" w:type="dxa"/>
            <w:vAlign w:val="bottom"/>
          </w:tcPr>
          <w:p>
            <w:pPr>
              <w:jc w:val="right"/>
              <w:ind w:right="622"/>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970</w:t>
            </w:r>
          </w:p>
        </w:tc>
        <w:tc>
          <w:tcPr>
            <w:tcW w:w="3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81"/>
              <w:spacing w:after="0"/>
              <w:rPr>
                <w:sz w:val="20"/>
                <w:szCs w:val="20"/>
                <w:color w:val="auto"/>
              </w:rPr>
            </w:pPr>
            <w:r>
              <w:rPr>
                <w:rFonts w:ascii="Arial" w:cs="Arial" w:eastAsia="Arial" w:hAnsi="Arial"/>
                <w:sz w:val="16"/>
                <w:szCs w:val="16"/>
                <w:color w:val="auto"/>
              </w:rPr>
              <w:t>2,892</w:t>
            </w:r>
          </w:p>
        </w:tc>
        <w:tc>
          <w:tcPr>
            <w:tcW w:w="50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2,685</w:t>
            </w:r>
          </w:p>
        </w:tc>
      </w:tr>
      <w:tr>
        <w:trPr>
          <w:trHeight w:val="213"/>
        </w:trPr>
        <w:tc>
          <w:tcPr>
            <w:tcW w:w="4820" w:type="dxa"/>
            <w:vAlign w:val="bottom"/>
          </w:tcPr>
          <w:p>
            <w:pPr>
              <w:ind w:left="100"/>
              <w:spacing w:after="0"/>
              <w:rPr>
                <w:sz w:val="20"/>
                <w:szCs w:val="20"/>
                <w:color w:val="auto"/>
              </w:rPr>
            </w:pPr>
            <w:r>
              <w:rPr>
                <w:rFonts w:ascii="Arial" w:cs="Arial" w:eastAsia="Arial" w:hAnsi="Arial"/>
                <w:sz w:val="16"/>
                <w:szCs w:val="16"/>
                <w:color w:val="auto"/>
              </w:rPr>
              <w:t>Sempra South American Utilities</w:t>
            </w:r>
          </w:p>
        </w:tc>
        <w:tc>
          <w:tcPr>
            <w:tcW w:w="980" w:type="dxa"/>
            <w:vAlign w:val="bottom"/>
          </w:tcPr>
          <w:p>
            <w:pPr>
              <w:spacing w:after="0"/>
              <w:rPr>
                <w:sz w:val="18"/>
                <w:szCs w:val="18"/>
                <w:color w:val="auto"/>
              </w:rPr>
            </w:pPr>
          </w:p>
        </w:tc>
        <w:tc>
          <w:tcPr>
            <w:tcW w:w="800" w:type="dxa"/>
            <w:vAlign w:val="bottom"/>
          </w:tcPr>
          <w:p>
            <w:pPr>
              <w:jc w:val="right"/>
              <w:ind w:right="61"/>
              <w:spacing w:after="0"/>
              <w:rPr>
                <w:sz w:val="20"/>
                <w:szCs w:val="20"/>
                <w:color w:val="auto"/>
              </w:rPr>
            </w:pPr>
            <w:r>
              <w:rPr>
                <w:rFonts w:ascii="Arial" w:cs="Arial" w:eastAsia="Arial" w:hAnsi="Arial"/>
                <w:sz w:val="16"/>
                <w:szCs w:val="16"/>
                <w:color w:val="auto"/>
              </w:rPr>
              <w:t>354</w:t>
            </w:r>
          </w:p>
        </w:tc>
        <w:tc>
          <w:tcPr>
            <w:tcW w:w="9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334</w:t>
            </w:r>
          </w:p>
        </w:tc>
        <w:tc>
          <w:tcPr>
            <w:tcW w:w="380" w:type="dxa"/>
            <w:vAlign w:val="bottom"/>
          </w:tcPr>
          <w:p>
            <w:pPr>
              <w:spacing w:after="0"/>
              <w:rPr>
                <w:sz w:val="18"/>
                <w:szCs w:val="18"/>
                <w:color w:val="auto"/>
              </w:rPr>
            </w:pPr>
          </w:p>
        </w:tc>
        <w:tc>
          <w:tcPr>
            <w:tcW w:w="1260" w:type="dxa"/>
            <w:vAlign w:val="bottom"/>
          </w:tcPr>
          <w:p>
            <w:pPr>
              <w:jc w:val="right"/>
              <w:ind w:right="81"/>
              <w:spacing w:after="0"/>
              <w:rPr>
                <w:sz w:val="20"/>
                <w:szCs w:val="20"/>
                <w:color w:val="auto"/>
              </w:rPr>
            </w:pPr>
            <w:r>
              <w:rPr>
                <w:rFonts w:ascii="Arial" w:cs="Arial" w:eastAsia="Arial" w:hAnsi="Arial"/>
                <w:sz w:val="16"/>
                <w:szCs w:val="16"/>
                <w:color w:val="auto"/>
              </w:rPr>
              <w:t>1,072</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1,034</w:t>
            </w:r>
          </w:p>
        </w:tc>
      </w:tr>
      <w:tr>
        <w:trPr>
          <w:trHeight w:val="204"/>
        </w:trPr>
        <w:tc>
          <w:tcPr>
            <w:tcW w:w="4820" w:type="dxa"/>
            <w:vAlign w:val="bottom"/>
          </w:tcPr>
          <w:p>
            <w:pPr>
              <w:ind w:left="100"/>
              <w:spacing w:after="0"/>
              <w:rPr>
                <w:sz w:val="20"/>
                <w:szCs w:val="20"/>
                <w:color w:val="auto"/>
              </w:rPr>
            </w:pPr>
            <w:r>
              <w:rPr>
                <w:rFonts w:ascii="Arial" w:cs="Arial" w:eastAsia="Arial" w:hAnsi="Arial"/>
                <w:sz w:val="16"/>
                <w:szCs w:val="16"/>
                <w:color w:val="auto"/>
              </w:rPr>
              <w:t>Eliminations and adjustments</w:t>
            </w:r>
          </w:p>
        </w:tc>
        <w:tc>
          <w:tcPr>
            <w:tcW w:w="9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(2)</w:t>
            </w:r>
          </w:p>
        </w:tc>
        <w:tc>
          <w:tcPr>
            <w:tcW w:w="9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(7)</w:t>
            </w:r>
          </w:p>
        </w:tc>
        <w:tc>
          <w:tcPr>
            <w:tcW w:w="5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06"/>
        </w:trPr>
        <w:tc>
          <w:tcPr>
            <w:tcW w:w="4820" w:type="dxa"/>
            <w:vAlign w:val="bottom"/>
          </w:tcPr>
          <w:p>
            <w:pPr>
              <w:ind w:left="400"/>
              <w:spacing w:after="0"/>
              <w:rPr>
                <w:sz w:val="20"/>
                <w:szCs w:val="20"/>
                <w:color w:val="auto"/>
              </w:rPr>
            </w:pPr>
            <w:r>
              <w:rPr>
                <w:rFonts w:ascii="Arial" w:cs="Arial" w:eastAsia="Arial" w:hAnsi="Arial"/>
                <w:sz w:val="16"/>
                <w:szCs w:val="16"/>
                <w:color w:val="auto"/>
              </w:rPr>
              <w:t>Total</w:t>
            </w:r>
          </w:p>
        </w:tc>
        <w:tc>
          <w:tcPr>
            <w:tcW w:w="9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1,485</w:t>
            </w:r>
          </w:p>
        </w:tc>
        <w:tc>
          <w:tcPr>
            <w:tcW w:w="9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1,302</w:t>
            </w:r>
          </w:p>
        </w:tc>
        <w:tc>
          <w:tcPr>
            <w:tcW w:w="1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3,957</w:t>
            </w:r>
          </w:p>
        </w:tc>
        <w:tc>
          <w:tcPr>
            <w:tcW w:w="5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3,713</w:t>
            </w:r>
          </w:p>
        </w:tc>
      </w:tr>
      <w:tr>
        <w:trPr>
          <w:trHeight w:val="214"/>
        </w:trPr>
        <w:tc>
          <w:tcPr>
            <w:tcW w:w="4820" w:type="dxa"/>
            <w:vAlign w:val="bottom"/>
          </w:tcPr>
          <w:p>
            <w:pPr>
              <w:spacing w:after="0"/>
              <w:rPr>
                <w:sz w:val="20"/>
                <w:szCs w:val="20"/>
                <w:color w:val="auto"/>
              </w:rPr>
            </w:pPr>
            <w:r>
              <w:rPr>
                <w:rFonts w:ascii="Arial" w:cs="Arial" w:eastAsia="Arial" w:hAnsi="Arial"/>
                <w:sz w:val="16"/>
                <w:szCs w:val="16"/>
                <w:b w:val="1"/>
                <w:bCs w:val="1"/>
                <w:color w:val="auto"/>
              </w:rPr>
              <w:t>Natural gas revenues:</w:t>
            </w:r>
          </w:p>
        </w:tc>
        <w:tc>
          <w:tcPr>
            <w:tcW w:w="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3"/>
        </w:trPr>
        <w:tc>
          <w:tcPr>
            <w:tcW w:w="4820" w:type="dxa"/>
            <w:vAlign w:val="bottom"/>
          </w:tcPr>
          <w:p>
            <w:pPr>
              <w:ind w:left="100"/>
              <w:spacing w:after="0"/>
              <w:rPr>
                <w:sz w:val="20"/>
                <w:szCs w:val="20"/>
                <w:color w:val="auto"/>
              </w:rPr>
            </w:pPr>
            <w:r>
              <w:rPr>
                <w:rFonts w:ascii="Arial" w:cs="Arial" w:eastAsia="Arial" w:hAnsi="Arial"/>
                <w:sz w:val="16"/>
                <w:szCs w:val="16"/>
                <w:color w:val="auto"/>
              </w:rPr>
              <w:t>SoCalGas</w:t>
            </w:r>
          </w:p>
        </w:tc>
        <w:tc>
          <w:tcPr>
            <w:tcW w:w="980" w:type="dxa"/>
            <w:vAlign w:val="bottom"/>
          </w:tcPr>
          <w:p>
            <w:pPr>
              <w:spacing w:after="0"/>
              <w:rPr>
                <w:sz w:val="18"/>
                <w:szCs w:val="18"/>
                <w:color w:val="auto"/>
              </w:rPr>
            </w:pPr>
          </w:p>
        </w:tc>
        <w:tc>
          <w:tcPr>
            <w:tcW w:w="800" w:type="dxa"/>
            <w:vAlign w:val="bottom"/>
          </w:tcPr>
          <w:p>
            <w:pPr>
              <w:jc w:val="right"/>
              <w:ind w:right="61"/>
              <w:spacing w:after="0"/>
              <w:rPr>
                <w:sz w:val="20"/>
                <w:szCs w:val="20"/>
                <w:color w:val="auto"/>
              </w:rPr>
            </w:pPr>
            <w:r>
              <w:rPr>
                <w:rFonts w:ascii="Arial" w:cs="Arial" w:eastAsia="Arial" w:hAnsi="Arial"/>
                <w:sz w:val="16"/>
                <w:szCs w:val="16"/>
                <w:color w:val="auto"/>
              </w:rPr>
              <w:t>855</w:t>
            </w:r>
          </w:p>
        </w:tc>
        <w:tc>
          <w:tcPr>
            <w:tcW w:w="9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807</w:t>
            </w:r>
          </w:p>
        </w:tc>
        <w:tc>
          <w:tcPr>
            <w:tcW w:w="380" w:type="dxa"/>
            <w:vAlign w:val="bottom"/>
          </w:tcPr>
          <w:p>
            <w:pPr>
              <w:spacing w:after="0"/>
              <w:rPr>
                <w:sz w:val="18"/>
                <w:szCs w:val="18"/>
                <w:color w:val="auto"/>
              </w:rPr>
            </w:pPr>
          </w:p>
        </w:tc>
        <w:tc>
          <w:tcPr>
            <w:tcW w:w="1260" w:type="dxa"/>
            <w:vAlign w:val="bottom"/>
          </w:tcPr>
          <w:p>
            <w:pPr>
              <w:jc w:val="right"/>
              <w:ind w:right="81"/>
              <w:spacing w:after="0"/>
              <w:rPr>
                <w:sz w:val="20"/>
                <w:szCs w:val="20"/>
                <w:color w:val="auto"/>
              </w:rPr>
            </w:pPr>
            <w:r>
              <w:rPr>
                <w:rFonts w:ascii="Arial" w:cs="Arial" w:eastAsia="Arial" w:hAnsi="Arial"/>
                <w:sz w:val="16"/>
                <w:szCs w:val="16"/>
                <w:color w:val="auto"/>
              </w:rPr>
              <w:t>2,857</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2,694</w:t>
            </w:r>
          </w:p>
        </w:tc>
      </w:tr>
      <w:tr>
        <w:trPr>
          <w:trHeight w:val="213"/>
        </w:trPr>
        <w:tc>
          <w:tcPr>
            <w:tcW w:w="4820" w:type="dxa"/>
            <w:vAlign w:val="bottom"/>
          </w:tcPr>
          <w:p>
            <w:pPr>
              <w:ind w:left="100"/>
              <w:spacing w:after="0"/>
              <w:rPr>
                <w:sz w:val="20"/>
                <w:szCs w:val="20"/>
                <w:color w:val="auto"/>
              </w:rPr>
            </w:pPr>
            <w:r>
              <w:rPr>
                <w:rFonts w:ascii="Arial" w:cs="Arial" w:eastAsia="Arial" w:hAnsi="Arial"/>
                <w:sz w:val="16"/>
                <w:szCs w:val="16"/>
                <w:color w:val="auto"/>
              </w:rPr>
              <w:t>SDG&amp;E</w:t>
            </w:r>
          </w:p>
        </w:tc>
        <w:tc>
          <w:tcPr>
            <w:tcW w:w="980" w:type="dxa"/>
            <w:vAlign w:val="bottom"/>
          </w:tcPr>
          <w:p>
            <w:pPr>
              <w:spacing w:after="0"/>
              <w:rPr>
                <w:sz w:val="18"/>
                <w:szCs w:val="18"/>
                <w:color w:val="auto"/>
              </w:rPr>
            </w:pPr>
          </w:p>
        </w:tc>
        <w:tc>
          <w:tcPr>
            <w:tcW w:w="800" w:type="dxa"/>
            <w:vAlign w:val="bottom"/>
          </w:tcPr>
          <w:p>
            <w:pPr>
              <w:jc w:val="right"/>
              <w:ind w:right="61"/>
              <w:spacing w:after="0"/>
              <w:rPr>
                <w:sz w:val="20"/>
                <w:szCs w:val="20"/>
                <w:color w:val="auto"/>
              </w:rPr>
            </w:pPr>
            <w:r>
              <w:rPr>
                <w:rFonts w:ascii="Arial" w:cs="Arial" w:eastAsia="Arial" w:hAnsi="Arial"/>
                <w:sz w:val="16"/>
                <w:szCs w:val="16"/>
                <w:color w:val="auto"/>
              </w:rPr>
              <w:t>100</w:t>
            </w:r>
          </w:p>
        </w:tc>
        <w:tc>
          <w:tcPr>
            <w:tcW w:w="9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93</w:t>
            </w:r>
          </w:p>
        </w:tc>
        <w:tc>
          <w:tcPr>
            <w:tcW w:w="380" w:type="dxa"/>
            <w:vAlign w:val="bottom"/>
          </w:tcPr>
          <w:p>
            <w:pPr>
              <w:spacing w:after="0"/>
              <w:rPr>
                <w:sz w:val="18"/>
                <w:szCs w:val="18"/>
                <w:color w:val="auto"/>
              </w:rPr>
            </w:pPr>
          </w:p>
        </w:tc>
        <w:tc>
          <w:tcPr>
            <w:tcW w:w="1260" w:type="dxa"/>
            <w:vAlign w:val="bottom"/>
          </w:tcPr>
          <w:p>
            <w:pPr>
              <w:jc w:val="right"/>
              <w:ind w:right="81"/>
              <w:spacing w:after="0"/>
              <w:rPr>
                <w:sz w:val="20"/>
                <w:szCs w:val="20"/>
                <w:color w:val="auto"/>
              </w:rPr>
            </w:pPr>
            <w:r>
              <w:rPr>
                <w:rFonts w:ascii="Arial" w:cs="Arial" w:eastAsia="Arial" w:hAnsi="Arial"/>
                <w:sz w:val="16"/>
                <w:szCs w:val="16"/>
                <w:color w:val="auto"/>
              </w:rPr>
              <w:t>391</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381</w:t>
            </w:r>
          </w:p>
        </w:tc>
      </w:tr>
      <w:tr>
        <w:trPr>
          <w:trHeight w:val="213"/>
        </w:trPr>
        <w:tc>
          <w:tcPr>
            <w:tcW w:w="4820" w:type="dxa"/>
            <w:vAlign w:val="bottom"/>
          </w:tcPr>
          <w:p>
            <w:pPr>
              <w:ind w:left="100"/>
              <w:spacing w:after="0"/>
              <w:rPr>
                <w:sz w:val="20"/>
                <w:szCs w:val="20"/>
                <w:color w:val="auto"/>
              </w:rPr>
            </w:pPr>
            <w:r>
              <w:rPr>
                <w:rFonts w:ascii="Arial" w:cs="Arial" w:eastAsia="Arial" w:hAnsi="Arial"/>
                <w:sz w:val="16"/>
                <w:szCs w:val="16"/>
                <w:color w:val="auto"/>
              </w:rPr>
              <w:t>Sempra Mexico</w:t>
            </w:r>
          </w:p>
        </w:tc>
        <w:tc>
          <w:tcPr>
            <w:tcW w:w="980" w:type="dxa"/>
            <w:vAlign w:val="bottom"/>
          </w:tcPr>
          <w:p>
            <w:pPr>
              <w:spacing w:after="0"/>
              <w:rPr>
                <w:sz w:val="18"/>
                <w:szCs w:val="18"/>
                <w:color w:val="auto"/>
              </w:rPr>
            </w:pPr>
          </w:p>
        </w:tc>
        <w:tc>
          <w:tcPr>
            <w:tcW w:w="800" w:type="dxa"/>
            <w:vAlign w:val="bottom"/>
          </w:tcPr>
          <w:p>
            <w:pPr>
              <w:jc w:val="right"/>
              <w:ind w:right="61"/>
              <w:spacing w:after="0"/>
              <w:rPr>
                <w:sz w:val="20"/>
                <w:szCs w:val="20"/>
                <w:color w:val="auto"/>
              </w:rPr>
            </w:pPr>
            <w:r>
              <w:rPr>
                <w:rFonts w:ascii="Arial" w:cs="Arial" w:eastAsia="Arial" w:hAnsi="Arial"/>
                <w:sz w:val="16"/>
                <w:szCs w:val="16"/>
                <w:color w:val="auto"/>
              </w:rPr>
              <w:t>23</w:t>
            </w:r>
          </w:p>
        </w:tc>
        <w:tc>
          <w:tcPr>
            <w:tcW w:w="9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21</w:t>
            </w:r>
          </w:p>
        </w:tc>
        <w:tc>
          <w:tcPr>
            <w:tcW w:w="380" w:type="dxa"/>
            <w:vAlign w:val="bottom"/>
          </w:tcPr>
          <w:p>
            <w:pPr>
              <w:spacing w:after="0"/>
              <w:rPr>
                <w:sz w:val="18"/>
                <w:szCs w:val="18"/>
                <w:color w:val="auto"/>
              </w:rPr>
            </w:pPr>
          </w:p>
        </w:tc>
        <w:tc>
          <w:tcPr>
            <w:tcW w:w="1260" w:type="dxa"/>
            <w:vAlign w:val="bottom"/>
          </w:tcPr>
          <w:p>
            <w:pPr>
              <w:jc w:val="right"/>
              <w:ind w:right="81"/>
              <w:spacing w:after="0"/>
              <w:rPr>
                <w:sz w:val="20"/>
                <w:szCs w:val="20"/>
                <w:color w:val="auto"/>
              </w:rPr>
            </w:pPr>
            <w:r>
              <w:rPr>
                <w:rFonts w:ascii="Arial" w:cs="Arial" w:eastAsia="Arial" w:hAnsi="Arial"/>
                <w:sz w:val="16"/>
                <w:szCs w:val="16"/>
                <w:color w:val="auto"/>
              </w:rPr>
              <w:t>82</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13"/>
        </w:trPr>
        <w:tc>
          <w:tcPr>
            <w:tcW w:w="4820" w:type="dxa"/>
            <w:vAlign w:val="bottom"/>
          </w:tcPr>
          <w:p>
            <w:pPr>
              <w:ind w:left="100"/>
              <w:spacing w:after="0"/>
              <w:rPr>
                <w:sz w:val="20"/>
                <w:szCs w:val="20"/>
                <w:color w:val="auto"/>
              </w:rPr>
            </w:pPr>
            <w:r>
              <w:rPr>
                <w:rFonts w:ascii="Arial" w:cs="Arial" w:eastAsia="Arial" w:hAnsi="Arial"/>
                <w:sz w:val="16"/>
                <w:szCs w:val="16"/>
                <w:color w:val="auto"/>
              </w:rPr>
              <w:t>Sempra Natural Gas</w:t>
            </w:r>
          </w:p>
        </w:tc>
        <w:tc>
          <w:tcPr>
            <w:tcW w:w="980" w:type="dxa"/>
            <w:vAlign w:val="bottom"/>
          </w:tcPr>
          <w:p>
            <w:pPr>
              <w:spacing w:after="0"/>
              <w:rPr>
                <w:sz w:val="18"/>
                <w:szCs w:val="18"/>
                <w:color w:val="auto"/>
              </w:rPr>
            </w:pPr>
          </w:p>
        </w:tc>
        <w:tc>
          <w:tcPr>
            <w:tcW w:w="800" w:type="dxa"/>
            <w:vAlign w:val="bottom"/>
          </w:tcPr>
          <w:p>
            <w:pPr>
              <w:jc w:val="right"/>
              <w:ind w:right="61"/>
              <w:spacing w:after="0"/>
              <w:rPr>
                <w:sz w:val="20"/>
                <w:szCs w:val="20"/>
                <w:color w:val="auto"/>
              </w:rPr>
            </w:pPr>
            <w:r>
              <w:rPr>
                <w:rFonts w:ascii="Arial" w:cs="Arial" w:eastAsia="Arial" w:hAnsi="Arial"/>
                <w:sz w:val="16"/>
                <w:szCs w:val="16"/>
                <w:color w:val="auto"/>
              </w:rPr>
              <w:t>17</w:t>
            </w:r>
          </w:p>
        </w:tc>
        <w:tc>
          <w:tcPr>
            <w:tcW w:w="9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17</w:t>
            </w:r>
          </w:p>
        </w:tc>
        <w:tc>
          <w:tcPr>
            <w:tcW w:w="380" w:type="dxa"/>
            <w:vAlign w:val="bottom"/>
          </w:tcPr>
          <w:p>
            <w:pPr>
              <w:spacing w:after="0"/>
              <w:rPr>
                <w:sz w:val="18"/>
                <w:szCs w:val="18"/>
                <w:color w:val="auto"/>
              </w:rPr>
            </w:pPr>
          </w:p>
        </w:tc>
        <w:tc>
          <w:tcPr>
            <w:tcW w:w="1260" w:type="dxa"/>
            <w:vAlign w:val="bottom"/>
          </w:tcPr>
          <w:p>
            <w:pPr>
              <w:jc w:val="right"/>
              <w:ind w:right="81"/>
              <w:spacing w:after="0"/>
              <w:rPr>
                <w:sz w:val="20"/>
                <w:szCs w:val="20"/>
                <w:color w:val="auto"/>
              </w:rPr>
            </w:pPr>
            <w:r>
              <w:rPr>
                <w:rFonts w:ascii="Arial" w:cs="Arial" w:eastAsia="Arial" w:hAnsi="Arial"/>
                <w:sz w:val="16"/>
                <w:szCs w:val="16"/>
                <w:color w:val="auto"/>
              </w:rPr>
              <w:t>84</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79</w:t>
            </w:r>
          </w:p>
        </w:tc>
      </w:tr>
      <w:tr>
        <w:trPr>
          <w:trHeight w:val="204"/>
        </w:trPr>
        <w:tc>
          <w:tcPr>
            <w:tcW w:w="4820" w:type="dxa"/>
            <w:vAlign w:val="bottom"/>
          </w:tcPr>
          <w:p>
            <w:pPr>
              <w:ind w:left="100"/>
              <w:spacing w:after="0"/>
              <w:rPr>
                <w:sz w:val="20"/>
                <w:szCs w:val="20"/>
                <w:color w:val="auto"/>
              </w:rPr>
            </w:pPr>
            <w:r>
              <w:rPr>
                <w:rFonts w:ascii="Arial" w:cs="Arial" w:eastAsia="Arial" w:hAnsi="Arial"/>
                <w:sz w:val="16"/>
                <w:szCs w:val="16"/>
                <w:color w:val="auto"/>
              </w:rPr>
              <w:t>Eliminations and adjustments</w:t>
            </w:r>
          </w:p>
        </w:tc>
        <w:tc>
          <w:tcPr>
            <w:tcW w:w="9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(17)</w:t>
            </w:r>
          </w:p>
        </w:tc>
        <w:tc>
          <w:tcPr>
            <w:tcW w:w="9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(53)</w:t>
            </w:r>
          </w:p>
        </w:tc>
        <w:tc>
          <w:tcPr>
            <w:tcW w:w="5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r>
      <w:tr>
        <w:trPr>
          <w:trHeight w:val="206"/>
        </w:trPr>
        <w:tc>
          <w:tcPr>
            <w:tcW w:w="4820" w:type="dxa"/>
            <w:vAlign w:val="bottom"/>
          </w:tcPr>
          <w:p>
            <w:pPr>
              <w:ind w:left="400"/>
              <w:spacing w:after="0"/>
              <w:rPr>
                <w:sz w:val="20"/>
                <w:szCs w:val="20"/>
                <w:color w:val="auto"/>
              </w:rPr>
            </w:pPr>
            <w:r>
              <w:rPr>
                <w:rFonts w:ascii="Arial" w:cs="Arial" w:eastAsia="Arial" w:hAnsi="Arial"/>
                <w:sz w:val="16"/>
                <w:szCs w:val="16"/>
                <w:color w:val="auto"/>
              </w:rPr>
              <w:t>Total</w:t>
            </w:r>
          </w:p>
        </w:tc>
        <w:tc>
          <w:tcPr>
            <w:tcW w:w="9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978</w:t>
            </w:r>
          </w:p>
        </w:tc>
        <w:tc>
          <w:tcPr>
            <w:tcW w:w="9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921</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3,361</w:t>
            </w:r>
          </w:p>
        </w:tc>
        <w:tc>
          <w:tcPr>
            <w:tcW w:w="5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3,176</w:t>
            </w:r>
          </w:p>
        </w:tc>
      </w:tr>
      <w:tr>
        <w:trPr>
          <w:trHeight w:val="173"/>
        </w:trPr>
        <w:tc>
          <w:tcPr>
            <w:tcW w:w="4820" w:type="dxa"/>
            <w:vAlign w:val="bottom"/>
          </w:tcPr>
          <w:p>
            <w:pPr>
              <w:ind w:left="180"/>
              <w:spacing w:after="0" w:line="166" w:lineRule="exact"/>
              <w:rPr>
                <w:sz w:val="20"/>
                <w:szCs w:val="20"/>
                <w:color w:val="auto"/>
              </w:rPr>
            </w:pPr>
            <w:r>
              <w:rPr>
                <w:rFonts w:ascii="Arial" w:cs="Arial" w:eastAsia="Arial" w:hAnsi="Arial"/>
                <w:sz w:val="16"/>
                <w:szCs w:val="16"/>
                <w:color w:val="auto"/>
              </w:rPr>
              <w:t>Total utilities revenues</w:t>
            </w:r>
          </w:p>
        </w:tc>
        <w:tc>
          <w:tcPr>
            <w:tcW w:w="980" w:type="dxa"/>
            <w:vAlign w:val="bottom"/>
            <w:tcBorders>
              <w:bottom w:val="single" w:sz="8" w:color="auto"/>
            </w:tcBorders>
          </w:tcPr>
          <w:p>
            <w:pPr>
              <w:jc w:val="right"/>
              <w:ind w:right="502"/>
              <w:spacing w:after="0" w:line="166" w:lineRule="exact"/>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61"/>
              <w:spacing w:after="0" w:line="166" w:lineRule="exact"/>
              <w:rPr>
                <w:sz w:val="20"/>
                <w:szCs w:val="20"/>
                <w:color w:val="auto"/>
              </w:rPr>
            </w:pPr>
            <w:r>
              <w:rPr>
                <w:rFonts w:ascii="Arial" w:cs="Arial" w:eastAsia="Arial" w:hAnsi="Arial"/>
                <w:sz w:val="16"/>
                <w:szCs w:val="16"/>
                <w:color w:val="auto"/>
              </w:rPr>
              <w:t>2,463</w:t>
            </w:r>
          </w:p>
        </w:tc>
        <w:tc>
          <w:tcPr>
            <w:tcW w:w="960" w:type="dxa"/>
            <w:vAlign w:val="bottom"/>
            <w:tcBorders>
              <w:bottom w:val="single" w:sz="8" w:color="auto"/>
            </w:tcBorders>
          </w:tcPr>
          <w:p>
            <w:pPr>
              <w:jc w:val="right"/>
              <w:ind w:right="622"/>
              <w:spacing w:after="0" w:line="166" w:lineRule="exact"/>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2,223</w:t>
            </w:r>
          </w:p>
        </w:tc>
        <w:tc>
          <w:tcPr>
            <w:tcW w:w="1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ind w:right="60"/>
              <w:spacing w:after="0" w:line="166" w:lineRule="exact"/>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81"/>
              <w:spacing w:after="0" w:line="166" w:lineRule="exact"/>
              <w:rPr>
                <w:sz w:val="20"/>
                <w:szCs w:val="20"/>
                <w:color w:val="auto"/>
              </w:rPr>
            </w:pPr>
            <w:r>
              <w:rPr>
                <w:rFonts w:ascii="Arial" w:cs="Arial" w:eastAsia="Arial" w:hAnsi="Arial"/>
                <w:sz w:val="16"/>
                <w:szCs w:val="16"/>
                <w:color w:val="auto"/>
              </w:rPr>
              <w:t>7,318</w:t>
            </w:r>
          </w:p>
        </w:tc>
        <w:tc>
          <w:tcPr>
            <w:tcW w:w="500" w:type="dxa"/>
            <w:vAlign w:val="bottom"/>
            <w:tcBorders>
              <w:bottom w:val="single" w:sz="8" w:color="auto"/>
            </w:tcBorders>
          </w:tcPr>
          <w:p>
            <w:pPr>
              <w:jc w:val="right"/>
              <w:ind w:right="160"/>
              <w:spacing w:after="0" w:line="166"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6,889</w:t>
            </w:r>
          </w:p>
        </w:tc>
      </w:tr>
      <w:tr>
        <w:trPr>
          <w:trHeight w:val="201"/>
        </w:trPr>
        <w:tc>
          <w:tcPr>
            <w:tcW w:w="4820" w:type="dxa"/>
            <w:vAlign w:val="bottom"/>
          </w:tcPr>
          <w:p>
            <w:pPr>
              <w:spacing w:after="0"/>
              <w:rPr>
                <w:sz w:val="20"/>
                <w:szCs w:val="20"/>
                <w:color w:val="auto"/>
              </w:rPr>
            </w:pPr>
            <w:r>
              <w:rPr>
                <w:rFonts w:ascii="Arial" w:cs="Arial" w:eastAsia="Arial" w:hAnsi="Arial"/>
                <w:sz w:val="16"/>
                <w:szCs w:val="16"/>
                <w:b w:val="1"/>
                <w:bCs w:val="1"/>
                <w:color w:val="auto"/>
              </w:rPr>
              <w:t>Cost of electric fuel and purchased power:</w:t>
            </w:r>
          </w:p>
        </w:tc>
        <w:tc>
          <w:tcPr>
            <w:tcW w:w="9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2"/>
        </w:trPr>
        <w:tc>
          <w:tcPr>
            <w:tcW w:w="4820" w:type="dxa"/>
            <w:vAlign w:val="bottom"/>
          </w:tcPr>
          <w:p>
            <w:pPr>
              <w:ind w:left="100"/>
              <w:spacing w:after="0"/>
              <w:rPr>
                <w:sz w:val="20"/>
                <w:szCs w:val="20"/>
                <w:color w:val="auto"/>
              </w:rPr>
            </w:pPr>
            <w:r>
              <w:rPr>
                <w:rFonts w:ascii="Arial" w:cs="Arial" w:eastAsia="Arial" w:hAnsi="Arial"/>
                <w:sz w:val="16"/>
                <w:szCs w:val="16"/>
                <w:color w:val="auto"/>
              </w:rPr>
              <w:t>SDG&amp;E</w:t>
            </w:r>
          </w:p>
        </w:tc>
        <w:tc>
          <w:tcPr>
            <w:tcW w:w="980" w:type="dxa"/>
            <w:vAlign w:val="bottom"/>
          </w:tcPr>
          <w:p>
            <w:pPr>
              <w:jc w:val="right"/>
              <w:ind w:right="502"/>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61"/>
              <w:spacing w:after="0"/>
              <w:rPr>
                <w:sz w:val="20"/>
                <w:szCs w:val="20"/>
                <w:color w:val="auto"/>
              </w:rPr>
            </w:pPr>
            <w:r>
              <w:rPr>
                <w:rFonts w:ascii="Arial" w:cs="Arial" w:eastAsia="Arial" w:hAnsi="Arial"/>
                <w:sz w:val="16"/>
                <w:szCs w:val="16"/>
                <w:color w:val="auto"/>
              </w:rPr>
              <w:t>441</w:t>
            </w:r>
          </w:p>
        </w:tc>
        <w:tc>
          <w:tcPr>
            <w:tcW w:w="960" w:type="dxa"/>
            <w:vAlign w:val="bottom"/>
          </w:tcPr>
          <w:p>
            <w:pPr>
              <w:jc w:val="right"/>
              <w:ind w:right="622"/>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315</w:t>
            </w:r>
          </w:p>
        </w:tc>
        <w:tc>
          <w:tcPr>
            <w:tcW w:w="3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81"/>
              <w:spacing w:after="0"/>
              <w:rPr>
                <w:sz w:val="20"/>
                <w:szCs w:val="20"/>
                <w:color w:val="auto"/>
              </w:rPr>
            </w:pPr>
            <w:r>
              <w:rPr>
                <w:rFonts w:ascii="Arial" w:cs="Arial" w:eastAsia="Arial" w:hAnsi="Arial"/>
                <w:sz w:val="16"/>
                <w:szCs w:val="16"/>
                <w:color w:val="auto"/>
              </w:rPr>
              <w:t>1,036</w:t>
            </w:r>
          </w:p>
        </w:tc>
        <w:tc>
          <w:tcPr>
            <w:tcW w:w="50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776</w:t>
            </w:r>
          </w:p>
        </w:tc>
      </w:tr>
      <w:tr>
        <w:trPr>
          <w:trHeight w:val="211"/>
        </w:trPr>
        <w:tc>
          <w:tcPr>
            <w:tcW w:w="4820" w:type="dxa"/>
            <w:vAlign w:val="bottom"/>
          </w:tcPr>
          <w:p>
            <w:pPr>
              <w:ind w:left="100"/>
              <w:spacing w:after="0"/>
              <w:rPr>
                <w:sz w:val="20"/>
                <w:szCs w:val="20"/>
                <w:color w:val="auto"/>
              </w:rPr>
            </w:pPr>
            <w:r>
              <w:rPr>
                <w:rFonts w:ascii="Arial" w:cs="Arial" w:eastAsia="Arial" w:hAnsi="Arial"/>
                <w:sz w:val="16"/>
                <w:szCs w:val="16"/>
                <w:color w:val="auto"/>
              </w:rPr>
              <w:t>Sempra South American Utilities</w:t>
            </w:r>
          </w:p>
        </w:tc>
        <w:tc>
          <w:tcPr>
            <w:tcW w:w="9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239</w:t>
            </w:r>
          </w:p>
        </w:tc>
        <w:tc>
          <w:tcPr>
            <w:tcW w:w="9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222</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725</w:t>
            </w: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685</w:t>
            </w:r>
          </w:p>
        </w:tc>
      </w:tr>
      <w:tr>
        <w:trPr>
          <w:trHeight w:val="193"/>
        </w:trPr>
        <w:tc>
          <w:tcPr>
            <w:tcW w:w="4820" w:type="dxa"/>
            <w:vAlign w:val="bottom"/>
          </w:tcPr>
          <w:p>
            <w:pPr>
              <w:ind w:left="400"/>
              <w:spacing w:after="0"/>
              <w:rPr>
                <w:sz w:val="20"/>
                <w:szCs w:val="20"/>
                <w:color w:val="auto"/>
              </w:rPr>
            </w:pPr>
            <w:r>
              <w:rPr>
                <w:rFonts w:ascii="Arial" w:cs="Arial" w:eastAsia="Arial" w:hAnsi="Arial"/>
                <w:sz w:val="16"/>
                <w:szCs w:val="16"/>
                <w:color w:val="auto"/>
              </w:rPr>
              <w:t>Total</w:t>
            </w:r>
          </w:p>
        </w:tc>
        <w:tc>
          <w:tcPr>
            <w:tcW w:w="98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680</w:t>
            </w:r>
          </w:p>
        </w:tc>
        <w:tc>
          <w:tcPr>
            <w:tcW w:w="960" w:type="dxa"/>
            <w:vAlign w:val="bottom"/>
            <w:tcBorders>
              <w:bottom w:val="single" w:sz="8" w:color="auto"/>
            </w:tcBorders>
          </w:tcPr>
          <w:p>
            <w:pPr>
              <w:jc w:val="right"/>
              <w:ind w:right="622"/>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537</w:t>
            </w:r>
          </w:p>
        </w:tc>
        <w:tc>
          <w:tcPr>
            <w:tcW w:w="3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1,761</w:t>
            </w:r>
          </w:p>
        </w:tc>
        <w:tc>
          <w:tcPr>
            <w:tcW w:w="5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1,461</w:t>
            </w:r>
          </w:p>
        </w:tc>
      </w:tr>
      <w:tr>
        <w:trPr>
          <w:trHeight w:val="201"/>
        </w:trPr>
        <w:tc>
          <w:tcPr>
            <w:tcW w:w="4820" w:type="dxa"/>
            <w:vAlign w:val="bottom"/>
          </w:tcPr>
          <w:p>
            <w:pPr>
              <w:spacing w:after="0"/>
              <w:rPr>
                <w:sz w:val="20"/>
                <w:szCs w:val="20"/>
                <w:color w:val="auto"/>
              </w:rPr>
            </w:pPr>
            <w:r>
              <w:rPr>
                <w:rFonts w:ascii="Arial" w:cs="Arial" w:eastAsia="Arial" w:hAnsi="Arial"/>
                <w:sz w:val="16"/>
                <w:szCs w:val="16"/>
                <w:b w:val="1"/>
                <w:bCs w:val="1"/>
                <w:color w:val="auto"/>
              </w:rPr>
              <w:t>Cost of natural gas:</w:t>
            </w:r>
          </w:p>
        </w:tc>
        <w:tc>
          <w:tcPr>
            <w:tcW w:w="9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2"/>
        </w:trPr>
        <w:tc>
          <w:tcPr>
            <w:tcW w:w="4820" w:type="dxa"/>
            <w:vAlign w:val="bottom"/>
          </w:tcPr>
          <w:p>
            <w:pPr>
              <w:ind w:left="100"/>
              <w:spacing w:after="0"/>
              <w:rPr>
                <w:sz w:val="20"/>
                <w:szCs w:val="20"/>
                <w:color w:val="auto"/>
              </w:rPr>
            </w:pPr>
            <w:r>
              <w:rPr>
                <w:rFonts w:ascii="Arial" w:cs="Arial" w:eastAsia="Arial" w:hAnsi="Arial"/>
                <w:sz w:val="16"/>
                <w:szCs w:val="16"/>
                <w:color w:val="auto"/>
              </w:rPr>
              <w:t>SoCalGas</w:t>
            </w:r>
          </w:p>
        </w:tc>
        <w:tc>
          <w:tcPr>
            <w:tcW w:w="980" w:type="dxa"/>
            <w:vAlign w:val="bottom"/>
          </w:tcPr>
          <w:p>
            <w:pPr>
              <w:jc w:val="right"/>
              <w:ind w:right="502"/>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61"/>
              <w:spacing w:after="0"/>
              <w:rPr>
                <w:sz w:val="20"/>
                <w:szCs w:val="20"/>
                <w:color w:val="auto"/>
              </w:rPr>
            </w:pPr>
            <w:r>
              <w:rPr>
                <w:rFonts w:ascii="Arial" w:cs="Arial" w:eastAsia="Arial" w:hAnsi="Arial"/>
                <w:sz w:val="16"/>
                <w:szCs w:val="16"/>
                <w:color w:val="auto"/>
              </w:rPr>
              <w:t>237</w:t>
            </w:r>
          </w:p>
        </w:tc>
        <w:tc>
          <w:tcPr>
            <w:tcW w:w="960" w:type="dxa"/>
            <w:vAlign w:val="bottom"/>
          </w:tcPr>
          <w:p>
            <w:pPr>
              <w:jc w:val="right"/>
              <w:ind w:right="622"/>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209</w:t>
            </w:r>
          </w:p>
        </w:tc>
        <w:tc>
          <w:tcPr>
            <w:tcW w:w="3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81"/>
              <w:spacing w:after="0"/>
              <w:rPr>
                <w:sz w:val="20"/>
                <w:szCs w:val="20"/>
                <w:color w:val="auto"/>
              </w:rPr>
            </w:pPr>
            <w:r>
              <w:rPr>
                <w:rFonts w:ascii="Arial" w:cs="Arial" w:eastAsia="Arial" w:hAnsi="Arial"/>
                <w:sz w:val="16"/>
                <w:szCs w:val="16"/>
                <w:color w:val="auto"/>
              </w:rPr>
              <w:t>1,066</w:t>
            </w:r>
          </w:p>
        </w:tc>
        <w:tc>
          <w:tcPr>
            <w:tcW w:w="50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966</w:t>
            </w:r>
          </w:p>
        </w:tc>
      </w:tr>
      <w:tr>
        <w:trPr>
          <w:trHeight w:val="213"/>
        </w:trPr>
        <w:tc>
          <w:tcPr>
            <w:tcW w:w="4820" w:type="dxa"/>
            <w:vAlign w:val="bottom"/>
          </w:tcPr>
          <w:p>
            <w:pPr>
              <w:ind w:left="100"/>
              <w:spacing w:after="0"/>
              <w:rPr>
                <w:sz w:val="20"/>
                <w:szCs w:val="20"/>
                <w:color w:val="auto"/>
              </w:rPr>
            </w:pPr>
            <w:r>
              <w:rPr>
                <w:rFonts w:ascii="Arial" w:cs="Arial" w:eastAsia="Arial" w:hAnsi="Arial"/>
                <w:sz w:val="16"/>
                <w:szCs w:val="16"/>
                <w:color w:val="auto"/>
              </w:rPr>
              <w:t>SDG&amp;E</w:t>
            </w:r>
          </w:p>
        </w:tc>
        <w:tc>
          <w:tcPr>
            <w:tcW w:w="980" w:type="dxa"/>
            <w:vAlign w:val="bottom"/>
          </w:tcPr>
          <w:p>
            <w:pPr>
              <w:spacing w:after="0"/>
              <w:rPr>
                <w:sz w:val="18"/>
                <w:szCs w:val="18"/>
                <w:color w:val="auto"/>
              </w:rPr>
            </w:pPr>
          </w:p>
        </w:tc>
        <w:tc>
          <w:tcPr>
            <w:tcW w:w="800" w:type="dxa"/>
            <w:vAlign w:val="bottom"/>
          </w:tcPr>
          <w:p>
            <w:pPr>
              <w:jc w:val="right"/>
              <w:ind w:right="61"/>
              <w:spacing w:after="0"/>
              <w:rPr>
                <w:sz w:val="20"/>
                <w:szCs w:val="20"/>
                <w:color w:val="auto"/>
              </w:rPr>
            </w:pPr>
            <w:r>
              <w:rPr>
                <w:rFonts w:ascii="Arial" w:cs="Arial" w:eastAsia="Arial" w:hAnsi="Arial"/>
                <w:sz w:val="16"/>
                <w:szCs w:val="16"/>
                <w:color w:val="auto"/>
              </w:rPr>
              <w:t>39</w:t>
            </w:r>
          </w:p>
        </w:tc>
        <w:tc>
          <w:tcPr>
            <w:tcW w:w="9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36</w:t>
            </w:r>
          </w:p>
        </w:tc>
        <w:tc>
          <w:tcPr>
            <w:tcW w:w="380" w:type="dxa"/>
            <w:vAlign w:val="bottom"/>
          </w:tcPr>
          <w:p>
            <w:pPr>
              <w:spacing w:after="0"/>
              <w:rPr>
                <w:sz w:val="18"/>
                <w:szCs w:val="18"/>
                <w:color w:val="auto"/>
              </w:rPr>
            </w:pPr>
          </w:p>
        </w:tc>
        <w:tc>
          <w:tcPr>
            <w:tcW w:w="1260" w:type="dxa"/>
            <w:vAlign w:val="bottom"/>
          </w:tcPr>
          <w:p>
            <w:pPr>
              <w:jc w:val="right"/>
              <w:ind w:right="81"/>
              <w:spacing w:after="0"/>
              <w:rPr>
                <w:sz w:val="20"/>
                <w:szCs w:val="20"/>
                <w:color w:val="auto"/>
              </w:rPr>
            </w:pPr>
            <w:r>
              <w:rPr>
                <w:rFonts w:ascii="Arial" w:cs="Arial" w:eastAsia="Arial" w:hAnsi="Arial"/>
                <w:sz w:val="16"/>
                <w:szCs w:val="16"/>
                <w:color w:val="auto"/>
              </w:rPr>
              <w:t>165</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157</w:t>
            </w:r>
          </w:p>
        </w:tc>
      </w:tr>
      <w:tr>
        <w:trPr>
          <w:trHeight w:val="213"/>
        </w:trPr>
        <w:tc>
          <w:tcPr>
            <w:tcW w:w="4820" w:type="dxa"/>
            <w:vAlign w:val="bottom"/>
          </w:tcPr>
          <w:p>
            <w:pPr>
              <w:ind w:left="100"/>
              <w:spacing w:after="0"/>
              <w:rPr>
                <w:sz w:val="20"/>
                <w:szCs w:val="20"/>
                <w:color w:val="auto"/>
              </w:rPr>
            </w:pPr>
            <w:r>
              <w:rPr>
                <w:rFonts w:ascii="Arial" w:cs="Arial" w:eastAsia="Arial" w:hAnsi="Arial"/>
                <w:sz w:val="16"/>
                <w:szCs w:val="16"/>
                <w:color w:val="auto"/>
              </w:rPr>
              <w:t>Sempra Mexico</w:t>
            </w:r>
          </w:p>
        </w:tc>
        <w:tc>
          <w:tcPr>
            <w:tcW w:w="980" w:type="dxa"/>
            <w:vAlign w:val="bottom"/>
          </w:tcPr>
          <w:p>
            <w:pPr>
              <w:spacing w:after="0"/>
              <w:rPr>
                <w:sz w:val="18"/>
                <w:szCs w:val="18"/>
                <w:color w:val="auto"/>
              </w:rPr>
            </w:pPr>
          </w:p>
        </w:tc>
        <w:tc>
          <w:tcPr>
            <w:tcW w:w="800" w:type="dxa"/>
            <w:vAlign w:val="bottom"/>
          </w:tcPr>
          <w:p>
            <w:pPr>
              <w:jc w:val="right"/>
              <w:ind w:right="61"/>
              <w:spacing w:after="0"/>
              <w:rPr>
                <w:sz w:val="20"/>
                <w:szCs w:val="20"/>
                <w:color w:val="auto"/>
              </w:rPr>
            </w:pPr>
            <w:r>
              <w:rPr>
                <w:rFonts w:ascii="Arial" w:cs="Arial" w:eastAsia="Arial" w:hAnsi="Arial"/>
                <w:sz w:val="16"/>
                <w:szCs w:val="16"/>
                <w:color w:val="auto"/>
              </w:rPr>
              <w:t>16</w:t>
            </w:r>
          </w:p>
        </w:tc>
        <w:tc>
          <w:tcPr>
            <w:tcW w:w="9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15</w:t>
            </w:r>
          </w:p>
        </w:tc>
        <w:tc>
          <w:tcPr>
            <w:tcW w:w="380" w:type="dxa"/>
            <w:vAlign w:val="bottom"/>
          </w:tcPr>
          <w:p>
            <w:pPr>
              <w:spacing w:after="0"/>
              <w:rPr>
                <w:sz w:val="18"/>
                <w:szCs w:val="18"/>
                <w:color w:val="auto"/>
              </w:rPr>
            </w:pPr>
          </w:p>
        </w:tc>
        <w:tc>
          <w:tcPr>
            <w:tcW w:w="1260" w:type="dxa"/>
            <w:vAlign w:val="bottom"/>
          </w:tcPr>
          <w:p>
            <w:pPr>
              <w:jc w:val="right"/>
              <w:ind w:right="81"/>
              <w:spacing w:after="0"/>
              <w:rPr>
                <w:sz w:val="20"/>
                <w:szCs w:val="20"/>
                <w:color w:val="auto"/>
              </w:rPr>
            </w:pPr>
            <w:r>
              <w:rPr>
                <w:rFonts w:ascii="Arial" w:cs="Arial" w:eastAsia="Arial" w:hAnsi="Arial"/>
                <w:sz w:val="16"/>
                <w:szCs w:val="16"/>
                <w:color w:val="auto"/>
              </w:rPr>
              <w:t>56</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13"/>
        </w:trPr>
        <w:tc>
          <w:tcPr>
            <w:tcW w:w="4820" w:type="dxa"/>
            <w:vAlign w:val="bottom"/>
          </w:tcPr>
          <w:p>
            <w:pPr>
              <w:ind w:left="100"/>
              <w:spacing w:after="0"/>
              <w:rPr>
                <w:sz w:val="20"/>
                <w:szCs w:val="20"/>
                <w:color w:val="auto"/>
              </w:rPr>
            </w:pPr>
            <w:r>
              <w:rPr>
                <w:rFonts w:ascii="Arial" w:cs="Arial" w:eastAsia="Arial" w:hAnsi="Arial"/>
                <w:sz w:val="16"/>
                <w:szCs w:val="16"/>
                <w:color w:val="auto"/>
              </w:rPr>
              <w:t>Sempra Natural Gas</w:t>
            </w:r>
          </w:p>
        </w:tc>
        <w:tc>
          <w:tcPr>
            <w:tcW w:w="980" w:type="dxa"/>
            <w:vAlign w:val="bottom"/>
          </w:tcPr>
          <w:p>
            <w:pPr>
              <w:spacing w:after="0"/>
              <w:rPr>
                <w:sz w:val="18"/>
                <w:szCs w:val="18"/>
                <w:color w:val="auto"/>
              </w:rPr>
            </w:pPr>
          </w:p>
        </w:tc>
        <w:tc>
          <w:tcPr>
            <w:tcW w:w="800" w:type="dxa"/>
            <w:vAlign w:val="bottom"/>
          </w:tcPr>
          <w:p>
            <w:pPr>
              <w:jc w:val="right"/>
              <w:ind w:right="61"/>
              <w:spacing w:after="0"/>
              <w:rPr>
                <w:sz w:val="20"/>
                <w:szCs w:val="20"/>
                <w:color w:val="auto"/>
              </w:rPr>
            </w:pPr>
            <w:r>
              <w:rPr>
                <w:rFonts w:ascii="Arial" w:cs="Arial" w:eastAsia="Arial" w:hAnsi="Arial"/>
                <w:sz w:val="16"/>
                <w:szCs w:val="16"/>
                <w:color w:val="auto"/>
              </w:rPr>
              <w:t>6</w:t>
            </w:r>
          </w:p>
        </w:tc>
        <w:tc>
          <w:tcPr>
            <w:tcW w:w="9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5</w:t>
            </w:r>
          </w:p>
        </w:tc>
        <w:tc>
          <w:tcPr>
            <w:tcW w:w="380" w:type="dxa"/>
            <w:vAlign w:val="bottom"/>
          </w:tcPr>
          <w:p>
            <w:pPr>
              <w:spacing w:after="0"/>
              <w:rPr>
                <w:sz w:val="18"/>
                <w:szCs w:val="18"/>
                <w:color w:val="auto"/>
              </w:rPr>
            </w:pPr>
          </w:p>
        </w:tc>
        <w:tc>
          <w:tcPr>
            <w:tcW w:w="1260" w:type="dxa"/>
            <w:vAlign w:val="bottom"/>
          </w:tcPr>
          <w:p>
            <w:pPr>
              <w:jc w:val="right"/>
              <w:ind w:right="81"/>
              <w:spacing w:after="0"/>
              <w:rPr>
                <w:sz w:val="20"/>
                <w:szCs w:val="20"/>
                <w:color w:val="auto"/>
              </w:rPr>
            </w:pPr>
            <w:r>
              <w:rPr>
                <w:rFonts w:ascii="Arial" w:cs="Arial" w:eastAsia="Arial" w:hAnsi="Arial"/>
                <w:sz w:val="16"/>
                <w:szCs w:val="16"/>
                <w:color w:val="auto"/>
              </w:rPr>
              <w:t>33</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04"/>
        </w:trPr>
        <w:tc>
          <w:tcPr>
            <w:tcW w:w="4820" w:type="dxa"/>
            <w:vAlign w:val="bottom"/>
          </w:tcPr>
          <w:p>
            <w:pPr>
              <w:ind w:left="100"/>
              <w:spacing w:after="0"/>
              <w:rPr>
                <w:sz w:val="20"/>
                <w:szCs w:val="20"/>
                <w:color w:val="auto"/>
              </w:rPr>
            </w:pPr>
            <w:r>
              <w:rPr>
                <w:rFonts w:ascii="Arial" w:cs="Arial" w:eastAsia="Arial" w:hAnsi="Arial"/>
                <w:sz w:val="16"/>
                <w:szCs w:val="16"/>
                <w:color w:val="auto"/>
              </w:rPr>
              <w:t>Eliminations and adjustments</w:t>
            </w:r>
          </w:p>
        </w:tc>
        <w:tc>
          <w:tcPr>
            <w:tcW w:w="9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(5)</w:t>
            </w:r>
          </w:p>
        </w:tc>
        <w:tc>
          <w:tcPr>
            <w:tcW w:w="9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(12)</w:t>
            </w:r>
          </w:p>
        </w:tc>
        <w:tc>
          <w:tcPr>
            <w:tcW w:w="5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r>
      <w:tr>
        <w:trPr>
          <w:trHeight w:val="212"/>
        </w:trPr>
        <w:tc>
          <w:tcPr>
            <w:tcW w:w="4820" w:type="dxa"/>
            <w:vAlign w:val="bottom"/>
            <w:tcBorders>
              <w:bottom w:val="single" w:sz="8" w:color="auto"/>
            </w:tcBorders>
          </w:tcPr>
          <w:p>
            <w:pPr>
              <w:ind w:left="400"/>
              <w:spacing w:after="0"/>
              <w:rPr>
                <w:sz w:val="20"/>
                <w:szCs w:val="20"/>
                <w:color w:val="auto"/>
              </w:rPr>
            </w:pPr>
            <w:r>
              <w:rPr>
                <w:rFonts w:ascii="Arial" w:cs="Arial" w:eastAsia="Arial" w:hAnsi="Arial"/>
                <w:sz w:val="16"/>
                <w:szCs w:val="16"/>
                <w:color w:val="auto"/>
              </w:rPr>
              <w:t>Total</w:t>
            </w:r>
          </w:p>
        </w:tc>
        <w:tc>
          <w:tcPr>
            <w:tcW w:w="98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293</w:t>
            </w:r>
          </w:p>
        </w:tc>
        <w:tc>
          <w:tcPr>
            <w:tcW w:w="960" w:type="dxa"/>
            <w:vAlign w:val="bottom"/>
            <w:tcBorders>
              <w:bottom w:val="single" w:sz="8" w:color="auto"/>
            </w:tcBorders>
          </w:tcPr>
          <w:p>
            <w:pPr>
              <w:jc w:val="right"/>
              <w:ind w:right="622"/>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261</w:t>
            </w:r>
          </w:p>
        </w:tc>
        <w:tc>
          <w:tcPr>
            <w:tcW w:w="3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1,308</w:t>
            </w:r>
          </w:p>
        </w:tc>
        <w:tc>
          <w:tcPr>
            <w:tcW w:w="5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1,182</w:t>
            </w:r>
          </w:p>
        </w:tc>
      </w:tr>
    </w:tbl>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Sempra Energy Consolidated</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Electric Revenues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September 30, 2014, our electric revenues increased by $183 million (14%) to $1.5 billion primarily due to:</w:t>
      </w:r>
    </w:p>
    <w:p>
      <w:pPr>
        <w:spacing w:after="0" w:line="218" w:lineRule="exact"/>
        <w:rPr>
          <w:sz w:val="20"/>
          <w:szCs w:val="20"/>
          <w:color w:val="auto"/>
        </w:rPr>
      </w:pPr>
    </w:p>
    <w:p>
      <w:pPr>
        <w:ind w:left="320" w:hanging="172"/>
        <w:spacing w:after="0"/>
        <w:tabs>
          <w:tab w:leader="none" w:pos="3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$163 million increase at SDG&amp;E, which included</w:t>
      </w:r>
    </w:p>
    <w:p>
      <w:pPr>
        <w:spacing w:after="0" w:line="244" w:lineRule="exact"/>
        <w:rPr>
          <w:rFonts w:ascii="Arial" w:cs="Arial" w:eastAsia="Arial" w:hAnsi="Arial"/>
          <w:sz w:val="18"/>
          <w:szCs w:val="18"/>
          <w:color w:val="auto"/>
        </w:rPr>
      </w:pPr>
    </w:p>
    <w:p>
      <w:pPr>
        <w:ind w:left="400" w:hanging="204"/>
        <w:spacing w:after="0"/>
        <w:tabs>
          <w:tab w:leader="none" w:pos="400" w:val="left"/>
        </w:tabs>
        <w:numPr>
          <w:ilvl w:val="1"/>
          <w:numId w:val="87"/>
        </w:numPr>
        <w:rPr>
          <w:rFonts w:ascii="Arial" w:cs="Arial" w:eastAsia="Arial" w:hAnsi="Arial"/>
          <w:sz w:val="18"/>
          <w:szCs w:val="18"/>
          <w:b w:val="1"/>
          <w:bCs w:val="1"/>
          <w:color w:val="auto"/>
        </w:rPr>
      </w:pPr>
      <w:r>
        <w:rPr>
          <w:rFonts w:ascii="Arial" w:cs="Arial" w:eastAsia="Arial" w:hAnsi="Arial"/>
          <w:sz w:val="18"/>
          <w:szCs w:val="18"/>
          <w:color w:val="auto"/>
        </w:rPr>
        <w:t>$126 million increase in cost of electric fuel and purchased power, which we discuss below, and</w:t>
      </w:r>
    </w:p>
    <w:p>
      <w:pPr>
        <w:spacing w:after="0" w:line="244" w:lineRule="exact"/>
        <w:rPr>
          <w:rFonts w:ascii="Arial" w:cs="Arial" w:eastAsia="Arial" w:hAnsi="Arial"/>
          <w:sz w:val="18"/>
          <w:szCs w:val="18"/>
          <w:b w:val="1"/>
          <w:bCs w:val="1"/>
          <w:color w:val="auto"/>
        </w:rPr>
      </w:pPr>
    </w:p>
    <w:p>
      <w:pPr>
        <w:ind w:left="400" w:hanging="204"/>
        <w:spacing w:after="0"/>
        <w:tabs>
          <w:tab w:leader="none" w:pos="400" w:val="left"/>
        </w:tabs>
        <w:numPr>
          <w:ilvl w:val="1"/>
          <w:numId w:val="87"/>
        </w:numPr>
        <w:rPr>
          <w:rFonts w:ascii="Arial" w:cs="Arial" w:eastAsia="Arial" w:hAnsi="Arial"/>
          <w:sz w:val="18"/>
          <w:szCs w:val="18"/>
          <w:b w:val="1"/>
          <w:bCs w:val="1"/>
          <w:color w:val="auto"/>
        </w:rPr>
      </w:pPr>
      <w:r>
        <w:rPr>
          <w:rFonts w:ascii="Arial" w:cs="Arial" w:eastAsia="Arial" w:hAnsi="Arial"/>
          <w:sz w:val="18"/>
          <w:szCs w:val="18"/>
          <w:color w:val="auto"/>
        </w:rPr>
        <w:t>$12 million increase in authorized revenues from 2014 attrition; and</w:t>
      </w:r>
    </w:p>
    <w:p>
      <w:pPr>
        <w:spacing w:after="0" w:line="244" w:lineRule="exact"/>
        <w:rPr>
          <w:rFonts w:ascii="Arial" w:cs="Arial" w:eastAsia="Arial" w:hAnsi="Arial"/>
          <w:sz w:val="18"/>
          <w:szCs w:val="18"/>
          <w:b w:val="1"/>
          <w:bCs w:val="1"/>
          <w:color w:val="auto"/>
        </w:rPr>
      </w:pPr>
    </w:p>
    <w:p>
      <w:pPr>
        <w:ind w:left="320" w:hanging="172"/>
        <w:spacing w:after="0" w:line="266" w:lineRule="auto"/>
        <w:tabs>
          <w:tab w:leader="none" w:pos="3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$20 million increase at Sempra South American Utilities, primarily due to higher rates and volumes at both Luz del Sur and Chilquinta Energía, offset by foreign currency exchange rate effects.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Our utilities’ cost of electric fuel and purchased power increased by $143 million (27%) to $680 million in the three months ended September 30, 2014 due to:</w:t>
      </w:r>
    </w:p>
    <w:p>
      <w:pPr>
        <w:spacing w:after="0" w:line="241" w:lineRule="exact"/>
        <w:rPr>
          <w:sz w:val="20"/>
          <w:szCs w:val="20"/>
          <w:color w:val="auto"/>
        </w:rPr>
      </w:pPr>
    </w:p>
    <w:p>
      <w:pPr>
        <w:ind w:left="320" w:hanging="172"/>
        <w:spacing w:after="0"/>
        <w:tabs>
          <w:tab w:leader="none" w:pos="3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$126 million increase at SDG&amp;E, which we discuss below; and</w:t>
      </w:r>
    </w:p>
    <w:p>
      <w:pPr>
        <w:spacing w:after="0" w:line="244" w:lineRule="exact"/>
        <w:rPr>
          <w:rFonts w:ascii="Arial" w:cs="Arial" w:eastAsia="Arial" w:hAnsi="Arial"/>
          <w:sz w:val="18"/>
          <w:szCs w:val="18"/>
          <w:color w:val="auto"/>
        </w:rPr>
      </w:pPr>
    </w:p>
    <w:p>
      <w:pPr>
        <w:ind w:left="320" w:right="20" w:hanging="172"/>
        <w:spacing w:after="0" w:line="266" w:lineRule="auto"/>
        <w:tabs>
          <w:tab w:leader="none" w:pos="3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$17 million increase at our South American utilities driven primarily by higher rates and volumes at both Luz del Sur and Chilquinta Energía, offset by foreign currency exchange rate effects.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2014, our electric revenues increased by $244 million (7%) to $4.0 billion primarily due to:</w:t>
      </w:r>
    </w:p>
    <w:p>
      <w:pPr>
        <w:spacing w:after="0" w:line="218" w:lineRule="exact"/>
        <w:rPr>
          <w:sz w:val="20"/>
          <w:szCs w:val="20"/>
          <w:color w:val="auto"/>
        </w:rPr>
      </w:pPr>
    </w:p>
    <w:p>
      <w:pPr>
        <w:ind w:left="320" w:hanging="172"/>
        <w:spacing w:after="0"/>
        <w:tabs>
          <w:tab w:leader="none" w:pos="3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$207 million increase at SDG&amp;E, which included</w:t>
      </w:r>
    </w:p>
    <w:p>
      <w:pPr>
        <w:spacing w:after="0" w:line="244" w:lineRule="exact"/>
        <w:rPr>
          <w:rFonts w:ascii="Arial" w:cs="Arial" w:eastAsia="Arial" w:hAnsi="Arial"/>
          <w:sz w:val="18"/>
          <w:szCs w:val="18"/>
          <w:color w:val="auto"/>
        </w:rPr>
      </w:pPr>
    </w:p>
    <w:p>
      <w:pPr>
        <w:ind w:left="400" w:hanging="204"/>
        <w:spacing w:after="0"/>
        <w:tabs>
          <w:tab w:leader="none" w:pos="400" w:val="left"/>
        </w:tabs>
        <w:numPr>
          <w:ilvl w:val="1"/>
          <w:numId w:val="89"/>
        </w:numPr>
        <w:rPr>
          <w:rFonts w:ascii="Arial" w:cs="Arial" w:eastAsia="Arial" w:hAnsi="Arial"/>
          <w:sz w:val="18"/>
          <w:szCs w:val="18"/>
          <w:b w:val="1"/>
          <w:bCs w:val="1"/>
          <w:color w:val="auto"/>
        </w:rPr>
      </w:pPr>
      <w:r>
        <w:rPr>
          <w:rFonts w:ascii="Arial" w:cs="Arial" w:eastAsia="Arial" w:hAnsi="Arial"/>
          <w:sz w:val="18"/>
          <w:szCs w:val="18"/>
          <w:color w:val="auto"/>
        </w:rPr>
        <w:t>$260 million increase in cost of electric fuel and purchased power, which we discuss below,</w:t>
      </w:r>
    </w:p>
    <w:p>
      <w:pPr>
        <w:spacing w:after="0" w:line="244" w:lineRule="exact"/>
        <w:rPr>
          <w:rFonts w:ascii="Arial" w:cs="Arial" w:eastAsia="Arial" w:hAnsi="Arial"/>
          <w:sz w:val="18"/>
          <w:szCs w:val="18"/>
          <w:b w:val="1"/>
          <w:bCs w:val="1"/>
          <w:color w:val="auto"/>
        </w:rPr>
      </w:pPr>
    </w:p>
    <w:p>
      <w:pPr>
        <w:ind w:left="400" w:hanging="204"/>
        <w:spacing w:after="0"/>
        <w:tabs>
          <w:tab w:leader="none" w:pos="400" w:val="left"/>
        </w:tabs>
        <w:numPr>
          <w:ilvl w:val="1"/>
          <w:numId w:val="89"/>
        </w:numPr>
        <w:rPr>
          <w:rFonts w:ascii="Arial" w:cs="Arial" w:eastAsia="Arial" w:hAnsi="Arial"/>
          <w:sz w:val="18"/>
          <w:szCs w:val="18"/>
          <w:b w:val="1"/>
          <w:bCs w:val="1"/>
          <w:color w:val="auto"/>
        </w:rPr>
      </w:pPr>
      <w:r>
        <w:rPr>
          <w:rFonts w:ascii="Arial" w:cs="Arial" w:eastAsia="Arial" w:hAnsi="Arial"/>
          <w:sz w:val="18"/>
          <w:szCs w:val="18"/>
          <w:color w:val="auto"/>
        </w:rPr>
        <w:t>$30 million increase in authorized revenues from 2014 attrition, and</w:t>
      </w:r>
    </w:p>
    <w:p>
      <w:pPr>
        <w:sectPr>
          <w:pgSz w:w="11900" w:h="16838" w:orient="portrait"/>
          <w:cols w:equalWidth="0" w:num="1">
            <w:col w:w="11420"/>
          </w:cols>
          <w:pgMar w:left="240" w:top="335" w:right="239" w:bottom="0" w:gutter="0" w:footer="0" w:header="0"/>
        </w:sectPr>
      </w:pPr>
    </w:p>
    <w:bookmarkStart w:id="64" w:name="page65"/>
    <w:bookmarkEnd w:id="64"/>
    <w:p>
      <w:pPr>
        <w:spacing w:after="0" w:line="40" w:lineRule="exact"/>
        <w:rPr>
          <w:sz w:val="20"/>
          <w:szCs w:val="20"/>
          <w:color w:val="auto"/>
        </w:rPr>
      </w:pPr>
    </w:p>
    <w:p>
      <w:pPr>
        <w:ind w:left="400" w:hanging="204"/>
        <w:spacing w:after="0"/>
        <w:tabs>
          <w:tab w:leader="none" w:pos="400" w:val="left"/>
        </w:tabs>
        <w:numPr>
          <w:ilvl w:val="1"/>
          <w:numId w:val="90"/>
        </w:numPr>
        <w:rPr>
          <w:rFonts w:ascii="Arial" w:cs="Arial" w:eastAsia="Arial" w:hAnsi="Arial"/>
          <w:sz w:val="18"/>
          <w:szCs w:val="18"/>
          <w:b w:val="1"/>
          <w:bCs w:val="1"/>
          <w:color w:val="auto"/>
        </w:rPr>
      </w:pPr>
      <w:r>
        <w:rPr>
          <w:rFonts w:ascii="Arial" w:cs="Arial" w:eastAsia="Arial" w:hAnsi="Arial"/>
          <w:sz w:val="18"/>
          <w:szCs w:val="18"/>
          <w:color w:val="auto"/>
        </w:rPr>
        <w:t xml:space="preserve">$15 million higher authorized revenue from electric transmission, </w:t>
      </w:r>
      <w:r>
        <w:rPr>
          <w:rFonts w:ascii="Arial" w:cs="Arial" w:eastAsia="Arial" w:hAnsi="Arial"/>
          <w:sz w:val="18"/>
          <w:szCs w:val="18"/>
          <w:i w:val="1"/>
          <w:iCs w:val="1"/>
          <w:color w:val="auto"/>
        </w:rPr>
        <w:t>offset by</w:t>
      </w:r>
    </w:p>
    <w:p>
      <w:pPr>
        <w:spacing w:after="0" w:line="244" w:lineRule="exact"/>
        <w:rPr>
          <w:rFonts w:ascii="Arial" w:cs="Arial" w:eastAsia="Arial" w:hAnsi="Arial"/>
          <w:sz w:val="18"/>
          <w:szCs w:val="18"/>
          <w:b w:val="1"/>
          <w:bCs w:val="1"/>
          <w:color w:val="auto"/>
        </w:rPr>
      </w:pPr>
    </w:p>
    <w:p>
      <w:pPr>
        <w:ind w:left="400" w:hanging="204"/>
        <w:spacing w:after="0" w:line="266" w:lineRule="auto"/>
        <w:tabs>
          <w:tab w:leader="none" w:pos="4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$61 million favorable impact on 2013 revenues from the retroactive application of the 2012 GRC decision for the period from January 2012 through December 2012, and</w:t>
      </w:r>
    </w:p>
    <w:p>
      <w:pPr>
        <w:spacing w:after="0" w:line="205" w:lineRule="exact"/>
        <w:rPr>
          <w:rFonts w:ascii="Arial" w:cs="Arial" w:eastAsia="Arial" w:hAnsi="Arial"/>
          <w:sz w:val="18"/>
          <w:szCs w:val="18"/>
          <w:color w:val="auto"/>
        </w:rPr>
      </w:pPr>
    </w:p>
    <w:p>
      <w:pPr>
        <w:ind w:left="400" w:hanging="204"/>
        <w:spacing w:after="0" w:line="266" w:lineRule="auto"/>
        <w:tabs>
          <w:tab w:leader="none" w:pos="4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$45 million lower recovery of costs associated with CPUC-authorized refundable programs, which revenues are fully offset in operation and maintenance expenses; and</w:t>
      </w:r>
    </w:p>
    <w:p>
      <w:pPr>
        <w:spacing w:after="0" w:line="205" w:lineRule="exact"/>
        <w:rPr>
          <w:rFonts w:ascii="Arial" w:cs="Arial" w:eastAsia="Arial" w:hAnsi="Arial"/>
          <w:sz w:val="18"/>
          <w:szCs w:val="18"/>
          <w:color w:val="auto"/>
        </w:rPr>
      </w:pPr>
    </w:p>
    <w:p>
      <w:pPr>
        <w:ind w:left="320" w:hanging="172"/>
        <w:spacing w:after="0" w:line="266" w:lineRule="auto"/>
        <w:tabs>
          <w:tab w:leader="none" w:pos="3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$38 million increase at Sempra South American Utilities, primarily due to higher rates and volumes at both Luz del Sur and Chilquinta Energía, offset by foreign currency exchange rate effects.</w:t>
      </w:r>
    </w:p>
    <w:p>
      <w:pPr>
        <w:spacing w:after="0" w:line="206" w:lineRule="exact"/>
        <w:rPr>
          <w:sz w:val="20"/>
          <w:szCs w:val="20"/>
          <w:color w:val="auto"/>
        </w:rPr>
      </w:pPr>
    </w:p>
    <w:p>
      <w:pPr>
        <w:ind w:right="1500"/>
        <w:spacing w:after="0" w:line="266" w:lineRule="auto"/>
        <w:rPr>
          <w:sz w:val="20"/>
          <w:szCs w:val="20"/>
          <w:color w:val="auto"/>
        </w:rPr>
      </w:pPr>
      <w:r>
        <w:rPr>
          <w:rFonts w:ascii="Arial" w:cs="Arial" w:eastAsia="Arial" w:hAnsi="Arial"/>
          <w:sz w:val="18"/>
          <w:szCs w:val="18"/>
          <w:color w:val="auto"/>
        </w:rPr>
        <w:t>Our utilities’ cost of electric fuel and purchased power increased by $300 million (21%) to $1.8 billion in the nine months ended September 30, 2014 due to:</w:t>
      </w:r>
    </w:p>
    <w:p>
      <w:pPr>
        <w:spacing w:after="0" w:line="179" w:lineRule="exact"/>
        <w:rPr>
          <w:sz w:val="20"/>
          <w:szCs w:val="20"/>
          <w:color w:val="auto"/>
        </w:rPr>
      </w:pPr>
    </w:p>
    <w:p>
      <w:pPr>
        <w:ind w:left="320" w:hanging="172"/>
        <w:spacing w:after="0"/>
        <w:tabs>
          <w:tab w:leader="none" w:pos="3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$260 million increase at SDG&amp;E, which we discuss below; and</w:t>
      </w:r>
    </w:p>
    <w:p>
      <w:pPr>
        <w:spacing w:after="0" w:line="244" w:lineRule="exact"/>
        <w:rPr>
          <w:rFonts w:ascii="Arial" w:cs="Arial" w:eastAsia="Arial" w:hAnsi="Arial"/>
          <w:sz w:val="18"/>
          <w:szCs w:val="18"/>
          <w:color w:val="auto"/>
        </w:rPr>
      </w:pPr>
    </w:p>
    <w:p>
      <w:pPr>
        <w:ind w:left="320" w:right="20" w:hanging="172"/>
        <w:spacing w:after="0" w:line="266" w:lineRule="auto"/>
        <w:tabs>
          <w:tab w:leader="none" w:pos="3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$40 million increase at our South American utilities driven primarily by higher rates and volumes at both Luz del Sur and Chilquinta Energía, offset by foreign currency exchange rate effects.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We discuss the changes in electric revenues and the cost of electric fuel and purchased power for SDG&amp;E in more detail below.</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Natural Gas Revenues</w:t>
      </w:r>
    </w:p>
    <w:p>
      <w:pPr>
        <w:spacing w:after="0" w:line="211" w:lineRule="exact"/>
        <w:rPr>
          <w:sz w:val="20"/>
          <w:szCs w:val="20"/>
          <w:color w:val="auto"/>
        </w:rPr>
      </w:pPr>
    </w:p>
    <w:p>
      <w:pPr>
        <w:ind w:right="500"/>
        <w:spacing w:after="0" w:line="266" w:lineRule="auto"/>
        <w:rPr>
          <w:sz w:val="20"/>
          <w:szCs w:val="20"/>
          <w:color w:val="auto"/>
        </w:rPr>
      </w:pPr>
      <w:r>
        <w:rPr>
          <w:rFonts w:ascii="Arial" w:cs="Arial" w:eastAsia="Arial" w:hAnsi="Arial"/>
          <w:sz w:val="18"/>
          <w:szCs w:val="18"/>
          <w:color w:val="auto"/>
        </w:rPr>
        <w:t>During the three months ended September 30, 2014, Sempra Energy’s natural gas revenues increased by $57 million (6%) to $978 million, and the cost of natural gas increased by $32 million (12%) to $293 million. The increase in natural gas revenues included</w:t>
      </w:r>
    </w:p>
    <w:p>
      <w:pPr>
        <w:spacing w:after="0" w:line="179" w:lineRule="exact"/>
        <w:rPr>
          <w:sz w:val="20"/>
          <w:szCs w:val="20"/>
          <w:color w:val="auto"/>
        </w:rPr>
      </w:pPr>
    </w:p>
    <w:p>
      <w:pPr>
        <w:ind w:left="320" w:hanging="172"/>
        <w:spacing w:after="0"/>
        <w:tabs>
          <w:tab w:leader="none" w:pos="3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increases in cost of natural gas sold at SoCalGas and SDG&amp;E, as we discuss below; and</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$13 million increase in authorized revenues from 2014 attrition at SoCalGas.</w:t>
      </w:r>
    </w:p>
    <w:p>
      <w:pPr>
        <w:spacing w:after="0" w:line="245"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During the first nine months of 2014, Sempra Energy’s natural gas revenues increased by $185 million (6%) to $3.4 billion, and the cost of natural gas increased by $126 million (11%) to $1.3 billion. The increase in natural gas revenues included</w:t>
      </w:r>
    </w:p>
    <w:p>
      <w:pPr>
        <w:spacing w:after="0" w:line="179" w:lineRule="exact"/>
        <w:rPr>
          <w:sz w:val="20"/>
          <w:szCs w:val="20"/>
          <w:color w:val="auto"/>
        </w:rPr>
      </w:pPr>
    </w:p>
    <w:p>
      <w:pPr>
        <w:ind w:left="320" w:hanging="172"/>
        <w:spacing w:after="0"/>
        <w:tabs>
          <w:tab w:leader="none" w:pos="3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increases in cost of natural gas sold at SoCalGas and SDG&amp;E, as we discuss below;</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93"/>
        </w:numPr>
        <w:rPr>
          <w:rFonts w:ascii="Arial" w:cs="Arial" w:eastAsia="Arial" w:hAnsi="Arial"/>
          <w:sz w:val="18"/>
          <w:szCs w:val="18"/>
          <w:b w:val="1"/>
          <w:bCs w:val="1"/>
          <w:color w:val="auto"/>
        </w:rPr>
      </w:pPr>
      <w:r>
        <w:rPr>
          <w:rFonts w:ascii="Arial" w:cs="Arial" w:eastAsia="Arial" w:hAnsi="Arial"/>
          <w:sz w:val="18"/>
          <w:szCs w:val="18"/>
          <w:color w:val="auto"/>
        </w:rPr>
        <w:t>$45 million increase in authorized revenues from 2014 attrition at the California Utilities;</w:t>
      </w:r>
    </w:p>
    <w:p>
      <w:pPr>
        <w:spacing w:after="0" w:line="244" w:lineRule="exact"/>
        <w:rPr>
          <w:rFonts w:ascii="Arial" w:cs="Arial" w:eastAsia="Arial" w:hAnsi="Arial"/>
          <w:sz w:val="18"/>
          <w:szCs w:val="18"/>
          <w:b w:val="1"/>
          <w:bCs w:val="1"/>
          <w:color w:val="auto"/>
        </w:rPr>
      </w:pPr>
    </w:p>
    <w:p>
      <w:pPr>
        <w:ind w:left="320" w:hanging="172"/>
        <w:spacing w:after="0" w:line="266" w:lineRule="auto"/>
        <w:tabs>
          <w:tab w:leader="none" w:pos="3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$30 million higher recovery of costs at SoCalGas associated with CPUC-authorized refundable programs, which revenues are fully offset in operation and maintenance expenses; and</w:t>
      </w:r>
    </w:p>
    <w:p>
      <w:pPr>
        <w:spacing w:after="0" w:line="199" w:lineRule="exact"/>
        <w:rPr>
          <w:rFonts w:ascii="Arial" w:cs="Arial" w:eastAsia="Arial" w:hAnsi="Arial"/>
          <w:sz w:val="18"/>
          <w:szCs w:val="18"/>
          <w:color w:val="auto"/>
        </w:rPr>
      </w:pPr>
    </w:p>
    <w:p>
      <w:pPr>
        <w:ind w:left="320" w:hanging="172"/>
        <w:spacing w:after="0"/>
        <w:tabs>
          <w:tab w:leader="none" w:pos="3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$24 million higher revenues from the advanced metering infrastructure project at SoCalGas; </w:t>
      </w:r>
      <w:r>
        <w:rPr>
          <w:rFonts w:ascii="Arial" w:cs="Arial" w:eastAsia="Arial" w:hAnsi="Arial"/>
          <w:sz w:val="18"/>
          <w:szCs w:val="18"/>
          <w:b w:val="1"/>
          <w:bCs w:val="1"/>
          <w:color w:val="auto"/>
        </w:rPr>
        <w:t>offset by</w:t>
      </w:r>
    </w:p>
    <w:p>
      <w:pPr>
        <w:spacing w:after="0" w:line="250" w:lineRule="exact"/>
        <w:rPr>
          <w:rFonts w:ascii="Arial" w:cs="Arial" w:eastAsia="Arial" w:hAnsi="Arial"/>
          <w:sz w:val="18"/>
          <w:szCs w:val="18"/>
          <w:color w:val="auto"/>
        </w:rPr>
      </w:pPr>
    </w:p>
    <w:p>
      <w:pPr>
        <w:ind w:left="320" w:hanging="172"/>
        <w:spacing w:after="0" w:line="266" w:lineRule="auto"/>
        <w:tabs>
          <w:tab w:leader="none" w:pos="3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$30 million favorable impact on the California Utilities’ 2013 revenues from the retroactive application of the 2012 GRC decision, recorded in the second quarter of 2013, for the period from January 2012 through December 2012.</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We discuss the changes in natural gas revenues and the cost of natural gas individually for SDG&amp;E and SoCalGas below.</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SDG&amp;E: Electric Revenues and Cost of Electric Fuel and Purchased Power</w:t>
      </w:r>
    </w:p>
    <w:p>
      <w:pPr>
        <w:spacing w:after="0" w:line="21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table below shows electric revenues for SDG&amp;E for the nine-month periods ended September 30, 2014 and 2013. Because the cost of electricity is substantially recovered in rates, changes in the cost are reflected in the changes in revenues. In addition to the change in cost, electric revenues recorded during a period are impacted by customer billing cycles causing a difference between customer billings and recorded or authorized costs. These differences are required to be balanced over time, resulting in over- and undercollected regulatory balancing accounts. We discuss balancing accounts and their effects further in Note 1 of the Notes to Consolidated Financial Statements in the Annual Report.</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SDG&amp;E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-104775</wp:posOffset>
            </wp:positionV>
            <wp:extent cx="7248525" cy="3289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8525" cy="32893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ELECTRIC DISTRIBUTION AND TRANSMISSION</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00" w:type="dxa"/>
            <w:vAlign w:val="bottom"/>
          </w:tcPr>
          <w:p>
            <w:pPr>
              <w:spacing w:after="0"/>
              <w:rPr>
                <w:sz w:val="20"/>
                <w:szCs w:val="20"/>
                <w:color w:val="auto"/>
              </w:rPr>
            </w:pPr>
            <w:r>
              <w:rPr>
                <w:rFonts w:ascii="Arial" w:cs="Arial" w:eastAsia="Arial" w:hAnsi="Arial"/>
                <w:sz w:val="14"/>
                <w:szCs w:val="14"/>
                <w:i w:val="1"/>
                <w:iCs w:val="1"/>
                <w:color w:val="auto"/>
              </w:rPr>
              <w:t>(Volumes in millions of kilowatt-hours, dollars in millions)</w:t>
            </w:r>
          </w:p>
        </w:tc>
        <w:tc>
          <w:tcPr>
            <w:tcW w:w="2360" w:type="dxa"/>
            <w:vAlign w:val="bottom"/>
            <w:gridSpan w:val="3"/>
            <w:vMerge w:val="restart"/>
          </w:tcPr>
          <w:p>
            <w:pPr>
              <w:jc w:val="right"/>
              <w:ind w:right="283"/>
              <w:spacing w:after="0"/>
              <w:rPr>
                <w:sz w:val="20"/>
                <w:szCs w:val="20"/>
                <w:color w:val="auto"/>
              </w:rPr>
            </w:pPr>
            <w:r>
              <w:rPr>
                <w:rFonts w:ascii="Arial" w:cs="Arial" w:eastAsia="Arial" w:hAnsi="Arial"/>
                <w:sz w:val="14"/>
                <w:szCs w:val="14"/>
                <w:color w:val="auto"/>
              </w:rPr>
              <w:t>Nine months ended</w:t>
            </w:r>
          </w:p>
        </w:tc>
        <w:tc>
          <w:tcPr>
            <w:tcW w:w="440" w:type="dxa"/>
            <w:vAlign w:val="bottom"/>
          </w:tcPr>
          <w:p>
            <w:pPr>
              <w:spacing w:after="0"/>
              <w:rPr>
                <w:sz w:val="16"/>
                <w:szCs w:val="16"/>
                <w:color w:val="auto"/>
              </w:rPr>
            </w:pPr>
          </w:p>
        </w:tc>
        <w:tc>
          <w:tcPr>
            <w:tcW w:w="2400" w:type="dxa"/>
            <w:vAlign w:val="bottom"/>
            <w:gridSpan w:val="3"/>
            <w:vMerge w:val="restart"/>
          </w:tcPr>
          <w:p>
            <w:pPr>
              <w:jc w:val="right"/>
              <w:ind w:right="303"/>
              <w:spacing w:after="0"/>
              <w:rPr>
                <w:sz w:val="20"/>
                <w:szCs w:val="20"/>
                <w:color w:val="auto"/>
              </w:rPr>
            </w:pPr>
            <w:r>
              <w:rPr>
                <w:rFonts w:ascii="Arial" w:cs="Arial" w:eastAsia="Arial" w:hAnsi="Arial"/>
                <w:sz w:val="14"/>
                <w:szCs w:val="14"/>
                <w:color w:val="auto"/>
              </w:rPr>
              <w:t>Nine months ended</w:t>
            </w: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800" w:type="dxa"/>
            <w:vAlign w:val="bottom"/>
          </w:tcPr>
          <w:p>
            <w:pPr>
              <w:spacing w:after="0"/>
              <w:rPr>
                <w:sz w:val="11"/>
                <w:szCs w:val="11"/>
                <w:color w:val="auto"/>
              </w:rPr>
            </w:pPr>
          </w:p>
        </w:tc>
        <w:tc>
          <w:tcPr>
            <w:tcW w:w="2360" w:type="dxa"/>
            <w:vAlign w:val="bottom"/>
            <w:gridSpan w:val="3"/>
            <w:vMerge w:val="continue"/>
          </w:tcPr>
          <w:p>
            <w:pPr>
              <w:spacing w:after="0"/>
              <w:rPr>
                <w:sz w:val="11"/>
                <w:szCs w:val="11"/>
                <w:color w:val="auto"/>
              </w:rPr>
            </w:pPr>
          </w:p>
        </w:tc>
        <w:tc>
          <w:tcPr>
            <w:tcW w:w="440" w:type="dxa"/>
            <w:vAlign w:val="bottom"/>
          </w:tcPr>
          <w:p>
            <w:pPr>
              <w:spacing w:after="0"/>
              <w:rPr>
                <w:sz w:val="11"/>
                <w:szCs w:val="11"/>
                <w:color w:val="auto"/>
              </w:rPr>
            </w:pPr>
          </w:p>
        </w:tc>
        <w:tc>
          <w:tcPr>
            <w:tcW w:w="2400" w:type="dxa"/>
            <w:vAlign w:val="bottom"/>
            <w:gridSpan w:val="3"/>
            <w:vMerge w:val="continue"/>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5800" w:type="dxa"/>
            <w:vAlign w:val="bottom"/>
          </w:tcPr>
          <w:p>
            <w:pPr>
              <w:spacing w:after="0"/>
              <w:rPr>
                <w:sz w:val="13"/>
                <w:szCs w:val="13"/>
                <w:color w:val="auto"/>
              </w:rPr>
            </w:pPr>
          </w:p>
        </w:tc>
        <w:tc>
          <w:tcPr>
            <w:tcW w:w="2360" w:type="dxa"/>
            <w:vAlign w:val="bottom"/>
            <w:tcBorders>
              <w:bottom w:val="single" w:sz="8" w:color="auto"/>
            </w:tcBorders>
            <w:gridSpan w:val="3"/>
          </w:tcPr>
          <w:p>
            <w:pPr>
              <w:jc w:val="right"/>
              <w:ind w:right="243"/>
              <w:spacing w:after="0" w:line="155" w:lineRule="exact"/>
              <w:rPr>
                <w:sz w:val="20"/>
                <w:szCs w:val="20"/>
                <w:color w:val="auto"/>
              </w:rPr>
            </w:pPr>
            <w:r>
              <w:rPr>
                <w:rFonts w:ascii="Arial" w:cs="Arial" w:eastAsia="Arial" w:hAnsi="Arial"/>
                <w:sz w:val="14"/>
                <w:szCs w:val="14"/>
                <w:color w:val="auto"/>
              </w:rPr>
              <w:t>September 30, 2014</w:t>
            </w:r>
          </w:p>
        </w:tc>
        <w:tc>
          <w:tcPr>
            <w:tcW w:w="44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3"/>
          </w:tcPr>
          <w:p>
            <w:pPr>
              <w:jc w:val="right"/>
              <w:ind w:right="283"/>
              <w:spacing w:after="0" w:line="155" w:lineRule="exact"/>
              <w:rPr>
                <w:sz w:val="20"/>
                <w:szCs w:val="20"/>
                <w:color w:val="auto"/>
              </w:rPr>
            </w:pPr>
            <w:r>
              <w:rPr>
                <w:rFonts w:ascii="Arial" w:cs="Arial" w:eastAsia="Arial" w:hAnsi="Arial"/>
                <w:sz w:val="14"/>
                <w:szCs w:val="14"/>
                <w:color w:val="auto"/>
              </w:rPr>
              <w:t>September 30, 2013</w:t>
            </w:r>
          </w:p>
        </w:tc>
        <w:tc>
          <w:tcPr>
            <w:tcW w:w="4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800" w:type="dxa"/>
            <w:vAlign w:val="bottom"/>
            <w:tcBorders>
              <w:bottom w:val="single" w:sz="8" w:color="auto"/>
            </w:tcBorders>
          </w:tcPr>
          <w:p>
            <w:pPr>
              <w:spacing w:after="0" w:line="153" w:lineRule="exact"/>
              <w:rPr>
                <w:sz w:val="20"/>
                <w:szCs w:val="20"/>
                <w:color w:val="auto"/>
              </w:rPr>
            </w:pPr>
            <w:r>
              <w:rPr>
                <w:rFonts w:ascii="Arial" w:cs="Arial" w:eastAsia="Arial" w:hAnsi="Arial"/>
                <w:sz w:val="14"/>
                <w:szCs w:val="14"/>
                <w:color w:val="auto"/>
              </w:rPr>
              <w:t>Customer class</w:t>
            </w:r>
          </w:p>
        </w:tc>
        <w:tc>
          <w:tcPr>
            <w:tcW w:w="1480" w:type="dxa"/>
            <w:vAlign w:val="bottom"/>
            <w:tcBorders>
              <w:bottom w:val="single" w:sz="8" w:color="auto"/>
            </w:tcBorders>
            <w:gridSpan w:val="2"/>
          </w:tcPr>
          <w:p>
            <w:pPr>
              <w:jc w:val="right"/>
              <w:ind w:right="540"/>
              <w:spacing w:after="0" w:line="153" w:lineRule="exact"/>
              <w:rPr>
                <w:sz w:val="20"/>
                <w:szCs w:val="20"/>
                <w:color w:val="auto"/>
              </w:rPr>
            </w:pPr>
            <w:r>
              <w:rPr>
                <w:rFonts w:ascii="Arial" w:cs="Arial" w:eastAsia="Arial" w:hAnsi="Arial"/>
                <w:sz w:val="14"/>
                <w:szCs w:val="14"/>
                <w:color w:val="auto"/>
              </w:rPr>
              <w:t>Volumes</w:t>
            </w:r>
          </w:p>
        </w:tc>
        <w:tc>
          <w:tcPr>
            <w:tcW w:w="88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Revenue</w:t>
            </w:r>
          </w:p>
        </w:tc>
        <w:tc>
          <w:tcPr>
            <w:tcW w:w="4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ind w:left="400"/>
              <w:spacing w:after="0" w:line="153" w:lineRule="exact"/>
              <w:rPr>
                <w:sz w:val="20"/>
                <w:szCs w:val="20"/>
                <w:color w:val="auto"/>
              </w:rPr>
            </w:pPr>
            <w:r>
              <w:rPr>
                <w:rFonts w:ascii="Arial" w:cs="Arial" w:eastAsia="Arial" w:hAnsi="Arial"/>
                <w:sz w:val="14"/>
                <w:szCs w:val="14"/>
                <w:color w:val="auto"/>
              </w:rPr>
              <w:t>Volumes</w:t>
            </w:r>
          </w:p>
        </w:tc>
        <w:tc>
          <w:tcPr>
            <w:tcW w:w="92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Revenue</w:t>
            </w:r>
          </w:p>
        </w:tc>
        <w:tc>
          <w:tcPr>
            <w:tcW w:w="4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5800" w:type="dxa"/>
            <w:vAlign w:val="bottom"/>
          </w:tcPr>
          <w:p>
            <w:pPr>
              <w:spacing w:after="0"/>
              <w:rPr>
                <w:sz w:val="20"/>
                <w:szCs w:val="20"/>
                <w:color w:val="auto"/>
              </w:rPr>
            </w:pPr>
            <w:r>
              <w:rPr>
                <w:rFonts w:ascii="Arial" w:cs="Arial" w:eastAsia="Arial" w:hAnsi="Arial"/>
                <w:sz w:val="16"/>
                <w:szCs w:val="16"/>
                <w:color w:val="auto"/>
              </w:rPr>
              <w:t>Residential</w:t>
            </w: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5,501</w:t>
            </w:r>
          </w:p>
        </w:tc>
        <w:tc>
          <w:tcPr>
            <w:tcW w:w="880" w:type="dxa"/>
            <w:vAlign w:val="bottom"/>
          </w:tcPr>
          <w:p>
            <w:pPr>
              <w:jc w:val="right"/>
              <w:ind w:right="563"/>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1,042</w:t>
            </w:r>
          </w:p>
        </w:tc>
        <w:tc>
          <w:tcPr>
            <w:tcW w:w="1480" w:type="dxa"/>
            <w:vAlign w:val="bottom"/>
            <w:gridSpan w:val="2"/>
          </w:tcPr>
          <w:p>
            <w:pPr>
              <w:jc w:val="right"/>
              <w:ind w:right="140"/>
              <w:spacing w:after="0"/>
              <w:rPr>
                <w:sz w:val="20"/>
                <w:szCs w:val="20"/>
                <w:color w:val="auto"/>
              </w:rPr>
            </w:pPr>
            <w:r>
              <w:rPr>
                <w:rFonts w:ascii="Arial" w:cs="Arial" w:eastAsia="Arial" w:hAnsi="Arial"/>
                <w:sz w:val="16"/>
                <w:szCs w:val="16"/>
                <w:color w:val="auto"/>
              </w:rPr>
              <w:t>5,645</w:t>
            </w:r>
          </w:p>
        </w:tc>
        <w:tc>
          <w:tcPr>
            <w:tcW w:w="920" w:type="dxa"/>
            <w:vAlign w:val="bottom"/>
          </w:tcPr>
          <w:p>
            <w:pPr>
              <w:jc w:val="right"/>
              <w:ind w:right="583"/>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962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800" w:type="dxa"/>
            <w:vAlign w:val="bottom"/>
          </w:tcPr>
          <w:p>
            <w:pPr>
              <w:spacing w:after="0"/>
              <w:rPr>
                <w:sz w:val="20"/>
                <w:szCs w:val="20"/>
                <w:color w:val="auto"/>
              </w:rPr>
            </w:pPr>
            <w:r>
              <w:rPr>
                <w:rFonts w:ascii="Arial" w:cs="Arial" w:eastAsia="Arial" w:hAnsi="Arial"/>
                <w:sz w:val="16"/>
                <w:szCs w:val="16"/>
                <w:color w:val="auto"/>
              </w:rPr>
              <w:t>Commercial</w:t>
            </w: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5,245</w:t>
            </w:r>
          </w:p>
        </w:tc>
        <w:tc>
          <w:tcPr>
            <w:tcW w:w="8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1,048</w:t>
            </w:r>
          </w:p>
        </w:tc>
        <w:tc>
          <w:tcPr>
            <w:tcW w:w="1480" w:type="dxa"/>
            <w:vAlign w:val="bottom"/>
            <w:gridSpan w:val="2"/>
          </w:tcPr>
          <w:p>
            <w:pPr>
              <w:jc w:val="right"/>
              <w:ind w:right="140"/>
              <w:spacing w:after="0"/>
              <w:rPr>
                <w:sz w:val="20"/>
                <w:szCs w:val="20"/>
                <w:color w:val="auto"/>
              </w:rPr>
            </w:pPr>
            <w:r>
              <w:rPr>
                <w:rFonts w:ascii="Arial" w:cs="Arial" w:eastAsia="Arial" w:hAnsi="Arial"/>
                <w:sz w:val="16"/>
                <w:szCs w:val="16"/>
                <w:color w:val="auto"/>
              </w:rPr>
              <w:t>5,110</w:t>
            </w:r>
          </w:p>
        </w:tc>
        <w:tc>
          <w:tcPr>
            <w:tcW w:w="920" w:type="dxa"/>
            <w:vAlign w:val="bottom"/>
          </w:tcPr>
          <w:p>
            <w:pPr>
              <w:spacing w:after="0"/>
              <w:rPr>
                <w:sz w:val="17"/>
                <w:szCs w:val="17"/>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6"/>
                <w:szCs w:val="16"/>
                <w:color w:val="auto"/>
              </w:rPr>
              <w:t>815</w:t>
            </w:r>
          </w:p>
        </w:tc>
        <w:tc>
          <w:tcPr>
            <w:tcW w:w="0" w:type="dxa"/>
            <w:vAlign w:val="bottom"/>
          </w:tcPr>
          <w:p>
            <w:pPr>
              <w:spacing w:after="0"/>
              <w:rPr>
                <w:sz w:val="1"/>
                <w:szCs w:val="1"/>
                <w:color w:val="auto"/>
              </w:rPr>
            </w:pPr>
          </w:p>
        </w:tc>
      </w:tr>
      <w:tr>
        <w:trPr>
          <w:trHeight w:val="213"/>
        </w:trPr>
        <w:tc>
          <w:tcPr>
            <w:tcW w:w="5800" w:type="dxa"/>
            <w:vAlign w:val="bottom"/>
          </w:tcPr>
          <w:p>
            <w:pPr>
              <w:spacing w:after="0"/>
              <w:rPr>
                <w:sz w:val="20"/>
                <w:szCs w:val="20"/>
                <w:color w:val="auto"/>
              </w:rPr>
            </w:pPr>
            <w:r>
              <w:rPr>
                <w:rFonts w:ascii="Arial" w:cs="Arial" w:eastAsia="Arial" w:hAnsi="Arial"/>
                <w:sz w:val="16"/>
                <w:szCs w:val="16"/>
                <w:color w:val="auto"/>
              </w:rPr>
              <w:t>Industrial</w:t>
            </w: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1,556</w:t>
            </w: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251</w:t>
            </w:r>
          </w:p>
        </w:tc>
        <w:tc>
          <w:tcPr>
            <w:tcW w:w="1480" w:type="dxa"/>
            <w:vAlign w:val="bottom"/>
            <w:gridSpan w:val="2"/>
          </w:tcPr>
          <w:p>
            <w:pPr>
              <w:jc w:val="right"/>
              <w:ind w:right="140"/>
              <w:spacing w:after="0"/>
              <w:rPr>
                <w:sz w:val="20"/>
                <w:szCs w:val="20"/>
                <w:color w:val="auto"/>
              </w:rPr>
            </w:pPr>
            <w:r>
              <w:rPr>
                <w:rFonts w:ascii="Arial" w:cs="Arial" w:eastAsia="Arial" w:hAnsi="Arial"/>
                <w:sz w:val="16"/>
                <w:szCs w:val="16"/>
                <w:color w:val="auto"/>
              </w:rPr>
              <w:t>1,485</w:t>
            </w:r>
          </w:p>
        </w:tc>
        <w:tc>
          <w:tcPr>
            <w:tcW w:w="92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6"/>
                <w:szCs w:val="16"/>
                <w:color w:val="auto"/>
              </w:rPr>
              <w:t>192</w:t>
            </w:r>
          </w:p>
        </w:tc>
        <w:tc>
          <w:tcPr>
            <w:tcW w:w="0" w:type="dxa"/>
            <w:vAlign w:val="bottom"/>
          </w:tcPr>
          <w:p>
            <w:pPr>
              <w:spacing w:after="0"/>
              <w:rPr>
                <w:sz w:val="1"/>
                <w:szCs w:val="1"/>
                <w:color w:val="auto"/>
              </w:rPr>
            </w:pPr>
          </w:p>
        </w:tc>
      </w:tr>
      <w:tr>
        <w:trPr>
          <w:trHeight w:val="213"/>
        </w:trPr>
        <w:tc>
          <w:tcPr>
            <w:tcW w:w="5800" w:type="dxa"/>
            <w:vAlign w:val="bottom"/>
          </w:tcPr>
          <w:p>
            <w:pPr>
              <w:spacing w:after="0"/>
              <w:rPr>
                <w:sz w:val="20"/>
                <w:szCs w:val="20"/>
                <w:color w:val="auto"/>
              </w:rPr>
            </w:pPr>
            <w:r>
              <w:rPr>
                <w:rFonts w:ascii="Arial" w:cs="Arial" w:eastAsia="Arial" w:hAnsi="Arial"/>
                <w:sz w:val="16"/>
                <w:szCs w:val="16"/>
                <w:color w:val="auto"/>
              </w:rPr>
              <w:t>Direct access(1)</w:t>
            </w: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2,761</w:t>
            </w: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150</w:t>
            </w:r>
          </w:p>
        </w:tc>
        <w:tc>
          <w:tcPr>
            <w:tcW w:w="1480" w:type="dxa"/>
            <w:vAlign w:val="bottom"/>
            <w:gridSpan w:val="2"/>
          </w:tcPr>
          <w:p>
            <w:pPr>
              <w:jc w:val="right"/>
              <w:ind w:right="140"/>
              <w:spacing w:after="0"/>
              <w:rPr>
                <w:sz w:val="20"/>
                <w:szCs w:val="20"/>
                <w:color w:val="auto"/>
              </w:rPr>
            </w:pPr>
            <w:r>
              <w:rPr>
                <w:rFonts w:ascii="Arial" w:cs="Arial" w:eastAsia="Arial" w:hAnsi="Arial"/>
                <w:sz w:val="16"/>
                <w:szCs w:val="16"/>
                <w:color w:val="auto"/>
              </w:rPr>
              <w:t>2,681</w:t>
            </w:r>
          </w:p>
        </w:tc>
        <w:tc>
          <w:tcPr>
            <w:tcW w:w="92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04"/>
        </w:trPr>
        <w:tc>
          <w:tcPr>
            <w:tcW w:w="5800" w:type="dxa"/>
            <w:vAlign w:val="bottom"/>
          </w:tcPr>
          <w:p>
            <w:pPr>
              <w:spacing w:after="0"/>
              <w:rPr>
                <w:sz w:val="20"/>
                <w:szCs w:val="20"/>
                <w:color w:val="auto"/>
              </w:rPr>
            </w:pPr>
            <w:r>
              <w:rPr>
                <w:rFonts w:ascii="Arial" w:cs="Arial" w:eastAsia="Arial" w:hAnsi="Arial"/>
                <w:sz w:val="16"/>
                <w:szCs w:val="16"/>
                <w:color w:val="auto"/>
              </w:rPr>
              <w:t>Street and highway lighting</w:t>
            </w: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66</w:t>
            </w:r>
          </w:p>
        </w:tc>
        <w:tc>
          <w:tcPr>
            <w:tcW w:w="8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11</w:t>
            </w:r>
          </w:p>
        </w:tc>
        <w:tc>
          <w:tcPr>
            <w:tcW w:w="1480" w:type="dxa"/>
            <w:vAlign w:val="bottom"/>
            <w:gridSpan w:val="2"/>
          </w:tcPr>
          <w:p>
            <w:pPr>
              <w:jc w:val="right"/>
              <w:ind w:right="140"/>
              <w:spacing w:after="0"/>
              <w:rPr>
                <w:sz w:val="20"/>
                <w:szCs w:val="20"/>
                <w:color w:val="auto"/>
              </w:rPr>
            </w:pPr>
            <w:r>
              <w:rPr>
                <w:rFonts w:ascii="Arial" w:cs="Arial" w:eastAsia="Arial" w:hAnsi="Arial"/>
                <w:sz w:val="16"/>
                <w:szCs w:val="16"/>
                <w:color w:val="auto"/>
              </w:rPr>
              <w:t>65</w:t>
            </w:r>
          </w:p>
        </w:tc>
        <w:tc>
          <w:tcPr>
            <w:tcW w:w="920" w:type="dxa"/>
            <w:vAlign w:val="bottom"/>
          </w:tcPr>
          <w:p>
            <w:pPr>
              <w:spacing w:after="0"/>
              <w:rPr>
                <w:sz w:val="17"/>
                <w:szCs w:val="17"/>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4"/>
        </w:trPr>
        <w:tc>
          <w:tcPr>
            <w:tcW w:w="5800" w:type="dxa"/>
            <w:vAlign w:val="bottom"/>
          </w:tcPr>
          <w:p>
            <w:pPr>
              <w:spacing w:after="0"/>
              <w:rPr>
                <w:sz w:val="18"/>
                <w:szCs w:val="18"/>
                <w:color w:val="auto"/>
              </w:rPr>
            </w:pPr>
          </w:p>
        </w:tc>
        <w:tc>
          <w:tcPr>
            <w:tcW w:w="148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15,129</w:t>
            </w:r>
          </w:p>
        </w:tc>
        <w:tc>
          <w:tcPr>
            <w:tcW w:w="8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2,502</w:t>
            </w:r>
          </w:p>
        </w:tc>
        <w:tc>
          <w:tcPr>
            <w:tcW w:w="148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14,986</w:t>
            </w:r>
          </w:p>
        </w:tc>
        <w:tc>
          <w:tcPr>
            <w:tcW w:w="9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9"/>
              </w:rPr>
              <w:t>2,088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00" w:type="dxa"/>
            <w:vAlign w:val="bottom"/>
          </w:tcPr>
          <w:p>
            <w:pPr>
              <w:spacing w:after="0"/>
              <w:rPr>
                <w:sz w:val="20"/>
                <w:szCs w:val="20"/>
                <w:color w:val="auto"/>
              </w:rPr>
            </w:pPr>
            <w:r>
              <w:rPr>
                <w:rFonts w:ascii="Arial" w:cs="Arial" w:eastAsia="Arial" w:hAnsi="Arial"/>
                <w:sz w:val="16"/>
                <w:szCs w:val="16"/>
                <w:color w:val="auto"/>
              </w:rPr>
              <w:t>CAISO shared transmission revenue - net(2)</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137</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13"/>
        </w:trPr>
        <w:tc>
          <w:tcPr>
            <w:tcW w:w="5800" w:type="dxa"/>
            <w:vAlign w:val="bottom"/>
          </w:tcPr>
          <w:p>
            <w:pPr>
              <w:spacing w:after="0"/>
              <w:rPr>
                <w:sz w:val="20"/>
                <w:szCs w:val="20"/>
                <w:color w:val="auto"/>
              </w:rPr>
            </w:pPr>
            <w:r>
              <w:rPr>
                <w:rFonts w:ascii="Arial" w:cs="Arial" w:eastAsia="Arial" w:hAnsi="Arial"/>
                <w:sz w:val="16"/>
                <w:szCs w:val="16"/>
                <w:color w:val="auto"/>
              </w:rPr>
              <w:t>Other revenues</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144</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04"/>
        </w:trPr>
        <w:tc>
          <w:tcPr>
            <w:tcW w:w="5800" w:type="dxa"/>
            <w:vAlign w:val="bottom"/>
          </w:tcPr>
          <w:p>
            <w:pPr>
              <w:spacing w:after="0"/>
              <w:rPr>
                <w:sz w:val="20"/>
                <w:szCs w:val="20"/>
                <w:color w:val="auto"/>
              </w:rPr>
            </w:pPr>
            <w:r>
              <w:rPr>
                <w:rFonts w:ascii="Arial" w:cs="Arial" w:eastAsia="Arial" w:hAnsi="Arial"/>
                <w:sz w:val="16"/>
                <w:szCs w:val="16"/>
                <w:color w:val="auto"/>
              </w:rPr>
              <w:t>Balancing accounts</w:t>
            </w: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109</w:t>
            </w: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6"/>
                <w:szCs w:val="16"/>
                <w:color w:val="auto"/>
              </w:rPr>
              <w:t>257</w:t>
            </w:r>
          </w:p>
        </w:tc>
        <w:tc>
          <w:tcPr>
            <w:tcW w:w="0" w:type="dxa"/>
            <w:vAlign w:val="bottom"/>
          </w:tcPr>
          <w:p>
            <w:pPr>
              <w:spacing w:after="0"/>
              <w:rPr>
                <w:sz w:val="1"/>
                <w:szCs w:val="1"/>
                <w:color w:val="auto"/>
              </w:rPr>
            </w:pPr>
          </w:p>
        </w:tc>
      </w:tr>
      <w:tr>
        <w:trPr>
          <w:trHeight w:val="214"/>
        </w:trPr>
        <w:tc>
          <w:tcPr>
            <w:tcW w:w="5800" w:type="dxa"/>
            <w:vAlign w:val="bottom"/>
          </w:tcPr>
          <w:p>
            <w:pPr>
              <w:ind w:left="180"/>
              <w:spacing w:after="0"/>
              <w:rPr>
                <w:sz w:val="20"/>
                <w:szCs w:val="20"/>
                <w:color w:val="auto"/>
              </w:rPr>
            </w:pPr>
            <w:r>
              <w:rPr>
                <w:rFonts w:ascii="Arial" w:cs="Arial" w:eastAsia="Arial" w:hAnsi="Arial"/>
                <w:sz w:val="16"/>
                <w:szCs w:val="16"/>
                <w:color w:val="auto"/>
              </w:rPr>
              <w:t>Total(3)</w:t>
            </w:r>
          </w:p>
        </w:tc>
        <w:tc>
          <w:tcPr>
            <w:tcW w:w="1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563"/>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2,892</w:t>
            </w:r>
          </w:p>
        </w:tc>
        <w:tc>
          <w:tcPr>
            <w:tcW w:w="1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583"/>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9"/>
              </w:rPr>
              <w:t>2,685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72485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ind w:left="540" w:right="120" w:hanging="534"/>
        <w:spacing w:after="0" w:line="247" w:lineRule="auto"/>
        <w:tabs>
          <w:tab w:leader="none" w:pos="540" w:val="left"/>
        </w:tabs>
        <w:numPr>
          <w:ilvl w:val="0"/>
          <w:numId w:val="94"/>
        </w:numPr>
        <w:rPr>
          <w:rFonts w:ascii="Arial" w:cs="Arial" w:eastAsia="Arial" w:hAnsi="Arial"/>
          <w:sz w:val="14"/>
          <w:szCs w:val="14"/>
          <w:i w:val="1"/>
          <w:iCs w:val="1"/>
          <w:color w:val="auto"/>
        </w:rPr>
      </w:pPr>
      <w:r>
        <w:rPr>
          <w:rFonts w:ascii="Arial" w:cs="Arial" w:eastAsia="Arial" w:hAnsi="Arial"/>
          <w:sz w:val="14"/>
          <w:szCs w:val="14"/>
          <w:i w:val="1"/>
          <w:iCs w:val="1"/>
          <w:color w:val="auto"/>
        </w:rPr>
        <w:t>The Direct Access (DA) program, which offered all customers the option to purchase their electric commodity services from a third-party Energy Service Provider (ESP) instead of continuing to receive these services from SDG&amp;E, was implemented in 1998 and suspended in 2001. In 2009, Senate Bill 695 required the CPUC to develop a process and rules for a limited re-opening of DA to be phased in over a period of time. In 2010, the CPUC adopted the process and rules for the limited re-opening of DA for non-residential customers under a 4-year phase-in schedule.</w:t>
      </w:r>
    </w:p>
    <w:p>
      <w:pPr>
        <w:sectPr>
          <w:pgSz w:w="11900" w:h="16878" w:orient="portrait"/>
          <w:cols w:equalWidth="0" w:num="1">
            <w:col w:w="11420"/>
          </w:cols>
          <w:pgMar w:left="240" w:top="366" w:right="239" w:bottom="0" w:gutter="0" w:footer="0" w:header="0"/>
        </w:sectPr>
      </w:pPr>
    </w:p>
    <w:bookmarkStart w:id="65" w:name="page66"/>
    <w:bookmarkEnd w:id="65"/>
    <w:p>
      <w:pPr>
        <w:ind w:left="540" w:hanging="534"/>
        <w:spacing w:after="0"/>
        <w:tabs>
          <w:tab w:leader="none" w:pos="540" w:val="left"/>
        </w:tabs>
        <w:numPr>
          <w:ilvl w:val="0"/>
          <w:numId w:val="95"/>
        </w:numPr>
        <w:rPr>
          <w:rFonts w:ascii="Arial" w:cs="Arial" w:eastAsia="Arial" w:hAnsi="Arial"/>
          <w:sz w:val="14"/>
          <w:szCs w:val="14"/>
          <w:i w:val="1"/>
          <w:iCs w:val="1"/>
          <w:color w:val="auto"/>
        </w:rPr>
      </w:pPr>
      <w:r>
        <w:rPr>
          <w:rFonts w:ascii="Arial" w:cs="Arial" w:eastAsia="Arial" w:hAnsi="Arial"/>
          <w:sz w:val="14"/>
          <w:szCs w:val="14"/>
          <w:i w:val="1"/>
          <w:iCs w:val="1"/>
          <w:color w:val="auto"/>
        </w:rPr>
        <w:t>California Independent System Operator (CAISO).</w:t>
      </w:r>
    </w:p>
    <w:p>
      <w:pPr>
        <w:spacing w:after="0" w:line="12" w:lineRule="exact"/>
        <w:rPr>
          <w:rFonts w:ascii="Arial" w:cs="Arial" w:eastAsia="Arial" w:hAnsi="Arial"/>
          <w:sz w:val="14"/>
          <w:szCs w:val="14"/>
          <w:i w:val="1"/>
          <w:iCs w:val="1"/>
          <w:color w:val="auto"/>
        </w:rPr>
      </w:pPr>
    </w:p>
    <w:p>
      <w:pPr>
        <w:ind w:left="540" w:hanging="534"/>
        <w:spacing w:after="0"/>
        <w:tabs>
          <w:tab w:leader="none" w:pos="540" w:val="left"/>
        </w:tabs>
        <w:numPr>
          <w:ilvl w:val="0"/>
          <w:numId w:val="95"/>
        </w:numPr>
        <w:rPr>
          <w:rFonts w:ascii="Arial" w:cs="Arial" w:eastAsia="Arial" w:hAnsi="Arial"/>
          <w:sz w:val="14"/>
          <w:szCs w:val="14"/>
          <w:i w:val="1"/>
          <w:iCs w:val="1"/>
          <w:color w:val="auto"/>
        </w:rPr>
      </w:pPr>
      <w:r>
        <w:rPr>
          <w:rFonts w:ascii="Arial" w:cs="Arial" w:eastAsia="Arial" w:hAnsi="Arial"/>
          <w:sz w:val="14"/>
          <w:szCs w:val="14"/>
          <w:i w:val="1"/>
          <w:iCs w:val="1"/>
          <w:color w:val="auto"/>
        </w:rPr>
        <w:t>Includes sales to affiliates of $6 million in both 2014 and 2013.</w:t>
      </w:r>
    </w:p>
    <w:p>
      <w:pPr>
        <w:spacing w:after="0" w:line="200" w:lineRule="exact"/>
        <w:rPr>
          <w:sz w:val="20"/>
          <w:szCs w:val="20"/>
          <w:color w:val="auto"/>
        </w:rPr>
      </w:pPr>
    </w:p>
    <w:p>
      <w:pPr>
        <w:spacing w:after="0" w:line="233"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color w:val="auto"/>
        </w:rPr>
        <w:t>For the three months ended September 30, 2014, SDG&amp;E’s electric revenues increased by $163 million (17%) to $1.1 billion compared to the corresponding period of 2013 primarily due to:</w:t>
      </w:r>
    </w:p>
    <w:p>
      <w:pPr>
        <w:spacing w:after="0" w:line="179" w:lineRule="exact"/>
        <w:rPr>
          <w:sz w:val="20"/>
          <w:szCs w:val="20"/>
          <w:color w:val="auto"/>
        </w:rPr>
      </w:pPr>
    </w:p>
    <w:p>
      <w:pPr>
        <w:ind w:left="320" w:hanging="172"/>
        <w:spacing w:after="0"/>
        <w:tabs>
          <w:tab w:leader="none" w:pos="320" w:val="left"/>
        </w:tabs>
        <w:numPr>
          <w:ilvl w:val="0"/>
          <w:numId w:val="96"/>
        </w:numPr>
        <w:rPr>
          <w:rFonts w:ascii="Arial" w:cs="Arial" w:eastAsia="Arial" w:hAnsi="Arial"/>
          <w:sz w:val="16"/>
          <w:szCs w:val="16"/>
          <w:b w:val="1"/>
          <w:bCs w:val="1"/>
          <w:color w:val="auto"/>
        </w:rPr>
      </w:pPr>
      <w:r>
        <w:rPr>
          <w:rFonts w:ascii="Arial" w:cs="Arial" w:eastAsia="Arial" w:hAnsi="Arial"/>
          <w:sz w:val="16"/>
          <w:szCs w:val="16"/>
          <w:color w:val="auto"/>
        </w:rPr>
        <w:t>$126 million increase in cost of electric fuel and purchased power primarily due to the incremental purchase of renewable energy at higher prices; and</w:t>
      </w:r>
    </w:p>
    <w:p>
      <w:pPr>
        <w:spacing w:after="0" w:line="267" w:lineRule="exact"/>
        <w:rPr>
          <w:rFonts w:ascii="Arial" w:cs="Arial" w:eastAsia="Arial" w:hAnsi="Arial"/>
          <w:sz w:val="16"/>
          <w:szCs w:val="16"/>
          <w:b w:val="1"/>
          <w:bCs w:val="1"/>
          <w:color w:val="auto"/>
        </w:rPr>
      </w:pPr>
    </w:p>
    <w:p>
      <w:pPr>
        <w:ind w:left="320" w:hanging="172"/>
        <w:spacing w:after="0"/>
        <w:tabs>
          <w:tab w:leader="none" w:pos="320" w:val="left"/>
        </w:tabs>
        <w:numPr>
          <w:ilvl w:val="0"/>
          <w:numId w:val="96"/>
        </w:numPr>
        <w:rPr>
          <w:rFonts w:ascii="Arial" w:cs="Arial" w:eastAsia="Arial" w:hAnsi="Arial"/>
          <w:sz w:val="18"/>
          <w:szCs w:val="18"/>
          <w:b w:val="1"/>
          <w:bCs w:val="1"/>
          <w:color w:val="auto"/>
        </w:rPr>
      </w:pPr>
      <w:r>
        <w:rPr>
          <w:rFonts w:ascii="Arial" w:cs="Arial" w:eastAsia="Arial" w:hAnsi="Arial"/>
          <w:sz w:val="18"/>
          <w:szCs w:val="18"/>
          <w:color w:val="auto"/>
        </w:rPr>
        <w:t>$12 million increase in authorized revenues from 2014 attrition.</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In the first nine months of 2014, SDG&amp;E’s electric revenues increased by $207 million (8%) to $2.9 billion primarily due to:</w:t>
      </w:r>
    </w:p>
    <w:p>
      <w:pPr>
        <w:spacing w:after="0" w:line="218" w:lineRule="exact"/>
        <w:rPr>
          <w:sz w:val="20"/>
          <w:szCs w:val="20"/>
          <w:color w:val="auto"/>
        </w:rPr>
      </w:pPr>
    </w:p>
    <w:p>
      <w:pPr>
        <w:ind w:left="320" w:hanging="172"/>
        <w:spacing w:after="0"/>
        <w:tabs>
          <w:tab w:leader="none" w:pos="320" w:val="left"/>
        </w:tabs>
        <w:numPr>
          <w:ilvl w:val="0"/>
          <w:numId w:val="97"/>
        </w:numPr>
        <w:rPr>
          <w:rFonts w:ascii="Arial" w:cs="Arial" w:eastAsia="Arial" w:hAnsi="Arial"/>
          <w:sz w:val="18"/>
          <w:szCs w:val="18"/>
          <w:b w:val="1"/>
          <w:bCs w:val="1"/>
          <w:color w:val="auto"/>
        </w:rPr>
      </w:pPr>
      <w:r>
        <w:rPr>
          <w:rFonts w:ascii="Arial" w:cs="Arial" w:eastAsia="Arial" w:hAnsi="Arial"/>
          <w:sz w:val="18"/>
          <w:szCs w:val="18"/>
          <w:color w:val="auto"/>
        </w:rPr>
        <w:t>$260 million increase in cost of electric fuel and purchased power, including</w:t>
      </w:r>
    </w:p>
    <w:p>
      <w:pPr>
        <w:spacing w:after="0" w:line="244" w:lineRule="exact"/>
        <w:rPr>
          <w:rFonts w:ascii="Arial" w:cs="Arial" w:eastAsia="Arial" w:hAnsi="Arial"/>
          <w:sz w:val="18"/>
          <w:szCs w:val="18"/>
          <w:b w:val="1"/>
          <w:bCs w:val="1"/>
          <w:color w:val="auto"/>
        </w:rPr>
      </w:pPr>
    </w:p>
    <w:p>
      <w:pPr>
        <w:ind w:left="440" w:hanging="204"/>
        <w:spacing w:after="0"/>
        <w:tabs>
          <w:tab w:leader="none" w:pos="440" w:val="left"/>
        </w:tabs>
        <w:numPr>
          <w:ilvl w:val="1"/>
          <w:numId w:val="97"/>
        </w:numPr>
        <w:rPr>
          <w:rFonts w:ascii="Arial" w:cs="Arial" w:eastAsia="Arial" w:hAnsi="Arial"/>
          <w:sz w:val="18"/>
          <w:szCs w:val="18"/>
          <w:i w:val="1"/>
          <w:iCs w:val="1"/>
          <w:color w:val="auto"/>
        </w:rPr>
      </w:pPr>
      <w:r>
        <w:rPr>
          <w:rFonts w:ascii="Arial" w:cs="Arial" w:eastAsia="Arial" w:hAnsi="Arial"/>
          <w:sz w:val="18"/>
          <w:szCs w:val="18"/>
          <w:color w:val="auto"/>
        </w:rPr>
        <w:t xml:space="preserve">an increase in purchased power primarily due to the incremental purchase of renewable energy at higher prices, </w:t>
      </w:r>
      <w:r>
        <w:rPr>
          <w:rFonts w:ascii="Arial" w:cs="Arial" w:eastAsia="Arial" w:hAnsi="Arial"/>
          <w:sz w:val="18"/>
          <w:szCs w:val="18"/>
          <w:i w:val="1"/>
          <w:iCs w:val="1"/>
          <w:color w:val="auto"/>
        </w:rPr>
        <w:t>offset by</w:t>
      </w:r>
    </w:p>
    <w:p>
      <w:pPr>
        <w:spacing w:after="0" w:line="244" w:lineRule="exact"/>
        <w:rPr>
          <w:rFonts w:ascii="Arial" w:cs="Arial" w:eastAsia="Arial" w:hAnsi="Arial"/>
          <w:sz w:val="18"/>
          <w:szCs w:val="18"/>
          <w:i w:val="1"/>
          <w:iCs w:val="1"/>
          <w:color w:val="auto"/>
        </w:rPr>
      </w:pPr>
    </w:p>
    <w:p>
      <w:pPr>
        <w:ind w:left="440" w:hanging="204"/>
        <w:spacing w:after="0"/>
        <w:tabs>
          <w:tab w:leader="none" w:pos="440" w:val="left"/>
        </w:tabs>
        <w:numPr>
          <w:ilvl w:val="1"/>
          <w:numId w:val="97"/>
        </w:numPr>
        <w:rPr>
          <w:rFonts w:ascii="Arial" w:cs="Arial" w:eastAsia="Arial" w:hAnsi="Arial"/>
          <w:sz w:val="18"/>
          <w:szCs w:val="18"/>
          <w:color w:val="auto"/>
        </w:rPr>
      </w:pPr>
      <w:r>
        <w:rPr>
          <w:rFonts w:ascii="Arial" w:cs="Arial" w:eastAsia="Arial" w:hAnsi="Arial"/>
          <w:sz w:val="18"/>
          <w:szCs w:val="18"/>
          <w:color w:val="auto"/>
        </w:rPr>
        <w:t>a decrease in cost of electric fuel primarily due to planned outages at SDG&amp;E-owned generation facilities;</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97"/>
        </w:numPr>
        <w:rPr>
          <w:rFonts w:ascii="Arial" w:cs="Arial" w:eastAsia="Arial" w:hAnsi="Arial"/>
          <w:sz w:val="18"/>
          <w:szCs w:val="18"/>
          <w:b w:val="1"/>
          <w:bCs w:val="1"/>
          <w:color w:val="auto"/>
        </w:rPr>
      </w:pPr>
      <w:r>
        <w:rPr>
          <w:rFonts w:ascii="Arial" w:cs="Arial" w:eastAsia="Arial" w:hAnsi="Arial"/>
          <w:sz w:val="18"/>
          <w:szCs w:val="18"/>
          <w:color w:val="auto"/>
        </w:rPr>
        <w:t>$30 million increase in authorized revenues from 2014 attrition; and</w:t>
      </w:r>
    </w:p>
    <w:p>
      <w:pPr>
        <w:spacing w:after="0" w:line="238" w:lineRule="exact"/>
        <w:rPr>
          <w:rFonts w:ascii="Arial" w:cs="Arial" w:eastAsia="Arial" w:hAnsi="Arial"/>
          <w:sz w:val="18"/>
          <w:szCs w:val="18"/>
          <w:b w:val="1"/>
          <w:bCs w:val="1"/>
          <w:color w:val="auto"/>
        </w:rPr>
      </w:pPr>
    </w:p>
    <w:p>
      <w:pPr>
        <w:ind w:left="320" w:hanging="172"/>
        <w:spacing w:after="0"/>
        <w:tabs>
          <w:tab w:leader="none" w:pos="320" w:val="left"/>
        </w:tabs>
        <w:numPr>
          <w:ilvl w:val="0"/>
          <w:numId w:val="97"/>
        </w:numPr>
        <w:rPr>
          <w:rFonts w:ascii="Arial" w:cs="Arial" w:eastAsia="Arial" w:hAnsi="Arial"/>
          <w:sz w:val="18"/>
          <w:szCs w:val="18"/>
          <w:b w:val="1"/>
          <w:bCs w:val="1"/>
          <w:color w:val="auto"/>
        </w:rPr>
      </w:pPr>
      <w:r>
        <w:rPr>
          <w:rFonts w:ascii="Arial" w:cs="Arial" w:eastAsia="Arial" w:hAnsi="Arial"/>
          <w:sz w:val="18"/>
          <w:szCs w:val="18"/>
          <w:color w:val="auto"/>
        </w:rPr>
        <w:t xml:space="preserve">$15 million higher authorized revenue from electric transmission; </w:t>
      </w:r>
      <w:r>
        <w:rPr>
          <w:rFonts w:ascii="Arial" w:cs="Arial" w:eastAsia="Arial" w:hAnsi="Arial"/>
          <w:sz w:val="18"/>
          <w:szCs w:val="18"/>
          <w:b w:val="1"/>
          <w:bCs w:val="1"/>
          <w:color w:val="auto"/>
        </w:rPr>
        <w:t>offset by</w:t>
      </w:r>
    </w:p>
    <w:p>
      <w:pPr>
        <w:spacing w:after="0" w:line="250" w:lineRule="exact"/>
        <w:rPr>
          <w:rFonts w:ascii="Arial" w:cs="Arial" w:eastAsia="Arial" w:hAnsi="Arial"/>
          <w:sz w:val="18"/>
          <w:szCs w:val="18"/>
          <w:b w:val="1"/>
          <w:bCs w:val="1"/>
          <w:color w:val="auto"/>
        </w:rPr>
      </w:pPr>
    </w:p>
    <w:p>
      <w:pPr>
        <w:ind w:left="320" w:hanging="172"/>
        <w:spacing w:after="0" w:line="266" w:lineRule="auto"/>
        <w:tabs>
          <w:tab w:leader="none" w:pos="3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$61 million favorable impact on 2013 revenues from the retroactive application of the 2012 GRC decision for the period from January 2012 through December 2012; and</w:t>
      </w:r>
    </w:p>
    <w:p>
      <w:pPr>
        <w:spacing w:after="0" w:line="205" w:lineRule="exact"/>
        <w:rPr>
          <w:rFonts w:ascii="Arial" w:cs="Arial" w:eastAsia="Arial" w:hAnsi="Arial"/>
          <w:sz w:val="18"/>
          <w:szCs w:val="18"/>
          <w:color w:val="auto"/>
        </w:rPr>
      </w:pPr>
    </w:p>
    <w:p>
      <w:pPr>
        <w:ind w:left="320" w:hanging="172"/>
        <w:spacing w:after="0" w:line="266" w:lineRule="auto"/>
        <w:tabs>
          <w:tab w:leader="none" w:pos="3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$45 million lower recovery of costs associated with CPUC-authorized refundable programs, which revenues are fully offset in operation and maintenance expenses.</w:t>
      </w:r>
    </w:p>
    <w:p>
      <w:pPr>
        <w:spacing w:after="0" w:line="20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do not include in the Condensed Consolidated Statements of Operations the commodity costs (and the revenues to recover those costs) associated with long-term contracts in 2013 that were allocated to SDG&amp;E by the California Department of Water Resources. However, we do include the associated volumes and distribution revenues in the table above. We provide further discussion of these contracts in Notes 1 and 14 of the Notes to Consolidated Financial Statements in the Annual Report.</w:t>
      </w:r>
    </w:p>
    <w:p>
      <w:pPr>
        <w:spacing w:after="0" w:line="39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SDG&amp;E and SoCalGas: Natural Gas Revenues and Cost of Natural Gas</w:t>
      </w:r>
    </w:p>
    <w:p>
      <w:pPr>
        <w:spacing w:after="0" w:line="21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tables below show natural gas revenues for SDG&amp;E and SoCalGas for the nine-month periods ended September 30, 2014 and 2013. Because the cost of natural gas is recovered in rates, changes in the cost are reflected in the changes in revenues. In addition to the change in market prices, natural gas revenues recorded during a period are impacted by the difference between customer billings and recorded or CPUC-authorized costs. These differences are required to be balanced over time, resulting in over- and undercollected regulatory balancing accounts. We discuss balancing accounts and their effects further in Note 1 of the Notes to Consolidated Financial Statements in the Annual Report.</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SDG&amp;E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-104775</wp:posOffset>
            </wp:positionV>
            <wp:extent cx="7248525" cy="3289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8525" cy="32893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NATURAL GAS SALES AND TRANSPORTATION</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(Volumes in billion cubic feet, dollars in millions)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2680" w:type="dxa"/>
            <w:vAlign w:val="bottom"/>
            <w:tcBorders>
              <w:bottom w:val="single" w:sz="8" w:color="auto"/>
            </w:tcBorders>
            <w:gridSpan w:val="3"/>
          </w:tcPr>
          <w:p>
            <w:pPr>
              <w:jc w:val="right"/>
              <w:ind w:right="761"/>
              <w:spacing w:after="0"/>
              <w:rPr>
                <w:sz w:val="20"/>
                <w:szCs w:val="20"/>
                <w:color w:val="auto"/>
              </w:rPr>
            </w:pPr>
            <w:r>
              <w:rPr>
                <w:rFonts w:ascii="Arial" w:cs="Arial" w:eastAsia="Arial" w:hAnsi="Arial"/>
                <w:sz w:val="14"/>
                <w:szCs w:val="14"/>
                <w:color w:val="auto"/>
              </w:rPr>
              <w:t>Natural Gas Sales</w:t>
            </w:r>
          </w:p>
        </w:tc>
        <w:tc>
          <w:tcPr>
            <w:tcW w:w="2040" w:type="dxa"/>
            <w:vAlign w:val="bottom"/>
            <w:tcBorders>
              <w:bottom w:val="single" w:sz="8" w:color="auto"/>
            </w:tcBorders>
            <w:gridSpan w:val="2"/>
          </w:tcPr>
          <w:p>
            <w:pPr>
              <w:jc w:val="right"/>
              <w:ind w:right="382"/>
              <w:spacing w:after="0"/>
              <w:rPr>
                <w:sz w:val="20"/>
                <w:szCs w:val="20"/>
                <w:color w:val="auto"/>
              </w:rPr>
            </w:pPr>
            <w:r>
              <w:rPr>
                <w:rFonts w:ascii="Arial" w:cs="Arial" w:eastAsia="Arial" w:hAnsi="Arial"/>
                <w:sz w:val="14"/>
                <w:szCs w:val="14"/>
                <w:color w:val="auto"/>
              </w:rPr>
              <w:t>Transportation</w:t>
            </w:r>
          </w:p>
        </w:tc>
        <w:tc>
          <w:tcPr>
            <w:tcW w:w="5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color w:val="auto"/>
                <w:w w:val="89"/>
              </w:rPr>
              <w:t>Total</w:t>
            </w:r>
          </w:p>
        </w:tc>
        <w:tc>
          <w:tcPr>
            <w:tcW w:w="1060" w:type="dxa"/>
            <w:vAlign w:val="bottom"/>
            <w:tcBorders>
              <w:bottom w:val="single" w:sz="8" w:color="auto"/>
            </w:tcBorders>
          </w:tcPr>
          <w:p>
            <w:pPr>
              <w:spacing w:after="0"/>
              <w:rPr>
                <w:sz w:val="14"/>
                <w:szCs w:val="14"/>
                <w:color w:val="auto"/>
              </w:rPr>
            </w:pPr>
          </w:p>
        </w:tc>
      </w:tr>
      <w:tr>
        <w:trPr>
          <w:trHeight w:val="153"/>
        </w:trPr>
        <w:tc>
          <w:tcPr>
            <w:tcW w:w="3760" w:type="dxa"/>
            <w:vAlign w:val="bottom"/>
            <w:tcBorders>
              <w:bottom w:val="single" w:sz="8" w:color="auto"/>
            </w:tcBorders>
          </w:tcPr>
          <w:p>
            <w:pPr>
              <w:spacing w:after="0" w:line="153" w:lineRule="exact"/>
              <w:rPr>
                <w:sz w:val="20"/>
                <w:szCs w:val="20"/>
                <w:color w:val="auto"/>
              </w:rPr>
            </w:pPr>
            <w:r>
              <w:rPr>
                <w:rFonts w:ascii="Arial" w:cs="Arial" w:eastAsia="Arial" w:hAnsi="Arial"/>
                <w:sz w:val="14"/>
                <w:szCs w:val="14"/>
                <w:color w:val="auto"/>
              </w:rPr>
              <w:t>Customer class</w:t>
            </w:r>
          </w:p>
        </w:tc>
        <w:tc>
          <w:tcPr>
            <w:tcW w:w="1220" w:type="dxa"/>
            <w:vAlign w:val="bottom"/>
            <w:tcBorders>
              <w:bottom w:val="single" w:sz="8" w:color="auto"/>
            </w:tcBorders>
          </w:tcPr>
          <w:p>
            <w:pPr>
              <w:jc w:val="right"/>
              <w:ind w:right="322"/>
              <w:spacing w:after="0" w:line="153" w:lineRule="exact"/>
              <w:rPr>
                <w:sz w:val="20"/>
                <w:szCs w:val="20"/>
                <w:color w:val="auto"/>
              </w:rPr>
            </w:pPr>
            <w:r>
              <w:rPr>
                <w:rFonts w:ascii="Arial" w:cs="Arial" w:eastAsia="Arial" w:hAnsi="Arial"/>
                <w:sz w:val="14"/>
                <w:szCs w:val="14"/>
                <w:color w:val="auto"/>
              </w:rPr>
              <w:t>Volumes</w:t>
            </w:r>
          </w:p>
        </w:tc>
        <w:tc>
          <w:tcPr>
            <w:tcW w:w="2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01"/>
              <w:spacing w:after="0" w:line="153" w:lineRule="exact"/>
              <w:rPr>
                <w:sz w:val="20"/>
                <w:szCs w:val="20"/>
                <w:color w:val="auto"/>
              </w:rPr>
            </w:pPr>
            <w:r>
              <w:rPr>
                <w:rFonts w:ascii="Arial" w:cs="Arial" w:eastAsia="Arial" w:hAnsi="Arial"/>
                <w:sz w:val="14"/>
                <w:szCs w:val="14"/>
                <w:color w:val="auto"/>
              </w:rPr>
              <w:t>Revenue</w:t>
            </w:r>
          </w:p>
        </w:tc>
        <w:tc>
          <w:tcPr>
            <w:tcW w:w="1100" w:type="dxa"/>
            <w:vAlign w:val="bottom"/>
            <w:tcBorders>
              <w:bottom w:val="single" w:sz="8" w:color="auto"/>
            </w:tcBorders>
          </w:tcPr>
          <w:p>
            <w:pPr>
              <w:jc w:val="right"/>
              <w:ind w:right="342"/>
              <w:spacing w:after="0" w:line="153" w:lineRule="exact"/>
              <w:rPr>
                <w:sz w:val="20"/>
                <w:szCs w:val="20"/>
                <w:color w:val="auto"/>
              </w:rPr>
            </w:pPr>
            <w:r>
              <w:rPr>
                <w:rFonts w:ascii="Arial" w:cs="Arial" w:eastAsia="Arial" w:hAnsi="Arial"/>
                <w:sz w:val="14"/>
                <w:szCs w:val="14"/>
                <w:color w:val="auto"/>
              </w:rPr>
              <w:t>Volumes</w:t>
            </w:r>
          </w:p>
        </w:tc>
        <w:tc>
          <w:tcPr>
            <w:tcW w:w="940" w:type="dxa"/>
            <w:vAlign w:val="bottom"/>
            <w:tcBorders>
              <w:bottom w:val="single" w:sz="8" w:color="auto"/>
            </w:tcBorders>
          </w:tcPr>
          <w:p>
            <w:pPr>
              <w:jc w:val="right"/>
              <w:ind w:right="2"/>
              <w:spacing w:after="0" w:line="153" w:lineRule="exact"/>
              <w:rPr>
                <w:sz w:val="20"/>
                <w:szCs w:val="20"/>
                <w:color w:val="auto"/>
              </w:rPr>
            </w:pPr>
            <w:r>
              <w:rPr>
                <w:rFonts w:ascii="Arial" w:cs="Arial" w:eastAsia="Arial" w:hAnsi="Arial"/>
                <w:sz w:val="14"/>
                <w:szCs w:val="14"/>
                <w:color w:val="auto"/>
              </w:rPr>
              <w:t>Revenue</w:t>
            </w:r>
          </w:p>
        </w:tc>
        <w:tc>
          <w:tcPr>
            <w:tcW w:w="5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ind w:right="300"/>
              <w:spacing w:after="0" w:line="153" w:lineRule="exact"/>
              <w:rPr>
                <w:sz w:val="20"/>
                <w:szCs w:val="20"/>
                <w:color w:val="auto"/>
              </w:rPr>
            </w:pPr>
            <w:r>
              <w:rPr>
                <w:rFonts w:ascii="Arial" w:cs="Arial" w:eastAsia="Arial" w:hAnsi="Arial"/>
                <w:sz w:val="14"/>
                <w:szCs w:val="14"/>
                <w:color w:val="auto"/>
              </w:rPr>
              <w:t>Volumes</w:t>
            </w:r>
          </w:p>
        </w:tc>
        <w:tc>
          <w:tcPr>
            <w:tcW w:w="3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61"/>
              <w:spacing w:after="0" w:line="153" w:lineRule="exact"/>
              <w:rPr>
                <w:sz w:val="20"/>
                <w:szCs w:val="20"/>
                <w:color w:val="auto"/>
              </w:rPr>
            </w:pPr>
            <w:r>
              <w:rPr>
                <w:rFonts w:ascii="Arial" w:cs="Arial" w:eastAsia="Arial" w:hAnsi="Arial"/>
                <w:sz w:val="14"/>
                <w:szCs w:val="14"/>
                <w:color w:val="auto"/>
              </w:rPr>
              <w:t>Revenue</w:t>
            </w:r>
          </w:p>
        </w:tc>
      </w:tr>
      <w:tr>
        <w:trPr>
          <w:trHeight w:val="194"/>
        </w:trPr>
        <w:tc>
          <w:tcPr>
            <w:tcW w:w="3760" w:type="dxa"/>
            <w:vAlign w:val="bottom"/>
          </w:tcPr>
          <w:p>
            <w:pPr>
              <w:spacing w:after="0"/>
              <w:rPr>
                <w:sz w:val="20"/>
                <w:szCs w:val="20"/>
                <w:color w:val="auto"/>
              </w:rPr>
            </w:pPr>
            <w:r>
              <w:rPr>
                <w:rFonts w:ascii="Arial" w:cs="Arial" w:eastAsia="Arial" w:hAnsi="Arial"/>
                <w:sz w:val="16"/>
                <w:szCs w:val="16"/>
                <w:b w:val="1"/>
                <w:bCs w:val="1"/>
                <w:color w:val="auto"/>
              </w:rPr>
              <w:t>Nine months ended September 30, 2014:</w:t>
            </w: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2"/>
        </w:trPr>
        <w:tc>
          <w:tcPr>
            <w:tcW w:w="3760" w:type="dxa"/>
            <w:vAlign w:val="bottom"/>
          </w:tcPr>
          <w:p>
            <w:pPr>
              <w:ind w:left="180"/>
              <w:spacing w:after="0"/>
              <w:rPr>
                <w:sz w:val="20"/>
                <w:szCs w:val="20"/>
                <w:color w:val="auto"/>
              </w:rPr>
            </w:pPr>
            <w:r>
              <w:rPr>
                <w:rFonts w:ascii="Arial" w:cs="Arial" w:eastAsia="Arial" w:hAnsi="Arial"/>
                <w:sz w:val="16"/>
                <w:szCs w:val="16"/>
                <w:color w:val="auto"/>
              </w:rPr>
              <w:t>Residential</w:t>
            </w: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21</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61"/>
              <w:spacing w:after="0"/>
              <w:rPr>
                <w:sz w:val="20"/>
                <w:szCs w:val="20"/>
                <w:color w:val="auto"/>
              </w:rPr>
            </w:pPr>
            <w:r>
              <w:rPr>
                <w:rFonts w:ascii="Arial" w:cs="Arial" w:eastAsia="Arial" w:hAnsi="Arial"/>
                <w:sz w:val="16"/>
                <w:szCs w:val="16"/>
                <w:color w:val="auto"/>
              </w:rPr>
              <w:t>241</w:t>
            </w:r>
          </w:p>
        </w:tc>
        <w:tc>
          <w:tcPr>
            <w:tcW w:w="110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642"/>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21</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241</w:t>
            </w:r>
          </w:p>
        </w:tc>
      </w:tr>
      <w:tr>
        <w:trPr>
          <w:trHeight w:val="213"/>
        </w:trPr>
        <w:tc>
          <w:tcPr>
            <w:tcW w:w="3760" w:type="dxa"/>
            <w:vAlign w:val="bottom"/>
          </w:tcPr>
          <w:p>
            <w:pPr>
              <w:ind w:left="180"/>
              <w:spacing w:after="0"/>
              <w:rPr>
                <w:sz w:val="20"/>
                <w:szCs w:val="20"/>
                <w:color w:val="auto"/>
              </w:rPr>
            </w:pPr>
            <w:r>
              <w:rPr>
                <w:rFonts w:ascii="Arial" w:cs="Arial" w:eastAsia="Arial" w:hAnsi="Arial"/>
                <w:sz w:val="16"/>
                <w:szCs w:val="16"/>
                <w:color w:val="auto"/>
              </w:rPr>
              <w:t>Commercial and industrial</w:t>
            </w: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11</w:t>
            </w:r>
          </w:p>
        </w:tc>
        <w:tc>
          <w:tcPr>
            <w:tcW w:w="260" w:type="dxa"/>
            <w:vAlign w:val="bottom"/>
          </w:tcPr>
          <w:p>
            <w:pPr>
              <w:spacing w:after="0"/>
              <w:rPr>
                <w:sz w:val="18"/>
                <w:szCs w:val="18"/>
                <w:color w:val="auto"/>
              </w:rPr>
            </w:pPr>
          </w:p>
        </w:tc>
        <w:tc>
          <w:tcPr>
            <w:tcW w:w="1200" w:type="dxa"/>
            <w:vAlign w:val="bottom"/>
          </w:tcPr>
          <w:p>
            <w:pPr>
              <w:jc w:val="right"/>
              <w:ind w:right="61"/>
              <w:spacing w:after="0"/>
              <w:rPr>
                <w:sz w:val="20"/>
                <w:szCs w:val="20"/>
                <w:color w:val="auto"/>
              </w:rPr>
            </w:pPr>
            <w:r>
              <w:rPr>
                <w:rFonts w:ascii="Arial" w:cs="Arial" w:eastAsia="Arial" w:hAnsi="Arial"/>
                <w:sz w:val="16"/>
                <w:szCs w:val="16"/>
                <w:color w:val="auto"/>
              </w:rPr>
              <w:t>83</w:t>
            </w:r>
          </w:p>
        </w:tc>
        <w:tc>
          <w:tcPr>
            <w:tcW w:w="1100" w:type="dxa"/>
            <w:vAlign w:val="bottom"/>
          </w:tcPr>
          <w:p>
            <w:pPr>
              <w:jc w:val="right"/>
              <w:ind w:right="62"/>
              <w:spacing w:after="0"/>
              <w:rPr>
                <w:sz w:val="20"/>
                <w:szCs w:val="20"/>
                <w:color w:val="auto"/>
              </w:rPr>
            </w:pPr>
            <w:r>
              <w:rPr>
                <w:rFonts w:ascii="Arial" w:cs="Arial" w:eastAsia="Arial" w:hAnsi="Arial"/>
                <w:sz w:val="16"/>
                <w:szCs w:val="16"/>
                <w:color w:val="auto"/>
              </w:rPr>
              <w:t>6</w:t>
            </w:r>
          </w:p>
        </w:tc>
        <w:tc>
          <w:tcPr>
            <w:tcW w:w="940" w:type="dxa"/>
            <w:vAlign w:val="bottom"/>
          </w:tcPr>
          <w:p>
            <w:pPr>
              <w:spacing w:after="0"/>
              <w:rPr>
                <w:sz w:val="18"/>
                <w:szCs w:val="18"/>
                <w:color w:val="auto"/>
              </w:rPr>
            </w:pPr>
          </w:p>
        </w:tc>
        <w:tc>
          <w:tcPr>
            <w:tcW w:w="520" w:type="dxa"/>
            <w:vAlign w:val="bottom"/>
          </w:tcPr>
          <w:p>
            <w:pPr>
              <w:jc w:val="right"/>
              <w:ind w:right="60"/>
              <w:spacing w:after="0"/>
              <w:rPr>
                <w:sz w:val="20"/>
                <w:szCs w:val="20"/>
                <w:color w:val="auto"/>
              </w:rPr>
            </w:pPr>
            <w:r>
              <w:rPr>
                <w:rFonts w:ascii="Arial" w:cs="Arial" w:eastAsia="Arial" w:hAnsi="Arial"/>
                <w:sz w:val="16"/>
                <w:szCs w:val="16"/>
                <w:color w:val="auto"/>
              </w:rPr>
              <w:t>8</w:t>
            </w: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17</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204"/>
        </w:trPr>
        <w:tc>
          <w:tcPr>
            <w:tcW w:w="3760" w:type="dxa"/>
            <w:vAlign w:val="bottom"/>
          </w:tcPr>
          <w:p>
            <w:pPr>
              <w:ind w:left="180"/>
              <w:spacing w:after="0"/>
              <w:rPr>
                <w:sz w:val="20"/>
                <w:szCs w:val="20"/>
                <w:color w:val="auto"/>
              </w:rPr>
            </w:pPr>
            <w:r>
              <w:rPr>
                <w:rFonts w:ascii="Arial" w:cs="Arial" w:eastAsia="Arial" w:hAnsi="Arial"/>
                <w:sz w:val="16"/>
                <w:szCs w:val="16"/>
                <w:color w:val="auto"/>
              </w:rPr>
              <w:t>Electric generation plants(1)</w:t>
            </w:r>
          </w:p>
        </w:tc>
        <w:tc>
          <w:tcPr>
            <w:tcW w:w="122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19</w:t>
            </w:r>
          </w:p>
        </w:tc>
        <w:tc>
          <w:tcPr>
            <w:tcW w:w="9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w:t>
            </w: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19</w:t>
            </w: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14"/>
        </w:trPr>
        <w:tc>
          <w:tcPr>
            <w:tcW w:w="3760" w:type="dxa"/>
            <w:vAlign w:val="bottom"/>
          </w:tcPr>
          <w:p>
            <w:pPr>
              <w:spacing w:after="0"/>
              <w:rPr>
                <w:sz w:val="18"/>
                <w:szCs w:val="18"/>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32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61"/>
              <w:spacing w:after="0"/>
              <w:rPr>
                <w:sz w:val="20"/>
                <w:szCs w:val="20"/>
                <w:color w:val="auto"/>
              </w:rPr>
            </w:pPr>
            <w:r>
              <w:rPr>
                <w:rFonts w:ascii="Arial" w:cs="Arial" w:eastAsia="Arial" w:hAnsi="Arial"/>
                <w:sz w:val="16"/>
                <w:szCs w:val="16"/>
                <w:color w:val="auto"/>
              </w:rPr>
              <w:t>324</w:t>
            </w:r>
          </w:p>
        </w:tc>
        <w:tc>
          <w:tcPr>
            <w:tcW w:w="1100" w:type="dxa"/>
            <w:vAlign w:val="bottom"/>
          </w:tcPr>
          <w:p>
            <w:pPr>
              <w:jc w:val="right"/>
              <w:ind w:right="62"/>
              <w:spacing w:after="0"/>
              <w:rPr>
                <w:sz w:val="20"/>
                <w:szCs w:val="20"/>
                <w:color w:val="auto"/>
              </w:rPr>
            </w:pPr>
            <w:r>
              <w:rPr>
                <w:rFonts w:ascii="Arial" w:cs="Arial" w:eastAsia="Arial" w:hAnsi="Arial"/>
                <w:sz w:val="16"/>
                <w:szCs w:val="16"/>
                <w:color w:val="auto"/>
              </w:rPr>
              <w:t>25</w:t>
            </w:r>
          </w:p>
        </w:tc>
        <w:tc>
          <w:tcPr>
            <w:tcW w:w="940" w:type="dxa"/>
            <w:vAlign w:val="bottom"/>
          </w:tcPr>
          <w:p>
            <w:pPr>
              <w:jc w:val="right"/>
              <w:ind w:right="642"/>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60"/>
              <w:spacing w:after="0"/>
              <w:rPr>
                <w:sz w:val="20"/>
                <w:szCs w:val="20"/>
                <w:color w:val="auto"/>
              </w:rPr>
            </w:pPr>
            <w:r>
              <w:rPr>
                <w:rFonts w:ascii="Arial" w:cs="Arial" w:eastAsia="Arial" w:hAnsi="Arial"/>
                <w:sz w:val="16"/>
                <w:szCs w:val="16"/>
                <w:color w:val="auto"/>
              </w:rPr>
              <w:t>9</w:t>
            </w: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57</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333</w:t>
            </w:r>
          </w:p>
        </w:tc>
      </w:tr>
      <w:tr>
        <w:trPr>
          <w:trHeight w:val="213"/>
        </w:trPr>
        <w:tc>
          <w:tcPr>
            <w:tcW w:w="3760" w:type="dxa"/>
            <w:vAlign w:val="bottom"/>
          </w:tcPr>
          <w:p>
            <w:pPr>
              <w:ind w:left="180"/>
              <w:spacing w:after="0"/>
              <w:rPr>
                <w:sz w:val="20"/>
                <w:szCs w:val="20"/>
                <w:color w:val="auto"/>
              </w:rPr>
            </w:pPr>
            <w:r>
              <w:rPr>
                <w:rFonts w:ascii="Arial" w:cs="Arial" w:eastAsia="Arial" w:hAnsi="Arial"/>
                <w:sz w:val="16"/>
                <w:szCs w:val="16"/>
                <w:color w:val="auto"/>
              </w:rPr>
              <w:t>Other revenues</w:t>
            </w: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04"/>
        </w:trPr>
        <w:tc>
          <w:tcPr>
            <w:tcW w:w="3760" w:type="dxa"/>
            <w:vAlign w:val="bottom"/>
          </w:tcPr>
          <w:p>
            <w:pPr>
              <w:ind w:left="180"/>
              <w:spacing w:after="0"/>
              <w:rPr>
                <w:sz w:val="20"/>
                <w:szCs w:val="20"/>
                <w:color w:val="auto"/>
              </w:rPr>
            </w:pPr>
            <w:r>
              <w:rPr>
                <w:rFonts w:ascii="Arial" w:cs="Arial" w:eastAsia="Arial" w:hAnsi="Arial"/>
                <w:sz w:val="16"/>
                <w:szCs w:val="16"/>
                <w:color w:val="auto"/>
              </w:rPr>
              <w:t>Balancing accounts</w:t>
            </w: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r>
      <w:tr>
        <w:trPr>
          <w:trHeight w:val="212"/>
        </w:trPr>
        <w:tc>
          <w:tcPr>
            <w:tcW w:w="376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Total(2)</w:t>
            </w:r>
          </w:p>
        </w:tc>
        <w:tc>
          <w:tcPr>
            <w:tcW w:w="1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w:t>
            </w:r>
          </w:p>
        </w:tc>
      </w:tr>
      <w:tr>
        <w:trPr>
          <w:trHeight w:val="201"/>
        </w:trPr>
        <w:tc>
          <w:tcPr>
            <w:tcW w:w="3760" w:type="dxa"/>
            <w:vAlign w:val="bottom"/>
          </w:tcPr>
          <w:p>
            <w:pPr>
              <w:spacing w:after="0"/>
              <w:rPr>
                <w:sz w:val="20"/>
                <w:szCs w:val="20"/>
                <w:color w:val="auto"/>
              </w:rPr>
            </w:pPr>
            <w:r>
              <w:rPr>
                <w:rFonts w:ascii="Arial" w:cs="Arial" w:eastAsia="Arial" w:hAnsi="Arial"/>
                <w:sz w:val="16"/>
                <w:szCs w:val="16"/>
                <w:b w:val="1"/>
                <w:bCs w:val="1"/>
                <w:color w:val="auto"/>
              </w:rPr>
              <w:t>Nine months ended September 30, 2013:</w:t>
            </w: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2"/>
        </w:trPr>
        <w:tc>
          <w:tcPr>
            <w:tcW w:w="3760" w:type="dxa"/>
            <w:vAlign w:val="bottom"/>
          </w:tcPr>
          <w:p>
            <w:pPr>
              <w:ind w:left="180"/>
              <w:spacing w:after="0"/>
              <w:rPr>
                <w:sz w:val="20"/>
                <w:szCs w:val="20"/>
                <w:color w:val="auto"/>
              </w:rPr>
            </w:pPr>
            <w:r>
              <w:rPr>
                <w:rFonts w:ascii="Arial" w:cs="Arial" w:eastAsia="Arial" w:hAnsi="Arial"/>
                <w:sz w:val="16"/>
                <w:szCs w:val="16"/>
                <w:color w:val="auto"/>
              </w:rPr>
              <w:t>Residential</w:t>
            </w: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24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61"/>
              <w:spacing w:after="0"/>
              <w:rPr>
                <w:sz w:val="20"/>
                <w:szCs w:val="20"/>
                <w:color w:val="auto"/>
              </w:rPr>
            </w:pPr>
            <w:r>
              <w:rPr>
                <w:rFonts w:ascii="Arial" w:cs="Arial" w:eastAsia="Arial" w:hAnsi="Arial"/>
                <w:sz w:val="16"/>
                <w:szCs w:val="16"/>
                <w:color w:val="auto"/>
              </w:rPr>
              <w:t>245</w:t>
            </w:r>
          </w:p>
        </w:tc>
        <w:tc>
          <w:tcPr>
            <w:tcW w:w="110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642"/>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60"/>
              <w:spacing w:after="0"/>
              <w:rPr>
                <w:sz w:val="20"/>
                <w:szCs w:val="20"/>
                <w:color w:val="auto"/>
              </w:rPr>
            </w:pPr>
            <w:r>
              <w:rPr>
                <w:rFonts w:ascii="Arial" w:cs="Arial" w:eastAsia="Arial" w:hAnsi="Arial"/>
                <w:sz w:val="16"/>
                <w:szCs w:val="16"/>
                <w:color w:val="auto"/>
              </w:rPr>
              <w:t>1</w:t>
            </w: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24</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246</w:t>
            </w:r>
          </w:p>
        </w:tc>
      </w:tr>
      <w:tr>
        <w:trPr>
          <w:trHeight w:val="213"/>
        </w:trPr>
        <w:tc>
          <w:tcPr>
            <w:tcW w:w="3760" w:type="dxa"/>
            <w:vAlign w:val="bottom"/>
          </w:tcPr>
          <w:p>
            <w:pPr>
              <w:ind w:left="180"/>
              <w:spacing w:after="0"/>
              <w:rPr>
                <w:sz w:val="20"/>
                <w:szCs w:val="20"/>
                <w:color w:val="auto"/>
              </w:rPr>
            </w:pPr>
            <w:r>
              <w:rPr>
                <w:rFonts w:ascii="Arial" w:cs="Arial" w:eastAsia="Arial" w:hAnsi="Arial"/>
                <w:sz w:val="16"/>
                <w:szCs w:val="16"/>
                <w:color w:val="auto"/>
              </w:rPr>
              <w:t>Commercial and industrial</w:t>
            </w: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11</w:t>
            </w:r>
          </w:p>
        </w:tc>
        <w:tc>
          <w:tcPr>
            <w:tcW w:w="260" w:type="dxa"/>
            <w:vAlign w:val="bottom"/>
          </w:tcPr>
          <w:p>
            <w:pPr>
              <w:spacing w:after="0"/>
              <w:rPr>
                <w:sz w:val="18"/>
                <w:szCs w:val="18"/>
                <w:color w:val="auto"/>
              </w:rPr>
            </w:pPr>
          </w:p>
        </w:tc>
        <w:tc>
          <w:tcPr>
            <w:tcW w:w="1200" w:type="dxa"/>
            <w:vAlign w:val="bottom"/>
          </w:tcPr>
          <w:p>
            <w:pPr>
              <w:jc w:val="right"/>
              <w:ind w:right="61"/>
              <w:spacing w:after="0"/>
              <w:rPr>
                <w:sz w:val="20"/>
                <w:szCs w:val="20"/>
                <w:color w:val="auto"/>
              </w:rPr>
            </w:pPr>
            <w:r>
              <w:rPr>
                <w:rFonts w:ascii="Arial" w:cs="Arial" w:eastAsia="Arial" w:hAnsi="Arial"/>
                <w:sz w:val="16"/>
                <w:szCs w:val="16"/>
                <w:color w:val="auto"/>
              </w:rPr>
              <w:t>74</w:t>
            </w:r>
          </w:p>
        </w:tc>
        <w:tc>
          <w:tcPr>
            <w:tcW w:w="1100" w:type="dxa"/>
            <w:vAlign w:val="bottom"/>
          </w:tcPr>
          <w:p>
            <w:pPr>
              <w:jc w:val="right"/>
              <w:ind w:right="62"/>
              <w:spacing w:after="0"/>
              <w:rPr>
                <w:sz w:val="20"/>
                <w:szCs w:val="20"/>
                <w:color w:val="auto"/>
              </w:rPr>
            </w:pPr>
            <w:r>
              <w:rPr>
                <w:rFonts w:ascii="Arial" w:cs="Arial" w:eastAsia="Arial" w:hAnsi="Arial"/>
                <w:sz w:val="16"/>
                <w:szCs w:val="16"/>
                <w:color w:val="auto"/>
              </w:rPr>
              <w:t>7</w:t>
            </w:r>
          </w:p>
        </w:tc>
        <w:tc>
          <w:tcPr>
            <w:tcW w:w="940" w:type="dxa"/>
            <w:vAlign w:val="bottom"/>
          </w:tcPr>
          <w:p>
            <w:pPr>
              <w:spacing w:after="0"/>
              <w:rPr>
                <w:sz w:val="18"/>
                <w:szCs w:val="18"/>
                <w:color w:val="auto"/>
              </w:rPr>
            </w:pPr>
          </w:p>
        </w:tc>
        <w:tc>
          <w:tcPr>
            <w:tcW w:w="520" w:type="dxa"/>
            <w:vAlign w:val="bottom"/>
          </w:tcPr>
          <w:p>
            <w:pPr>
              <w:jc w:val="right"/>
              <w:ind w:right="60"/>
              <w:spacing w:after="0"/>
              <w:rPr>
                <w:sz w:val="20"/>
                <w:szCs w:val="20"/>
                <w:color w:val="auto"/>
              </w:rPr>
            </w:pPr>
            <w:r>
              <w:rPr>
                <w:rFonts w:ascii="Arial" w:cs="Arial" w:eastAsia="Arial" w:hAnsi="Arial"/>
                <w:sz w:val="16"/>
                <w:szCs w:val="16"/>
                <w:color w:val="auto"/>
              </w:rPr>
              <w:t>9</w:t>
            </w: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18</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83</w:t>
            </w:r>
          </w:p>
        </w:tc>
      </w:tr>
      <w:tr>
        <w:trPr>
          <w:trHeight w:val="204"/>
        </w:trPr>
        <w:tc>
          <w:tcPr>
            <w:tcW w:w="3760" w:type="dxa"/>
            <w:vAlign w:val="bottom"/>
          </w:tcPr>
          <w:p>
            <w:pPr>
              <w:ind w:left="180"/>
              <w:spacing w:after="0"/>
              <w:rPr>
                <w:sz w:val="20"/>
                <w:szCs w:val="20"/>
                <w:color w:val="auto"/>
              </w:rPr>
            </w:pPr>
            <w:r>
              <w:rPr>
                <w:rFonts w:ascii="Arial" w:cs="Arial" w:eastAsia="Arial" w:hAnsi="Arial"/>
                <w:sz w:val="16"/>
                <w:szCs w:val="16"/>
                <w:color w:val="auto"/>
              </w:rPr>
              <w:t>Electric generation plants</w:t>
            </w:r>
          </w:p>
        </w:tc>
        <w:tc>
          <w:tcPr>
            <w:tcW w:w="122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19</w:t>
            </w:r>
          </w:p>
        </w:tc>
        <w:tc>
          <w:tcPr>
            <w:tcW w:w="9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12</w:t>
            </w: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19</w:t>
            </w: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r>
      <w:tr>
        <w:trPr>
          <w:trHeight w:val="214"/>
        </w:trPr>
        <w:tc>
          <w:tcPr>
            <w:tcW w:w="3760" w:type="dxa"/>
            <w:vAlign w:val="bottom"/>
          </w:tcPr>
          <w:p>
            <w:pPr>
              <w:spacing w:after="0"/>
              <w:rPr>
                <w:sz w:val="18"/>
                <w:szCs w:val="18"/>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35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61"/>
              <w:spacing w:after="0"/>
              <w:rPr>
                <w:sz w:val="20"/>
                <w:szCs w:val="20"/>
                <w:color w:val="auto"/>
              </w:rPr>
            </w:pPr>
            <w:r>
              <w:rPr>
                <w:rFonts w:ascii="Arial" w:cs="Arial" w:eastAsia="Arial" w:hAnsi="Arial"/>
                <w:sz w:val="16"/>
                <w:szCs w:val="16"/>
                <w:color w:val="auto"/>
              </w:rPr>
              <w:t>319</w:t>
            </w:r>
          </w:p>
        </w:tc>
        <w:tc>
          <w:tcPr>
            <w:tcW w:w="1100" w:type="dxa"/>
            <w:vAlign w:val="bottom"/>
          </w:tcPr>
          <w:p>
            <w:pPr>
              <w:jc w:val="right"/>
              <w:ind w:right="62"/>
              <w:spacing w:after="0"/>
              <w:rPr>
                <w:sz w:val="20"/>
                <w:szCs w:val="20"/>
                <w:color w:val="auto"/>
              </w:rPr>
            </w:pPr>
            <w:r>
              <w:rPr>
                <w:rFonts w:ascii="Arial" w:cs="Arial" w:eastAsia="Arial" w:hAnsi="Arial"/>
                <w:sz w:val="16"/>
                <w:szCs w:val="16"/>
                <w:color w:val="auto"/>
              </w:rPr>
              <w:t>26</w:t>
            </w:r>
          </w:p>
        </w:tc>
        <w:tc>
          <w:tcPr>
            <w:tcW w:w="940" w:type="dxa"/>
            <w:vAlign w:val="bottom"/>
          </w:tcPr>
          <w:p>
            <w:pPr>
              <w:jc w:val="right"/>
              <w:ind w:right="642"/>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60"/>
              <w:spacing w:after="0"/>
              <w:rPr>
                <w:sz w:val="20"/>
                <w:szCs w:val="20"/>
                <w:color w:val="auto"/>
              </w:rPr>
            </w:pPr>
            <w:r>
              <w:rPr>
                <w:rFonts w:ascii="Arial" w:cs="Arial" w:eastAsia="Arial" w:hAnsi="Arial"/>
                <w:sz w:val="16"/>
                <w:szCs w:val="16"/>
                <w:color w:val="auto"/>
              </w:rPr>
              <w:t>22</w:t>
            </w: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61</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341</w:t>
            </w:r>
          </w:p>
        </w:tc>
      </w:tr>
      <w:tr>
        <w:trPr>
          <w:trHeight w:val="213"/>
        </w:trPr>
        <w:tc>
          <w:tcPr>
            <w:tcW w:w="3760" w:type="dxa"/>
            <w:vAlign w:val="bottom"/>
          </w:tcPr>
          <w:p>
            <w:pPr>
              <w:ind w:left="180"/>
              <w:spacing w:after="0"/>
              <w:rPr>
                <w:sz w:val="20"/>
                <w:szCs w:val="20"/>
                <w:color w:val="auto"/>
              </w:rPr>
            </w:pPr>
            <w:r>
              <w:rPr>
                <w:rFonts w:ascii="Arial" w:cs="Arial" w:eastAsia="Arial" w:hAnsi="Arial"/>
                <w:sz w:val="16"/>
                <w:szCs w:val="16"/>
                <w:color w:val="auto"/>
              </w:rPr>
              <w:t>Other revenues</w:t>
            </w: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04"/>
        </w:trPr>
        <w:tc>
          <w:tcPr>
            <w:tcW w:w="3760" w:type="dxa"/>
            <w:vAlign w:val="bottom"/>
          </w:tcPr>
          <w:p>
            <w:pPr>
              <w:ind w:left="180"/>
              <w:spacing w:after="0"/>
              <w:rPr>
                <w:sz w:val="20"/>
                <w:szCs w:val="20"/>
                <w:color w:val="auto"/>
              </w:rPr>
            </w:pPr>
            <w:r>
              <w:rPr>
                <w:rFonts w:ascii="Arial" w:cs="Arial" w:eastAsia="Arial" w:hAnsi="Arial"/>
                <w:sz w:val="16"/>
                <w:szCs w:val="16"/>
                <w:color w:val="auto"/>
              </w:rPr>
              <w:t>Balancing accounts</w:t>
            </w: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214"/>
        </w:trPr>
        <w:tc>
          <w:tcPr>
            <w:tcW w:w="3760" w:type="dxa"/>
            <w:vAlign w:val="bottom"/>
          </w:tcPr>
          <w:p>
            <w:pPr>
              <w:ind w:left="360"/>
              <w:spacing w:after="0"/>
              <w:rPr>
                <w:sz w:val="20"/>
                <w:szCs w:val="20"/>
                <w:color w:val="auto"/>
              </w:rPr>
            </w:pPr>
            <w:r>
              <w:rPr>
                <w:rFonts w:ascii="Arial" w:cs="Arial" w:eastAsia="Arial" w:hAnsi="Arial"/>
                <w:sz w:val="16"/>
                <w:szCs w:val="16"/>
                <w:color w:val="auto"/>
              </w:rPr>
              <w:t>Total(2)</w:t>
            </w: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724852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8525" cy="17145"/>
                    </a:xfrm>
                    <a:prstGeom prst="rect">
                      <a:avLst/>
                    </a:prstGeom>
                    <a:noFill/>
                  </pic:spPr>
                </pic:pic>
              </a:graphicData>
            </a:graphic>
          </wp:anchor>
        </w:drawing>
      </w:r>
    </w:p>
    <w:p>
      <w:pPr>
        <w:ind w:left="480" w:hanging="474"/>
        <w:spacing w:after="0"/>
        <w:tabs>
          <w:tab w:leader="none" w:pos="480" w:val="left"/>
        </w:tabs>
        <w:numPr>
          <w:ilvl w:val="0"/>
          <w:numId w:val="98"/>
        </w:numPr>
        <w:rPr>
          <w:rFonts w:ascii="Arial" w:cs="Arial" w:eastAsia="Arial" w:hAnsi="Arial"/>
          <w:sz w:val="14"/>
          <w:szCs w:val="14"/>
          <w:i w:val="1"/>
          <w:iCs w:val="1"/>
          <w:color w:val="auto"/>
        </w:rPr>
      </w:pPr>
      <w:r>
        <w:rPr>
          <w:rFonts w:ascii="Arial" w:cs="Arial" w:eastAsia="Arial" w:hAnsi="Arial"/>
          <w:sz w:val="14"/>
          <w:szCs w:val="14"/>
          <w:i w:val="1"/>
          <w:iCs w:val="1"/>
          <w:color w:val="auto"/>
        </w:rPr>
        <w:t>Lower electric generation plants revenue in 2014 compared to 2013 is due to refunds of previous overcollections to adjust forecasted rates to actual.</w:t>
      </w:r>
    </w:p>
    <w:p>
      <w:pPr>
        <w:spacing w:after="0" w:line="12" w:lineRule="exact"/>
        <w:rPr>
          <w:rFonts w:ascii="Arial" w:cs="Arial" w:eastAsia="Arial" w:hAnsi="Arial"/>
          <w:sz w:val="14"/>
          <w:szCs w:val="14"/>
          <w:i w:val="1"/>
          <w:iCs w:val="1"/>
          <w:color w:val="auto"/>
        </w:rPr>
      </w:pPr>
    </w:p>
    <w:p>
      <w:pPr>
        <w:ind w:left="480" w:hanging="474"/>
        <w:spacing w:after="0"/>
        <w:tabs>
          <w:tab w:leader="none" w:pos="480" w:val="left"/>
        </w:tabs>
        <w:numPr>
          <w:ilvl w:val="0"/>
          <w:numId w:val="98"/>
        </w:numPr>
        <w:rPr>
          <w:rFonts w:ascii="Arial" w:cs="Arial" w:eastAsia="Arial" w:hAnsi="Arial"/>
          <w:sz w:val="14"/>
          <w:szCs w:val="14"/>
          <w:i w:val="1"/>
          <w:iCs w:val="1"/>
          <w:color w:val="auto"/>
        </w:rPr>
      </w:pPr>
      <w:r>
        <w:rPr>
          <w:rFonts w:ascii="Arial" w:cs="Arial" w:eastAsia="Arial" w:hAnsi="Arial"/>
          <w:sz w:val="14"/>
          <w:szCs w:val="14"/>
          <w:i w:val="1"/>
          <w:iCs w:val="1"/>
          <w:color w:val="auto"/>
        </w:rPr>
        <w:t>Includes sales to affiliates of $2 million in both 2014 and 2013.</w:t>
      </w:r>
    </w:p>
    <w:p>
      <w:pPr>
        <w:spacing w:after="0" w:line="200" w:lineRule="exact"/>
        <w:rPr>
          <w:sz w:val="20"/>
          <w:szCs w:val="20"/>
          <w:color w:val="auto"/>
        </w:rPr>
      </w:pPr>
    </w:p>
    <w:p>
      <w:pPr>
        <w:spacing w:after="0" w:line="233"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color w:val="auto"/>
        </w:rPr>
        <w:t>During the three months ended September 30, 2014, SDG&amp;E’s natural gas revenues increased by $7 million (8%) to $100 million, while the cost of natural gas sold increased by $3 million (8%) to $39 million. The increase in revenues was primarily due to:</w:t>
      </w:r>
    </w:p>
    <w:p>
      <w:pPr>
        <w:spacing w:after="0" w:line="179" w:lineRule="exact"/>
        <w:rPr>
          <w:sz w:val="20"/>
          <w:szCs w:val="20"/>
          <w:color w:val="auto"/>
        </w:rPr>
      </w:pPr>
    </w:p>
    <w:p>
      <w:pPr>
        <w:ind w:left="320" w:hanging="172"/>
        <w:spacing w:after="0"/>
        <w:tabs>
          <w:tab w:leader="none" w:pos="3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higher cost of natural gas sold, offset by lower sales volume, as we discuss below; and</w:t>
      </w:r>
    </w:p>
    <w:p>
      <w:pPr>
        <w:spacing w:after="0" w:line="244" w:lineRule="exact"/>
        <w:rPr>
          <w:rFonts w:ascii="Arial" w:cs="Arial" w:eastAsia="Arial" w:hAnsi="Arial"/>
          <w:sz w:val="18"/>
          <w:szCs w:val="18"/>
          <w:color w:val="auto"/>
        </w:rPr>
      </w:pPr>
    </w:p>
    <w:p>
      <w:pPr>
        <w:ind w:left="320" w:hanging="172"/>
        <w:spacing w:after="0" w:line="266" w:lineRule="auto"/>
        <w:tabs>
          <w:tab w:leader="none" w:pos="3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$3 million higher recovery of costs associated with CPUC-authorized refundable programs, which revenues are fully offset in operation and maintenance expenses.</w:t>
      </w:r>
    </w:p>
    <w:p>
      <w:pPr>
        <w:sectPr>
          <w:pgSz w:w="11900" w:h="16838" w:orient="portrait"/>
          <w:cols w:equalWidth="0" w:num="1">
            <w:col w:w="11420"/>
          </w:cols>
          <w:pgMar w:left="240" w:top="130" w:right="239" w:bottom="0" w:gutter="0" w:footer="0" w:header="0"/>
        </w:sectPr>
      </w:pPr>
    </w:p>
    <w:bookmarkStart w:id="66" w:name="page67"/>
    <w:bookmarkEnd w:id="66"/>
    <w:p>
      <w:pPr>
        <w:spacing w:after="0" w:line="10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SDG&amp;E’s average cost of natural gas for the three months ended September 30, 2014 was $5.65 per thousand cubic feet (Mcf) compared to $4.85 per Mcf for the corresponding period in 2013, a 16-percent increase of $0.80 per Mcf, resulting in higher revenues and cost of $5 million. The increase in the cost of natural gas sold was offset by lower sales volumes, which resulted in lower revenues and cost of $2 million.</w:t>
      </w:r>
    </w:p>
    <w:p>
      <w:pPr>
        <w:spacing w:after="0" w:line="188"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color w:val="auto"/>
        </w:rPr>
        <w:t>During the nine months ended September 30, 2014, SDG&amp;E’s natural gas revenues increased by $10 million (3%) to $391 million, and the cost of natural gas increased by $8 million (5%) to $165 million. The increase in revenues was primarily due to:</w:t>
      </w:r>
    </w:p>
    <w:p>
      <w:pPr>
        <w:spacing w:after="0" w:line="179" w:lineRule="exact"/>
        <w:rPr>
          <w:sz w:val="20"/>
          <w:szCs w:val="20"/>
          <w:color w:val="auto"/>
        </w:rPr>
      </w:pPr>
    </w:p>
    <w:p>
      <w:pPr>
        <w:ind w:left="320" w:hanging="172"/>
        <w:spacing w:after="0"/>
        <w:tabs>
          <w:tab w:leader="none" w:pos="3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higher cost of natural gas sold, offset by lower demand, as we discuss below; and</w:t>
      </w:r>
    </w:p>
    <w:p>
      <w:pPr>
        <w:spacing w:after="0" w:line="238" w:lineRule="exact"/>
        <w:rPr>
          <w:rFonts w:ascii="Arial" w:cs="Arial" w:eastAsia="Arial" w:hAnsi="Arial"/>
          <w:sz w:val="18"/>
          <w:szCs w:val="18"/>
          <w:color w:val="auto"/>
        </w:rPr>
      </w:pPr>
    </w:p>
    <w:p>
      <w:pPr>
        <w:ind w:left="320" w:hanging="172"/>
        <w:spacing w:after="0"/>
        <w:tabs>
          <w:tab w:leader="none" w:pos="3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$6 million increase in authorized revenues from 2014 attrition; </w:t>
      </w:r>
      <w:r>
        <w:rPr>
          <w:rFonts w:ascii="Arial" w:cs="Arial" w:eastAsia="Arial" w:hAnsi="Arial"/>
          <w:sz w:val="18"/>
          <w:szCs w:val="18"/>
          <w:b w:val="1"/>
          <w:bCs w:val="1"/>
          <w:color w:val="auto"/>
        </w:rPr>
        <w:t>offset by</w:t>
      </w:r>
    </w:p>
    <w:p>
      <w:pPr>
        <w:spacing w:after="0" w:line="250" w:lineRule="exact"/>
        <w:rPr>
          <w:rFonts w:ascii="Arial" w:cs="Arial" w:eastAsia="Arial" w:hAnsi="Arial"/>
          <w:sz w:val="18"/>
          <w:szCs w:val="18"/>
          <w:color w:val="auto"/>
        </w:rPr>
      </w:pPr>
    </w:p>
    <w:p>
      <w:pPr>
        <w:ind w:left="320" w:hanging="172"/>
        <w:spacing w:after="0" w:line="266" w:lineRule="auto"/>
        <w:tabs>
          <w:tab w:leader="none" w:pos="3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$5 million favorable impact from the retroactive application of the 2012 GRC decision, recorded in the second quarter of 2013, for the period from January 2012 through December 2012.</w:t>
      </w:r>
    </w:p>
    <w:p>
      <w:pPr>
        <w:spacing w:after="0" w:line="20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SDG&amp;E’s average cost of natural gas for the nine months ended September 30, 2014 was $5.52 per Mcf compared to $4.45 per Mcf for the corresponding period in 2013, a 24-percent increase of $1.07 per Mcf, resulting in higher revenues and cost of $32 million. The increase in the cost of natural gas sold was offset by lower demand for natural gas primarily from a warmer winter in 2014 compared to the same period in 2013, which resulted in lower revenues and cost of $24 million.</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SOCALGAS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-104775</wp:posOffset>
            </wp:positionV>
            <wp:extent cx="7248525" cy="3289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8525" cy="32893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NATURAL GAS SALES AND TRANSPORTATION</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(Volumes in billion cubic feet, dollars in millions)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2680" w:type="dxa"/>
            <w:vAlign w:val="bottom"/>
            <w:tcBorders>
              <w:bottom w:val="single" w:sz="8" w:color="auto"/>
            </w:tcBorders>
            <w:gridSpan w:val="3"/>
          </w:tcPr>
          <w:p>
            <w:pPr>
              <w:jc w:val="right"/>
              <w:ind w:right="761"/>
              <w:spacing w:after="0"/>
              <w:rPr>
                <w:sz w:val="20"/>
                <w:szCs w:val="20"/>
                <w:color w:val="auto"/>
              </w:rPr>
            </w:pPr>
            <w:r>
              <w:rPr>
                <w:rFonts w:ascii="Arial" w:cs="Arial" w:eastAsia="Arial" w:hAnsi="Arial"/>
                <w:sz w:val="14"/>
                <w:szCs w:val="14"/>
                <w:color w:val="auto"/>
              </w:rPr>
              <w:t>Natural Gas Sales</w:t>
            </w:r>
          </w:p>
        </w:tc>
        <w:tc>
          <w:tcPr>
            <w:tcW w:w="2060" w:type="dxa"/>
            <w:vAlign w:val="bottom"/>
            <w:tcBorders>
              <w:bottom w:val="single" w:sz="8" w:color="auto"/>
            </w:tcBorders>
            <w:gridSpan w:val="2"/>
          </w:tcPr>
          <w:p>
            <w:pPr>
              <w:jc w:val="right"/>
              <w:ind w:right="402"/>
              <w:spacing w:after="0"/>
              <w:rPr>
                <w:sz w:val="20"/>
                <w:szCs w:val="20"/>
                <w:color w:val="auto"/>
              </w:rPr>
            </w:pPr>
            <w:r>
              <w:rPr>
                <w:rFonts w:ascii="Arial" w:cs="Arial" w:eastAsia="Arial" w:hAnsi="Arial"/>
                <w:sz w:val="14"/>
                <w:szCs w:val="14"/>
                <w:color w:val="auto"/>
              </w:rPr>
              <w:t>Transportation</w:t>
            </w:r>
          </w:p>
        </w:tc>
        <w:tc>
          <w:tcPr>
            <w:tcW w:w="5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color w:val="auto"/>
                <w:w w:val="89"/>
              </w:rPr>
              <w:t>Total</w:t>
            </w:r>
          </w:p>
        </w:tc>
        <w:tc>
          <w:tcPr>
            <w:tcW w:w="1060" w:type="dxa"/>
            <w:vAlign w:val="bottom"/>
            <w:tcBorders>
              <w:bottom w:val="single" w:sz="8" w:color="auto"/>
            </w:tcBorders>
          </w:tcPr>
          <w:p>
            <w:pPr>
              <w:spacing w:after="0"/>
              <w:rPr>
                <w:sz w:val="14"/>
                <w:szCs w:val="14"/>
                <w:color w:val="auto"/>
              </w:rPr>
            </w:pPr>
          </w:p>
        </w:tc>
      </w:tr>
      <w:tr>
        <w:trPr>
          <w:trHeight w:val="153"/>
        </w:trPr>
        <w:tc>
          <w:tcPr>
            <w:tcW w:w="3760" w:type="dxa"/>
            <w:vAlign w:val="bottom"/>
            <w:tcBorders>
              <w:bottom w:val="single" w:sz="8" w:color="auto"/>
            </w:tcBorders>
          </w:tcPr>
          <w:p>
            <w:pPr>
              <w:spacing w:after="0" w:line="153" w:lineRule="exact"/>
              <w:rPr>
                <w:sz w:val="20"/>
                <w:szCs w:val="20"/>
                <w:color w:val="auto"/>
              </w:rPr>
            </w:pPr>
            <w:r>
              <w:rPr>
                <w:rFonts w:ascii="Arial" w:cs="Arial" w:eastAsia="Arial" w:hAnsi="Arial"/>
                <w:sz w:val="14"/>
                <w:szCs w:val="14"/>
                <w:color w:val="auto"/>
              </w:rPr>
              <w:t>Customer class</w:t>
            </w:r>
          </w:p>
        </w:tc>
        <w:tc>
          <w:tcPr>
            <w:tcW w:w="1220" w:type="dxa"/>
            <w:vAlign w:val="bottom"/>
            <w:tcBorders>
              <w:bottom w:val="single" w:sz="8" w:color="auto"/>
            </w:tcBorders>
          </w:tcPr>
          <w:p>
            <w:pPr>
              <w:jc w:val="right"/>
              <w:ind w:right="322"/>
              <w:spacing w:after="0" w:line="153" w:lineRule="exact"/>
              <w:rPr>
                <w:sz w:val="20"/>
                <w:szCs w:val="20"/>
                <w:color w:val="auto"/>
              </w:rPr>
            </w:pPr>
            <w:r>
              <w:rPr>
                <w:rFonts w:ascii="Arial" w:cs="Arial" w:eastAsia="Arial" w:hAnsi="Arial"/>
                <w:sz w:val="14"/>
                <w:szCs w:val="14"/>
                <w:color w:val="auto"/>
              </w:rPr>
              <w:t>Volumes</w:t>
            </w:r>
          </w:p>
        </w:tc>
        <w:tc>
          <w:tcPr>
            <w:tcW w:w="2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01"/>
              <w:spacing w:after="0" w:line="153" w:lineRule="exact"/>
              <w:rPr>
                <w:sz w:val="20"/>
                <w:szCs w:val="20"/>
                <w:color w:val="auto"/>
              </w:rPr>
            </w:pPr>
            <w:r>
              <w:rPr>
                <w:rFonts w:ascii="Arial" w:cs="Arial" w:eastAsia="Arial" w:hAnsi="Arial"/>
                <w:sz w:val="14"/>
                <w:szCs w:val="14"/>
                <w:color w:val="auto"/>
              </w:rPr>
              <w:t>Revenue</w:t>
            </w:r>
          </w:p>
        </w:tc>
        <w:tc>
          <w:tcPr>
            <w:tcW w:w="1100" w:type="dxa"/>
            <w:vAlign w:val="bottom"/>
            <w:tcBorders>
              <w:bottom w:val="single" w:sz="8" w:color="auto"/>
            </w:tcBorders>
          </w:tcPr>
          <w:p>
            <w:pPr>
              <w:jc w:val="right"/>
              <w:ind w:right="342"/>
              <w:spacing w:after="0" w:line="153" w:lineRule="exact"/>
              <w:rPr>
                <w:sz w:val="20"/>
                <w:szCs w:val="20"/>
                <w:color w:val="auto"/>
              </w:rPr>
            </w:pPr>
            <w:r>
              <w:rPr>
                <w:rFonts w:ascii="Arial" w:cs="Arial" w:eastAsia="Arial" w:hAnsi="Arial"/>
                <w:sz w:val="14"/>
                <w:szCs w:val="14"/>
                <w:color w:val="auto"/>
              </w:rPr>
              <w:t>Volumes</w:t>
            </w:r>
          </w:p>
        </w:tc>
        <w:tc>
          <w:tcPr>
            <w:tcW w:w="960" w:type="dxa"/>
            <w:vAlign w:val="bottom"/>
            <w:tcBorders>
              <w:bottom w:val="single" w:sz="8" w:color="auto"/>
            </w:tcBorders>
          </w:tcPr>
          <w:p>
            <w:pPr>
              <w:jc w:val="right"/>
              <w:ind w:right="22"/>
              <w:spacing w:after="0" w:line="153" w:lineRule="exact"/>
              <w:rPr>
                <w:sz w:val="20"/>
                <w:szCs w:val="20"/>
                <w:color w:val="auto"/>
              </w:rPr>
            </w:pPr>
            <w:r>
              <w:rPr>
                <w:rFonts w:ascii="Arial" w:cs="Arial" w:eastAsia="Arial" w:hAnsi="Arial"/>
                <w:sz w:val="14"/>
                <w:szCs w:val="14"/>
                <w:color w:val="auto"/>
              </w:rPr>
              <w:t>Revenue</w:t>
            </w:r>
          </w:p>
        </w:tc>
        <w:tc>
          <w:tcPr>
            <w:tcW w:w="5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ind w:right="300"/>
              <w:spacing w:after="0" w:line="153" w:lineRule="exact"/>
              <w:rPr>
                <w:sz w:val="20"/>
                <w:szCs w:val="20"/>
                <w:color w:val="auto"/>
              </w:rPr>
            </w:pPr>
            <w:r>
              <w:rPr>
                <w:rFonts w:ascii="Arial" w:cs="Arial" w:eastAsia="Arial" w:hAnsi="Arial"/>
                <w:sz w:val="14"/>
                <w:szCs w:val="14"/>
                <w:color w:val="auto"/>
              </w:rPr>
              <w:t>Volumes</w:t>
            </w:r>
          </w:p>
        </w:tc>
        <w:tc>
          <w:tcPr>
            <w:tcW w:w="3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61"/>
              <w:spacing w:after="0" w:line="153" w:lineRule="exact"/>
              <w:rPr>
                <w:sz w:val="20"/>
                <w:szCs w:val="20"/>
                <w:color w:val="auto"/>
              </w:rPr>
            </w:pPr>
            <w:r>
              <w:rPr>
                <w:rFonts w:ascii="Arial" w:cs="Arial" w:eastAsia="Arial" w:hAnsi="Arial"/>
                <w:sz w:val="14"/>
                <w:szCs w:val="14"/>
                <w:color w:val="auto"/>
              </w:rPr>
              <w:t>Revenue</w:t>
            </w:r>
          </w:p>
        </w:tc>
      </w:tr>
      <w:tr>
        <w:trPr>
          <w:trHeight w:val="194"/>
        </w:trPr>
        <w:tc>
          <w:tcPr>
            <w:tcW w:w="3760" w:type="dxa"/>
            <w:vAlign w:val="bottom"/>
          </w:tcPr>
          <w:p>
            <w:pPr>
              <w:spacing w:after="0"/>
              <w:rPr>
                <w:sz w:val="20"/>
                <w:szCs w:val="20"/>
                <w:color w:val="auto"/>
              </w:rPr>
            </w:pPr>
            <w:r>
              <w:rPr>
                <w:rFonts w:ascii="Arial" w:cs="Arial" w:eastAsia="Arial" w:hAnsi="Arial"/>
                <w:sz w:val="16"/>
                <w:szCs w:val="16"/>
                <w:b w:val="1"/>
                <w:bCs w:val="1"/>
                <w:color w:val="auto"/>
              </w:rPr>
              <w:t>Nine months ended September 30, 2014:</w:t>
            </w: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2"/>
        </w:trPr>
        <w:tc>
          <w:tcPr>
            <w:tcW w:w="3760" w:type="dxa"/>
            <w:vAlign w:val="bottom"/>
          </w:tcPr>
          <w:p>
            <w:pPr>
              <w:ind w:left="180"/>
              <w:spacing w:after="0"/>
              <w:rPr>
                <w:sz w:val="20"/>
                <w:szCs w:val="20"/>
                <w:color w:val="auto"/>
              </w:rPr>
            </w:pPr>
            <w:r>
              <w:rPr>
                <w:rFonts w:ascii="Arial" w:cs="Arial" w:eastAsia="Arial" w:hAnsi="Arial"/>
                <w:sz w:val="16"/>
                <w:szCs w:val="16"/>
                <w:color w:val="auto"/>
              </w:rPr>
              <w:t>Residential</w:t>
            </w: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139</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61"/>
              <w:spacing w:after="0"/>
              <w:rPr>
                <w:sz w:val="20"/>
                <w:szCs w:val="20"/>
                <w:color w:val="auto"/>
              </w:rPr>
            </w:pPr>
            <w:r>
              <w:rPr>
                <w:rFonts w:ascii="Arial" w:cs="Arial" w:eastAsia="Arial" w:hAnsi="Arial"/>
                <w:sz w:val="16"/>
                <w:szCs w:val="16"/>
                <w:color w:val="auto"/>
              </w:rPr>
              <w:t>1,564</w:t>
            </w:r>
          </w:p>
        </w:tc>
        <w:tc>
          <w:tcPr>
            <w:tcW w:w="1100" w:type="dxa"/>
            <w:vAlign w:val="bottom"/>
          </w:tcPr>
          <w:p>
            <w:pPr>
              <w:jc w:val="right"/>
              <w:ind w:right="62"/>
              <w:spacing w:after="0"/>
              <w:rPr>
                <w:sz w:val="20"/>
                <w:szCs w:val="20"/>
                <w:color w:val="auto"/>
              </w:rPr>
            </w:pPr>
            <w:r>
              <w:rPr>
                <w:rFonts w:ascii="Arial" w:cs="Arial" w:eastAsia="Arial" w:hAnsi="Arial"/>
                <w:sz w:val="16"/>
                <w:szCs w:val="16"/>
                <w:color w:val="auto"/>
              </w:rPr>
              <w:t>2</w:t>
            </w:r>
          </w:p>
        </w:tc>
        <w:tc>
          <w:tcPr>
            <w:tcW w:w="960" w:type="dxa"/>
            <w:vAlign w:val="bottom"/>
          </w:tcPr>
          <w:p>
            <w:pPr>
              <w:jc w:val="right"/>
              <w:ind w:right="662"/>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60"/>
              <w:spacing w:after="0"/>
              <w:rPr>
                <w:sz w:val="20"/>
                <w:szCs w:val="20"/>
                <w:color w:val="auto"/>
              </w:rPr>
            </w:pPr>
            <w:r>
              <w:rPr>
                <w:rFonts w:ascii="Arial" w:cs="Arial" w:eastAsia="Arial" w:hAnsi="Arial"/>
                <w:sz w:val="16"/>
                <w:szCs w:val="16"/>
                <w:color w:val="auto"/>
              </w:rPr>
              <w:t>10</w:t>
            </w: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141</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1,574</w:t>
            </w:r>
          </w:p>
        </w:tc>
      </w:tr>
      <w:tr>
        <w:trPr>
          <w:trHeight w:val="213"/>
        </w:trPr>
        <w:tc>
          <w:tcPr>
            <w:tcW w:w="3760" w:type="dxa"/>
            <w:vAlign w:val="bottom"/>
          </w:tcPr>
          <w:p>
            <w:pPr>
              <w:ind w:left="180"/>
              <w:spacing w:after="0"/>
              <w:rPr>
                <w:sz w:val="20"/>
                <w:szCs w:val="20"/>
                <w:color w:val="auto"/>
              </w:rPr>
            </w:pPr>
            <w:r>
              <w:rPr>
                <w:rFonts w:ascii="Arial" w:cs="Arial" w:eastAsia="Arial" w:hAnsi="Arial"/>
                <w:sz w:val="16"/>
                <w:szCs w:val="16"/>
                <w:color w:val="auto"/>
              </w:rPr>
              <w:t>Commercial and industrial</w:t>
            </w: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68</w:t>
            </w:r>
          </w:p>
        </w:tc>
        <w:tc>
          <w:tcPr>
            <w:tcW w:w="260" w:type="dxa"/>
            <w:vAlign w:val="bottom"/>
          </w:tcPr>
          <w:p>
            <w:pPr>
              <w:spacing w:after="0"/>
              <w:rPr>
                <w:sz w:val="18"/>
                <w:szCs w:val="18"/>
                <w:color w:val="auto"/>
              </w:rPr>
            </w:pPr>
          </w:p>
        </w:tc>
        <w:tc>
          <w:tcPr>
            <w:tcW w:w="1200" w:type="dxa"/>
            <w:vAlign w:val="bottom"/>
          </w:tcPr>
          <w:p>
            <w:pPr>
              <w:jc w:val="right"/>
              <w:ind w:right="61"/>
              <w:spacing w:after="0"/>
              <w:rPr>
                <w:sz w:val="20"/>
                <w:szCs w:val="20"/>
                <w:color w:val="auto"/>
              </w:rPr>
            </w:pPr>
            <w:r>
              <w:rPr>
                <w:rFonts w:ascii="Arial" w:cs="Arial" w:eastAsia="Arial" w:hAnsi="Arial"/>
                <w:sz w:val="16"/>
                <w:szCs w:val="16"/>
                <w:color w:val="auto"/>
              </w:rPr>
              <w:t>563</w:t>
            </w:r>
          </w:p>
        </w:tc>
        <w:tc>
          <w:tcPr>
            <w:tcW w:w="1100" w:type="dxa"/>
            <w:vAlign w:val="bottom"/>
          </w:tcPr>
          <w:p>
            <w:pPr>
              <w:jc w:val="right"/>
              <w:ind w:right="62"/>
              <w:spacing w:after="0"/>
              <w:rPr>
                <w:sz w:val="20"/>
                <w:szCs w:val="20"/>
                <w:color w:val="auto"/>
              </w:rPr>
            </w:pPr>
            <w:r>
              <w:rPr>
                <w:rFonts w:ascii="Arial" w:cs="Arial" w:eastAsia="Arial" w:hAnsi="Arial"/>
                <w:sz w:val="16"/>
                <w:szCs w:val="16"/>
                <w:color w:val="auto"/>
              </w:rPr>
              <w:t>220</w:t>
            </w:r>
          </w:p>
        </w:tc>
        <w:tc>
          <w:tcPr>
            <w:tcW w:w="960" w:type="dxa"/>
            <w:vAlign w:val="bottom"/>
          </w:tcPr>
          <w:p>
            <w:pPr>
              <w:spacing w:after="0"/>
              <w:rPr>
                <w:sz w:val="18"/>
                <w:szCs w:val="18"/>
                <w:color w:val="auto"/>
              </w:rPr>
            </w:pPr>
          </w:p>
        </w:tc>
        <w:tc>
          <w:tcPr>
            <w:tcW w:w="500" w:type="dxa"/>
            <w:vAlign w:val="bottom"/>
          </w:tcPr>
          <w:p>
            <w:pPr>
              <w:jc w:val="right"/>
              <w:ind w:right="60"/>
              <w:spacing w:after="0"/>
              <w:rPr>
                <w:sz w:val="20"/>
                <w:szCs w:val="20"/>
                <w:color w:val="auto"/>
              </w:rPr>
            </w:pPr>
            <w:r>
              <w:rPr>
                <w:rFonts w:ascii="Arial" w:cs="Arial" w:eastAsia="Arial" w:hAnsi="Arial"/>
                <w:sz w:val="16"/>
                <w:szCs w:val="16"/>
                <w:color w:val="auto"/>
              </w:rPr>
              <w:t>197</w:t>
            </w: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288</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760</w:t>
            </w:r>
          </w:p>
        </w:tc>
      </w:tr>
      <w:tr>
        <w:trPr>
          <w:trHeight w:val="213"/>
        </w:trPr>
        <w:tc>
          <w:tcPr>
            <w:tcW w:w="3760" w:type="dxa"/>
            <w:vAlign w:val="bottom"/>
          </w:tcPr>
          <w:p>
            <w:pPr>
              <w:ind w:left="180"/>
              <w:spacing w:after="0"/>
              <w:rPr>
                <w:sz w:val="20"/>
                <w:szCs w:val="20"/>
                <w:color w:val="auto"/>
              </w:rPr>
            </w:pPr>
            <w:r>
              <w:rPr>
                <w:rFonts w:ascii="Arial" w:cs="Arial" w:eastAsia="Arial" w:hAnsi="Arial"/>
                <w:sz w:val="16"/>
                <w:szCs w:val="16"/>
                <w:color w:val="auto"/>
              </w:rPr>
              <w:t>Electric generation plants</w:t>
            </w:r>
          </w:p>
        </w:tc>
        <w:tc>
          <w:tcPr>
            <w:tcW w:w="122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0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62"/>
              <w:spacing w:after="0"/>
              <w:rPr>
                <w:sz w:val="20"/>
                <w:szCs w:val="20"/>
                <w:color w:val="auto"/>
              </w:rPr>
            </w:pPr>
            <w:r>
              <w:rPr>
                <w:rFonts w:ascii="Arial" w:cs="Arial" w:eastAsia="Arial" w:hAnsi="Arial"/>
                <w:sz w:val="16"/>
                <w:szCs w:val="16"/>
                <w:color w:val="auto"/>
              </w:rPr>
              <w:t>156</w:t>
            </w:r>
          </w:p>
        </w:tc>
        <w:tc>
          <w:tcPr>
            <w:tcW w:w="960" w:type="dxa"/>
            <w:vAlign w:val="bottom"/>
          </w:tcPr>
          <w:p>
            <w:pPr>
              <w:spacing w:after="0"/>
              <w:rPr>
                <w:sz w:val="18"/>
                <w:szCs w:val="18"/>
                <w:color w:val="auto"/>
              </w:rPr>
            </w:pPr>
          </w:p>
        </w:tc>
        <w:tc>
          <w:tcPr>
            <w:tcW w:w="500" w:type="dxa"/>
            <w:vAlign w:val="bottom"/>
          </w:tcPr>
          <w:p>
            <w:pPr>
              <w:jc w:val="right"/>
              <w:ind w:right="60"/>
              <w:spacing w:after="0"/>
              <w:rPr>
                <w:sz w:val="20"/>
                <w:szCs w:val="20"/>
                <w:color w:val="auto"/>
              </w:rPr>
            </w:pPr>
            <w:r>
              <w:rPr>
                <w:rFonts w:ascii="Arial" w:cs="Arial" w:eastAsia="Arial" w:hAnsi="Arial"/>
                <w:sz w:val="16"/>
                <w:szCs w:val="16"/>
                <w:color w:val="auto"/>
              </w:rPr>
              <w:t>32</w:t>
            </w: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156</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04"/>
        </w:trPr>
        <w:tc>
          <w:tcPr>
            <w:tcW w:w="3760" w:type="dxa"/>
            <w:vAlign w:val="bottom"/>
          </w:tcPr>
          <w:p>
            <w:pPr>
              <w:ind w:left="180"/>
              <w:spacing w:after="0"/>
              <w:rPr>
                <w:sz w:val="20"/>
                <w:szCs w:val="20"/>
                <w:color w:val="auto"/>
              </w:rPr>
            </w:pPr>
            <w:r>
              <w:rPr>
                <w:rFonts w:ascii="Arial" w:cs="Arial" w:eastAsia="Arial" w:hAnsi="Arial"/>
                <w:sz w:val="16"/>
                <w:szCs w:val="16"/>
                <w:color w:val="auto"/>
              </w:rPr>
              <w:t>Wholesale</w:t>
            </w:r>
          </w:p>
        </w:tc>
        <w:tc>
          <w:tcPr>
            <w:tcW w:w="122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109</w:t>
            </w:r>
          </w:p>
        </w:tc>
        <w:tc>
          <w:tcPr>
            <w:tcW w:w="9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18</w:t>
            </w: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109</w:t>
            </w: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r>
      <w:tr>
        <w:trPr>
          <w:trHeight w:val="214"/>
        </w:trPr>
        <w:tc>
          <w:tcPr>
            <w:tcW w:w="3760" w:type="dxa"/>
            <w:vAlign w:val="bottom"/>
          </w:tcPr>
          <w:p>
            <w:pPr>
              <w:spacing w:after="0"/>
              <w:rPr>
                <w:sz w:val="18"/>
                <w:szCs w:val="18"/>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207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61"/>
              <w:spacing w:after="0"/>
              <w:rPr>
                <w:sz w:val="20"/>
                <w:szCs w:val="20"/>
                <w:color w:val="auto"/>
              </w:rPr>
            </w:pPr>
            <w:r>
              <w:rPr>
                <w:rFonts w:ascii="Arial" w:cs="Arial" w:eastAsia="Arial" w:hAnsi="Arial"/>
                <w:sz w:val="16"/>
                <w:szCs w:val="16"/>
                <w:color w:val="auto"/>
              </w:rPr>
              <w:t>2,127</w:t>
            </w:r>
          </w:p>
        </w:tc>
        <w:tc>
          <w:tcPr>
            <w:tcW w:w="1100" w:type="dxa"/>
            <w:vAlign w:val="bottom"/>
          </w:tcPr>
          <w:p>
            <w:pPr>
              <w:jc w:val="right"/>
              <w:ind w:right="62"/>
              <w:spacing w:after="0"/>
              <w:rPr>
                <w:sz w:val="20"/>
                <w:szCs w:val="20"/>
                <w:color w:val="auto"/>
              </w:rPr>
            </w:pPr>
            <w:r>
              <w:rPr>
                <w:rFonts w:ascii="Arial" w:cs="Arial" w:eastAsia="Arial" w:hAnsi="Arial"/>
                <w:sz w:val="16"/>
                <w:szCs w:val="16"/>
                <w:color w:val="auto"/>
              </w:rPr>
              <w:t>487</w:t>
            </w:r>
          </w:p>
        </w:tc>
        <w:tc>
          <w:tcPr>
            <w:tcW w:w="960" w:type="dxa"/>
            <w:vAlign w:val="bottom"/>
          </w:tcPr>
          <w:p>
            <w:pPr>
              <w:jc w:val="right"/>
              <w:ind w:right="662"/>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60"/>
              <w:spacing w:after="0"/>
              <w:rPr>
                <w:sz w:val="20"/>
                <w:szCs w:val="20"/>
                <w:color w:val="auto"/>
              </w:rPr>
            </w:pPr>
            <w:r>
              <w:rPr>
                <w:rFonts w:ascii="Arial" w:cs="Arial" w:eastAsia="Arial" w:hAnsi="Arial"/>
                <w:sz w:val="16"/>
                <w:szCs w:val="16"/>
                <w:color w:val="auto"/>
              </w:rPr>
              <w:t>257</w:t>
            </w: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694</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2,384</w:t>
            </w:r>
          </w:p>
        </w:tc>
      </w:tr>
      <w:tr>
        <w:trPr>
          <w:trHeight w:val="213"/>
        </w:trPr>
        <w:tc>
          <w:tcPr>
            <w:tcW w:w="3760" w:type="dxa"/>
            <w:vAlign w:val="bottom"/>
          </w:tcPr>
          <w:p>
            <w:pPr>
              <w:ind w:left="180"/>
              <w:spacing w:after="0"/>
              <w:rPr>
                <w:sz w:val="20"/>
                <w:szCs w:val="20"/>
                <w:color w:val="auto"/>
              </w:rPr>
            </w:pPr>
            <w:r>
              <w:rPr>
                <w:rFonts w:ascii="Arial" w:cs="Arial" w:eastAsia="Arial" w:hAnsi="Arial"/>
                <w:sz w:val="16"/>
                <w:szCs w:val="16"/>
                <w:color w:val="auto"/>
              </w:rPr>
              <w:t>Other revenues</w:t>
            </w: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204"/>
        </w:trPr>
        <w:tc>
          <w:tcPr>
            <w:tcW w:w="3760" w:type="dxa"/>
            <w:vAlign w:val="bottom"/>
          </w:tcPr>
          <w:p>
            <w:pPr>
              <w:ind w:left="180"/>
              <w:spacing w:after="0"/>
              <w:rPr>
                <w:sz w:val="20"/>
                <w:szCs w:val="20"/>
                <w:color w:val="auto"/>
              </w:rPr>
            </w:pPr>
            <w:r>
              <w:rPr>
                <w:rFonts w:ascii="Arial" w:cs="Arial" w:eastAsia="Arial" w:hAnsi="Arial"/>
                <w:sz w:val="16"/>
                <w:szCs w:val="16"/>
                <w:color w:val="auto"/>
              </w:rPr>
              <w:t>Balancing accounts</w:t>
            </w: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w:t>
            </w:r>
          </w:p>
        </w:tc>
      </w:tr>
      <w:tr>
        <w:trPr>
          <w:trHeight w:val="212"/>
        </w:trPr>
        <w:tc>
          <w:tcPr>
            <w:tcW w:w="376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Total(1)</w:t>
            </w:r>
          </w:p>
        </w:tc>
        <w:tc>
          <w:tcPr>
            <w:tcW w:w="1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2,857</w:t>
            </w:r>
          </w:p>
        </w:tc>
      </w:tr>
      <w:tr>
        <w:trPr>
          <w:trHeight w:val="201"/>
        </w:trPr>
        <w:tc>
          <w:tcPr>
            <w:tcW w:w="3760" w:type="dxa"/>
            <w:vAlign w:val="bottom"/>
          </w:tcPr>
          <w:p>
            <w:pPr>
              <w:spacing w:after="0"/>
              <w:rPr>
                <w:sz w:val="20"/>
                <w:szCs w:val="20"/>
                <w:color w:val="auto"/>
              </w:rPr>
            </w:pPr>
            <w:r>
              <w:rPr>
                <w:rFonts w:ascii="Arial" w:cs="Arial" w:eastAsia="Arial" w:hAnsi="Arial"/>
                <w:sz w:val="16"/>
                <w:szCs w:val="16"/>
                <w:b w:val="1"/>
                <w:bCs w:val="1"/>
                <w:color w:val="auto"/>
              </w:rPr>
              <w:t>Nine months ended September 30, 2013:</w:t>
            </w: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2"/>
        </w:trPr>
        <w:tc>
          <w:tcPr>
            <w:tcW w:w="3760" w:type="dxa"/>
            <w:vAlign w:val="bottom"/>
          </w:tcPr>
          <w:p>
            <w:pPr>
              <w:ind w:left="180"/>
              <w:spacing w:after="0"/>
              <w:rPr>
                <w:sz w:val="20"/>
                <w:szCs w:val="20"/>
                <w:color w:val="auto"/>
              </w:rPr>
            </w:pPr>
            <w:r>
              <w:rPr>
                <w:rFonts w:ascii="Arial" w:cs="Arial" w:eastAsia="Arial" w:hAnsi="Arial"/>
                <w:sz w:val="16"/>
                <w:szCs w:val="16"/>
                <w:color w:val="auto"/>
              </w:rPr>
              <w:t>Residential</w:t>
            </w: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167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61"/>
              <w:spacing w:after="0"/>
              <w:rPr>
                <w:sz w:val="20"/>
                <w:szCs w:val="20"/>
                <w:color w:val="auto"/>
              </w:rPr>
            </w:pPr>
            <w:r>
              <w:rPr>
                <w:rFonts w:ascii="Arial" w:cs="Arial" w:eastAsia="Arial" w:hAnsi="Arial"/>
                <w:sz w:val="16"/>
                <w:szCs w:val="16"/>
                <w:color w:val="auto"/>
              </w:rPr>
              <w:t>1,566</w:t>
            </w:r>
          </w:p>
        </w:tc>
        <w:tc>
          <w:tcPr>
            <w:tcW w:w="1100" w:type="dxa"/>
            <w:vAlign w:val="bottom"/>
          </w:tcPr>
          <w:p>
            <w:pPr>
              <w:jc w:val="right"/>
              <w:ind w:right="62"/>
              <w:spacing w:after="0"/>
              <w:rPr>
                <w:sz w:val="20"/>
                <w:szCs w:val="20"/>
                <w:color w:val="auto"/>
              </w:rPr>
            </w:pPr>
            <w:r>
              <w:rPr>
                <w:rFonts w:ascii="Arial" w:cs="Arial" w:eastAsia="Arial" w:hAnsi="Arial"/>
                <w:sz w:val="16"/>
                <w:szCs w:val="16"/>
                <w:color w:val="auto"/>
              </w:rPr>
              <w:t>2</w:t>
            </w:r>
          </w:p>
        </w:tc>
        <w:tc>
          <w:tcPr>
            <w:tcW w:w="960" w:type="dxa"/>
            <w:vAlign w:val="bottom"/>
          </w:tcPr>
          <w:p>
            <w:pPr>
              <w:jc w:val="right"/>
              <w:ind w:right="662"/>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60"/>
              <w:spacing w:after="0"/>
              <w:rPr>
                <w:sz w:val="20"/>
                <w:szCs w:val="20"/>
                <w:color w:val="auto"/>
              </w:rPr>
            </w:pPr>
            <w:r>
              <w:rPr>
                <w:rFonts w:ascii="Arial" w:cs="Arial" w:eastAsia="Arial" w:hAnsi="Arial"/>
                <w:sz w:val="16"/>
                <w:szCs w:val="16"/>
                <w:color w:val="auto"/>
              </w:rPr>
              <w:t>6</w:t>
            </w: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169</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1,572</w:t>
            </w:r>
          </w:p>
        </w:tc>
      </w:tr>
      <w:tr>
        <w:trPr>
          <w:trHeight w:val="213"/>
        </w:trPr>
        <w:tc>
          <w:tcPr>
            <w:tcW w:w="3760" w:type="dxa"/>
            <w:vAlign w:val="bottom"/>
          </w:tcPr>
          <w:p>
            <w:pPr>
              <w:ind w:left="180"/>
              <w:spacing w:after="0"/>
              <w:rPr>
                <w:sz w:val="20"/>
                <w:szCs w:val="20"/>
                <w:color w:val="auto"/>
              </w:rPr>
            </w:pPr>
            <w:r>
              <w:rPr>
                <w:rFonts w:ascii="Arial" w:cs="Arial" w:eastAsia="Arial" w:hAnsi="Arial"/>
                <w:sz w:val="16"/>
                <w:szCs w:val="16"/>
                <w:color w:val="auto"/>
              </w:rPr>
              <w:t>Commercial and industrial</w:t>
            </w: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74</w:t>
            </w:r>
          </w:p>
        </w:tc>
        <w:tc>
          <w:tcPr>
            <w:tcW w:w="260" w:type="dxa"/>
            <w:vAlign w:val="bottom"/>
          </w:tcPr>
          <w:p>
            <w:pPr>
              <w:spacing w:after="0"/>
              <w:rPr>
                <w:sz w:val="18"/>
                <w:szCs w:val="18"/>
                <w:color w:val="auto"/>
              </w:rPr>
            </w:pPr>
          </w:p>
        </w:tc>
        <w:tc>
          <w:tcPr>
            <w:tcW w:w="1200" w:type="dxa"/>
            <w:vAlign w:val="bottom"/>
          </w:tcPr>
          <w:p>
            <w:pPr>
              <w:jc w:val="right"/>
              <w:ind w:right="61"/>
              <w:spacing w:after="0"/>
              <w:rPr>
                <w:sz w:val="20"/>
                <w:szCs w:val="20"/>
                <w:color w:val="auto"/>
              </w:rPr>
            </w:pPr>
            <w:r>
              <w:rPr>
                <w:rFonts w:ascii="Arial" w:cs="Arial" w:eastAsia="Arial" w:hAnsi="Arial"/>
                <w:sz w:val="16"/>
                <w:szCs w:val="16"/>
                <w:color w:val="auto"/>
              </w:rPr>
              <w:t>510</w:t>
            </w:r>
          </w:p>
        </w:tc>
        <w:tc>
          <w:tcPr>
            <w:tcW w:w="1100" w:type="dxa"/>
            <w:vAlign w:val="bottom"/>
          </w:tcPr>
          <w:p>
            <w:pPr>
              <w:jc w:val="right"/>
              <w:ind w:right="62"/>
              <w:spacing w:after="0"/>
              <w:rPr>
                <w:sz w:val="20"/>
                <w:szCs w:val="20"/>
                <w:color w:val="auto"/>
              </w:rPr>
            </w:pPr>
            <w:r>
              <w:rPr>
                <w:rFonts w:ascii="Arial" w:cs="Arial" w:eastAsia="Arial" w:hAnsi="Arial"/>
                <w:sz w:val="16"/>
                <w:szCs w:val="16"/>
                <w:color w:val="auto"/>
              </w:rPr>
              <w:t>218</w:t>
            </w:r>
          </w:p>
        </w:tc>
        <w:tc>
          <w:tcPr>
            <w:tcW w:w="960" w:type="dxa"/>
            <w:vAlign w:val="bottom"/>
          </w:tcPr>
          <w:p>
            <w:pPr>
              <w:spacing w:after="0"/>
              <w:rPr>
                <w:sz w:val="18"/>
                <w:szCs w:val="18"/>
                <w:color w:val="auto"/>
              </w:rPr>
            </w:pPr>
          </w:p>
        </w:tc>
        <w:tc>
          <w:tcPr>
            <w:tcW w:w="500" w:type="dxa"/>
            <w:vAlign w:val="bottom"/>
          </w:tcPr>
          <w:p>
            <w:pPr>
              <w:jc w:val="right"/>
              <w:ind w:right="60"/>
              <w:spacing w:after="0"/>
              <w:rPr>
                <w:sz w:val="20"/>
                <w:szCs w:val="20"/>
                <w:color w:val="auto"/>
              </w:rPr>
            </w:pPr>
            <w:r>
              <w:rPr>
                <w:rFonts w:ascii="Arial" w:cs="Arial" w:eastAsia="Arial" w:hAnsi="Arial"/>
                <w:sz w:val="16"/>
                <w:szCs w:val="16"/>
                <w:color w:val="auto"/>
              </w:rPr>
              <w:t>180</w:t>
            </w: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292</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690</w:t>
            </w:r>
          </w:p>
        </w:tc>
      </w:tr>
      <w:tr>
        <w:trPr>
          <w:trHeight w:val="213"/>
        </w:trPr>
        <w:tc>
          <w:tcPr>
            <w:tcW w:w="3760" w:type="dxa"/>
            <w:vAlign w:val="bottom"/>
          </w:tcPr>
          <w:p>
            <w:pPr>
              <w:ind w:left="180"/>
              <w:spacing w:after="0"/>
              <w:rPr>
                <w:sz w:val="20"/>
                <w:szCs w:val="20"/>
                <w:color w:val="auto"/>
              </w:rPr>
            </w:pPr>
            <w:r>
              <w:rPr>
                <w:rFonts w:ascii="Arial" w:cs="Arial" w:eastAsia="Arial" w:hAnsi="Arial"/>
                <w:sz w:val="16"/>
                <w:szCs w:val="16"/>
                <w:color w:val="auto"/>
              </w:rPr>
              <w:t>Electric generation plants</w:t>
            </w:r>
          </w:p>
        </w:tc>
        <w:tc>
          <w:tcPr>
            <w:tcW w:w="122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0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62"/>
              <w:spacing w:after="0"/>
              <w:rPr>
                <w:sz w:val="20"/>
                <w:szCs w:val="20"/>
                <w:color w:val="auto"/>
              </w:rPr>
            </w:pPr>
            <w:r>
              <w:rPr>
                <w:rFonts w:ascii="Arial" w:cs="Arial" w:eastAsia="Arial" w:hAnsi="Arial"/>
                <w:sz w:val="16"/>
                <w:szCs w:val="16"/>
                <w:color w:val="auto"/>
              </w:rPr>
              <w:t>158</w:t>
            </w:r>
          </w:p>
        </w:tc>
        <w:tc>
          <w:tcPr>
            <w:tcW w:w="960" w:type="dxa"/>
            <w:vAlign w:val="bottom"/>
          </w:tcPr>
          <w:p>
            <w:pPr>
              <w:spacing w:after="0"/>
              <w:rPr>
                <w:sz w:val="18"/>
                <w:szCs w:val="18"/>
                <w:color w:val="auto"/>
              </w:rPr>
            </w:pPr>
          </w:p>
        </w:tc>
        <w:tc>
          <w:tcPr>
            <w:tcW w:w="500" w:type="dxa"/>
            <w:vAlign w:val="bottom"/>
          </w:tcPr>
          <w:p>
            <w:pPr>
              <w:jc w:val="right"/>
              <w:ind w:right="60"/>
              <w:spacing w:after="0"/>
              <w:rPr>
                <w:sz w:val="20"/>
                <w:szCs w:val="20"/>
                <w:color w:val="auto"/>
              </w:rPr>
            </w:pPr>
            <w:r>
              <w:rPr>
                <w:rFonts w:ascii="Arial" w:cs="Arial" w:eastAsia="Arial" w:hAnsi="Arial"/>
                <w:sz w:val="16"/>
                <w:szCs w:val="16"/>
                <w:color w:val="auto"/>
              </w:rPr>
              <w:t>35</w:t>
            </w: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158</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04"/>
        </w:trPr>
        <w:tc>
          <w:tcPr>
            <w:tcW w:w="3760" w:type="dxa"/>
            <w:vAlign w:val="bottom"/>
          </w:tcPr>
          <w:p>
            <w:pPr>
              <w:ind w:left="180"/>
              <w:spacing w:after="0"/>
              <w:rPr>
                <w:sz w:val="20"/>
                <w:szCs w:val="20"/>
                <w:color w:val="auto"/>
              </w:rPr>
            </w:pPr>
            <w:r>
              <w:rPr>
                <w:rFonts w:ascii="Arial" w:cs="Arial" w:eastAsia="Arial" w:hAnsi="Arial"/>
                <w:sz w:val="16"/>
                <w:szCs w:val="16"/>
                <w:color w:val="auto"/>
              </w:rPr>
              <w:t>Wholesale</w:t>
            </w:r>
          </w:p>
        </w:tc>
        <w:tc>
          <w:tcPr>
            <w:tcW w:w="122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123</w:t>
            </w:r>
          </w:p>
        </w:tc>
        <w:tc>
          <w:tcPr>
            <w:tcW w:w="9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20</w:t>
            </w: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123</w:t>
            </w: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r>
      <w:tr>
        <w:trPr>
          <w:trHeight w:val="214"/>
        </w:trPr>
        <w:tc>
          <w:tcPr>
            <w:tcW w:w="3760" w:type="dxa"/>
            <w:vAlign w:val="bottom"/>
          </w:tcPr>
          <w:p>
            <w:pPr>
              <w:spacing w:after="0"/>
              <w:rPr>
                <w:sz w:val="18"/>
                <w:szCs w:val="18"/>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241</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61"/>
              <w:spacing w:after="0"/>
              <w:rPr>
                <w:sz w:val="20"/>
                <w:szCs w:val="20"/>
                <w:color w:val="auto"/>
              </w:rPr>
            </w:pPr>
            <w:r>
              <w:rPr>
                <w:rFonts w:ascii="Arial" w:cs="Arial" w:eastAsia="Arial" w:hAnsi="Arial"/>
                <w:sz w:val="16"/>
                <w:szCs w:val="16"/>
                <w:color w:val="auto"/>
              </w:rPr>
              <w:t>2,076</w:t>
            </w:r>
          </w:p>
        </w:tc>
        <w:tc>
          <w:tcPr>
            <w:tcW w:w="1100" w:type="dxa"/>
            <w:vAlign w:val="bottom"/>
          </w:tcPr>
          <w:p>
            <w:pPr>
              <w:jc w:val="right"/>
              <w:ind w:right="62"/>
              <w:spacing w:after="0"/>
              <w:rPr>
                <w:sz w:val="20"/>
                <w:szCs w:val="20"/>
                <w:color w:val="auto"/>
              </w:rPr>
            </w:pPr>
            <w:r>
              <w:rPr>
                <w:rFonts w:ascii="Arial" w:cs="Arial" w:eastAsia="Arial" w:hAnsi="Arial"/>
                <w:sz w:val="16"/>
                <w:szCs w:val="16"/>
                <w:color w:val="auto"/>
              </w:rPr>
              <w:t>501</w:t>
            </w:r>
          </w:p>
        </w:tc>
        <w:tc>
          <w:tcPr>
            <w:tcW w:w="960" w:type="dxa"/>
            <w:vAlign w:val="bottom"/>
          </w:tcPr>
          <w:p>
            <w:pPr>
              <w:jc w:val="right"/>
              <w:ind w:right="662"/>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60"/>
              <w:spacing w:after="0"/>
              <w:rPr>
                <w:sz w:val="20"/>
                <w:szCs w:val="20"/>
                <w:color w:val="auto"/>
              </w:rPr>
            </w:pPr>
            <w:r>
              <w:rPr>
                <w:rFonts w:ascii="Arial" w:cs="Arial" w:eastAsia="Arial" w:hAnsi="Arial"/>
                <w:sz w:val="16"/>
                <w:szCs w:val="16"/>
                <w:color w:val="auto"/>
              </w:rPr>
              <w:t>241</w:t>
            </w: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742</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2,317</w:t>
            </w:r>
          </w:p>
        </w:tc>
      </w:tr>
      <w:tr>
        <w:trPr>
          <w:trHeight w:val="213"/>
        </w:trPr>
        <w:tc>
          <w:tcPr>
            <w:tcW w:w="3760" w:type="dxa"/>
            <w:vAlign w:val="bottom"/>
          </w:tcPr>
          <w:p>
            <w:pPr>
              <w:ind w:left="180"/>
              <w:spacing w:after="0"/>
              <w:rPr>
                <w:sz w:val="20"/>
                <w:szCs w:val="20"/>
                <w:color w:val="auto"/>
              </w:rPr>
            </w:pPr>
            <w:r>
              <w:rPr>
                <w:rFonts w:ascii="Arial" w:cs="Arial" w:eastAsia="Arial" w:hAnsi="Arial"/>
                <w:sz w:val="16"/>
                <w:szCs w:val="16"/>
                <w:color w:val="auto"/>
              </w:rPr>
              <w:t>Other revenues</w:t>
            </w: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204"/>
        </w:trPr>
        <w:tc>
          <w:tcPr>
            <w:tcW w:w="3760" w:type="dxa"/>
            <w:vAlign w:val="bottom"/>
          </w:tcPr>
          <w:p>
            <w:pPr>
              <w:ind w:left="180"/>
              <w:spacing w:after="0"/>
              <w:rPr>
                <w:sz w:val="20"/>
                <w:szCs w:val="20"/>
                <w:color w:val="auto"/>
              </w:rPr>
            </w:pPr>
            <w:r>
              <w:rPr>
                <w:rFonts w:ascii="Arial" w:cs="Arial" w:eastAsia="Arial" w:hAnsi="Arial"/>
                <w:sz w:val="16"/>
                <w:szCs w:val="16"/>
                <w:color w:val="auto"/>
              </w:rPr>
              <w:t>Balancing accounts</w:t>
            </w: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w:t>
            </w:r>
          </w:p>
        </w:tc>
      </w:tr>
      <w:tr>
        <w:trPr>
          <w:trHeight w:val="214"/>
        </w:trPr>
        <w:tc>
          <w:tcPr>
            <w:tcW w:w="3760" w:type="dxa"/>
            <w:vAlign w:val="bottom"/>
          </w:tcPr>
          <w:p>
            <w:pPr>
              <w:ind w:left="360"/>
              <w:spacing w:after="0"/>
              <w:rPr>
                <w:sz w:val="20"/>
                <w:szCs w:val="20"/>
                <w:color w:val="auto"/>
              </w:rPr>
            </w:pPr>
            <w:r>
              <w:rPr>
                <w:rFonts w:ascii="Arial" w:cs="Arial" w:eastAsia="Arial" w:hAnsi="Arial"/>
                <w:sz w:val="16"/>
                <w:szCs w:val="16"/>
                <w:color w:val="auto"/>
              </w:rPr>
              <w:t>Total(1)</w:t>
            </w: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2,694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724852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8525" cy="17145"/>
                    </a:xfrm>
                    <a:prstGeom prst="rect">
                      <a:avLst/>
                    </a:prstGeom>
                    <a:noFill/>
                  </pic:spPr>
                </pic:pic>
              </a:graphicData>
            </a:graphic>
          </wp:anchor>
        </w:drawing>
      </w:r>
    </w:p>
    <w:p>
      <w:pPr>
        <w:ind w:left="480" w:hanging="474"/>
        <w:spacing w:after="0"/>
        <w:tabs>
          <w:tab w:leader="none" w:pos="480" w:val="left"/>
        </w:tabs>
        <w:numPr>
          <w:ilvl w:val="0"/>
          <w:numId w:val="101"/>
        </w:numPr>
        <w:rPr>
          <w:rFonts w:ascii="Arial" w:cs="Arial" w:eastAsia="Arial" w:hAnsi="Arial"/>
          <w:sz w:val="14"/>
          <w:szCs w:val="14"/>
          <w:i w:val="1"/>
          <w:iCs w:val="1"/>
          <w:color w:val="auto"/>
        </w:rPr>
      </w:pPr>
      <w:r>
        <w:rPr>
          <w:rFonts w:ascii="Arial" w:cs="Arial" w:eastAsia="Arial" w:hAnsi="Arial"/>
          <w:sz w:val="14"/>
          <w:szCs w:val="14"/>
          <w:i w:val="1"/>
          <w:iCs w:val="1"/>
          <w:color w:val="auto"/>
        </w:rPr>
        <w:t>Includes sales to affiliates of $51 million in 2014 and $48 million in 2013.</w:t>
      </w:r>
    </w:p>
    <w:p>
      <w:pPr>
        <w:spacing w:after="0" w:line="200" w:lineRule="exact"/>
        <w:rPr>
          <w:sz w:val="20"/>
          <w:szCs w:val="20"/>
          <w:color w:val="auto"/>
        </w:rPr>
      </w:pPr>
    </w:p>
    <w:p>
      <w:pPr>
        <w:spacing w:after="0" w:line="247"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color w:val="auto"/>
        </w:rPr>
        <w:t>During the three months ended September 30, 2014, SoCalGas’ natural gas revenues increased by $48 million (6%) to $855 million, and the cost of natural gas sold increased by $28 million (13%) to $237 million. The revenue increase included</w:t>
      </w:r>
    </w:p>
    <w:p>
      <w:pPr>
        <w:spacing w:after="0" w:line="179" w:lineRule="exact"/>
        <w:rPr>
          <w:sz w:val="20"/>
          <w:szCs w:val="20"/>
          <w:color w:val="auto"/>
        </w:rPr>
      </w:pPr>
    </w:p>
    <w:p>
      <w:pPr>
        <w:ind w:left="320" w:hanging="172"/>
        <w:spacing w:after="0"/>
        <w:tabs>
          <w:tab w:leader="none" w:pos="3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 increase in the market price of natural gas purchased, offset by lower demand, as we discuss below;</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$13 million increase in authorized revenues from 2014 attrition; and</w:t>
      </w:r>
    </w:p>
    <w:p>
      <w:pPr>
        <w:spacing w:after="0" w:line="244" w:lineRule="exact"/>
        <w:rPr>
          <w:rFonts w:ascii="Arial" w:cs="Arial" w:eastAsia="Arial" w:hAnsi="Arial"/>
          <w:sz w:val="18"/>
          <w:szCs w:val="18"/>
          <w:color w:val="auto"/>
        </w:rPr>
      </w:pPr>
    </w:p>
    <w:p>
      <w:pPr>
        <w:ind w:left="320" w:hanging="172"/>
        <w:spacing w:after="0" w:line="266" w:lineRule="auto"/>
        <w:tabs>
          <w:tab w:leader="none" w:pos="3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$2 million higher recovery of costs associated with CPUC-authorized refundable programs, which revenues are fully offset in operation and maintenance expenses.</w:t>
      </w:r>
    </w:p>
    <w:p>
      <w:pPr>
        <w:spacing w:after="0" w:line="20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SoCalGas’ average cost of natural gas for the three months ended September 30, 2014 was $4.75 per Mcf compared to $3.91 per Mcf for the corresponding period in 2013, a 21-percent increase of $0.84 per Mcf, resulting in higher revenues and cost of $42 million. The increase in the average cost of natural gas sold was offset by lower sales volumes, which resulted in lower revenues and cost of $14 million.</w:t>
      </w:r>
    </w:p>
    <w:p>
      <w:pPr>
        <w:spacing w:after="0" w:line="188"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color w:val="auto"/>
        </w:rPr>
        <w:t>During the nine months ended September 30, 2014, SoCalGas’ natural gas revenues increased by $163 million (6%) to $2.9 billion, and the cost of natural gas sold increased by $100 million (10%) to $1.1 billion. The revenue increase included</w:t>
      </w:r>
    </w:p>
    <w:p>
      <w:pPr>
        <w:spacing w:after="0" w:line="179" w:lineRule="exact"/>
        <w:rPr>
          <w:sz w:val="20"/>
          <w:szCs w:val="20"/>
          <w:color w:val="auto"/>
        </w:rPr>
      </w:pPr>
    </w:p>
    <w:p>
      <w:pPr>
        <w:ind w:left="320" w:hanging="172"/>
        <w:spacing w:after="0"/>
        <w:tabs>
          <w:tab w:leader="none" w:pos="3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 increase in the market price of natural gas purchased, offset by lower demand, as we discuss below;</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$39 million increase in authorized revenues from 2014 attrition;</w:t>
      </w:r>
    </w:p>
    <w:p>
      <w:pPr>
        <w:spacing w:after="0" w:line="244" w:lineRule="exact"/>
        <w:rPr>
          <w:rFonts w:ascii="Arial" w:cs="Arial" w:eastAsia="Arial" w:hAnsi="Arial"/>
          <w:sz w:val="18"/>
          <w:szCs w:val="18"/>
          <w:color w:val="auto"/>
        </w:rPr>
      </w:pPr>
    </w:p>
    <w:p>
      <w:pPr>
        <w:ind w:left="320" w:hanging="172"/>
        <w:spacing w:after="0" w:line="266" w:lineRule="auto"/>
        <w:tabs>
          <w:tab w:leader="none" w:pos="3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$30 million higher recovery of costs associated with CPUC-authorized refundable programs, which revenues are fully offset in operation and maintenance expenses; and</w:t>
      </w:r>
    </w:p>
    <w:p>
      <w:pPr>
        <w:spacing w:after="0" w:line="199" w:lineRule="exact"/>
        <w:rPr>
          <w:rFonts w:ascii="Arial" w:cs="Arial" w:eastAsia="Arial" w:hAnsi="Arial"/>
          <w:sz w:val="18"/>
          <w:szCs w:val="18"/>
          <w:color w:val="auto"/>
        </w:rPr>
      </w:pPr>
    </w:p>
    <w:p>
      <w:pPr>
        <w:ind w:left="320" w:hanging="172"/>
        <w:spacing w:after="0"/>
        <w:tabs>
          <w:tab w:leader="none" w:pos="3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$24 million higher revenues from the advanced metering infrastructure project; </w:t>
      </w:r>
      <w:r>
        <w:rPr>
          <w:rFonts w:ascii="Arial" w:cs="Arial" w:eastAsia="Arial" w:hAnsi="Arial"/>
          <w:sz w:val="18"/>
          <w:szCs w:val="18"/>
          <w:b w:val="1"/>
          <w:bCs w:val="1"/>
          <w:color w:val="auto"/>
        </w:rPr>
        <w:t>offset by</w:t>
      </w:r>
    </w:p>
    <w:p>
      <w:pPr>
        <w:spacing w:after="0" w:line="250" w:lineRule="exact"/>
        <w:rPr>
          <w:rFonts w:ascii="Arial" w:cs="Arial" w:eastAsia="Arial" w:hAnsi="Arial"/>
          <w:sz w:val="18"/>
          <w:szCs w:val="18"/>
          <w:color w:val="auto"/>
        </w:rPr>
      </w:pPr>
    </w:p>
    <w:p>
      <w:pPr>
        <w:ind w:left="320" w:hanging="172"/>
        <w:spacing w:after="0" w:line="266" w:lineRule="auto"/>
        <w:tabs>
          <w:tab w:leader="none" w:pos="3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$25 million favorable impact from the retroactive application of the 2012 GRC decision, recorded in the second quarter of 2013, for the period from January 2012 through December 2012.</w:t>
      </w:r>
    </w:p>
    <w:p>
      <w:pPr>
        <w:spacing w:after="0" w:line="206" w:lineRule="exact"/>
        <w:rPr>
          <w:sz w:val="20"/>
          <w:szCs w:val="20"/>
          <w:color w:val="auto"/>
        </w:rPr>
      </w:pPr>
    </w:p>
    <w:p>
      <w:pPr>
        <w:ind w:right="120"/>
        <w:spacing w:after="0" w:line="329" w:lineRule="auto"/>
        <w:rPr>
          <w:sz w:val="20"/>
          <w:szCs w:val="20"/>
          <w:color w:val="auto"/>
        </w:rPr>
      </w:pPr>
      <w:r>
        <w:rPr>
          <w:rFonts w:ascii="Arial" w:cs="Arial" w:eastAsia="Arial" w:hAnsi="Arial"/>
          <w:sz w:val="16"/>
          <w:szCs w:val="16"/>
          <w:color w:val="auto"/>
        </w:rPr>
        <w:t>For the first nine months of 2014, SoCalGas’ average cost of natural gas was $5.15 per Mcf compared to $4.01 per Mcf for the corresponding period in 2013, a 28-percent increase of $1.14 per Mcf, resulting in higher revenues and cost of $235 million. The increase in the average cost of natural gas sold was offset by</w:t>
      </w:r>
    </w:p>
    <w:p>
      <w:pPr>
        <w:sectPr>
          <w:pgSz w:w="11900" w:h="16939" w:orient="portrait"/>
          <w:cols w:equalWidth="0" w:num="1">
            <w:col w:w="11420"/>
          </w:cols>
          <w:pgMar w:left="240" w:top="127" w:right="239" w:bottom="0" w:gutter="0" w:footer="0" w:header="0"/>
        </w:sectPr>
      </w:pPr>
    </w:p>
    <w:bookmarkStart w:id="67" w:name="page68"/>
    <w:bookmarkEnd w:id="67"/>
    <w:p>
      <w:pPr>
        <w:spacing w:after="0" w:line="32"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color w:val="auto"/>
        </w:rPr>
        <w:t>lower demand for natural gas primarily from a warmer winter in 2014 compared to the same period in 2013, which resulted in lower revenues and cost of $135 million.</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Other Utilities: Revenues and Cost of Sales</w:t>
      </w:r>
    </w:p>
    <w:p>
      <w:pPr>
        <w:spacing w:after="0" w:line="211"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Revenues generated by Chilquinta Energía and Luz del Sur are based on tariffs that are set by government agencies in their respective countries based on an efficient model distribution company defined by those agencies. The bases for the tariffs do not meet the requirement necessary for treatment under applicable accounting principles generally accepted in the United States of America (U.S. GAAP) for regulatory accounting. We discuss revenue recognition further for Chilquinta Energía and Luz del Sur in Note 1 of the Notes to Consolidated Financial Statements in the Annual Report.</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Operations of Mobile Gas, Willmut Gas and Ecogas qualify for regulatory accounting treatment under applicable U.S. GAAP, similar to the California Utilities.</w:t>
      </w:r>
    </w:p>
    <w:p>
      <w:pPr>
        <w:spacing w:after="0" w:line="241"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color w:val="auto"/>
        </w:rPr>
        <w:t>The table below summarizes natural gas and electric revenues for our utilities outside of California for the nine-month periods ended September 30, 2014 and 2013:</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-104775</wp:posOffset>
            </wp:positionV>
            <wp:extent cx="7248525" cy="3543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8525" cy="35433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NATURAL GAS AND ELECTRIC REVENUES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8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2180" w:type="dxa"/>
            <w:vAlign w:val="bottom"/>
            <w:gridSpan w:val="3"/>
            <w:vMerge w:val="restart"/>
          </w:tcPr>
          <w:p>
            <w:pPr>
              <w:jc w:val="right"/>
              <w:ind w:right="182"/>
              <w:spacing w:after="0"/>
              <w:rPr>
                <w:sz w:val="20"/>
                <w:szCs w:val="20"/>
                <w:color w:val="auto"/>
              </w:rPr>
            </w:pPr>
            <w:r>
              <w:rPr>
                <w:rFonts w:ascii="Arial" w:cs="Arial" w:eastAsia="Arial" w:hAnsi="Arial"/>
                <w:sz w:val="14"/>
                <w:szCs w:val="14"/>
                <w:color w:val="auto"/>
              </w:rPr>
              <w:t>Nine months ended</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gridSpan w:val="4"/>
            <w:vMerge w:val="restart"/>
          </w:tcPr>
          <w:p>
            <w:pPr>
              <w:jc w:val="right"/>
              <w:ind w:right="621"/>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35"/>
        </w:trPr>
        <w:tc>
          <w:tcPr>
            <w:tcW w:w="6180" w:type="dxa"/>
            <w:vAlign w:val="bottom"/>
          </w:tcPr>
          <w:p>
            <w:pPr>
              <w:spacing w:after="0"/>
              <w:rPr>
                <w:sz w:val="11"/>
                <w:szCs w:val="11"/>
                <w:color w:val="auto"/>
              </w:rPr>
            </w:pPr>
          </w:p>
        </w:tc>
        <w:tc>
          <w:tcPr>
            <w:tcW w:w="2180" w:type="dxa"/>
            <w:vAlign w:val="bottom"/>
            <w:gridSpan w:val="3"/>
            <w:vMerge w:val="continue"/>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0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6180" w:type="dxa"/>
            <w:vAlign w:val="bottom"/>
          </w:tcPr>
          <w:p>
            <w:pPr>
              <w:spacing w:after="0"/>
              <w:rPr>
                <w:sz w:val="13"/>
                <w:szCs w:val="13"/>
                <w:color w:val="auto"/>
              </w:rPr>
            </w:pPr>
          </w:p>
        </w:tc>
        <w:tc>
          <w:tcPr>
            <w:tcW w:w="2180" w:type="dxa"/>
            <w:vAlign w:val="bottom"/>
            <w:tcBorders>
              <w:bottom w:val="single" w:sz="8" w:color="auto"/>
            </w:tcBorders>
            <w:gridSpan w:val="3"/>
          </w:tcPr>
          <w:p>
            <w:pPr>
              <w:jc w:val="right"/>
              <w:ind w:right="162"/>
              <w:spacing w:after="0" w:line="155" w:lineRule="exact"/>
              <w:rPr>
                <w:sz w:val="20"/>
                <w:szCs w:val="20"/>
                <w:color w:val="auto"/>
              </w:rPr>
            </w:pPr>
            <w:r>
              <w:rPr>
                <w:rFonts w:ascii="Arial" w:cs="Arial" w:eastAsia="Arial" w:hAnsi="Arial"/>
                <w:sz w:val="14"/>
                <w:szCs w:val="14"/>
                <w:color w:val="auto"/>
              </w:rPr>
              <w:t>September 30, 2014</w:t>
            </w:r>
          </w:p>
        </w:tc>
        <w:tc>
          <w:tcPr>
            <w:tcW w:w="4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gridSpan w:val="4"/>
          </w:tcPr>
          <w:p>
            <w:pPr>
              <w:ind w:left="540"/>
              <w:spacing w:after="0" w:line="155" w:lineRule="exact"/>
              <w:rPr>
                <w:sz w:val="20"/>
                <w:szCs w:val="20"/>
                <w:color w:val="auto"/>
              </w:rPr>
            </w:pPr>
            <w:r>
              <w:rPr>
                <w:rFonts w:ascii="Arial" w:cs="Arial" w:eastAsia="Arial" w:hAnsi="Arial"/>
                <w:sz w:val="14"/>
                <w:szCs w:val="14"/>
                <w:color w:val="auto"/>
              </w:rPr>
              <w:t>September 30, 2013</w:t>
            </w:r>
          </w:p>
        </w:tc>
        <w:tc>
          <w:tcPr>
            <w:tcW w:w="0" w:type="dxa"/>
            <w:vAlign w:val="bottom"/>
          </w:tcPr>
          <w:p>
            <w:pPr>
              <w:spacing w:after="0"/>
              <w:rPr>
                <w:sz w:val="1"/>
                <w:szCs w:val="1"/>
                <w:color w:val="auto"/>
              </w:rPr>
            </w:pPr>
          </w:p>
        </w:tc>
      </w:tr>
      <w:tr>
        <w:trPr>
          <w:trHeight w:val="206"/>
        </w:trPr>
        <w:tc>
          <w:tcPr>
            <w:tcW w:w="6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color w:val="auto"/>
              </w:rPr>
              <w:t>Volumes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Revenue</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Volumes</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color w:val="auto"/>
                <w:w w:val="99"/>
              </w:rPr>
              <w:t>Revenue</w:t>
            </w:r>
          </w:p>
        </w:tc>
        <w:tc>
          <w:tcPr>
            <w:tcW w:w="0" w:type="dxa"/>
            <w:vAlign w:val="bottom"/>
          </w:tcPr>
          <w:p>
            <w:pPr>
              <w:spacing w:after="0"/>
              <w:rPr>
                <w:sz w:val="1"/>
                <w:szCs w:val="1"/>
                <w:color w:val="auto"/>
              </w:rPr>
            </w:pPr>
          </w:p>
        </w:tc>
      </w:tr>
      <w:tr>
        <w:trPr>
          <w:trHeight w:val="194"/>
        </w:trPr>
        <w:tc>
          <w:tcPr>
            <w:tcW w:w="6180" w:type="dxa"/>
            <w:vAlign w:val="bottom"/>
          </w:tcPr>
          <w:p>
            <w:pPr>
              <w:spacing w:after="0"/>
              <w:rPr>
                <w:sz w:val="20"/>
                <w:szCs w:val="20"/>
                <w:color w:val="auto"/>
              </w:rPr>
            </w:pPr>
            <w:r>
              <w:rPr>
                <w:rFonts w:ascii="Arial" w:cs="Arial" w:eastAsia="Arial" w:hAnsi="Arial"/>
                <w:sz w:val="16"/>
                <w:szCs w:val="16"/>
                <w:b w:val="1"/>
                <w:bCs w:val="1"/>
                <w:color w:val="auto"/>
              </w:rPr>
              <w:t>Natural Gas Sales (billion cubic feet):</w:t>
            </w: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180" w:type="dxa"/>
            <w:vAlign w:val="bottom"/>
          </w:tcPr>
          <w:p>
            <w:pPr>
              <w:spacing w:after="0"/>
              <w:rPr>
                <w:sz w:val="20"/>
                <w:szCs w:val="20"/>
                <w:color w:val="auto"/>
              </w:rPr>
            </w:pPr>
            <w:r>
              <w:rPr>
                <w:rFonts w:ascii="Arial" w:cs="Arial" w:eastAsia="Arial" w:hAnsi="Arial"/>
                <w:sz w:val="16"/>
                <w:szCs w:val="16"/>
                <w:color w:val="auto"/>
              </w:rPr>
              <w:t>Sempra Mexico — Ecogas</w:t>
            </w: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18</w:t>
            </w:r>
          </w:p>
        </w:tc>
        <w:tc>
          <w:tcPr>
            <w:tcW w:w="920" w:type="dxa"/>
            <w:vAlign w:val="bottom"/>
          </w:tcPr>
          <w:p>
            <w:pPr>
              <w:jc w:val="right"/>
              <w:ind w:right="562"/>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6"/>
                <w:szCs w:val="16"/>
                <w:color w:val="auto"/>
              </w:rPr>
              <w:t>82</w:t>
            </w: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18</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3"/>
        </w:trPr>
        <w:tc>
          <w:tcPr>
            <w:tcW w:w="6180" w:type="dxa"/>
            <w:vAlign w:val="bottom"/>
          </w:tcPr>
          <w:p>
            <w:pPr>
              <w:spacing w:after="0"/>
              <w:rPr>
                <w:sz w:val="20"/>
                <w:szCs w:val="20"/>
                <w:color w:val="auto"/>
              </w:rPr>
            </w:pPr>
            <w:r>
              <w:rPr>
                <w:rFonts w:ascii="Arial" w:cs="Arial" w:eastAsia="Arial" w:hAnsi="Arial"/>
                <w:sz w:val="16"/>
                <w:szCs w:val="16"/>
                <w:color w:val="auto"/>
              </w:rPr>
              <w:t>Sempra Natural Gas:</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180" w:type="dxa"/>
            <w:vAlign w:val="bottom"/>
          </w:tcPr>
          <w:p>
            <w:pPr>
              <w:ind w:left="140"/>
              <w:spacing w:after="0"/>
              <w:rPr>
                <w:sz w:val="20"/>
                <w:szCs w:val="20"/>
                <w:color w:val="auto"/>
              </w:rPr>
            </w:pPr>
            <w:r>
              <w:rPr>
                <w:rFonts w:ascii="Arial" w:cs="Arial" w:eastAsia="Arial" w:hAnsi="Arial"/>
                <w:sz w:val="16"/>
                <w:szCs w:val="16"/>
                <w:color w:val="auto"/>
              </w:rPr>
              <w:t>Mobile Gas (including transportation)</w:t>
            </w: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29</w:t>
            </w:r>
          </w:p>
        </w:tc>
        <w:tc>
          <w:tcPr>
            <w:tcW w:w="92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6"/>
                <w:szCs w:val="16"/>
                <w:color w:val="auto"/>
              </w:rPr>
              <w:t>66</w:t>
            </w: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29</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04"/>
        </w:trPr>
        <w:tc>
          <w:tcPr>
            <w:tcW w:w="6180" w:type="dxa"/>
            <w:vAlign w:val="bottom"/>
          </w:tcPr>
          <w:p>
            <w:pPr>
              <w:ind w:left="140"/>
              <w:spacing w:after="0"/>
              <w:rPr>
                <w:sz w:val="20"/>
                <w:szCs w:val="20"/>
                <w:color w:val="auto"/>
              </w:rPr>
            </w:pPr>
            <w:r>
              <w:rPr>
                <w:rFonts w:ascii="Arial" w:cs="Arial" w:eastAsia="Arial" w:hAnsi="Arial"/>
                <w:sz w:val="16"/>
                <w:szCs w:val="16"/>
                <w:color w:val="auto"/>
              </w:rPr>
              <w:t>Willmut Gas</w:t>
            </w:r>
          </w:p>
        </w:tc>
        <w:tc>
          <w:tcPr>
            <w:tcW w:w="12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2</w:t>
            </w:r>
          </w:p>
        </w:tc>
        <w:tc>
          <w:tcPr>
            <w:tcW w:w="9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18</w:t>
            </w:r>
          </w:p>
        </w:tc>
        <w:tc>
          <w:tcPr>
            <w:tcW w:w="11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2</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73"/>
        </w:trPr>
        <w:tc>
          <w:tcPr>
            <w:tcW w:w="6180" w:type="dxa"/>
            <w:vAlign w:val="bottom"/>
          </w:tcPr>
          <w:p>
            <w:pPr>
              <w:ind w:left="140"/>
              <w:spacing w:after="0" w:line="166" w:lineRule="exact"/>
              <w:rPr>
                <w:sz w:val="20"/>
                <w:szCs w:val="20"/>
                <w:color w:val="auto"/>
              </w:rPr>
            </w:pPr>
            <w:r>
              <w:rPr>
                <w:rFonts w:ascii="Arial" w:cs="Arial" w:eastAsia="Arial" w:hAnsi="Arial"/>
                <w:sz w:val="16"/>
                <w:szCs w:val="16"/>
                <w:color w:val="auto"/>
              </w:rPr>
              <w:t>Total</w:t>
            </w:r>
          </w:p>
        </w:tc>
        <w:tc>
          <w:tcPr>
            <w:tcW w:w="1260" w:type="dxa"/>
            <w:vAlign w:val="bottom"/>
            <w:tcBorders>
              <w:bottom w:val="single" w:sz="8" w:color="auto"/>
            </w:tcBorders>
            <w:gridSpan w:val="2"/>
          </w:tcPr>
          <w:p>
            <w:pPr>
              <w:jc w:val="right"/>
              <w:ind w:right="180"/>
              <w:spacing w:after="0" w:line="166" w:lineRule="exact"/>
              <w:rPr>
                <w:sz w:val="20"/>
                <w:szCs w:val="20"/>
                <w:color w:val="auto"/>
              </w:rPr>
            </w:pPr>
            <w:r>
              <w:rPr>
                <w:rFonts w:ascii="Arial" w:cs="Arial" w:eastAsia="Arial" w:hAnsi="Arial"/>
                <w:sz w:val="16"/>
                <w:szCs w:val="16"/>
                <w:color w:val="auto"/>
              </w:rPr>
              <w:t>49</w:t>
            </w:r>
          </w:p>
        </w:tc>
        <w:tc>
          <w:tcPr>
            <w:tcW w:w="920" w:type="dxa"/>
            <w:vAlign w:val="bottom"/>
            <w:tcBorders>
              <w:bottom w:val="single" w:sz="8" w:color="auto"/>
            </w:tcBorders>
          </w:tcPr>
          <w:p>
            <w:pPr>
              <w:jc w:val="right"/>
              <w:ind w:right="562"/>
              <w:spacing w:after="0" w:line="166" w:lineRule="exact"/>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gridSpan w:val="2"/>
          </w:tcPr>
          <w:p>
            <w:pPr>
              <w:jc w:val="right"/>
              <w:ind w:right="120"/>
              <w:spacing w:after="0" w:line="166" w:lineRule="exact"/>
              <w:rPr>
                <w:sz w:val="20"/>
                <w:szCs w:val="20"/>
                <w:color w:val="auto"/>
              </w:rPr>
            </w:pPr>
            <w:r>
              <w:rPr>
                <w:rFonts w:ascii="Arial" w:cs="Arial" w:eastAsia="Arial" w:hAnsi="Arial"/>
                <w:sz w:val="16"/>
                <w:szCs w:val="16"/>
                <w:color w:val="auto"/>
              </w:rPr>
              <w:t>166</w:t>
            </w:r>
          </w:p>
        </w:tc>
        <w:tc>
          <w:tcPr>
            <w:tcW w:w="1120" w:type="dxa"/>
            <w:vAlign w:val="bottom"/>
            <w:tcBorders>
              <w:bottom w:val="single" w:sz="8" w:color="auto"/>
            </w:tcBorders>
            <w:gridSpan w:val="2"/>
          </w:tcPr>
          <w:p>
            <w:pPr>
              <w:jc w:val="right"/>
              <w:ind w:right="180"/>
              <w:spacing w:after="0" w:line="166" w:lineRule="exact"/>
              <w:rPr>
                <w:sz w:val="20"/>
                <w:szCs w:val="20"/>
                <w:color w:val="auto"/>
              </w:rPr>
            </w:pPr>
            <w:r>
              <w:rPr>
                <w:rFonts w:ascii="Arial" w:cs="Arial" w:eastAsia="Arial" w:hAnsi="Arial"/>
                <w:sz w:val="16"/>
                <w:szCs w:val="16"/>
                <w:color w:val="auto"/>
              </w:rPr>
              <w:t>49</w:t>
            </w:r>
          </w:p>
        </w:tc>
        <w:tc>
          <w:tcPr>
            <w:tcW w:w="30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433"/>
        </w:trPr>
        <w:tc>
          <w:tcPr>
            <w:tcW w:w="6180" w:type="dxa"/>
            <w:vAlign w:val="bottom"/>
          </w:tcPr>
          <w:p>
            <w:pPr>
              <w:spacing w:after="0"/>
              <w:rPr>
                <w:sz w:val="20"/>
                <w:szCs w:val="20"/>
                <w:color w:val="auto"/>
              </w:rPr>
            </w:pPr>
            <w:r>
              <w:rPr>
                <w:rFonts w:ascii="Arial" w:cs="Arial" w:eastAsia="Arial" w:hAnsi="Arial"/>
                <w:sz w:val="16"/>
                <w:szCs w:val="16"/>
                <w:b w:val="1"/>
                <w:bCs w:val="1"/>
                <w:color w:val="auto"/>
              </w:rPr>
              <w:t>Electric Sales (million kilowatt hours):</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6180" w:type="dxa"/>
            <w:vAlign w:val="bottom"/>
          </w:tcPr>
          <w:p>
            <w:pPr>
              <w:spacing w:after="0"/>
              <w:rPr>
                <w:sz w:val="20"/>
                <w:szCs w:val="20"/>
                <w:color w:val="auto"/>
              </w:rPr>
            </w:pPr>
            <w:r>
              <w:rPr>
                <w:rFonts w:ascii="Arial" w:cs="Arial" w:eastAsia="Arial" w:hAnsi="Arial"/>
                <w:sz w:val="16"/>
                <w:szCs w:val="16"/>
                <w:color w:val="auto"/>
              </w:rPr>
              <w:t>Sempra South American Utilities:</w:t>
            </w: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180" w:type="dxa"/>
            <w:vAlign w:val="bottom"/>
          </w:tcPr>
          <w:p>
            <w:pPr>
              <w:ind w:left="140"/>
              <w:spacing w:after="0"/>
              <w:rPr>
                <w:sz w:val="20"/>
                <w:szCs w:val="20"/>
                <w:color w:val="auto"/>
              </w:rPr>
            </w:pPr>
            <w:r>
              <w:rPr>
                <w:rFonts w:ascii="Arial" w:cs="Arial" w:eastAsia="Arial" w:hAnsi="Arial"/>
                <w:sz w:val="16"/>
                <w:szCs w:val="16"/>
                <w:color w:val="auto"/>
              </w:rPr>
              <w:t>Luz del Sur</w:t>
            </w: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5,458</w:t>
            </w:r>
          </w:p>
        </w:tc>
        <w:tc>
          <w:tcPr>
            <w:tcW w:w="920" w:type="dxa"/>
            <w:vAlign w:val="bottom"/>
          </w:tcPr>
          <w:p>
            <w:pPr>
              <w:jc w:val="right"/>
              <w:ind w:right="562"/>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6"/>
                <w:szCs w:val="16"/>
                <w:color w:val="auto"/>
              </w:rPr>
              <w:t>642</w:t>
            </w:r>
          </w:p>
        </w:tc>
        <w:tc>
          <w:tcPr>
            <w:tcW w:w="940" w:type="dxa"/>
            <w:vAlign w:val="bottom"/>
          </w:tcPr>
          <w:p>
            <w:pPr>
              <w:ind w:left="540"/>
              <w:spacing w:after="0"/>
              <w:rPr>
                <w:sz w:val="20"/>
                <w:szCs w:val="20"/>
                <w:color w:val="auto"/>
              </w:rPr>
            </w:pPr>
            <w:r>
              <w:rPr>
                <w:rFonts w:ascii="Arial" w:cs="Arial" w:eastAsia="Arial" w:hAnsi="Arial"/>
                <w:sz w:val="16"/>
                <w:szCs w:val="16"/>
                <w:color w:val="auto"/>
                <w:w w:val="94"/>
              </w:rPr>
              <w:t>5,221</w:t>
            </w:r>
          </w:p>
        </w:tc>
        <w:tc>
          <w:tcPr>
            <w:tcW w:w="18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585</w:t>
            </w:r>
          </w:p>
        </w:tc>
        <w:tc>
          <w:tcPr>
            <w:tcW w:w="0" w:type="dxa"/>
            <w:vAlign w:val="bottom"/>
          </w:tcPr>
          <w:p>
            <w:pPr>
              <w:spacing w:after="0"/>
              <w:rPr>
                <w:sz w:val="1"/>
                <w:szCs w:val="1"/>
                <w:color w:val="auto"/>
              </w:rPr>
            </w:pPr>
          </w:p>
        </w:tc>
      </w:tr>
      <w:tr>
        <w:trPr>
          <w:trHeight w:val="204"/>
        </w:trPr>
        <w:tc>
          <w:tcPr>
            <w:tcW w:w="6180" w:type="dxa"/>
            <w:vAlign w:val="bottom"/>
          </w:tcPr>
          <w:p>
            <w:pPr>
              <w:ind w:left="140"/>
              <w:spacing w:after="0"/>
              <w:rPr>
                <w:sz w:val="20"/>
                <w:szCs w:val="20"/>
                <w:color w:val="auto"/>
              </w:rPr>
            </w:pPr>
            <w:r>
              <w:rPr>
                <w:rFonts w:ascii="Arial" w:cs="Arial" w:eastAsia="Arial" w:hAnsi="Arial"/>
                <w:sz w:val="16"/>
                <w:szCs w:val="16"/>
                <w:color w:val="auto"/>
              </w:rPr>
              <w:t>Chilquinta Energía</w:t>
            </w:r>
          </w:p>
        </w:tc>
        <w:tc>
          <w:tcPr>
            <w:tcW w:w="12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2,192</w:t>
            </w:r>
          </w:p>
        </w:tc>
        <w:tc>
          <w:tcPr>
            <w:tcW w:w="9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394</w:t>
            </w:r>
          </w:p>
        </w:tc>
        <w:tc>
          <w:tcPr>
            <w:tcW w:w="940" w:type="dxa"/>
            <w:vAlign w:val="bottom"/>
            <w:tcBorders>
              <w:bottom w:val="single" w:sz="8" w:color="auto"/>
            </w:tcBorders>
          </w:tcPr>
          <w:p>
            <w:pPr>
              <w:ind w:left="540"/>
              <w:spacing w:after="0"/>
              <w:rPr>
                <w:sz w:val="20"/>
                <w:szCs w:val="20"/>
                <w:color w:val="auto"/>
              </w:rPr>
            </w:pPr>
            <w:r>
              <w:rPr>
                <w:rFonts w:ascii="Arial" w:cs="Arial" w:eastAsia="Arial" w:hAnsi="Arial"/>
                <w:sz w:val="16"/>
                <w:szCs w:val="16"/>
                <w:color w:val="auto"/>
                <w:w w:val="94"/>
              </w:rPr>
              <w:t>2,127</w:t>
            </w:r>
          </w:p>
        </w:tc>
        <w:tc>
          <w:tcPr>
            <w:tcW w:w="1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w:t>
            </w:r>
          </w:p>
        </w:tc>
        <w:tc>
          <w:tcPr>
            <w:tcW w:w="0" w:type="dxa"/>
            <w:vAlign w:val="bottom"/>
          </w:tcPr>
          <w:p>
            <w:pPr>
              <w:spacing w:after="0"/>
              <w:rPr>
                <w:sz w:val="1"/>
                <w:szCs w:val="1"/>
                <w:color w:val="auto"/>
              </w:rPr>
            </w:pPr>
          </w:p>
        </w:tc>
      </w:tr>
      <w:tr>
        <w:trPr>
          <w:trHeight w:val="214"/>
        </w:trPr>
        <w:tc>
          <w:tcPr>
            <w:tcW w:w="61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7,650</w:t>
            </w:r>
          </w:p>
        </w:tc>
        <w:tc>
          <w:tcPr>
            <w:tcW w:w="9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1,036</w:t>
            </w:r>
          </w:p>
        </w:tc>
        <w:tc>
          <w:tcPr>
            <w:tcW w:w="120" w:type="dxa"/>
            <w:vAlign w:val="bottom"/>
          </w:tcPr>
          <w:p>
            <w:pPr>
              <w:spacing w:after="0"/>
              <w:rPr>
                <w:sz w:val="18"/>
                <w:szCs w:val="18"/>
                <w:color w:val="auto"/>
              </w:rPr>
            </w:pPr>
          </w:p>
        </w:tc>
        <w:tc>
          <w:tcPr>
            <w:tcW w:w="940" w:type="dxa"/>
            <w:vAlign w:val="bottom"/>
          </w:tcPr>
          <w:p>
            <w:pPr>
              <w:ind w:left="540"/>
              <w:spacing w:after="0"/>
              <w:rPr>
                <w:sz w:val="20"/>
                <w:szCs w:val="20"/>
                <w:color w:val="auto"/>
              </w:rPr>
            </w:pPr>
            <w:r>
              <w:rPr>
                <w:rFonts w:ascii="Arial" w:cs="Arial" w:eastAsia="Arial" w:hAnsi="Arial"/>
                <w:sz w:val="16"/>
                <w:szCs w:val="16"/>
                <w:color w:val="auto"/>
                <w:w w:val="94"/>
              </w:rPr>
              <w:t>7,348</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990</w:t>
            </w:r>
          </w:p>
        </w:tc>
        <w:tc>
          <w:tcPr>
            <w:tcW w:w="0" w:type="dxa"/>
            <w:vAlign w:val="bottom"/>
          </w:tcPr>
          <w:p>
            <w:pPr>
              <w:spacing w:after="0"/>
              <w:rPr>
                <w:sz w:val="1"/>
                <w:szCs w:val="1"/>
                <w:color w:val="auto"/>
              </w:rPr>
            </w:pPr>
          </w:p>
        </w:tc>
      </w:tr>
      <w:tr>
        <w:trPr>
          <w:trHeight w:val="204"/>
        </w:trPr>
        <w:tc>
          <w:tcPr>
            <w:tcW w:w="6180" w:type="dxa"/>
            <w:vAlign w:val="bottom"/>
          </w:tcPr>
          <w:p>
            <w:pPr>
              <w:ind w:left="140"/>
              <w:spacing w:after="0"/>
              <w:rPr>
                <w:sz w:val="20"/>
                <w:szCs w:val="20"/>
                <w:color w:val="auto"/>
              </w:rPr>
            </w:pPr>
            <w:r>
              <w:rPr>
                <w:rFonts w:ascii="Arial" w:cs="Arial" w:eastAsia="Arial" w:hAnsi="Arial"/>
                <w:sz w:val="16"/>
                <w:szCs w:val="16"/>
                <w:color w:val="auto"/>
              </w:rPr>
              <w:t>Other service revenues</w:t>
            </w: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6"/>
                <w:szCs w:val="16"/>
                <w:color w:val="auto"/>
              </w:rPr>
              <w:t>36</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2"/>
        </w:trPr>
        <w:tc>
          <w:tcPr>
            <w:tcW w:w="61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Total</w:t>
            </w:r>
          </w:p>
        </w:tc>
        <w:tc>
          <w:tcPr>
            <w:tcW w:w="108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1,072</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Energy-Related Businesses: Revenues and Cost of Sales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revenues and cost of sales for our energy-related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298450</wp:posOffset>
            </wp:positionV>
            <wp:extent cx="7248525" cy="2787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8525" cy="27876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ENERGY-RELATED BUSINESSES: REVENUES AND COST OF SALES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48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9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shd w:val="clear" w:color="auto" w:fill="C0C0C0"/>
          </w:tcPr>
          <w:p>
            <w:pPr>
              <w:spacing w:after="0"/>
              <w:rPr>
                <w:sz w:val="16"/>
                <w:szCs w:val="16"/>
                <w:color w:val="auto"/>
              </w:rPr>
            </w:pPr>
          </w:p>
        </w:tc>
        <w:tc>
          <w:tcPr>
            <w:tcW w:w="340" w:type="dxa"/>
            <w:vAlign w:val="bottom"/>
            <w:shd w:val="clear" w:color="auto" w:fill="C0C0C0"/>
          </w:tcPr>
          <w:p>
            <w:pPr>
              <w:spacing w:after="0"/>
              <w:rPr>
                <w:sz w:val="16"/>
                <w:szCs w:val="16"/>
                <w:color w:val="auto"/>
              </w:rPr>
            </w:pPr>
          </w:p>
        </w:tc>
        <w:tc>
          <w:tcPr>
            <w:tcW w:w="1160" w:type="dxa"/>
            <w:vAlign w:val="bottom"/>
            <w:shd w:val="clear" w:color="auto" w:fill="C0C0C0"/>
          </w:tcPr>
          <w:p>
            <w:pPr>
              <w:spacing w:after="0"/>
              <w:rPr>
                <w:sz w:val="16"/>
                <w:szCs w:val="16"/>
                <w:color w:val="auto"/>
              </w:rPr>
            </w:pPr>
          </w:p>
        </w:tc>
        <w:tc>
          <w:tcPr>
            <w:tcW w:w="400" w:type="dxa"/>
            <w:vAlign w:val="bottom"/>
            <w:shd w:val="clear" w:color="auto" w:fill="C0C0C0"/>
          </w:tcPr>
          <w:p>
            <w:pPr>
              <w:spacing w:after="0"/>
              <w:rPr>
                <w:sz w:val="16"/>
                <w:szCs w:val="16"/>
                <w:color w:val="auto"/>
              </w:rPr>
            </w:pPr>
          </w:p>
        </w:tc>
        <w:tc>
          <w:tcPr>
            <w:tcW w:w="960" w:type="dxa"/>
            <w:vAlign w:val="bottom"/>
            <w:shd w:val="clear" w:color="auto" w:fill="C0C0C0"/>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480" w:type="dxa"/>
            <w:vAlign w:val="bottom"/>
          </w:tcPr>
          <w:p>
            <w:pPr>
              <w:spacing w:after="0"/>
              <w:rPr>
                <w:sz w:val="19"/>
                <w:szCs w:val="19"/>
                <w:color w:val="auto"/>
              </w:rPr>
            </w:pPr>
          </w:p>
        </w:tc>
        <w:tc>
          <w:tcPr>
            <w:tcW w:w="2520" w:type="dxa"/>
            <w:vAlign w:val="bottom"/>
            <w:gridSpan w:val="3"/>
          </w:tcPr>
          <w:p>
            <w:pPr>
              <w:jc w:val="right"/>
              <w:ind w:right="322"/>
              <w:spacing w:after="0"/>
              <w:rPr>
                <w:sz w:val="20"/>
                <w:szCs w:val="20"/>
                <w:color w:val="auto"/>
              </w:rPr>
            </w:pPr>
            <w:r>
              <w:rPr>
                <w:rFonts w:ascii="Arial" w:cs="Arial" w:eastAsia="Arial" w:hAnsi="Arial"/>
                <w:sz w:val="14"/>
                <w:szCs w:val="14"/>
                <w:color w:val="auto"/>
              </w:rPr>
              <w:t>Three months ended</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40" w:type="dxa"/>
            <w:vAlign w:val="bottom"/>
            <w:gridSpan w:val="4"/>
          </w:tcPr>
          <w:p>
            <w:pPr>
              <w:jc w:val="right"/>
              <w:ind w:right="90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84"/>
        </w:trPr>
        <w:tc>
          <w:tcPr>
            <w:tcW w:w="548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jc w:val="right"/>
              <w:ind w:right="502"/>
              <w:spacing w:after="0"/>
              <w:rPr>
                <w:sz w:val="20"/>
                <w:szCs w:val="20"/>
                <w:color w:val="auto"/>
              </w:rPr>
            </w:pPr>
            <w:r>
              <w:rPr>
                <w:rFonts w:ascii="Arial" w:cs="Arial" w:eastAsia="Arial" w:hAnsi="Arial"/>
                <w:sz w:val="14"/>
                <w:szCs w:val="14"/>
                <w:color w:val="auto"/>
              </w:rPr>
              <w:t>September 30,</w:t>
            </w: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w:t>
            </w:r>
          </w:p>
        </w:tc>
        <w:tc>
          <w:tcPr>
            <w:tcW w:w="9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5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2014</w:t>
            </w:r>
          </w:p>
        </w:tc>
        <w:tc>
          <w:tcPr>
            <w:tcW w:w="6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color w:val="auto"/>
              </w:rPr>
              <w:t>2013</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42"/>
              <w:spacing w:after="0"/>
              <w:rPr>
                <w:sz w:val="20"/>
                <w:szCs w:val="20"/>
                <w:color w:val="auto"/>
              </w:rPr>
            </w:pPr>
            <w:r>
              <w:rPr>
                <w:rFonts w:ascii="Arial" w:cs="Arial" w:eastAsia="Arial" w:hAnsi="Arial"/>
                <w:sz w:val="14"/>
                <w:szCs w:val="14"/>
                <w:color w:val="auto"/>
              </w:rPr>
              <w:t>2014</w:t>
            </w: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color w:val="auto"/>
              </w:rPr>
              <w:t>2013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480" w:type="dxa"/>
            <w:vAlign w:val="bottom"/>
          </w:tcPr>
          <w:p>
            <w:pPr>
              <w:spacing w:after="0"/>
              <w:rPr>
                <w:sz w:val="20"/>
                <w:szCs w:val="20"/>
                <w:color w:val="auto"/>
              </w:rPr>
            </w:pPr>
            <w:r>
              <w:rPr>
                <w:rFonts w:ascii="Arial" w:cs="Arial" w:eastAsia="Arial" w:hAnsi="Arial"/>
                <w:sz w:val="16"/>
                <w:szCs w:val="16"/>
                <w:b w:val="1"/>
                <w:bCs w:val="1"/>
                <w:color w:val="auto"/>
              </w:rPr>
              <w:t>Energy-related businesses revenues:</w:t>
            </w:r>
          </w:p>
        </w:tc>
        <w:tc>
          <w:tcPr>
            <w:tcW w:w="9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480" w:type="dxa"/>
            <w:vAlign w:val="bottom"/>
          </w:tcPr>
          <w:p>
            <w:pPr>
              <w:ind w:left="100"/>
              <w:spacing w:after="0"/>
              <w:rPr>
                <w:sz w:val="20"/>
                <w:szCs w:val="20"/>
                <w:color w:val="auto"/>
              </w:rPr>
            </w:pPr>
            <w:r>
              <w:rPr>
                <w:rFonts w:ascii="Arial" w:cs="Arial" w:eastAsia="Arial" w:hAnsi="Arial"/>
                <w:sz w:val="16"/>
                <w:szCs w:val="16"/>
                <w:color w:val="auto"/>
              </w:rPr>
              <w:t>Sempra South American Utilities</w:t>
            </w:r>
          </w:p>
        </w:tc>
        <w:tc>
          <w:tcPr>
            <w:tcW w:w="960" w:type="dxa"/>
            <w:vAlign w:val="bottom"/>
          </w:tcPr>
          <w:p>
            <w:pPr>
              <w:jc w:val="right"/>
              <w:ind w:right="522"/>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61"/>
              <w:spacing w:after="0"/>
              <w:rPr>
                <w:sz w:val="20"/>
                <w:szCs w:val="20"/>
                <w:color w:val="auto"/>
              </w:rPr>
            </w:pPr>
            <w:r>
              <w:rPr>
                <w:rFonts w:ascii="Arial" w:cs="Arial" w:eastAsia="Arial" w:hAnsi="Arial"/>
                <w:sz w:val="16"/>
                <w:szCs w:val="16"/>
                <w:color w:val="auto"/>
              </w:rPr>
              <w:t>25</w:t>
            </w:r>
          </w:p>
        </w:tc>
        <w:tc>
          <w:tcPr>
            <w:tcW w:w="900" w:type="dxa"/>
            <w:vAlign w:val="bottom"/>
          </w:tcPr>
          <w:p>
            <w:pPr>
              <w:jc w:val="right"/>
              <w:ind w:right="602"/>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6"/>
                <w:szCs w:val="16"/>
                <w:color w:val="auto"/>
              </w:rPr>
              <w:t>30</w:t>
            </w:r>
          </w:p>
        </w:tc>
        <w:tc>
          <w:tcPr>
            <w:tcW w:w="3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62"/>
              <w:spacing w:after="0"/>
              <w:rPr>
                <w:sz w:val="20"/>
                <w:szCs w:val="20"/>
                <w:color w:val="auto"/>
              </w:rPr>
            </w:pPr>
            <w:r>
              <w:rPr>
                <w:rFonts w:ascii="Arial" w:cs="Arial" w:eastAsia="Arial" w:hAnsi="Arial"/>
                <w:sz w:val="16"/>
                <w:szCs w:val="16"/>
                <w:color w:val="auto"/>
              </w:rPr>
              <w:t>75</w:t>
            </w:r>
          </w:p>
        </w:tc>
        <w:tc>
          <w:tcPr>
            <w:tcW w:w="4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13"/>
        </w:trPr>
        <w:tc>
          <w:tcPr>
            <w:tcW w:w="5480" w:type="dxa"/>
            <w:vAlign w:val="bottom"/>
          </w:tcPr>
          <w:p>
            <w:pPr>
              <w:ind w:left="100"/>
              <w:spacing w:after="0"/>
              <w:rPr>
                <w:sz w:val="20"/>
                <w:szCs w:val="20"/>
                <w:color w:val="auto"/>
              </w:rPr>
            </w:pPr>
            <w:r>
              <w:rPr>
                <w:rFonts w:ascii="Arial" w:cs="Arial" w:eastAsia="Arial" w:hAnsi="Arial"/>
                <w:sz w:val="16"/>
                <w:szCs w:val="16"/>
                <w:color w:val="auto"/>
              </w:rPr>
              <w:t>Sempra Mexico</w:t>
            </w:r>
          </w:p>
        </w:tc>
        <w:tc>
          <w:tcPr>
            <w:tcW w:w="960" w:type="dxa"/>
            <w:vAlign w:val="bottom"/>
          </w:tcPr>
          <w:p>
            <w:pPr>
              <w:spacing w:after="0"/>
              <w:rPr>
                <w:sz w:val="18"/>
                <w:szCs w:val="18"/>
                <w:color w:val="auto"/>
              </w:rPr>
            </w:pPr>
          </w:p>
        </w:tc>
        <w:tc>
          <w:tcPr>
            <w:tcW w:w="660" w:type="dxa"/>
            <w:vAlign w:val="bottom"/>
          </w:tcPr>
          <w:p>
            <w:pPr>
              <w:jc w:val="right"/>
              <w:ind w:right="61"/>
              <w:spacing w:after="0"/>
              <w:rPr>
                <w:sz w:val="20"/>
                <w:szCs w:val="20"/>
                <w:color w:val="auto"/>
              </w:rPr>
            </w:pPr>
            <w:r>
              <w:rPr>
                <w:rFonts w:ascii="Arial" w:cs="Arial" w:eastAsia="Arial" w:hAnsi="Arial"/>
                <w:sz w:val="16"/>
                <w:szCs w:val="16"/>
                <w:color w:val="auto"/>
              </w:rPr>
              <w:t>211</w:t>
            </w:r>
          </w:p>
        </w:tc>
        <w:tc>
          <w:tcPr>
            <w:tcW w:w="9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6"/>
                <w:szCs w:val="16"/>
                <w:color w:val="auto"/>
              </w:rPr>
              <w:t>167</w:t>
            </w:r>
          </w:p>
        </w:tc>
        <w:tc>
          <w:tcPr>
            <w:tcW w:w="340" w:type="dxa"/>
            <w:vAlign w:val="bottom"/>
          </w:tcPr>
          <w:p>
            <w:pPr>
              <w:spacing w:after="0"/>
              <w:rPr>
                <w:sz w:val="18"/>
                <w:szCs w:val="18"/>
                <w:color w:val="auto"/>
              </w:rPr>
            </w:pPr>
          </w:p>
        </w:tc>
        <w:tc>
          <w:tcPr>
            <w:tcW w:w="1160" w:type="dxa"/>
            <w:vAlign w:val="bottom"/>
          </w:tcPr>
          <w:p>
            <w:pPr>
              <w:jc w:val="right"/>
              <w:ind w:right="62"/>
              <w:spacing w:after="0"/>
              <w:rPr>
                <w:sz w:val="20"/>
                <w:szCs w:val="20"/>
                <w:color w:val="auto"/>
              </w:rPr>
            </w:pPr>
            <w:r>
              <w:rPr>
                <w:rFonts w:ascii="Arial" w:cs="Arial" w:eastAsia="Arial" w:hAnsi="Arial"/>
                <w:sz w:val="16"/>
                <w:szCs w:val="16"/>
                <w:color w:val="auto"/>
              </w:rPr>
              <w:t>539</w:t>
            </w:r>
          </w:p>
        </w:tc>
        <w:tc>
          <w:tcPr>
            <w:tcW w:w="4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447</w:t>
            </w:r>
          </w:p>
        </w:tc>
        <w:tc>
          <w:tcPr>
            <w:tcW w:w="0" w:type="dxa"/>
            <w:vAlign w:val="bottom"/>
          </w:tcPr>
          <w:p>
            <w:pPr>
              <w:spacing w:after="0"/>
              <w:rPr>
                <w:sz w:val="1"/>
                <w:szCs w:val="1"/>
                <w:color w:val="auto"/>
              </w:rPr>
            </w:pPr>
          </w:p>
        </w:tc>
      </w:tr>
      <w:tr>
        <w:trPr>
          <w:trHeight w:val="213"/>
        </w:trPr>
        <w:tc>
          <w:tcPr>
            <w:tcW w:w="5480" w:type="dxa"/>
            <w:vAlign w:val="bottom"/>
          </w:tcPr>
          <w:p>
            <w:pPr>
              <w:ind w:left="100"/>
              <w:spacing w:after="0"/>
              <w:rPr>
                <w:sz w:val="20"/>
                <w:szCs w:val="20"/>
                <w:color w:val="auto"/>
              </w:rPr>
            </w:pPr>
            <w:r>
              <w:rPr>
                <w:rFonts w:ascii="Arial" w:cs="Arial" w:eastAsia="Arial" w:hAnsi="Arial"/>
                <w:sz w:val="16"/>
                <w:szCs w:val="16"/>
                <w:color w:val="auto"/>
              </w:rPr>
              <w:t>Sempra Renewables</w:t>
            </w:r>
          </w:p>
        </w:tc>
        <w:tc>
          <w:tcPr>
            <w:tcW w:w="960" w:type="dxa"/>
            <w:vAlign w:val="bottom"/>
          </w:tcPr>
          <w:p>
            <w:pPr>
              <w:spacing w:after="0"/>
              <w:rPr>
                <w:sz w:val="18"/>
                <w:szCs w:val="18"/>
                <w:color w:val="auto"/>
              </w:rPr>
            </w:pPr>
          </w:p>
        </w:tc>
        <w:tc>
          <w:tcPr>
            <w:tcW w:w="660" w:type="dxa"/>
            <w:vAlign w:val="bottom"/>
          </w:tcPr>
          <w:p>
            <w:pPr>
              <w:jc w:val="right"/>
              <w:ind w:right="61"/>
              <w:spacing w:after="0"/>
              <w:rPr>
                <w:sz w:val="20"/>
                <w:szCs w:val="20"/>
                <w:color w:val="auto"/>
              </w:rPr>
            </w:pPr>
            <w:r>
              <w:rPr>
                <w:rFonts w:ascii="Arial" w:cs="Arial" w:eastAsia="Arial" w:hAnsi="Arial"/>
                <w:sz w:val="16"/>
                <w:szCs w:val="16"/>
                <w:color w:val="auto"/>
              </w:rPr>
              <w:t>10</w:t>
            </w:r>
          </w:p>
        </w:tc>
        <w:tc>
          <w:tcPr>
            <w:tcW w:w="9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6"/>
                <w:szCs w:val="16"/>
                <w:color w:val="auto"/>
              </w:rPr>
              <w:t>25</w:t>
            </w:r>
          </w:p>
        </w:tc>
        <w:tc>
          <w:tcPr>
            <w:tcW w:w="340" w:type="dxa"/>
            <w:vAlign w:val="bottom"/>
          </w:tcPr>
          <w:p>
            <w:pPr>
              <w:spacing w:after="0"/>
              <w:rPr>
                <w:sz w:val="18"/>
                <w:szCs w:val="18"/>
                <w:color w:val="auto"/>
              </w:rPr>
            </w:pPr>
          </w:p>
        </w:tc>
        <w:tc>
          <w:tcPr>
            <w:tcW w:w="1160" w:type="dxa"/>
            <w:vAlign w:val="bottom"/>
          </w:tcPr>
          <w:p>
            <w:pPr>
              <w:jc w:val="right"/>
              <w:ind w:right="62"/>
              <w:spacing w:after="0"/>
              <w:rPr>
                <w:sz w:val="20"/>
                <w:szCs w:val="20"/>
                <w:color w:val="auto"/>
              </w:rPr>
            </w:pPr>
            <w:r>
              <w:rPr>
                <w:rFonts w:ascii="Arial" w:cs="Arial" w:eastAsia="Arial" w:hAnsi="Arial"/>
                <w:sz w:val="16"/>
                <w:szCs w:val="16"/>
                <w:color w:val="auto"/>
              </w:rPr>
              <w:t>25</w:t>
            </w:r>
          </w:p>
        </w:tc>
        <w:tc>
          <w:tcPr>
            <w:tcW w:w="4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13"/>
        </w:trPr>
        <w:tc>
          <w:tcPr>
            <w:tcW w:w="5480" w:type="dxa"/>
            <w:vAlign w:val="bottom"/>
          </w:tcPr>
          <w:p>
            <w:pPr>
              <w:ind w:left="100"/>
              <w:spacing w:after="0"/>
              <w:rPr>
                <w:sz w:val="20"/>
                <w:szCs w:val="20"/>
                <w:color w:val="auto"/>
              </w:rPr>
            </w:pPr>
            <w:r>
              <w:rPr>
                <w:rFonts w:ascii="Arial" w:cs="Arial" w:eastAsia="Arial" w:hAnsi="Arial"/>
                <w:sz w:val="16"/>
                <w:szCs w:val="16"/>
                <w:color w:val="auto"/>
              </w:rPr>
              <w:t>Sempra Natural Gas</w:t>
            </w:r>
          </w:p>
        </w:tc>
        <w:tc>
          <w:tcPr>
            <w:tcW w:w="960" w:type="dxa"/>
            <w:vAlign w:val="bottom"/>
          </w:tcPr>
          <w:p>
            <w:pPr>
              <w:spacing w:after="0"/>
              <w:rPr>
                <w:sz w:val="18"/>
                <w:szCs w:val="18"/>
                <w:color w:val="auto"/>
              </w:rPr>
            </w:pPr>
          </w:p>
        </w:tc>
        <w:tc>
          <w:tcPr>
            <w:tcW w:w="660" w:type="dxa"/>
            <w:vAlign w:val="bottom"/>
          </w:tcPr>
          <w:p>
            <w:pPr>
              <w:jc w:val="right"/>
              <w:ind w:right="61"/>
              <w:spacing w:after="0"/>
              <w:rPr>
                <w:sz w:val="20"/>
                <w:szCs w:val="20"/>
                <w:color w:val="auto"/>
              </w:rPr>
            </w:pPr>
            <w:r>
              <w:rPr>
                <w:rFonts w:ascii="Arial" w:cs="Arial" w:eastAsia="Arial" w:hAnsi="Arial"/>
                <w:sz w:val="16"/>
                <w:szCs w:val="16"/>
                <w:color w:val="auto"/>
              </w:rPr>
              <w:t>235</w:t>
            </w:r>
          </w:p>
        </w:tc>
        <w:tc>
          <w:tcPr>
            <w:tcW w:w="9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6"/>
                <w:szCs w:val="16"/>
                <w:color w:val="auto"/>
              </w:rPr>
              <w:t>195</w:t>
            </w:r>
          </w:p>
        </w:tc>
        <w:tc>
          <w:tcPr>
            <w:tcW w:w="340" w:type="dxa"/>
            <w:vAlign w:val="bottom"/>
          </w:tcPr>
          <w:p>
            <w:pPr>
              <w:spacing w:after="0"/>
              <w:rPr>
                <w:sz w:val="18"/>
                <w:szCs w:val="18"/>
                <w:color w:val="auto"/>
              </w:rPr>
            </w:pPr>
          </w:p>
        </w:tc>
        <w:tc>
          <w:tcPr>
            <w:tcW w:w="1160" w:type="dxa"/>
            <w:vAlign w:val="bottom"/>
          </w:tcPr>
          <w:p>
            <w:pPr>
              <w:jc w:val="right"/>
              <w:ind w:right="62"/>
              <w:spacing w:after="0"/>
              <w:rPr>
                <w:sz w:val="20"/>
                <w:szCs w:val="20"/>
                <w:color w:val="auto"/>
              </w:rPr>
            </w:pPr>
            <w:r>
              <w:rPr>
                <w:rFonts w:ascii="Arial" w:cs="Arial" w:eastAsia="Arial" w:hAnsi="Arial"/>
                <w:sz w:val="16"/>
                <w:szCs w:val="16"/>
                <w:color w:val="auto"/>
              </w:rPr>
              <w:t>664</w:t>
            </w:r>
          </w:p>
        </w:tc>
        <w:tc>
          <w:tcPr>
            <w:tcW w:w="4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604</w:t>
            </w:r>
          </w:p>
        </w:tc>
        <w:tc>
          <w:tcPr>
            <w:tcW w:w="0" w:type="dxa"/>
            <w:vAlign w:val="bottom"/>
          </w:tcPr>
          <w:p>
            <w:pPr>
              <w:spacing w:after="0"/>
              <w:rPr>
                <w:sz w:val="1"/>
                <w:szCs w:val="1"/>
                <w:color w:val="auto"/>
              </w:rPr>
            </w:pPr>
          </w:p>
        </w:tc>
      </w:tr>
      <w:tr>
        <w:trPr>
          <w:trHeight w:val="204"/>
        </w:trPr>
        <w:tc>
          <w:tcPr>
            <w:tcW w:w="5480" w:type="dxa"/>
            <w:vAlign w:val="bottom"/>
          </w:tcPr>
          <w:p>
            <w:pPr>
              <w:ind w:left="100"/>
              <w:spacing w:after="0"/>
              <w:rPr>
                <w:sz w:val="20"/>
                <w:szCs w:val="20"/>
                <w:color w:val="auto"/>
              </w:rPr>
            </w:pPr>
            <w:r>
              <w:rPr>
                <w:rFonts w:ascii="Arial" w:cs="Arial" w:eastAsia="Arial" w:hAnsi="Arial"/>
                <w:sz w:val="16"/>
                <w:szCs w:val="16"/>
                <w:color w:val="auto"/>
              </w:rPr>
              <w:t>Intersegment revenues, adjustments and eliminations(1)</w:t>
            </w:r>
          </w:p>
        </w:tc>
        <w:tc>
          <w:tcPr>
            <w:tcW w:w="9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(129)</w:t>
            </w:r>
          </w:p>
        </w:tc>
        <w:tc>
          <w:tcPr>
            <w:tcW w:w="9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(333)</w:t>
            </w: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5480" w:type="dxa"/>
            <w:vAlign w:val="bottom"/>
          </w:tcPr>
          <w:p>
            <w:pPr>
              <w:ind w:left="320"/>
              <w:spacing w:after="0" w:line="166" w:lineRule="exact"/>
              <w:rPr>
                <w:sz w:val="20"/>
                <w:szCs w:val="20"/>
                <w:color w:val="auto"/>
              </w:rPr>
            </w:pPr>
            <w:r>
              <w:rPr>
                <w:rFonts w:ascii="Arial" w:cs="Arial" w:eastAsia="Arial" w:hAnsi="Arial"/>
                <w:sz w:val="16"/>
                <w:szCs w:val="16"/>
                <w:color w:val="auto"/>
              </w:rPr>
              <w:t>Total energy-related businesses revenues</w:t>
            </w:r>
          </w:p>
        </w:tc>
        <w:tc>
          <w:tcPr>
            <w:tcW w:w="960" w:type="dxa"/>
            <w:vAlign w:val="bottom"/>
            <w:tcBorders>
              <w:bottom w:val="single" w:sz="8" w:color="auto"/>
            </w:tcBorders>
          </w:tcPr>
          <w:p>
            <w:pPr>
              <w:jc w:val="right"/>
              <w:ind w:right="522"/>
              <w:spacing w:after="0" w:line="166" w:lineRule="exact"/>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61"/>
              <w:spacing w:after="0" w:line="166" w:lineRule="exact"/>
              <w:rPr>
                <w:sz w:val="20"/>
                <w:szCs w:val="20"/>
                <w:color w:val="auto"/>
              </w:rPr>
            </w:pPr>
            <w:r>
              <w:rPr>
                <w:rFonts w:ascii="Arial" w:cs="Arial" w:eastAsia="Arial" w:hAnsi="Arial"/>
                <w:sz w:val="16"/>
                <w:szCs w:val="16"/>
                <w:color w:val="auto"/>
              </w:rPr>
              <w:t>352</w:t>
            </w:r>
          </w:p>
        </w:tc>
        <w:tc>
          <w:tcPr>
            <w:tcW w:w="900" w:type="dxa"/>
            <w:vAlign w:val="bottom"/>
            <w:tcBorders>
              <w:bottom w:val="single" w:sz="8" w:color="auto"/>
            </w:tcBorders>
          </w:tcPr>
          <w:p>
            <w:pPr>
              <w:jc w:val="right"/>
              <w:ind w:right="602"/>
              <w:spacing w:after="0" w:line="166" w:lineRule="exact"/>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gridSpan w:val="2"/>
          </w:tcPr>
          <w:p>
            <w:pPr>
              <w:jc w:val="right"/>
              <w:ind w:right="120"/>
              <w:spacing w:after="0" w:line="166" w:lineRule="exact"/>
              <w:rPr>
                <w:sz w:val="20"/>
                <w:szCs w:val="20"/>
                <w:color w:val="auto"/>
              </w:rPr>
            </w:pPr>
            <w:r>
              <w:rPr>
                <w:rFonts w:ascii="Arial" w:cs="Arial" w:eastAsia="Arial" w:hAnsi="Arial"/>
                <w:sz w:val="16"/>
                <w:szCs w:val="16"/>
                <w:color w:val="auto"/>
              </w:rPr>
              <w:t>328</w:t>
            </w:r>
          </w:p>
        </w:tc>
        <w:tc>
          <w:tcPr>
            <w:tcW w:w="340" w:type="dxa"/>
            <w:vAlign w:val="bottom"/>
            <w:tcBorders>
              <w:bottom w:val="single" w:sz="8" w:color="auto"/>
            </w:tcBorders>
          </w:tcPr>
          <w:p>
            <w:pPr>
              <w:jc w:val="right"/>
              <w:ind w:right="20"/>
              <w:spacing w:after="0" w:line="166" w:lineRule="exact"/>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62"/>
              <w:spacing w:after="0" w:line="166" w:lineRule="exact"/>
              <w:rPr>
                <w:sz w:val="20"/>
                <w:szCs w:val="20"/>
                <w:color w:val="auto"/>
              </w:rPr>
            </w:pPr>
            <w:r>
              <w:rPr>
                <w:rFonts w:ascii="Arial" w:cs="Arial" w:eastAsia="Arial" w:hAnsi="Arial"/>
                <w:sz w:val="16"/>
                <w:szCs w:val="16"/>
                <w:color w:val="auto"/>
              </w:rPr>
              <w:t>970</w:t>
            </w:r>
          </w:p>
        </w:tc>
        <w:tc>
          <w:tcPr>
            <w:tcW w:w="400" w:type="dxa"/>
            <w:vAlign w:val="bottom"/>
            <w:tcBorders>
              <w:bottom w:val="single" w:sz="8" w:color="auto"/>
            </w:tcBorders>
          </w:tcPr>
          <w:p>
            <w:pPr>
              <w:jc w:val="right"/>
              <w:ind w:right="100"/>
              <w:spacing w:after="0" w:line="166"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963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480" w:type="dxa"/>
            <w:vAlign w:val="bottom"/>
          </w:tcPr>
          <w:p>
            <w:pPr>
              <w:spacing w:after="0"/>
              <w:rPr>
                <w:sz w:val="20"/>
                <w:szCs w:val="20"/>
                <w:color w:val="auto"/>
              </w:rPr>
            </w:pPr>
            <w:r>
              <w:rPr>
                <w:rFonts w:ascii="Arial" w:cs="Arial" w:eastAsia="Arial" w:hAnsi="Arial"/>
                <w:sz w:val="16"/>
                <w:szCs w:val="16"/>
                <w:b w:val="1"/>
                <w:bCs w:val="1"/>
                <w:color w:val="auto"/>
              </w:rPr>
              <w:t>Cost of natural gas, electric fuel and purchased power(2):</w:t>
            </w:r>
          </w:p>
        </w:tc>
        <w:tc>
          <w:tcPr>
            <w:tcW w:w="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480" w:type="dxa"/>
            <w:vAlign w:val="bottom"/>
          </w:tcPr>
          <w:p>
            <w:pPr>
              <w:ind w:left="100"/>
              <w:spacing w:after="0"/>
              <w:rPr>
                <w:sz w:val="20"/>
                <w:szCs w:val="20"/>
                <w:color w:val="auto"/>
              </w:rPr>
            </w:pPr>
            <w:r>
              <w:rPr>
                <w:rFonts w:ascii="Arial" w:cs="Arial" w:eastAsia="Arial" w:hAnsi="Arial"/>
                <w:sz w:val="16"/>
                <w:szCs w:val="16"/>
                <w:color w:val="auto"/>
              </w:rPr>
              <w:t>Sempra South American Utilities</w:t>
            </w:r>
          </w:p>
        </w:tc>
        <w:tc>
          <w:tcPr>
            <w:tcW w:w="960" w:type="dxa"/>
            <w:vAlign w:val="bottom"/>
          </w:tcPr>
          <w:p>
            <w:pPr>
              <w:jc w:val="right"/>
              <w:ind w:right="522"/>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61"/>
              <w:spacing w:after="0"/>
              <w:rPr>
                <w:sz w:val="20"/>
                <w:szCs w:val="20"/>
                <w:color w:val="auto"/>
              </w:rPr>
            </w:pPr>
            <w:r>
              <w:rPr>
                <w:rFonts w:ascii="Arial" w:cs="Arial" w:eastAsia="Arial" w:hAnsi="Arial"/>
                <w:sz w:val="16"/>
                <w:szCs w:val="16"/>
                <w:color w:val="auto"/>
              </w:rPr>
              <w:t>3</w:t>
            </w:r>
          </w:p>
        </w:tc>
        <w:tc>
          <w:tcPr>
            <w:tcW w:w="900" w:type="dxa"/>
            <w:vAlign w:val="bottom"/>
          </w:tcPr>
          <w:p>
            <w:pPr>
              <w:jc w:val="right"/>
              <w:ind w:right="602"/>
              <w:spacing w:after="0"/>
              <w:rPr>
                <w:sz w:val="20"/>
                <w:szCs w:val="20"/>
                <w:color w:val="auto"/>
              </w:rPr>
            </w:pPr>
            <w:r>
              <w:rPr>
                <w:rFonts w:ascii="Arial" w:cs="Arial" w:eastAsia="Arial" w:hAnsi="Arial"/>
                <w:sz w:val="16"/>
                <w:szCs w:val="16"/>
                <w:color w:val="auto"/>
              </w:rPr>
              <w:t>$</w:t>
            </w:r>
          </w:p>
        </w:tc>
        <w:tc>
          <w:tcPr>
            <w:tcW w:w="5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62"/>
              <w:spacing w:after="0"/>
              <w:rPr>
                <w:sz w:val="20"/>
                <w:szCs w:val="20"/>
                <w:color w:val="auto"/>
              </w:rPr>
            </w:pPr>
            <w:r>
              <w:rPr>
                <w:rFonts w:ascii="Arial" w:cs="Arial" w:eastAsia="Arial" w:hAnsi="Arial"/>
                <w:sz w:val="16"/>
                <w:szCs w:val="16"/>
                <w:color w:val="auto"/>
              </w:rPr>
              <w:t>10</w:t>
            </w:r>
          </w:p>
        </w:tc>
        <w:tc>
          <w:tcPr>
            <w:tcW w:w="4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480" w:type="dxa"/>
            <w:vAlign w:val="bottom"/>
          </w:tcPr>
          <w:p>
            <w:pPr>
              <w:ind w:left="100"/>
              <w:spacing w:after="0"/>
              <w:rPr>
                <w:sz w:val="20"/>
                <w:szCs w:val="20"/>
                <w:color w:val="auto"/>
              </w:rPr>
            </w:pPr>
            <w:r>
              <w:rPr>
                <w:rFonts w:ascii="Arial" w:cs="Arial" w:eastAsia="Arial" w:hAnsi="Arial"/>
                <w:sz w:val="16"/>
                <w:szCs w:val="16"/>
                <w:color w:val="auto"/>
              </w:rPr>
              <w:t>Sempra Mexico</w:t>
            </w:r>
          </w:p>
        </w:tc>
        <w:tc>
          <w:tcPr>
            <w:tcW w:w="960" w:type="dxa"/>
            <w:vAlign w:val="bottom"/>
          </w:tcPr>
          <w:p>
            <w:pPr>
              <w:spacing w:after="0"/>
              <w:rPr>
                <w:sz w:val="18"/>
                <w:szCs w:val="18"/>
                <w:color w:val="auto"/>
              </w:rPr>
            </w:pPr>
          </w:p>
        </w:tc>
        <w:tc>
          <w:tcPr>
            <w:tcW w:w="660" w:type="dxa"/>
            <w:vAlign w:val="bottom"/>
          </w:tcPr>
          <w:p>
            <w:pPr>
              <w:jc w:val="right"/>
              <w:ind w:right="61"/>
              <w:spacing w:after="0"/>
              <w:rPr>
                <w:sz w:val="20"/>
                <w:szCs w:val="20"/>
                <w:color w:val="auto"/>
              </w:rPr>
            </w:pPr>
            <w:r>
              <w:rPr>
                <w:rFonts w:ascii="Arial" w:cs="Arial" w:eastAsia="Arial" w:hAnsi="Arial"/>
                <w:sz w:val="16"/>
                <w:szCs w:val="16"/>
                <w:color w:val="auto"/>
              </w:rPr>
              <w:t>108</w:t>
            </w:r>
          </w:p>
        </w:tc>
        <w:tc>
          <w:tcPr>
            <w:tcW w:w="9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6"/>
                <w:szCs w:val="16"/>
                <w:color w:val="auto"/>
              </w:rPr>
              <w:t>72</w:t>
            </w:r>
          </w:p>
        </w:tc>
        <w:tc>
          <w:tcPr>
            <w:tcW w:w="340" w:type="dxa"/>
            <w:vAlign w:val="bottom"/>
          </w:tcPr>
          <w:p>
            <w:pPr>
              <w:spacing w:after="0"/>
              <w:rPr>
                <w:sz w:val="18"/>
                <w:szCs w:val="18"/>
                <w:color w:val="auto"/>
              </w:rPr>
            </w:pPr>
          </w:p>
        </w:tc>
        <w:tc>
          <w:tcPr>
            <w:tcW w:w="1160" w:type="dxa"/>
            <w:vAlign w:val="bottom"/>
          </w:tcPr>
          <w:p>
            <w:pPr>
              <w:jc w:val="right"/>
              <w:ind w:right="62"/>
              <w:spacing w:after="0"/>
              <w:rPr>
                <w:sz w:val="20"/>
                <w:szCs w:val="20"/>
                <w:color w:val="auto"/>
              </w:rPr>
            </w:pPr>
            <w:r>
              <w:rPr>
                <w:rFonts w:ascii="Arial" w:cs="Arial" w:eastAsia="Arial" w:hAnsi="Arial"/>
                <w:sz w:val="16"/>
                <w:szCs w:val="16"/>
                <w:color w:val="auto"/>
              </w:rPr>
              <w:t>272</w:t>
            </w:r>
          </w:p>
        </w:tc>
        <w:tc>
          <w:tcPr>
            <w:tcW w:w="4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189</w:t>
            </w:r>
          </w:p>
        </w:tc>
        <w:tc>
          <w:tcPr>
            <w:tcW w:w="0" w:type="dxa"/>
            <w:vAlign w:val="bottom"/>
          </w:tcPr>
          <w:p>
            <w:pPr>
              <w:spacing w:after="0"/>
              <w:rPr>
                <w:sz w:val="1"/>
                <w:szCs w:val="1"/>
                <w:color w:val="auto"/>
              </w:rPr>
            </w:pPr>
          </w:p>
        </w:tc>
      </w:tr>
      <w:tr>
        <w:trPr>
          <w:trHeight w:val="213"/>
        </w:trPr>
        <w:tc>
          <w:tcPr>
            <w:tcW w:w="5480" w:type="dxa"/>
            <w:vAlign w:val="bottom"/>
          </w:tcPr>
          <w:p>
            <w:pPr>
              <w:ind w:left="100"/>
              <w:spacing w:after="0"/>
              <w:rPr>
                <w:sz w:val="20"/>
                <w:szCs w:val="20"/>
                <w:color w:val="auto"/>
              </w:rPr>
            </w:pPr>
            <w:r>
              <w:rPr>
                <w:rFonts w:ascii="Arial" w:cs="Arial" w:eastAsia="Arial" w:hAnsi="Arial"/>
                <w:sz w:val="16"/>
                <w:szCs w:val="16"/>
                <w:color w:val="auto"/>
              </w:rPr>
              <w:t>Sempra Renewables</w:t>
            </w:r>
          </w:p>
        </w:tc>
        <w:tc>
          <w:tcPr>
            <w:tcW w:w="960" w:type="dxa"/>
            <w:vAlign w:val="bottom"/>
          </w:tcPr>
          <w:p>
            <w:pPr>
              <w:spacing w:after="0"/>
              <w:rPr>
                <w:sz w:val="18"/>
                <w:szCs w:val="18"/>
                <w:color w:val="auto"/>
              </w:rPr>
            </w:pPr>
          </w:p>
        </w:tc>
        <w:tc>
          <w:tcPr>
            <w:tcW w:w="66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18"/>
                <w:szCs w:val="18"/>
                <w:color w:val="auto"/>
              </w:rPr>
            </w:pPr>
          </w:p>
        </w:tc>
        <w:tc>
          <w:tcPr>
            <w:tcW w:w="5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6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3"/>
        </w:trPr>
        <w:tc>
          <w:tcPr>
            <w:tcW w:w="5480" w:type="dxa"/>
            <w:vAlign w:val="bottom"/>
          </w:tcPr>
          <w:p>
            <w:pPr>
              <w:ind w:left="100"/>
              <w:spacing w:after="0"/>
              <w:rPr>
                <w:sz w:val="20"/>
                <w:szCs w:val="20"/>
                <w:color w:val="auto"/>
              </w:rPr>
            </w:pPr>
            <w:r>
              <w:rPr>
                <w:rFonts w:ascii="Arial" w:cs="Arial" w:eastAsia="Arial" w:hAnsi="Arial"/>
                <w:sz w:val="16"/>
                <w:szCs w:val="16"/>
                <w:color w:val="auto"/>
              </w:rPr>
              <w:t>Sempra Natural Gas</w:t>
            </w:r>
          </w:p>
        </w:tc>
        <w:tc>
          <w:tcPr>
            <w:tcW w:w="960" w:type="dxa"/>
            <w:vAlign w:val="bottom"/>
          </w:tcPr>
          <w:p>
            <w:pPr>
              <w:spacing w:after="0"/>
              <w:rPr>
                <w:sz w:val="18"/>
                <w:szCs w:val="18"/>
                <w:color w:val="auto"/>
              </w:rPr>
            </w:pPr>
          </w:p>
        </w:tc>
        <w:tc>
          <w:tcPr>
            <w:tcW w:w="660" w:type="dxa"/>
            <w:vAlign w:val="bottom"/>
          </w:tcPr>
          <w:p>
            <w:pPr>
              <w:jc w:val="right"/>
              <w:ind w:right="61"/>
              <w:spacing w:after="0"/>
              <w:rPr>
                <w:sz w:val="20"/>
                <w:szCs w:val="20"/>
                <w:color w:val="auto"/>
              </w:rPr>
            </w:pPr>
            <w:r>
              <w:rPr>
                <w:rFonts w:ascii="Arial" w:cs="Arial" w:eastAsia="Arial" w:hAnsi="Arial"/>
                <w:sz w:val="16"/>
                <w:szCs w:val="16"/>
                <w:color w:val="auto"/>
              </w:rPr>
              <w:t>179</w:t>
            </w:r>
          </w:p>
        </w:tc>
        <w:tc>
          <w:tcPr>
            <w:tcW w:w="9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6"/>
                <w:szCs w:val="16"/>
                <w:color w:val="auto"/>
              </w:rPr>
              <w:t>134</w:t>
            </w:r>
          </w:p>
        </w:tc>
        <w:tc>
          <w:tcPr>
            <w:tcW w:w="340" w:type="dxa"/>
            <w:vAlign w:val="bottom"/>
          </w:tcPr>
          <w:p>
            <w:pPr>
              <w:spacing w:after="0"/>
              <w:rPr>
                <w:sz w:val="18"/>
                <w:szCs w:val="18"/>
                <w:color w:val="auto"/>
              </w:rPr>
            </w:pPr>
          </w:p>
        </w:tc>
        <w:tc>
          <w:tcPr>
            <w:tcW w:w="1160" w:type="dxa"/>
            <w:vAlign w:val="bottom"/>
          </w:tcPr>
          <w:p>
            <w:pPr>
              <w:jc w:val="right"/>
              <w:ind w:right="62"/>
              <w:spacing w:after="0"/>
              <w:rPr>
                <w:sz w:val="20"/>
                <w:szCs w:val="20"/>
                <w:color w:val="auto"/>
              </w:rPr>
            </w:pPr>
            <w:r>
              <w:rPr>
                <w:rFonts w:ascii="Arial" w:cs="Arial" w:eastAsia="Arial" w:hAnsi="Arial"/>
                <w:sz w:val="16"/>
                <w:szCs w:val="16"/>
                <w:color w:val="auto"/>
              </w:rPr>
              <w:t>473</w:t>
            </w:r>
          </w:p>
        </w:tc>
        <w:tc>
          <w:tcPr>
            <w:tcW w:w="4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378</w:t>
            </w:r>
          </w:p>
        </w:tc>
        <w:tc>
          <w:tcPr>
            <w:tcW w:w="0" w:type="dxa"/>
            <w:vAlign w:val="bottom"/>
          </w:tcPr>
          <w:p>
            <w:pPr>
              <w:spacing w:after="0"/>
              <w:rPr>
                <w:sz w:val="1"/>
                <w:szCs w:val="1"/>
                <w:color w:val="auto"/>
              </w:rPr>
            </w:pPr>
          </w:p>
        </w:tc>
      </w:tr>
      <w:tr>
        <w:trPr>
          <w:trHeight w:val="204"/>
        </w:trPr>
        <w:tc>
          <w:tcPr>
            <w:tcW w:w="5480" w:type="dxa"/>
            <w:vAlign w:val="bottom"/>
          </w:tcPr>
          <w:p>
            <w:pPr>
              <w:ind w:left="80"/>
              <w:spacing w:after="0"/>
              <w:rPr>
                <w:sz w:val="20"/>
                <w:szCs w:val="20"/>
                <w:color w:val="auto"/>
              </w:rPr>
            </w:pPr>
            <w:r>
              <w:rPr>
                <w:rFonts w:ascii="Arial" w:cs="Arial" w:eastAsia="Arial" w:hAnsi="Arial"/>
                <w:sz w:val="16"/>
                <w:szCs w:val="16"/>
                <w:color w:val="auto"/>
              </w:rPr>
              <w:t>Adjustments and eliminations(1)</w:t>
            </w:r>
          </w:p>
        </w:tc>
        <w:tc>
          <w:tcPr>
            <w:tcW w:w="9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(127)</w:t>
            </w:r>
          </w:p>
        </w:tc>
        <w:tc>
          <w:tcPr>
            <w:tcW w:w="9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(328)</w:t>
            </w: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480" w:type="dxa"/>
            <w:vAlign w:val="bottom"/>
          </w:tcPr>
          <w:p>
            <w:pPr>
              <w:ind w:left="320"/>
              <w:spacing w:after="0"/>
              <w:rPr>
                <w:sz w:val="20"/>
                <w:szCs w:val="20"/>
                <w:color w:val="auto"/>
              </w:rPr>
            </w:pPr>
            <w:r>
              <w:rPr>
                <w:rFonts w:ascii="Arial" w:cs="Arial" w:eastAsia="Arial" w:hAnsi="Arial"/>
                <w:sz w:val="16"/>
                <w:szCs w:val="16"/>
                <w:color w:val="auto"/>
              </w:rPr>
              <w:t>Total cost of natural gas, electric fuel</w:t>
            </w:r>
          </w:p>
        </w:tc>
        <w:tc>
          <w:tcPr>
            <w:tcW w:w="960" w:type="dxa"/>
            <w:vAlign w:val="bottom"/>
            <w:vMerge w:val="restart"/>
          </w:tcPr>
          <w:p>
            <w:pPr>
              <w:jc w:val="right"/>
              <w:ind w:right="522"/>
              <w:spacing w:after="0"/>
              <w:rPr>
                <w:sz w:val="20"/>
                <w:szCs w:val="20"/>
                <w:color w:val="auto"/>
              </w:rPr>
            </w:pPr>
            <w:r>
              <w:rPr>
                <w:rFonts w:ascii="Arial" w:cs="Arial" w:eastAsia="Arial" w:hAnsi="Arial"/>
                <w:sz w:val="16"/>
                <w:szCs w:val="16"/>
                <w:color w:val="auto"/>
              </w:rPr>
              <w:t>$</w:t>
            </w:r>
          </w:p>
        </w:tc>
        <w:tc>
          <w:tcPr>
            <w:tcW w:w="660" w:type="dxa"/>
            <w:vAlign w:val="bottom"/>
            <w:vMerge w:val="restart"/>
          </w:tcPr>
          <w:p>
            <w:pPr>
              <w:jc w:val="right"/>
              <w:ind w:right="61"/>
              <w:spacing w:after="0"/>
              <w:rPr>
                <w:sz w:val="20"/>
                <w:szCs w:val="20"/>
                <w:color w:val="auto"/>
              </w:rPr>
            </w:pPr>
            <w:r>
              <w:rPr>
                <w:rFonts w:ascii="Arial" w:cs="Arial" w:eastAsia="Arial" w:hAnsi="Arial"/>
                <w:sz w:val="16"/>
                <w:szCs w:val="16"/>
                <w:color w:val="auto"/>
              </w:rPr>
              <w:t>163</w:t>
            </w:r>
          </w:p>
        </w:tc>
        <w:tc>
          <w:tcPr>
            <w:tcW w:w="900" w:type="dxa"/>
            <w:vAlign w:val="bottom"/>
            <w:vMerge w:val="restart"/>
          </w:tcPr>
          <w:p>
            <w:pPr>
              <w:jc w:val="right"/>
              <w:ind w:right="602"/>
              <w:spacing w:after="0"/>
              <w:rPr>
                <w:sz w:val="20"/>
                <w:szCs w:val="20"/>
                <w:color w:val="auto"/>
              </w:rPr>
            </w:pPr>
            <w:r>
              <w:rPr>
                <w:rFonts w:ascii="Arial" w:cs="Arial" w:eastAsia="Arial" w:hAnsi="Arial"/>
                <w:sz w:val="16"/>
                <w:szCs w:val="16"/>
                <w:color w:val="auto"/>
              </w:rPr>
              <w:t>$</w:t>
            </w:r>
          </w:p>
        </w:tc>
        <w:tc>
          <w:tcPr>
            <w:tcW w:w="56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120</w:t>
            </w:r>
          </w:p>
        </w:tc>
        <w:tc>
          <w:tcPr>
            <w:tcW w:w="340" w:type="dxa"/>
            <w:vAlign w:val="bottom"/>
            <w:vMerge w:val="restart"/>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vMerge w:val="restart"/>
          </w:tcPr>
          <w:p>
            <w:pPr>
              <w:jc w:val="right"/>
              <w:ind w:right="62"/>
              <w:spacing w:after="0"/>
              <w:rPr>
                <w:sz w:val="20"/>
                <w:szCs w:val="20"/>
                <w:color w:val="auto"/>
              </w:rPr>
            </w:pPr>
            <w:r>
              <w:rPr>
                <w:rFonts w:ascii="Arial" w:cs="Arial" w:eastAsia="Arial" w:hAnsi="Arial"/>
                <w:sz w:val="16"/>
                <w:szCs w:val="16"/>
                <w:color w:val="auto"/>
              </w:rPr>
              <w:t>427</w:t>
            </w:r>
          </w:p>
        </w:tc>
        <w:tc>
          <w:tcPr>
            <w:tcW w:w="400" w:type="dxa"/>
            <w:vAlign w:val="bottom"/>
            <w:vMerge w:val="restart"/>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325</w:t>
            </w:r>
          </w:p>
        </w:tc>
        <w:tc>
          <w:tcPr>
            <w:tcW w:w="0" w:type="dxa"/>
            <w:vAlign w:val="bottom"/>
          </w:tcPr>
          <w:p>
            <w:pPr>
              <w:spacing w:after="0"/>
              <w:rPr>
                <w:sz w:val="1"/>
                <w:szCs w:val="1"/>
                <w:color w:val="auto"/>
              </w:rPr>
            </w:pPr>
          </w:p>
        </w:tc>
      </w:tr>
      <w:tr>
        <w:trPr>
          <w:trHeight w:val="171"/>
        </w:trPr>
        <w:tc>
          <w:tcPr>
            <w:tcW w:w="5480" w:type="dxa"/>
            <w:vAlign w:val="bottom"/>
          </w:tcPr>
          <w:p>
            <w:pPr>
              <w:ind w:left="400"/>
              <w:spacing w:after="0" w:line="165" w:lineRule="exact"/>
              <w:rPr>
                <w:sz w:val="20"/>
                <w:szCs w:val="20"/>
                <w:color w:val="auto"/>
              </w:rPr>
            </w:pPr>
            <w:r>
              <w:rPr>
                <w:rFonts w:ascii="Arial" w:cs="Arial" w:eastAsia="Arial" w:hAnsi="Arial"/>
                <w:sz w:val="16"/>
                <w:szCs w:val="16"/>
                <w:color w:val="auto"/>
              </w:rPr>
              <w:t>and purchased power</w:t>
            </w:r>
          </w:p>
        </w:tc>
        <w:tc>
          <w:tcPr>
            <w:tcW w:w="96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5480" w:type="dxa"/>
            <w:vAlign w:val="bottom"/>
          </w:tcPr>
          <w:p>
            <w:pPr>
              <w:spacing w:after="0"/>
              <w:rPr>
                <w:sz w:val="20"/>
                <w:szCs w:val="20"/>
                <w:color w:val="auto"/>
              </w:rPr>
            </w:pPr>
            <w:r>
              <w:rPr>
                <w:rFonts w:ascii="Arial" w:cs="Arial" w:eastAsia="Arial" w:hAnsi="Arial"/>
                <w:sz w:val="16"/>
                <w:szCs w:val="16"/>
                <w:b w:val="1"/>
                <w:bCs w:val="1"/>
                <w:color w:val="auto"/>
              </w:rPr>
              <w:t>Other cost of sales(2):</w:t>
            </w:r>
          </w:p>
        </w:tc>
        <w:tc>
          <w:tcPr>
            <w:tcW w:w="9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480" w:type="dxa"/>
            <w:vAlign w:val="bottom"/>
          </w:tcPr>
          <w:p>
            <w:pPr>
              <w:ind w:left="100"/>
              <w:spacing w:after="0"/>
              <w:rPr>
                <w:sz w:val="20"/>
                <w:szCs w:val="20"/>
                <w:color w:val="auto"/>
              </w:rPr>
            </w:pPr>
            <w:r>
              <w:rPr>
                <w:rFonts w:ascii="Arial" w:cs="Arial" w:eastAsia="Arial" w:hAnsi="Arial"/>
                <w:sz w:val="16"/>
                <w:szCs w:val="16"/>
                <w:color w:val="auto"/>
              </w:rPr>
              <w:t>Sempra South American Utilities</w:t>
            </w:r>
          </w:p>
        </w:tc>
        <w:tc>
          <w:tcPr>
            <w:tcW w:w="960" w:type="dxa"/>
            <w:vAlign w:val="bottom"/>
          </w:tcPr>
          <w:p>
            <w:pPr>
              <w:jc w:val="right"/>
              <w:ind w:right="522"/>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61"/>
              <w:spacing w:after="0"/>
              <w:rPr>
                <w:sz w:val="20"/>
                <w:szCs w:val="20"/>
                <w:color w:val="auto"/>
              </w:rPr>
            </w:pPr>
            <w:r>
              <w:rPr>
                <w:rFonts w:ascii="Arial" w:cs="Arial" w:eastAsia="Arial" w:hAnsi="Arial"/>
                <w:sz w:val="16"/>
                <w:szCs w:val="16"/>
                <w:color w:val="auto"/>
              </w:rPr>
              <w:t>17</w:t>
            </w:r>
          </w:p>
        </w:tc>
        <w:tc>
          <w:tcPr>
            <w:tcW w:w="900" w:type="dxa"/>
            <w:vAlign w:val="bottom"/>
          </w:tcPr>
          <w:p>
            <w:pPr>
              <w:jc w:val="right"/>
              <w:ind w:right="602"/>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6"/>
                <w:szCs w:val="16"/>
                <w:color w:val="auto"/>
              </w:rPr>
              <w:t>23</w:t>
            </w:r>
          </w:p>
        </w:tc>
        <w:tc>
          <w:tcPr>
            <w:tcW w:w="3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62"/>
              <w:spacing w:after="0"/>
              <w:rPr>
                <w:sz w:val="20"/>
                <w:szCs w:val="20"/>
                <w:color w:val="auto"/>
              </w:rPr>
            </w:pPr>
            <w:r>
              <w:rPr>
                <w:rFonts w:ascii="Arial" w:cs="Arial" w:eastAsia="Arial" w:hAnsi="Arial"/>
                <w:sz w:val="16"/>
                <w:szCs w:val="16"/>
                <w:color w:val="auto"/>
              </w:rPr>
              <w:t>50</w:t>
            </w:r>
          </w:p>
        </w:tc>
        <w:tc>
          <w:tcPr>
            <w:tcW w:w="4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13"/>
        </w:trPr>
        <w:tc>
          <w:tcPr>
            <w:tcW w:w="5480" w:type="dxa"/>
            <w:vAlign w:val="bottom"/>
          </w:tcPr>
          <w:p>
            <w:pPr>
              <w:ind w:left="100"/>
              <w:spacing w:after="0"/>
              <w:rPr>
                <w:sz w:val="20"/>
                <w:szCs w:val="20"/>
                <w:color w:val="auto"/>
              </w:rPr>
            </w:pPr>
            <w:r>
              <w:rPr>
                <w:rFonts w:ascii="Arial" w:cs="Arial" w:eastAsia="Arial" w:hAnsi="Arial"/>
                <w:sz w:val="16"/>
                <w:szCs w:val="16"/>
                <w:color w:val="auto"/>
              </w:rPr>
              <w:t>Sempra Mexico</w:t>
            </w:r>
          </w:p>
        </w:tc>
        <w:tc>
          <w:tcPr>
            <w:tcW w:w="960" w:type="dxa"/>
            <w:vAlign w:val="bottom"/>
          </w:tcPr>
          <w:p>
            <w:pPr>
              <w:spacing w:after="0"/>
              <w:rPr>
                <w:sz w:val="18"/>
                <w:szCs w:val="18"/>
                <w:color w:val="auto"/>
              </w:rPr>
            </w:pPr>
          </w:p>
        </w:tc>
        <w:tc>
          <w:tcPr>
            <w:tcW w:w="660" w:type="dxa"/>
            <w:vAlign w:val="bottom"/>
          </w:tcPr>
          <w:p>
            <w:pPr>
              <w:jc w:val="right"/>
              <w:ind w:right="61"/>
              <w:spacing w:after="0"/>
              <w:rPr>
                <w:sz w:val="20"/>
                <w:szCs w:val="20"/>
                <w:color w:val="auto"/>
              </w:rPr>
            </w:pPr>
            <w:r>
              <w:rPr>
                <w:rFonts w:ascii="Arial" w:cs="Arial" w:eastAsia="Arial" w:hAnsi="Arial"/>
                <w:sz w:val="16"/>
                <w:szCs w:val="16"/>
                <w:color w:val="auto"/>
              </w:rPr>
              <w:t>4</w:t>
            </w:r>
          </w:p>
        </w:tc>
        <w:tc>
          <w:tcPr>
            <w:tcW w:w="9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6"/>
                <w:szCs w:val="16"/>
                <w:color w:val="auto"/>
              </w:rPr>
              <w:t>3</w:t>
            </w:r>
          </w:p>
        </w:tc>
        <w:tc>
          <w:tcPr>
            <w:tcW w:w="340" w:type="dxa"/>
            <w:vAlign w:val="bottom"/>
          </w:tcPr>
          <w:p>
            <w:pPr>
              <w:spacing w:after="0"/>
              <w:rPr>
                <w:sz w:val="18"/>
                <w:szCs w:val="18"/>
                <w:color w:val="auto"/>
              </w:rPr>
            </w:pPr>
          </w:p>
        </w:tc>
        <w:tc>
          <w:tcPr>
            <w:tcW w:w="1160" w:type="dxa"/>
            <w:vAlign w:val="bottom"/>
          </w:tcPr>
          <w:p>
            <w:pPr>
              <w:jc w:val="right"/>
              <w:ind w:right="62"/>
              <w:spacing w:after="0"/>
              <w:rPr>
                <w:sz w:val="20"/>
                <w:szCs w:val="20"/>
                <w:color w:val="auto"/>
              </w:rPr>
            </w:pPr>
            <w:r>
              <w:rPr>
                <w:rFonts w:ascii="Arial" w:cs="Arial" w:eastAsia="Arial" w:hAnsi="Arial"/>
                <w:sz w:val="16"/>
                <w:szCs w:val="16"/>
                <w:color w:val="auto"/>
              </w:rPr>
              <w:t>9</w:t>
            </w:r>
          </w:p>
        </w:tc>
        <w:tc>
          <w:tcPr>
            <w:tcW w:w="4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3"/>
        </w:trPr>
        <w:tc>
          <w:tcPr>
            <w:tcW w:w="5480" w:type="dxa"/>
            <w:vAlign w:val="bottom"/>
          </w:tcPr>
          <w:p>
            <w:pPr>
              <w:ind w:left="100"/>
              <w:spacing w:after="0"/>
              <w:rPr>
                <w:sz w:val="20"/>
                <w:szCs w:val="20"/>
                <w:color w:val="auto"/>
              </w:rPr>
            </w:pPr>
            <w:r>
              <w:rPr>
                <w:rFonts w:ascii="Arial" w:cs="Arial" w:eastAsia="Arial" w:hAnsi="Arial"/>
                <w:sz w:val="16"/>
                <w:szCs w:val="16"/>
                <w:color w:val="auto"/>
              </w:rPr>
              <w:t>Sempra Natural Gas</w:t>
            </w:r>
          </w:p>
        </w:tc>
        <w:tc>
          <w:tcPr>
            <w:tcW w:w="960" w:type="dxa"/>
            <w:vAlign w:val="bottom"/>
          </w:tcPr>
          <w:p>
            <w:pPr>
              <w:spacing w:after="0"/>
              <w:rPr>
                <w:sz w:val="18"/>
                <w:szCs w:val="18"/>
                <w:color w:val="auto"/>
              </w:rPr>
            </w:pPr>
          </w:p>
        </w:tc>
        <w:tc>
          <w:tcPr>
            <w:tcW w:w="660" w:type="dxa"/>
            <w:vAlign w:val="bottom"/>
          </w:tcPr>
          <w:p>
            <w:pPr>
              <w:jc w:val="right"/>
              <w:ind w:right="61"/>
              <w:spacing w:after="0"/>
              <w:rPr>
                <w:sz w:val="20"/>
                <w:szCs w:val="20"/>
                <w:color w:val="auto"/>
              </w:rPr>
            </w:pPr>
            <w:r>
              <w:rPr>
                <w:rFonts w:ascii="Arial" w:cs="Arial" w:eastAsia="Arial" w:hAnsi="Arial"/>
                <w:sz w:val="16"/>
                <w:szCs w:val="16"/>
                <w:color w:val="auto"/>
              </w:rPr>
              <w:t>23</w:t>
            </w:r>
          </w:p>
        </w:tc>
        <w:tc>
          <w:tcPr>
            <w:tcW w:w="9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6"/>
                <w:szCs w:val="16"/>
                <w:color w:val="auto"/>
              </w:rPr>
              <w:t>22</w:t>
            </w:r>
          </w:p>
        </w:tc>
        <w:tc>
          <w:tcPr>
            <w:tcW w:w="340" w:type="dxa"/>
            <w:vAlign w:val="bottom"/>
          </w:tcPr>
          <w:p>
            <w:pPr>
              <w:spacing w:after="0"/>
              <w:rPr>
                <w:sz w:val="18"/>
                <w:szCs w:val="18"/>
                <w:color w:val="auto"/>
              </w:rPr>
            </w:pPr>
          </w:p>
        </w:tc>
        <w:tc>
          <w:tcPr>
            <w:tcW w:w="1160" w:type="dxa"/>
            <w:vAlign w:val="bottom"/>
          </w:tcPr>
          <w:p>
            <w:pPr>
              <w:jc w:val="right"/>
              <w:ind w:right="62"/>
              <w:spacing w:after="0"/>
              <w:rPr>
                <w:sz w:val="20"/>
                <w:szCs w:val="20"/>
                <w:color w:val="auto"/>
              </w:rPr>
            </w:pPr>
            <w:r>
              <w:rPr>
                <w:rFonts w:ascii="Arial" w:cs="Arial" w:eastAsia="Arial" w:hAnsi="Arial"/>
                <w:sz w:val="16"/>
                <w:szCs w:val="16"/>
                <w:color w:val="auto"/>
              </w:rPr>
              <w:t>69</w:t>
            </w:r>
          </w:p>
        </w:tc>
        <w:tc>
          <w:tcPr>
            <w:tcW w:w="4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04"/>
        </w:trPr>
        <w:tc>
          <w:tcPr>
            <w:tcW w:w="5480" w:type="dxa"/>
            <w:vAlign w:val="bottom"/>
          </w:tcPr>
          <w:p>
            <w:pPr>
              <w:ind w:left="80"/>
              <w:spacing w:after="0"/>
              <w:rPr>
                <w:sz w:val="20"/>
                <w:szCs w:val="20"/>
                <w:color w:val="auto"/>
              </w:rPr>
            </w:pPr>
            <w:r>
              <w:rPr>
                <w:rFonts w:ascii="Arial" w:cs="Arial" w:eastAsia="Arial" w:hAnsi="Arial"/>
                <w:sz w:val="16"/>
                <w:szCs w:val="16"/>
                <w:color w:val="auto"/>
              </w:rPr>
              <w:t>Adjustments and eliminations(1)</w:t>
            </w:r>
          </w:p>
        </w:tc>
        <w:tc>
          <w:tcPr>
            <w:tcW w:w="9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(2)</w:t>
            </w:r>
          </w:p>
        </w:tc>
        <w:tc>
          <w:tcPr>
            <w:tcW w:w="9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(6)</w:t>
            </w: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5480" w:type="dxa"/>
            <w:vAlign w:val="bottom"/>
          </w:tcPr>
          <w:p>
            <w:pPr>
              <w:ind w:left="320"/>
              <w:spacing w:after="0" w:line="175" w:lineRule="exact"/>
              <w:rPr>
                <w:sz w:val="20"/>
                <w:szCs w:val="20"/>
                <w:color w:val="auto"/>
              </w:rPr>
            </w:pPr>
            <w:r>
              <w:rPr>
                <w:rFonts w:ascii="Arial" w:cs="Arial" w:eastAsia="Arial" w:hAnsi="Arial"/>
                <w:sz w:val="16"/>
                <w:szCs w:val="16"/>
                <w:color w:val="auto"/>
              </w:rPr>
              <w:t>Total other cost of sales</w:t>
            </w:r>
          </w:p>
        </w:tc>
        <w:tc>
          <w:tcPr>
            <w:tcW w:w="960" w:type="dxa"/>
            <w:vAlign w:val="bottom"/>
          </w:tcPr>
          <w:p>
            <w:pPr>
              <w:jc w:val="right"/>
              <w:ind w:right="522"/>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61"/>
              <w:spacing w:after="0"/>
              <w:rPr>
                <w:sz w:val="20"/>
                <w:szCs w:val="20"/>
                <w:color w:val="auto"/>
              </w:rPr>
            </w:pPr>
            <w:r>
              <w:rPr>
                <w:rFonts w:ascii="Arial" w:cs="Arial" w:eastAsia="Arial" w:hAnsi="Arial"/>
                <w:sz w:val="16"/>
                <w:szCs w:val="16"/>
                <w:color w:val="auto"/>
              </w:rPr>
              <w:t>42</w:t>
            </w:r>
          </w:p>
        </w:tc>
        <w:tc>
          <w:tcPr>
            <w:tcW w:w="900" w:type="dxa"/>
            <w:vAlign w:val="bottom"/>
          </w:tcPr>
          <w:p>
            <w:pPr>
              <w:jc w:val="right"/>
              <w:ind w:right="602"/>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6"/>
                <w:szCs w:val="16"/>
                <w:color w:val="auto"/>
              </w:rPr>
              <w:t>47</w:t>
            </w:r>
          </w:p>
        </w:tc>
        <w:tc>
          <w:tcPr>
            <w:tcW w:w="3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62"/>
              <w:spacing w:after="0"/>
              <w:rPr>
                <w:sz w:val="20"/>
                <w:szCs w:val="20"/>
                <w:color w:val="auto"/>
              </w:rPr>
            </w:pPr>
            <w:r>
              <w:rPr>
                <w:rFonts w:ascii="Arial" w:cs="Arial" w:eastAsia="Arial" w:hAnsi="Arial"/>
                <w:sz w:val="16"/>
                <w:szCs w:val="16"/>
                <w:color w:val="auto"/>
              </w:rPr>
              <w:t>122</w:t>
            </w:r>
          </w:p>
        </w:tc>
        <w:tc>
          <w:tcPr>
            <w:tcW w:w="4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144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24852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8525" cy="17145"/>
                    </a:xfrm>
                    <a:prstGeom prst="rect">
                      <a:avLst/>
                    </a:prstGeom>
                    <a:noFill/>
                  </pic:spPr>
                </pic:pic>
              </a:graphicData>
            </a:graphic>
          </wp:anchor>
        </w:drawing>
      </w:r>
    </w:p>
    <w:p>
      <w:pPr>
        <w:ind w:left="620" w:hanging="614"/>
        <w:spacing w:after="0"/>
        <w:tabs>
          <w:tab w:leader="none" w:pos="620" w:val="left"/>
        </w:tabs>
        <w:numPr>
          <w:ilvl w:val="0"/>
          <w:numId w:val="104"/>
        </w:numPr>
        <w:rPr>
          <w:rFonts w:ascii="Arial" w:cs="Arial" w:eastAsia="Arial" w:hAnsi="Arial"/>
          <w:sz w:val="14"/>
          <w:szCs w:val="14"/>
          <w:i w:val="1"/>
          <w:iCs w:val="1"/>
          <w:color w:val="auto"/>
        </w:rPr>
      </w:pPr>
      <w:r>
        <w:rPr>
          <w:rFonts w:ascii="Arial" w:cs="Arial" w:eastAsia="Arial" w:hAnsi="Arial"/>
          <w:sz w:val="14"/>
          <w:szCs w:val="14"/>
          <w:i w:val="1"/>
          <w:iCs w:val="1"/>
          <w:color w:val="auto"/>
        </w:rPr>
        <w:t>Includes eliminations of intercompany activity.</w:t>
      </w:r>
    </w:p>
    <w:p>
      <w:pPr>
        <w:spacing w:after="0" w:line="49" w:lineRule="exact"/>
        <w:rPr>
          <w:rFonts w:ascii="Arial" w:cs="Arial" w:eastAsia="Arial" w:hAnsi="Arial"/>
          <w:sz w:val="14"/>
          <w:szCs w:val="14"/>
          <w:i w:val="1"/>
          <w:iCs w:val="1"/>
          <w:color w:val="auto"/>
        </w:rPr>
      </w:pPr>
    </w:p>
    <w:p>
      <w:pPr>
        <w:ind w:left="620" w:hanging="614"/>
        <w:spacing w:after="0"/>
        <w:tabs>
          <w:tab w:leader="none" w:pos="620" w:val="left"/>
        </w:tabs>
        <w:numPr>
          <w:ilvl w:val="0"/>
          <w:numId w:val="104"/>
        </w:numPr>
        <w:rPr>
          <w:rFonts w:ascii="Arial" w:cs="Arial" w:eastAsia="Arial" w:hAnsi="Arial"/>
          <w:sz w:val="14"/>
          <w:szCs w:val="14"/>
          <w:i w:val="1"/>
          <w:iCs w:val="1"/>
          <w:color w:val="auto"/>
        </w:rPr>
      </w:pPr>
      <w:r>
        <w:rPr>
          <w:rFonts w:ascii="Arial" w:cs="Arial" w:eastAsia="Arial" w:hAnsi="Arial"/>
          <w:sz w:val="14"/>
          <w:szCs w:val="14"/>
          <w:i w:val="1"/>
          <w:iCs w:val="1"/>
          <w:color w:val="auto"/>
        </w:rPr>
        <w:t>Excludes depreciation and amortization, which are shown separately on the Condensed Consolidated Statements of Operations.</w:t>
      </w:r>
    </w:p>
    <w:p>
      <w:pPr>
        <w:spacing w:after="0" w:line="200" w:lineRule="exact"/>
        <w:rPr>
          <w:sz w:val="20"/>
          <w:szCs w:val="20"/>
          <w:color w:val="auto"/>
        </w:rPr>
      </w:pPr>
    </w:p>
    <w:p>
      <w:pPr>
        <w:spacing w:after="0" w:line="247"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color w:val="auto"/>
        </w:rPr>
        <w:t>During the three months ended September 30, 2014, revenues from our energy-related businesses increased by $24 million (7%) to $352 million. The increase included</w:t>
      </w:r>
    </w:p>
    <w:p>
      <w:pPr>
        <w:spacing w:after="0" w:line="179" w:lineRule="exact"/>
        <w:rPr>
          <w:sz w:val="20"/>
          <w:szCs w:val="20"/>
          <w:color w:val="auto"/>
        </w:rPr>
      </w:pPr>
    </w:p>
    <w:p>
      <w:pPr>
        <w:ind w:left="320" w:hanging="172"/>
        <w:spacing w:after="0"/>
        <w:tabs>
          <w:tab w:leader="none" w:pos="3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$44 million higher revenues at Sempra Mexico primarily due to higher natural gas and power prices and volumes; and</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$40 million increase at Sempra Natural Gas mainly from the favorable impact of higher natural gas prices in 2014 from its LNG marketing operations,</w:t>
      </w:r>
    </w:p>
    <w:p>
      <w:pPr>
        <w:sectPr>
          <w:pgSz w:w="11900" w:h="16871" w:orient="portrait"/>
          <w:cols w:equalWidth="0" w:num="1">
            <w:col w:w="11420"/>
          </w:cols>
          <w:pgMar w:left="240" w:top="127" w:right="239" w:bottom="0" w:gutter="0" w:footer="0" w:header="0"/>
        </w:sectPr>
      </w:pPr>
    </w:p>
    <w:bookmarkStart w:id="68" w:name="page69"/>
    <w:bookmarkEnd w:id="68"/>
    <w:p>
      <w:pPr>
        <w:ind w:left="320"/>
        <w:spacing w:after="0"/>
        <w:rPr>
          <w:sz w:val="20"/>
          <w:szCs w:val="20"/>
          <w:color w:val="auto"/>
        </w:rPr>
      </w:pPr>
      <w:r>
        <w:rPr>
          <w:rFonts w:ascii="Arial" w:cs="Arial" w:eastAsia="Arial" w:hAnsi="Arial"/>
          <w:sz w:val="18"/>
          <w:szCs w:val="18"/>
          <w:color w:val="auto"/>
        </w:rPr>
        <w:t xml:space="preserve">offset by lower revenues from its natural gas marketing activities; </w:t>
      </w:r>
      <w:r>
        <w:rPr>
          <w:rFonts w:ascii="Arial" w:cs="Arial" w:eastAsia="Arial" w:hAnsi="Arial"/>
          <w:sz w:val="18"/>
          <w:szCs w:val="18"/>
          <w:b w:val="1"/>
          <w:bCs w:val="1"/>
          <w:color w:val="auto"/>
        </w:rPr>
        <w:t>offset by</w:t>
      </w:r>
    </w:p>
    <w:p>
      <w:pPr>
        <w:spacing w:after="0" w:line="251" w:lineRule="exact"/>
        <w:rPr>
          <w:sz w:val="20"/>
          <w:szCs w:val="20"/>
          <w:color w:val="auto"/>
        </w:rPr>
      </w:pPr>
    </w:p>
    <w:p>
      <w:pPr>
        <w:ind w:left="320" w:hanging="172"/>
        <w:spacing w:after="0"/>
        <w:tabs>
          <w:tab w:leader="none" w:pos="320" w:val="left"/>
        </w:tabs>
        <w:numPr>
          <w:ilvl w:val="0"/>
          <w:numId w:val="106"/>
        </w:numPr>
        <w:rPr>
          <w:rFonts w:ascii="Arial" w:cs="Arial" w:eastAsia="Arial" w:hAnsi="Arial"/>
          <w:sz w:val="18"/>
          <w:szCs w:val="18"/>
          <w:b w:val="1"/>
          <w:bCs w:val="1"/>
          <w:color w:val="auto"/>
        </w:rPr>
      </w:pPr>
      <w:r>
        <w:rPr>
          <w:rFonts w:ascii="Arial" w:cs="Arial" w:eastAsia="Arial" w:hAnsi="Arial"/>
          <w:sz w:val="18"/>
          <w:szCs w:val="18"/>
          <w:color w:val="auto"/>
        </w:rPr>
        <w:t>$40 million primarily from higher intercompany eliminations associated with sales between Sempra Natural Gas and Sempra Mexico; and</w:t>
      </w:r>
    </w:p>
    <w:p>
      <w:pPr>
        <w:spacing w:after="0" w:line="244" w:lineRule="exact"/>
        <w:rPr>
          <w:rFonts w:ascii="Arial" w:cs="Arial" w:eastAsia="Arial" w:hAnsi="Arial"/>
          <w:sz w:val="18"/>
          <w:szCs w:val="18"/>
          <w:b w:val="1"/>
          <w:bCs w:val="1"/>
          <w:color w:val="auto"/>
        </w:rPr>
      </w:pPr>
    </w:p>
    <w:p>
      <w:pPr>
        <w:ind w:left="320" w:hanging="172"/>
        <w:spacing w:after="0" w:line="266" w:lineRule="auto"/>
        <w:tabs>
          <w:tab w:leader="none" w:pos="320" w:val="left"/>
        </w:tabs>
        <w:numPr>
          <w:ilvl w:val="0"/>
          <w:numId w:val="106"/>
        </w:numPr>
        <w:rPr>
          <w:rFonts w:ascii="Arial" w:cs="Arial" w:eastAsia="Arial" w:hAnsi="Arial"/>
          <w:sz w:val="18"/>
          <w:szCs w:val="18"/>
          <w:b w:val="1"/>
          <w:bCs w:val="1"/>
          <w:color w:val="auto"/>
        </w:rPr>
      </w:pPr>
      <w:r>
        <w:rPr>
          <w:rFonts w:ascii="Arial" w:cs="Arial" w:eastAsia="Arial" w:hAnsi="Arial"/>
          <w:sz w:val="18"/>
          <w:szCs w:val="18"/>
          <w:color w:val="auto"/>
        </w:rPr>
        <w:t>$15 million lower revenues at Sempra Renewables mainly due to the deconsolidation of Mesquite Solar 1 and Copper Mountain Solar 2 in the third quarter of 2013.</w:t>
      </w:r>
    </w:p>
    <w:p>
      <w:pPr>
        <w:spacing w:after="0" w:line="206"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During the three months ended September 30, 2014, the cost of natural gas, electric fuel and purchased power for our energy-related businesses increased by $43 million (36%) to $163 million primarily due to:</w:t>
      </w:r>
    </w:p>
    <w:p>
      <w:pPr>
        <w:spacing w:after="0" w:line="179" w:lineRule="exact"/>
        <w:rPr>
          <w:sz w:val="20"/>
          <w:szCs w:val="20"/>
          <w:color w:val="auto"/>
        </w:rPr>
      </w:pPr>
    </w:p>
    <w:p>
      <w:pPr>
        <w:ind w:left="320" w:hanging="172"/>
        <w:spacing w:after="0"/>
        <w:tabs>
          <w:tab w:leader="none" w:pos="3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$45 million increase at Sempra Natural Gas primarily due to higher natural gas costs and volumes; and</w:t>
      </w:r>
    </w:p>
    <w:p>
      <w:pPr>
        <w:spacing w:after="0" w:line="238" w:lineRule="exact"/>
        <w:rPr>
          <w:rFonts w:ascii="Arial" w:cs="Arial" w:eastAsia="Arial" w:hAnsi="Arial"/>
          <w:sz w:val="18"/>
          <w:szCs w:val="18"/>
          <w:color w:val="auto"/>
        </w:rPr>
      </w:pPr>
    </w:p>
    <w:p>
      <w:pPr>
        <w:ind w:left="320" w:hanging="172"/>
        <w:spacing w:after="0"/>
        <w:tabs>
          <w:tab w:leader="none" w:pos="3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$36 million increase at Sempra Mexico primarily due to higher natural gas costs and volumes; </w:t>
      </w:r>
      <w:r>
        <w:rPr>
          <w:rFonts w:ascii="Arial" w:cs="Arial" w:eastAsia="Arial" w:hAnsi="Arial"/>
          <w:sz w:val="18"/>
          <w:szCs w:val="18"/>
          <w:b w:val="1"/>
          <w:bCs w:val="1"/>
          <w:color w:val="auto"/>
        </w:rPr>
        <w:t>offset by</w:t>
      </w:r>
    </w:p>
    <w:p>
      <w:pPr>
        <w:spacing w:after="0" w:line="250" w:lineRule="exact"/>
        <w:rPr>
          <w:rFonts w:ascii="Arial" w:cs="Arial" w:eastAsia="Arial" w:hAnsi="Arial"/>
          <w:sz w:val="18"/>
          <w:szCs w:val="18"/>
          <w:color w:val="auto"/>
        </w:rPr>
      </w:pPr>
    </w:p>
    <w:p>
      <w:pPr>
        <w:ind w:left="320" w:hanging="172"/>
        <w:spacing w:after="0"/>
        <w:tabs>
          <w:tab w:leader="none" w:pos="32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$41 million primarily from higher intercompany eliminations of costs associated with sales between Sempra Natural Gas and Sempra Mexico.</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For the first nine months of 2014, revenues from our energy-related businesses increased by $7 million (1%) to $970 million. The increase included</w:t>
      </w:r>
    </w:p>
    <w:p>
      <w:pPr>
        <w:spacing w:after="0" w:line="230" w:lineRule="exact"/>
        <w:rPr>
          <w:sz w:val="20"/>
          <w:szCs w:val="20"/>
          <w:color w:val="auto"/>
        </w:rPr>
      </w:pPr>
    </w:p>
    <w:p>
      <w:pPr>
        <w:ind w:left="320" w:hanging="172"/>
        <w:spacing w:after="0"/>
        <w:tabs>
          <w:tab w:leader="none" w:pos="3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$92 million higher revenues at Sempra Mexico primarily due to higher natural gas and power prices and volumes; and</w:t>
      </w:r>
    </w:p>
    <w:p>
      <w:pPr>
        <w:spacing w:after="0" w:line="244" w:lineRule="exact"/>
        <w:rPr>
          <w:rFonts w:ascii="Arial" w:cs="Arial" w:eastAsia="Arial" w:hAnsi="Arial"/>
          <w:sz w:val="18"/>
          <w:szCs w:val="18"/>
          <w:color w:val="auto"/>
        </w:rPr>
      </w:pPr>
    </w:p>
    <w:p>
      <w:pPr>
        <w:ind w:left="320" w:hanging="172"/>
        <w:spacing w:after="0" w:line="266" w:lineRule="auto"/>
        <w:tabs>
          <w:tab w:leader="none" w:pos="3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$60 million increase at Sempra Natural Gas mainly from the favorable impact of higher natural gas prices in 2014 from its LNG marketing operations, offset by lower revenues from its natural gas marketing activities; </w:t>
      </w:r>
      <w:r>
        <w:rPr>
          <w:rFonts w:ascii="Arial" w:cs="Arial" w:eastAsia="Arial" w:hAnsi="Arial"/>
          <w:sz w:val="18"/>
          <w:szCs w:val="18"/>
          <w:b w:val="1"/>
          <w:bCs w:val="1"/>
          <w:color w:val="auto"/>
        </w:rPr>
        <w:t>offset by</w:t>
      </w:r>
    </w:p>
    <w:p>
      <w:pPr>
        <w:spacing w:after="0" w:line="205" w:lineRule="exact"/>
        <w:rPr>
          <w:rFonts w:ascii="Arial" w:cs="Arial" w:eastAsia="Arial" w:hAnsi="Arial"/>
          <w:sz w:val="18"/>
          <w:szCs w:val="18"/>
          <w:color w:val="auto"/>
        </w:rPr>
      </w:pPr>
    </w:p>
    <w:p>
      <w:pPr>
        <w:ind w:left="320" w:hanging="172"/>
        <w:spacing w:after="0"/>
        <w:tabs>
          <w:tab w:leader="none" w:pos="3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$84 million primarily from higher intercompany eliminations associated with sales between Sempra Natural Gas and Sempra Mexico; and</w:t>
      </w:r>
    </w:p>
    <w:p>
      <w:pPr>
        <w:spacing w:after="0" w:line="244" w:lineRule="exact"/>
        <w:rPr>
          <w:rFonts w:ascii="Arial" w:cs="Arial" w:eastAsia="Arial" w:hAnsi="Arial"/>
          <w:sz w:val="18"/>
          <w:szCs w:val="18"/>
          <w:color w:val="auto"/>
        </w:rPr>
      </w:pPr>
    </w:p>
    <w:p>
      <w:pPr>
        <w:ind w:left="320" w:hanging="172"/>
        <w:spacing w:after="0" w:line="266" w:lineRule="auto"/>
        <w:tabs>
          <w:tab w:leader="none" w:pos="3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$51 million lower revenues at Sempra Renewables mainly due to the deconsolidation of Mesquite Solar 1 and Copper Mountain Solar 2 in the third quarter of 2013.</w:t>
      </w:r>
    </w:p>
    <w:p>
      <w:pPr>
        <w:spacing w:after="0" w:line="206"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For the first nine months of 2014, the cost of natural gas, electric fuel and purchased power for our energy-related businesses increased by $102 million (31%) to $427 million primarily due to:</w:t>
      </w:r>
    </w:p>
    <w:p>
      <w:pPr>
        <w:spacing w:after="0" w:line="179" w:lineRule="exact"/>
        <w:rPr>
          <w:sz w:val="20"/>
          <w:szCs w:val="20"/>
          <w:color w:val="auto"/>
        </w:rPr>
      </w:pPr>
    </w:p>
    <w:p>
      <w:pPr>
        <w:ind w:left="320" w:hanging="172"/>
        <w:spacing w:after="0"/>
        <w:tabs>
          <w:tab w:leader="none" w:pos="3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$95 million increase at Sempra Natural Gas primarily due to higher natural gas costs and volumes; and</w:t>
      </w:r>
    </w:p>
    <w:p>
      <w:pPr>
        <w:spacing w:after="0" w:line="238" w:lineRule="exact"/>
        <w:rPr>
          <w:rFonts w:ascii="Arial" w:cs="Arial" w:eastAsia="Arial" w:hAnsi="Arial"/>
          <w:sz w:val="18"/>
          <w:szCs w:val="18"/>
          <w:color w:val="auto"/>
        </w:rPr>
      </w:pPr>
    </w:p>
    <w:p>
      <w:pPr>
        <w:ind w:left="320" w:hanging="172"/>
        <w:spacing w:after="0"/>
        <w:tabs>
          <w:tab w:leader="none" w:pos="3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$83 million increase at Sempra Mexico primarily due to higher natural gas costs and volumes; </w:t>
      </w:r>
      <w:r>
        <w:rPr>
          <w:rFonts w:ascii="Arial" w:cs="Arial" w:eastAsia="Arial" w:hAnsi="Arial"/>
          <w:sz w:val="18"/>
          <w:szCs w:val="18"/>
          <w:b w:val="1"/>
          <w:bCs w:val="1"/>
          <w:color w:val="auto"/>
        </w:rPr>
        <w:t>offset by</w:t>
      </w:r>
    </w:p>
    <w:p>
      <w:pPr>
        <w:spacing w:after="0" w:line="250" w:lineRule="exact"/>
        <w:rPr>
          <w:rFonts w:ascii="Arial" w:cs="Arial" w:eastAsia="Arial" w:hAnsi="Arial"/>
          <w:sz w:val="18"/>
          <w:szCs w:val="18"/>
          <w:color w:val="auto"/>
        </w:rPr>
      </w:pPr>
    </w:p>
    <w:p>
      <w:pPr>
        <w:ind w:left="320" w:hanging="172"/>
        <w:spacing w:after="0"/>
        <w:tabs>
          <w:tab w:leader="none" w:pos="32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$83 million primarily from higher intercompany eliminations of costs associated with sales between Sempra Natural Gas and Sempra Mexico.</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Operation and Maintenance</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Sempra Energy Consolidated</w:t>
      </w:r>
    </w:p>
    <w:p>
      <w:pPr>
        <w:spacing w:after="0" w:line="211"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Our operation and maintenance expenses increased by $28 million (4%) to $726 million in the three months ended September 30, 2014 and decreased by $31 million (1%) to $2.1 billion in the first nine months of 2014. The changes in both periods were primarily attributable to SDG&amp;E and SoCalGas, which we discuss below.</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SDG&amp;E</w:t>
      </w:r>
    </w:p>
    <w:p>
      <w:pPr>
        <w:spacing w:after="0" w:line="211"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color w:val="auto"/>
        </w:rPr>
        <w:t>For the three months ended September 30, 2014, SDG&amp;E’s operation and maintenance expenses increased by $10 million (4%) to $276 million primarily due to:</w:t>
      </w:r>
    </w:p>
    <w:p>
      <w:pPr>
        <w:spacing w:after="0" w:line="179" w:lineRule="exact"/>
        <w:rPr>
          <w:sz w:val="20"/>
          <w:szCs w:val="20"/>
          <w:color w:val="auto"/>
        </w:rPr>
      </w:pPr>
    </w:p>
    <w:p>
      <w:pPr>
        <w:ind w:left="320" w:hanging="172"/>
        <w:spacing w:after="0"/>
        <w:tabs>
          <w:tab w:leader="none" w:pos="3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$6 million higher litigation expense;</w:t>
      </w:r>
    </w:p>
    <w:p>
      <w:pPr>
        <w:spacing w:after="0" w:line="244" w:lineRule="exact"/>
        <w:rPr>
          <w:rFonts w:ascii="Arial" w:cs="Arial" w:eastAsia="Arial" w:hAnsi="Arial"/>
          <w:sz w:val="18"/>
          <w:szCs w:val="18"/>
          <w:color w:val="auto"/>
        </w:rPr>
      </w:pPr>
    </w:p>
    <w:p>
      <w:pPr>
        <w:ind w:left="320" w:hanging="172"/>
        <w:spacing w:after="0" w:line="266" w:lineRule="auto"/>
        <w:tabs>
          <w:tab w:leader="none" w:pos="3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$5 million higher operation and maintenance costs, including labor, contract services and administrative and support costs (non-refundable operating costs); and</w:t>
      </w:r>
    </w:p>
    <w:p>
      <w:pPr>
        <w:spacing w:after="0" w:line="205" w:lineRule="exact"/>
        <w:rPr>
          <w:rFonts w:ascii="Arial" w:cs="Arial" w:eastAsia="Arial" w:hAnsi="Arial"/>
          <w:sz w:val="18"/>
          <w:szCs w:val="18"/>
          <w:color w:val="auto"/>
        </w:rPr>
      </w:pPr>
    </w:p>
    <w:p>
      <w:pPr>
        <w:ind w:left="320" w:hanging="172"/>
        <w:spacing w:after="0" w:line="266" w:lineRule="auto"/>
        <w:tabs>
          <w:tab w:leader="none" w:pos="3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$3 million higher expenses associated with CPUC-authorized refundable programs, including $13 million due to lower operation and maintenance expenses at SONGS, for which all costs incurred are fully recovered in revenue (refundable program expenses); </w:t>
      </w:r>
      <w:r>
        <w:rPr>
          <w:rFonts w:ascii="Arial" w:cs="Arial" w:eastAsia="Arial" w:hAnsi="Arial"/>
          <w:sz w:val="18"/>
          <w:szCs w:val="18"/>
          <w:b w:val="1"/>
          <w:bCs w:val="1"/>
          <w:color w:val="auto"/>
        </w:rPr>
        <w:t>offset by</w:t>
      </w:r>
    </w:p>
    <w:p>
      <w:pPr>
        <w:spacing w:after="0" w:line="205" w:lineRule="exact"/>
        <w:rPr>
          <w:rFonts w:ascii="Arial" w:cs="Arial" w:eastAsia="Arial" w:hAnsi="Arial"/>
          <w:sz w:val="18"/>
          <w:szCs w:val="18"/>
          <w:color w:val="auto"/>
        </w:rPr>
      </w:pPr>
    </w:p>
    <w:p>
      <w:pPr>
        <w:ind w:left="320" w:hanging="172"/>
        <w:spacing w:after="0"/>
        <w:tabs>
          <w:tab w:leader="none" w:pos="3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$4 million decrease at Otay Mesa VIE.</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In the first nine months of 2014, SDG&amp;E’s operation and maintenance expenses decreased by $68 million (8%) to $784 million primarily due to:</w:t>
      </w:r>
    </w:p>
    <w:p>
      <w:pPr>
        <w:spacing w:after="0" w:line="218" w:lineRule="exact"/>
        <w:rPr>
          <w:sz w:val="20"/>
          <w:szCs w:val="20"/>
          <w:color w:val="auto"/>
        </w:rPr>
      </w:pPr>
    </w:p>
    <w:p>
      <w:pPr>
        <w:ind w:left="320" w:hanging="172"/>
        <w:spacing w:after="0" w:line="266" w:lineRule="auto"/>
        <w:tabs>
          <w:tab w:leader="none" w:pos="3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$45 million lower expenses associated with CPUC-authorized refundable programs, including $48 million due to lower operation and maintenance expenses at SONGS, for which all costs incurred are fully recovered in revenue (refundable program expenses);</w:t>
      </w:r>
    </w:p>
    <w:p>
      <w:pPr>
        <w:spacing w:after="0" w:line="205" w:lineRule="exact"/>
        <w:rPr>
          <w:rFonts w:ascii="Arial" w:cs="Arial" w:eastAsia="Arial" w:hAnsi="Arial"/>
          <w:sz w:val="18"/>
          <w:szCs w:val="18"/>
          <w:color w:val="auto"/>
        </w:rPr>
      </w:pPr>
    </w:p>
    <w:p>
      <w:pPr>
        <w:ind w:left="320" w:hanging="172"/>
        <w:spacing w:after="0"/>
        <w:tabs>
          <w:tab w:leader="none" w:pos="3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$20 million decrease at Otay Mesa VIE; and</w:t>
      </w:r>
    </w:p>
    <w:p>
      <w:pPr>
        <w:spacing w:after="0" w:line="244" w:lineRule="exact"/>
        <w:rPr>
          <w:rFonts w:ascii="Arial" w:cs="Arial" w:eastAsia="Arial" w:hAnsi="Arial"/>
          <w:sz w:val="18"/>
          <w:szCs w:val="18"/>
          <w:color w:val="auto"/>
        </w:rPr>
      </w:pPr>
    </w:p>
    <w:p>
      <w:pPr>
        <w:ind w:left="320" w:hanging="172"/>
        <w:spacing w:after="0" w:line="266" w:lineRule="auto"/>
        <w:tabs>
          <w:tab w:leader="none" w:pos="3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$10 million lower operation and maintenance costs, including labor, contract services and administrative and support costs (non-refundable operating costs); </w:t>
      </w:r>
      <w:r>
        <w:rPr>
          <w:rFonts w:ascii="Arial" w:cs="Arial" w:eastAsia="Arial" w:hAnsi="Arial"/>
          <w:sz w:val="18"/>
          <w:szCs w:val="18"/>
          <w:b w:val="1"/>
          <w:bCs w:val="1"/>
          <w:color w:val="auto"/>
        </w:rPr>
        <w:t>offset by</w:t>
      </w:r>
    </w:p>
    <w:p>
      <w:pPr>
        <w:spacing w:after="0" w:line="205" w:lineRule="exact"/>
        <w:rPr>
          <w:rFonts w:ascii="Arial" w:cs="Arial" w:eastAsia="Arial" w:hAnsi="Arial"/>
          <w:sz w:val="18"/>
          <w:szCs w:val="18"/>
          <w:color w:val="auto"/>
        </w:rPr>
      </w:pPr>
    </w:p>
    <w:p>
      <w:pPr>
        <w:ind w:left="320" w:hanging="172"/>
        <w:spacing w:after="0"/>
        <w:tabs>
          <w:tab w:leader="none" w:pos="3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$7 million higher litigation expense.</w:t>
      </w:r>
    </w:p>
    <w:p>
      <w:pPr>
        <w:sectPr>
          <w:pgSz w:w="11900" w:h="16838" w:orient="portrait"/>
          <w:cols w:equalWidth="0" w:num="1">
            <w:col w:w="11420"/>
          </w:cols>
          <w:pgMar w:left="240" w:top="121" w:right="239" w:bottom="112" w:gutter="0" w:footer="0" w:header="0"/>
        </w:sectPr>
      </w:pPr>
    </w:p>
    <w:bookmarkStart w:id="69" w:name="page70"/>
    <w:bookmarkEnd w:id="69"/>
    <w:p>
      <w:pPr>
        <w:spacing w:after="0"/>
        <w:rPr>
          <w:sz w:val="20"/>
          <w:szCs w:val="20"/>
          <w:color w:val="auto"/>
        </w:rPr>
      </w:pPr>
      <w:r>
        <w:rPr>
          <w:rFonts w:ascii="Arial" w:cs="Arial" w:eastAsia="Arial" w:hAnsi="Arial"/>
          <w:sz w:val="19"/>
          <w:szCs w:val="19"/>
          <w:i w:val="1"/>
          <w:iCs w:val="1"/>
          <w:color w:val="auto"/>
        </w:rPr>
        <w:t>SoCalGas</w:t>
      </w:r>
    </w:p>
    <w:p>
      <w:pPr>
        <w:spacing w:after="0" w:line="212"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color w:val="auto"/>
        </w:rPr>
        <w:t>For the three months ended September 30, 2014, SoCalGas’ operation and maintenance expenses increased by $12 million (4%) to $326 million primarily due to:</w:t>
      </w:r>
    </w:p>
    <w:p>
      <w:pPr>
        <w:spacing w:after="0" w:line="179" w:lineRule="exact"/>
        <w:rPr>
          <w:sz w:val="20"/>
          <w:szCs w:val="20"/>
          <w:color w:val="auto"/>
        </w:rPr>
      </w:pPr>
    </w:p>
    <w:p>
      <w:pPr>
        <w:ind w:left="320" w:hanging="172"/>
        <w:spacing w:after="0"/>
        <w:tabs>
          <w:tab w:leader="none" w:pos="3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$7 million insurance recovery in 2013 of previously expensed cost;</w:t>
      </w:r>
    </w:p>
    <w:p>
      <w:pPr>
        <w:spacing w:after="0" w:line="244" w:lineRule="exact"/>
        <w:rPr>
          <w:rFonts w:ascii="Arial" w:cs="Arial" w:eastAsia="Arial" w:hAnsi="Arial"/>
          <w:sz w:val="18"/>
          <w:szCs w:val="18"/>
          <w:color w:val="auto"/>
        </w:rPr>
      </w:pPr>
    </w:p>
    <w:p>
      <w:pPr>
        <w:ind w:left="320" w:hanging="172"/>
        <w:spacing w:after="0" w:line="266" w:lineRule="auto"/>
        <w:tabs>
          <w:tab w:leader="none" w:pos="3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$5 million higher operation and maintenance costs, including labor, contract services and administrative and support costs (non-refundable operating costs); and</w:t>
      </w:r>
    </w:p>
    <w:p>
      <w:pPr>
        <w:spacing w:after="0" w:line="205" w:lineRule="exact"/>
        <w:rPr>
          <w:rFonts w:ascii="Arial" w:cs="Arial" w:eastAsia="Arial" w:hAnsi="Arial"/>
          <w:sz w:val="18"/>
          <w:szCs w:val="18"/>
          <w:color w:val="auto"/>
        </w:rPr>
      </w:pPr>
    </w:p>
    <w:p>
      <w:pPr>
        <w:ind w:left="320" w:right="20" w:hanging="172"/>
        <w:spacing w:after="0" w:line="266" w:lineRule="auto"/>
        <w:tabs>
          <w:tab w:leader="none" w:pos="3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$2 million higher expenses associated with CPUC-authorized refundable programs for which all costs incurred are fully recovered in revenue (refundable program expenses).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In the first nine months of 2014, SoCalGas’ operation and maintenance expenses increased by $32 million (3%) to $968 million primarily due to:</w:t>
      </w:r>
    </w:p>
    <w:p>
      <w:pPr>
        <w:spacing w:after="0" w:line="230" w:lineRule="exact"/>
        <w:rPr>
          <w:sz w:val="20"/>
          <w:szCs w:val="20"/>
          <w:color w:val="auto"/>
        </w:rPr>
      </w:pPr>
    </w:p>
    <w:p>
      <w:pPr>
        <w:ind w:left="320" w:hanging="172"/>
        <w:spacing w:after="0" w:line="266" w:lineRule="auto"/>
        <w:tabs>
          <w:tab w:leader="none" w:pos="3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$30 million higher expenses associated with CPUC-authorized refundable programs for which all costs incurred are fully recovered in revenue (refundable program expenses); and</w:t>
      </w:r>
    </w:p>
    <w:p>
      <w:pPr>
        <w:spacing w:after="0" w:line="199" w:lineRule="exact"/>
        <w:rPr>
          <w:rFonts w:ascii="Arial" w:cs="Arial" w:eastAsia="Arial" w:hAnsi="Arial"/>
          <w:sz w:val="18"/>
          <w:szCs w:val="18"/>
          <w:color w:val="auto"/>
        </w:rPr>
      </w:pPr>
    </w:p>
    <w:p>
      <w:pPr>
        <w:ind w:left="320" w:hanging="172"/>
        <w:spacing w:after="0"/>
        <w:tabs>
          <w:tab w:leader="none" w:pos="3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 xml:space="preserve">$7 million insurance recovery in 2013 of previously expensed cost; </w:t>
      </w:r>
      <w:r>
        <w:rPr>
          <w:rFonts w:ascii="Arial" w:cs="Arial" w:eastAsia="Arial" w:hAnsi="Arial"/>
          <w:sz w:val="18"/>
          <w:szCs w:val="18"/>
          <w:b w:val="1"/>
          <w:bCs w:val="1"/>
          <w:color w:val="auto"/>
        </w:rPr>
        <w:t>offset by</w:t>
      </w:r>
    </w:p>
    <w:p>
      <w:pPr>
        <w:spacing w:after="0" w:line="250" w:lineRule="exact"/>
        <w:rPr>
          <w:rFonts w:ascii="Arial" w:cs="Arial" w:eastAsia="Arial" w:hAnsi="Arial"/>
          <w:sz w:val="18"/>
          <w:szCs w:val="18"/>
          <w:color w:val="auto"/>
        </w:rPr>
      </w:pPr>
    </w:p>
    <w:p>
      <w:pPr>
        <w:ind w:left="320" w:hanging="172"/>
        <w:spacing w:after="0"/>
        <w:tabs>
          <w:tab w:leader="none" w:pos="32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$2 million lower operation and maintenance costs, including labor, contract services and administrative and support costs (non-refundable operating costs).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Plant Closure (Loss) Adjustment</w:t>
      </w:r>
    </w:p>
    <w:p>
      <w:pPr>
        <w:spacing w:after="0" w:line="211" w:lineRule="exact"/>
        <w:rPr>
          <w:sz w:val="20"/>
          <w:szCs w:val="20"/>
          <w:color w:val="auto"/>
        </w:rPr>
      </w:pPr>
    </w:p>
    <w:p>
      <w:pPr>
        <w:ind w:right="20"/>
        <w:spacing w:after="0" w:line="335" w:lineRule="auto"/>
        <w:rPr>
          <w:sz w:val="20"/>
          <w:szCs w:val="20"/>
          <w:color w:val="auto"/>
        </w:rPr>
      </w:pPr>
      <w:r>
        <w:rPr>
          <w:rFonts w:ascii="Arial" w:cs="Arial" w:eastAsia="Arial" w:hAnsi="Arial"/>
          <w:sz w:val="14"/>
          <w:szCs w:val="14"/>
          <w:color w:val="auto"/>
        </w:rPr>
        <w:t>SDG&amp;E has a 20-percent ownership interest in SONGS, a nuclear generating facility near San Clemente, California. SONGS’ Units 2 and 3 were shut down in early 2012 due to steam generator issues, and, in June 2013, Southern California Edison, the majority owner and operator of SONGS, made a decision to permanently retire these two units. In the second quarter of 2013, SDG&amp;E recorded a pretax charge of $200 million, which represents the portion of SDG&amp;E’s investment in SONGS and associated costs that management estimated may not be recovered in rates based on prior CPUC precedent. In the first quarter of 2014, SDG&amp;E recorded a $13 million favorable adjustment to adjust the total loss from plant closure (in addition to the amount recorded in 2013), based on a proposed settlement agreement filed with the CPUC. We discuss SONGS further in Note 9 of the Notes to Condensed Consolidated Financial Statements herein.</w:t>
      </w:r>
    </w:p>
    <w:p>
      <w:pPr>
        <w:spacing w:after="0" w:line="34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Gain on Sale of Equity Interests and Assets</w:t>
      </w:r>
    </w:p>
    <w:p>
      <w:pPr>
        <w:spacing w:after="0" w:line="211" w:lineRule="exact"/>
        <w:rPr>
          <w:sz w:val="20"/>
          <w:szCs w:val="20"/>
          <w:color w:val="auto"/>
        </w:rPr>
      </w:pPr>
    </w:p>
    <w:p>
      <w:pPr>
        <w:ind w:right="260"/>
        <w:spacing w:after="0" w:line="250" w:lineRule="auto"/>
        <w:rPr>
          <w:sz w:val="20"/>
          <w:szCs w:val="20"/>
          <w:color w:val="auto"/>
        </w:rPr>
      </w:pPr>
      <w:r>
        <w:rPr>
          <w:rFonts w:ascii="Arial" w:cs="Arial" w:eastAsia="Arial" w:hAnsi="Arial"/>
          <w:sz w:val="18"/>
          <w:szCs w:val="18"/>
          <w:color w:val="auto"/>
        </w:rPr>
        <w:t>Gain on sale of equity interests and assets in the nine months ended September 30, 2013 included the $74 million gain ($44 million after-tax) from the sale of one 625-MW block of the Mesquite Power natural gas-fired power plant (in the first quarter).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Also included in this line item are gains on the sale of 50-percent equity interests in 2014 and 2013 as follows: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2014:</w:t>
      </w:r>
    </w:p>
    <w:p>
      <w:pPr>
        <w:spacing w:after="0" w:line="218" w:lineRule="exact"/>
        <w:rPr>
          <w:sz w:val="20"/>
          <w:szCs w:val="20"/>
          <w:color w:val="auto"/>
        </w:rPr>
      </w:pPr>
    </w:p>
    <w:p>
      <w:pPr>
        <w:ind w:left="320" w:hanging="172"/>
        <w:spacing w:after="0"/>
        <w:tabs>
          <w:tab w:leader="none" w:pos="3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$19 million ($14 million after-tax) for the first phase of the Energía Sierra Juárez project (in the third quarter)</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$27 million ($16 million after-tax) for Copper Mountain Solar 3 (in the first quarter)</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2013:</w:t>
      </w:r>
    </w:p>
    <w:p>
      <w:pPr>
        <w:spacing w:after="0" w:line="218" w:lineRule="exact"/>
        <w:rPr>
          <w:sz w:val="20"/>
          <w:szCs w:val="20"/>
          <w:color w:val="auto"/>
        </w:rPr>
      </w:pPr>
    </w:p>
    <w:p>
      <w:pPr>
        <w:ind w:left="320" w:hanging="172"/>
        <w:spacing w:after="0"/>
        <w:tabs>
          <w:tab w:leader="none" w:pos="320" w:val="left"/>
        </w:tabs>
        <w:numPr>
          <w:ilvl w:val="0"/>
          <w:numId w:val="115"/>
        </w:numPr>
        <w:rPr>
          <w:rFonts w:ascii="Arial" w:cs="Arial" w:eastAsia="Arial" w:hAnsi="Arial"/>
          <w:sz w:val="18"/>
          <w:szCs w:val="18"/>
          <w:b w:val="1"/>
          <w:bCs w:val="1"/>
          <w:color w:val="auto"/>
        </w:rPr>
      </w:pPr>
      <w:r>
        <w:rPr>
          <w:rFonts w:ascii="Arial" w:cs="Arial" w:eastAsia="Arial" w:hAnsi="Arial"/>
          <w:sz w:val="18"/>
          <w:szCs w:val="18"/>
          <w:color w:val="auto"/>
        </w:rPr>
        <w:t>$36 million ($22 million after-tax) for Mesquite Solar 1 (in the third quarter)</w:t>
      </w:r>
    </w:p>
    <w:p>
      <w:pPr>
        <w:spacing w:after="0" w:line="244" w:lineRule="exact"/>
        <w:rPr>
          <w:rFonts w:ascii="Arial" w:cs="Arial" w:eastAsia="Arial" w:hAnsi="Arial"/>
          <w:sz w:val="18"/>
          <w:szCs w:val="18"/>
          <w:b w:val="1"/>
          <w:bCs w:val="1"/>
          <w:color w:val="auto"/>
        </w:rPr>
      </w:pPr>
    </w:p>
    <w:p>
      <w:pPr>
        <w:ind w:left="320" w:hanging="172"/>
        <w:spacing w:after="0"/>
        <w:tabs>
          <w:tab w:leader="none" w:pos="3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$4 million ($2 million after-tax) for Copper Mountain Solar 2 (in the third quarter)</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Equity Earnings, Before Income Tax</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and nine months ended September 30, 2014, equity earnings, before income tax, increased by $19 million and $41 million,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increase for the three-month period was primarily attributable to:</w:t>
      </w:r>
    </w:p>
    <w:p>
      <w:pPr>
        <w:spacing w:after="0" w:line="218" w:lineRule="exact"/>
        <w:rPr>
          <w:sz w:val="20"/>
          <w:szCs w:val="20"/>
          <w:color w:val="auto"/>
        </w:rPr>
      </w:pPr>
    </w:p>
    <w:p>
      <w:pPr>
        <w:ind w:left="320" w:hanging="172"/>
        <w:spacing w:after="0" w:line="266" w:lineRule="auto"/>
        <w:tabs>
          <w:tab w:leader="none" w:pos="3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$7 million equity earnings in 2014 compared to $10 million equity losses in 2013 from investments at Sempra Renewables, including Mesquite Solar 1, the California solar partnership and Flat Ridge 2; and</w:t>
      </w:r>
    </w:p>
    <w:p>
      <w:pPr>
        <w:spacing w:after="0" w:line="205" w:lineRule="exact"/>
        <w:rPr>
          <w:rFonts w:ascii="Arial" w:cs="Arial" w:eastAsia="Arial" w:hAnsi="Arial"/>
          <w:sz w:val="18"/>
          <w:szCs w:val="18"/>
          <w:color w:val="auto"/>
        </w:rPr>
      </w:pPr>
    </w:p>
    <w:p>
      <w:pPr>
        <w:ind w:left="320" w:hanging="172"/>
        <w:spacing w:after="0"/>
        <w:tabs>
          <w:tab w:leader="none" w:pos="3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$2 million higher equity earnings from the Rockies Express investment at Sempra Natural Gas.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increase for the first nine months of 2014 was primarily attributable to:</w:t>
      </w:r>
    </w:p>
    <w:p>
      <w:pPr>
        <w:spacing w:after="0" w:line="218" w:lineRule="exact"/>
        <w:rPr>
          <w:sz w:val="20"/>
          <w:szCs w:val="20"/>
          <w:color w:val="auto"/>
        </w:rPr>
      </w:pPr>
    </w:p>
    <w:p>
      <w:pPr>
        <w:ind w:left="320" w:hanging="172"/>
        <w:spacing w:after="0" w:line="266" w:lineRule="auto"/>
        <w:tabs>
          <w:tab w:leader="none" w:pos="3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$18 million equity earnings in 2014 compared to $12 million equity losses in 2013 from investments at Sempra Renewables, including Mesquite Solar 1, the California solar partnership, Fowler Ridge 2 Wind Farm and Copper Mountain Solar 2; and</w:t>
      </w:r>
    </w:p>
    <w:p>
      <w:pPr>
        <w:spacing w:after="0" w:line="205" w:lineRule="exact"/>
        <w:rPr>
          <w:rFonts w:ascii="Arial" w:cs="Arial" w:eastAsia="Arial" w:hAnsi="Arial"/>
          <w:sz w:val="18"/>
          <w:szCs w:val="18"/>
          <w:color w:val="auto"/>
        </w:rPr>
      </w:pPr>
    </w:p>
    <w:p>
      <w:pPr>
        <w:ind w:left="320" w:hanging="172"/>
        <w:spacing w:after="0"/>
        <w:tabs>
          <w:tab w:leader="none" w:pos="3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$11 million higher equity earnings from Rockies Express.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Other Income, Net</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Sempra Energy Consolidated</w:t>
      </w:r>
    </w:p>
    <w:p>
      <w:pPr>
        <w:sectPr>
          <w:pgSz w:w="11900" w:h="16838" w:orient="portrait"/>
          <w:cols w:equalWidth="0" w:num="1">
            <w:col w:w="11420"/>
          </w:cols>
          <w:pgMar w:left="240" w:top="122" w:right="239" w:bottom="0" w:gutter="0" w:footer="0" w:header="0"/>
        </w:sectPr>
      </w:pPr>
    </w:p>
    <w:bookmarkStart w:id="70" w:name="page71"/>
    <w:bookmarkEnd w:id="70"/>
    <w:p>
      <w:pPr>
        <w:ind w:right="280"/>
        <w:spacing w:after="0"/>
        <w:rPr>
          <w:sz w:val="20"/>
          <w:szCs w:val="20"/>
          <w:color w:val="auto"/>
        </w:rPr>
      </w:pPr>
      <w:r>
        <w:rPr>
          <w:rFonts w:ascii="Arial" w:cs="Arial" w:eastAsia="Arial" w:hAnsi="Arial"/>
          <w:sz w:val="18"/>
          <w:szCs w:val="18"/>
          <w:color w:val="auto"/>
        </w:rPr>
        <w:t>For the three months and nine months ended September 30, 2014, other income, net, increased by $13 million and $39 million, respectively, including $14 million and $34 million, respectively, of AFUDC related to equity in 2014 associated with construction of the Sonora natural gas pipeline at Sempra Mexico. Construction on the first segment of the Sonora Pipeline was completed in October 2014.</w:t>
      </w:r>
    </w:p>
    <w:p>
      <w:pPr>
        <w:spacing w:after="0" w:line="38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Income Taxes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income tax expense and effective income tax rates for Sempra Energy, SDG&amp;E and SoCalGas.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 EXPENSE AND EFFECTIVE INCOME TAX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-104775</wp:posOffset>
            </wp:positionV>
            <wp:extent cx="7248525" cy="2197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8525" cy="21971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80" w:type="dxa"/>
            <w:vAlign w:val="bottom"/>
          </w:tcPr>
          <w:p>
            <w:pPr>
              <w:jc w:val="center"/>
              <w:ind w:left="549"/>
              <w:spacing w:after="0"/>
              <w:rPr>
                <w:sz w:val="20"/>
                <w:szCs w:val="20"/>
                <w:color w:val="auto"/>
              </w:rPr>
            </w:pPr>
            <w:r>
              <w:rPr>
                <w:rFonts w:ascii="Arial" w:cs="Arial" w:eastAsia="Arial" w:hAnsi="Arial"/>
                <w:sz w:val="14"/>
                <w:szCs w:val="14"/>
                <w:color w:val="auto"/>
              </w:rPr>
              <w:t>Effective</w:t>
            </w:r>
          </w:p>
        </w:tc>
        <w:tc>
          <w:tcPr>
            <w:tcW w:w="6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color w:val="auto"/>
              </w:rPr>
              <w:t>Effective</w:t>
            </w:r>
          </w:p>
        </w:tc>
      </w:tr>
      <w:tr>
        <w:trPr>
          <w:trHeight w:val="213"/>
        </w:trPr>
        <w:tc>
          <w:tcPr>
            <w:tcW w:w="3600" w:type="dxa"/>
            <w:vAlign w:val="bottom"/>
          </w:tcPr>
          <w:p>
            <w:pPr>
              <w:spacing w:after="0"/>
              <w:rPr>
                <w:sz w:val="18"/>
                <w:szCs w:val="18"/>
                <w:color w:val="auto"/>
              </w:rPr>
            </w:pPr>
          </w:p>
        </w:tc>
        <w:tc>
          <w:tcPr>
            <w:tcW w:w="1580" w:type="dxa"/>
            <w:vAlign w:val="bottom"/>
          </w:tcPr>
          <w:p>
            <w:pPr>
              <w:jc w:val="right"/>
              <w:ind w:right="25"/>
              <w:spacing w:after="0"/>
              <w:rPr>
                <w:sz w:val="20"/>
                <w:szCs w:val="20"/>
                <w:color w:val="auto"/>
              </w:rPr>
            </w:pPr>
            <w:r>
              <w:rPr>
                <w:rFonts w:ascii="Arial" w:cs="Arial" w:eastAsia="Arial" w:hAnsi="Arial"/>
                <w:sz w:val="14"/>
                <w:szCs w:val="14"/>
                <w:color w:val="auto"/>
              </w:rPr>
              <w:t>Income Tax</w:t>
            </w:r>
          </w:p>
        </w:tc>
        <w:tc>
          <w:tcPr>
            <w:tcW w:w="360" w:type="dxa"/>
            <w:vAlign w:val="bottom"/>
          </w:tcPr>
          <w:p>
            <w:pPr>
              <w:spacing w:after="0"/>
              <w:rPr>
                <w:sz w:val="18"/>
                <w:szCs w:val="18"/>
                <w:color w:val="auto"/>
              </w:rPr>
            </w:pPr>
          </w:p>
        </w:tc>
        <w:tc>
          <w:tcPr>
            <w:tcW w:w="1480" w:type="dxa"/>
            <w:vAlign w:val="bottom"/>
          </w:tcPr>
          <w:p>
            <w:pPr>
              <w:jc w:val="center"/>
              <w:ind w:left="549"/>
              <w:spacing w:after="0"/>
              <w:rPr>
                <w:sz w:val="20"/>
                <w:szCs w:val="20"/>
                <w:color w:val="auto"/>
              </w:rPr>
            </w:pPr>
            <w:r>
              <w:rPr>
                <w:rFonts w:ascii="Arial" w:cs="Arial" w:eastAsia="Arial" w:hAnsi="Arial"/>
                <w:sz w:val="14"/>
                <w:szCs w:val="14"/>
                <w:color w:val="auto"/>
              </w:rPr>
              <w:t>Income</w:t>
            </w:r>
          </w:p>
        </w:tc>
        <w:tc>
          <w:tcPr>
            <w:tcW w:w="6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Income Tax</w:t>
            </w:r>
          </w:p>
        </w:tc>
        <w:tc>
          <w:tcPr>
            <w:tcW w:w="36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4"/>
                <w:szCs w:val="14"/>
                <w:color w:val="auto"/>
              </w:rPr>
              <w:t>Income</w:t>
            </w:r>
          </w:p>
        </w:tc>
      </w:tr>
      <w:tr>
        <w:trPr>
          <w:trHeight w:val="197"/>
        </w:trPr>
        <w:tc>
          <w:tcPr>
            <w:tcW w:w="3600" w:type="dxa"/>
            <w:vAlign w:val="bottom"/>
          </w:tcPr>
          <w:p>
            <w:pPr>
              <w:spacing w:after="0"/>
              <w:rPr>
                <w:sz w:val="17"/>
                <w:szCs w:val="17"/>
                <w:color w:val="auto"/>
              </w:rPr>
            </w:pPr>
          </w:p>
        </w:tc>
        <w:tc>
          <w:tcPr>
            <w:tcW w:w="1580" w:type="dxa"/>
            <w:vAlign w:val="bottom"/>
            <w:tcBorders>
              <w:bottom w:val="single" w:sz="8" w:color="auto"/>
            </w:tcBorders>
          </w:tcPr>
          <w:p>
            <w:pPr>
              <w:jc w:val="right"/>
              <w:ind w:right="105"/>
              <w:spacing w:after="0"/>
              <w:rPr>
                <w:sz w:val="20"/>
                <w:szCs w:val="20"/>
                <w:color w:val="auto"/>
              </w:rPr>
            </w:pPr>
            <w:r>
              <w:rPr>
                <w:rFonts w:ascii="Arial" w:cs="Arial" w:eastAsia="Arial" w:hAnsi="Arial"/>
                <w:sz w:val="14"/>
                <w:szCs w:val="14"/>
                <w:color w:val="auto"/>
              </w:rPr>
              <w:t>Expense</w:t>
            </w:r>
          </w:p>
        </w:tc>
        <w:tc>
          <w:tcPr>
            <w:tcW w:w="3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ind w:left="569"/>
              <w:spacing w:after="0"/>
              <w:rPr>
                <w:sz w:val="20"/>
                <w:szCs w:val="20"/>
                <w:color w:val="auto"/>
              </w:rPr>
            </w:pPr>
            <w:r>
              <w:rPr>
                <w:rFonts w:ascii="Arial" w:cs="Arial" w:eastAsia="Arial" w:hAnsi="Arial"/>
                <w:sz w:val="14"/>
                <w:szCs w:val="14"/>
                <w:color w:val="auto"/>
                <w:w w:val="98"/>
              </w:rPr>
              <w:t>Tax Rate</w:t>
            </w:r>
          </w:p>
        </w:tc>
        <w:tc>
          <w:tcPr>
            <w:tcW w:w="6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5"/>
              <w:spacing w:after="0"/>
              <w:rPr>
                <w:sz w:val="20"/>
                <w:szCs w:val="20"/>
                <w:color w:val="auto"/>
              </w:rPr>
            </w:pPr>
            <w:r>
              <w:rPr>
                <w:rFonts w:ascii="Arial" w:cs="Arial" w:eastAsia="Arial" w:hAnsi="Arial"/>
                <w:sz w:val="14"/>
                <w:szCs w:val="14"/>
                <w:color w:val="auto"/>
              </w:rPr>
              <w:t>Expense</w:t>
            </w:r>
          </w:p>
        </w:tc>
        <w:tc>
          <w:tcPr>
            <w:tcW w:w="3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Tax Rate</w:t>
            </w:r>
          </w:p>
        </w:tc>
      </w:tr>
      <w:tr>
        <w:trPr>
          <w:trHeight w:val="206"/>
        </w:trPr>
        <w:tc>
          <w:tcPr>
            <w:tcW w:w="3600" w:type="dxa"/>
            <w:vAlign w:val="bottom"/>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580" w:type="dxa"/>
            <w:vAlign w:val="bottom"/>
            <w:tcBorders>
              <w:bottom w:val="single" w:sz="8" w:color="auto"/>
            </w:tcBorders>
            <w:gridSpan w:val="3"/>
          </w:tcPr>
          <w:p>
            <w:pPr>
              <w:jc w:val="right"/>
              <w:ind w:right="245"/>
              <w:spacing w:after="0"/>
              <w:rPr>
                <w:sz w:val="20"/>
                <w:szCs w:val="20"/>
                <w:color w:val="auto"/>
              </w:rPr>
            </w:pPr>
            <w:r>
              <w:rPr>
                <w:rFonts w:ascii="Arial" w:cs="Arial" w:eastAsia="Arial" w:hAnsi="Arial"/>
                <w:sz w:val="14"/>
                <w:szCs w:val="14"/>
                <w:color w:val="auto"/>
              </w:rPr>
              <w:t>Three months ended September 30,</w:t>
            </w:r>
          </w:p>
        </w:tc>
        <w:tc>
          <w:tcPr>
            <w:tcW w:w="3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spacing w:after="0"/>
              <w:rPr>
                <w:sz w:val="17"/>
                <w:szCs w:val="17"/>
                <w:color w:val="auto"/>
              </w:rPr>
            </w:pPr>
          </w:p>
        </w:tc>
      </w:tr>
      <w:tr>
        <w:trPr>
          <w:trHeight w:val="206"/>
        </w:trPr>
        <w:tc>
          <w:tcPr>
            <w:tcW w:w="36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2"/>
          </w:tcPr>
          <w:p>
            <w:pPr>
              <w:jc w:val="right"/>
              <w:ind w:right="1009"/>
              <w:spacing w:after="0"/>
              <w:rPr>
                <w:sz w:val="20"/>
                <w:szCs w:val="20"/>
                <w:color w:val="auto"/>
              </w:rPr>
            </w:pPr>
            <w:r>
              <w:rPr>
                <w:rFonts w:ascii="Arial" w:cs="Arial" w:eastAsia="Arial" w:hAnsi="Arial"/>
                <w:sz w:val="14"/>
                <w:szCs w:val="14"/>
                <w:color w:val="auto"/>
              </w:rPr>
              <w:t>2014</w:t>
            </w:r>
          </w:p>
        </w:tc>
        <w:tc>
          <w:tcPr>
            <w:tcW w:w="6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2013</w:t>
            </w:r>
          </w:p>
        </w:tc>
      </w:tr>
      <w:tr>
        <w:trPr>
          <w:trHeight w:val="214"/>
        </w:trPr>
        <w:tc>
          <w:tcPr>
            <w:tcW w:w="3600" w:type="dxa"/>
            <w:vAlign w:val="bottom"/>
          </w:tcPr>
          <w:p>
            <w:pPr>
              <w:spacing w:after="0"/>
              <w:rPr>
                <w:sz w:val="20"/>
                <w:szCs w:val="20"/>
                <w:color w:val="auto"/>
              </w:rPr>
            </w:pPr>
            <w:r>
              <w:rPr>
                <w:rFonts w:ascii="Arial" w:cs="Arial" w:eastAsia="Arial" w:hAnsi="Arial"/>
                <w:sz w:val="16"/>
                <w:szCs w:val="16"/>
                <w:color w:val="auto"/>
              </w:rPr>
              <w:t>Sempra Energy Consolidated</w:t>
            </w:r>
          </w:p>
        </w:tc>
        <w:tc>
          <w:tcPr>
            <w:tcW w:w="1580" w:type="dxa"/>
            <w:vAlign w:val="bottom"/>
          </w:tcPr>
          <w:p>
            <w:pPr>
              <w:jc w:val="right"/>
              <w:ind w:right="1185"/>
              <w:spacing w:after="0"/>
              <w:rPr>
                <w:sz w:val="20"/>
                <w:szCs w:val="20"/>
                <w:color w:val="auto"/>
              </w:rPr>
            </w:pPr>
            <w:r>
              <w:rPr>
                <w:rFonts w:ascii="Arial" w:cs="Arial" w:eastAsia="Arial" w:hAnsi="Arial"/>
                <w:sz w:val="16"/>
                <w:szCs w:val="16"/>
                <w:color w:val="auto"/>
              </w:rPr>
              <w:t>$</w:t>
            </w:r>
          </w:p>
        </w:tc>
        <w:tc>
          <w:tcPr>
            <w:tcW w:w="1840" w:type="dxa"/>
            <w:vAlign w:val="bottom"/>
            <w:gridSpan w:val="2"/>
          </w:tcPr>
          <w:p>
            <w:pPr>
              <w:jc w:val="right"/>
              <w:ind w:right="1409"/>
              <w:spacing w:after="0"/>
              <w:rPr>
                <w:sz w:val="20"/>
                <w:szCs w:val="20"/>
                <w:color w:val="auto"/>
              </w:rPr>
            </w:pPr>
            <w:r>
              <w:rPr>
                <w:rFonts w:ascii="Arial" w:cs="Arial" w:eastAsia="Arial" w:hAnsi="Arial"/>
                <w:sz w:val="16"/>
                <w:szCs w:val="16"/>
                <w:color w:val="auto"/>
              </w:rPr>
              <w:t>71</w:t>
            </w:r>
          </w:p>
        </w:tc>
        <w:tc>
          <w:tcPr>
            <w:tcW w:w="660" w:type="dxa"/>
            <w:vAlign w:val="bottom"/>
          </w:tcPr>
          <w:p>
            <w:pPr>
              <w:ind w:left="140"/>
              <w:spacing w:after="0"/>
              <w:rPr>
                <w:sz w:val="20"/>
                <w:szCs w:val="20"/>
                <w:color w:val="auto"/>
              </w:rPr>
            </w:pPr>
            <w:r>
              <w:rPr>
                <w:rFonts w:ascii="Arial" w:cs="Arial" w:eastAsia="Arial" w:hAnsi="Arial"/>
                <w:sz w:val="16"/>
                <w:szCs w:val="16"/>
                <w:color w:val="auto"/>
              </w:rPr>
              <w:t>16%</w:t>
            </w:r>
          </w:p>
        </w:tc>
        <w:tc>
          <w:tcPr>
            <w:tcW w:w="1440" w:type="dxa"/>
            <w:vAlign w:val="bottom"/>
          </w:tcPr>
          <w:p>
            <w:pPr>
              <w:jc w:val="right"/>
              <w:ind w:right="1085"/>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117</w:t>
            </w:r>
          </w:p>
        </w:tc>
        <w:tc>
          <w:tcPr>
            <w:tcW w:w="1940" w:type="dxa"/>
            <w:vAlign w:val="bottom"/>
          </w:tcPr>
          <w:p>
            <w:pPr>
              <w:ind w:left="1440"/>
              <w:spacing w:after="0"/>
              <w:rPr>
                <w:sz w:val="20"/>
                <w:szCs w:val="20"/>
                <w:color w:val="auto"/>
              </w:rPr>
            </w:pPr>
            <w:r>
              <w:rPr>
                <w:rFonts w:ascii="Arial" w:cs="Arial" w:eastAsia="Arial" w:hAnsi="Arial"/>
                <w:sz w:val="16"/>
                <w:szCs w:val="16"/>
                <w:color w:val="auto"/>
              </w:rPr>
              <w:t>27%</w:t>
            </w:r>
          </w:p>
        </w:tc>
      </w:tr>
      <w:tr>
        <w:trPr>
          <w:trHeight w:val="213"/>
        </w:trPr>
        <w:tc>
          <w:tcPr>
            <w:tcW w:w="3600" w:type="dxa"/>
            <w:vAlign w:val="bottom"/>
          </w:tcPr>
          <w:p>
            <w:pPr>
              <w:spacing w:after="0"/>
              <w:rPr>
                <w:sz w:val="20"/>
                <w:szCs w:val="20"/>
                <w:color w:val="auto"/>
              </w:rPr>
            </w:pPr>
            <w:r>
              <w:rPr>
                <w:rFonts w:ascii="Arial" w:cs="Arial" w:eastAsia="Arial" w:hAnsi="Arial"/>
                <w:sz w:val="16"/>
                <w:szCs w:val="16"/>
                <w:color w:val="auto"/>
              </w:rPr>
              <w:t>SDG&amp;E</w:t>
            </w:r>
          </w:p>
        </w:tc>
        <w:tc>
          <w:tcPr>
            <w:tcW w:w="1580" w:type="dxa"/>
            <w:vAlign w:val="bottom"/>
          </w:tcPr>
          <w:p>
            <w:pPr>
              <w:spacing w:after="0"/>
              <w:rPr>
                <w:sz w:val="18"/>
                <w:szCs w:val="18"/>
                <w:color w:val="auto"/>
              </w:rPr>
            </w:pPr>
          </w:p>
        </w:tc>
        <w:tc>
          <w:tcPr>
            <w:tcW w:w="1840" w:type="dxa"/>
            <w:vAlign w:val="bottom"/>
            <w:gridSpan w:val="2"/>
          </w:tcPr>
          <w:p>
            <w:pPr>
              <w:jc w:val="right"/>
              <w:ind w:right="1409"/>
              <w:spacing w:after="0"/>
              <w:rPr>
                <w:sz w:val="20"/>
                <w:szCs w:val="20"/>
                <w:color w:val="auto"/>
              </w:rPr>
            </w:pPr>
            <w:r>
              <w:rPr>
                <w:rFonts w:ascii="Arial" w:cs="Arial" w:eastAsia="Arial" w:hAnsi="Arial"/>
                <w:sz w:val="16"/>
                <w:szCs w:val="16"/>
                <w:color w:val="auto"/>
              </w:rPr>
              <w:t>65</w:t>
            </w:r>
          </w:p>
        </w:tc>
        <w:tc>
          <w:tcPr>
            <w:tcW w:w="660" w:type="dxa"/>
            <w:vAlign w:val="bottom"/>
          </w:tcPr>
          <w:p>
            <w:pPr>
              <w:ind w:left="140"/>
              <w:spacing w:after="0"/>
              <w:rPr>
                <w:sz w:val="20"/>
                <w:szCs w:val="20"/>
                <w:color w:val="auto"/>
              </w:rPr>
            </w:pPr>
            <w:r>
              <w:rPr>
                <w:rFonts w:ascii="Arial" w:cs="Arial" w:eastAsia="Arial" w:hAnsi="Arial"/>
                <w:sz w:val="16"/>
                <w:szCs w:val="16"/>
                <w:color w:val="auto"/>
              </w:rPr>
              <w:t>28</w:t>
            </w:r>
          </w:p>
        </w:tc>
        <w:tc>
          <w:tcPr>
            <w:tcW w:w="14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84</w:t>
            </w:r>
          </w:p>
        </w:tc>
        <w:tc>
          <w:tcPr>
            <w:tcW w:w="1940" w:type="dxa"/>
            <w:vAlign w:val="bottom"/>
          </w:tcPr>
          <w:p>
            <w:pPr>
              <w:ind w:left="1440"/>
              <w:spacing w:after="0"/>
              <w:rPr>
                <w:sz w:val="20"/>
                <w:szCs w:val="20"/>
                <w:color w:val="auto"/>
              </w:rPr>
            </w:pPr>
            <w:r>
              <w:rPr>
                <w:rFonts w:ascii="Arial" w:cs="Arial" w:eastAsia="Arial" w:hAnsi="Arial"/>
                <w:sz w:val="16"/>
                <w:szCs w:val="16"/>
                <w:color w:val="auto"/>
              </w:rPr>
              <w:t>38</w:t>
            </w:r>
          </w:p>
        </w:tc>
      </w:tr>
      <w:tr>
        <w:trPr>
          <w:trHeight w:val="211"/>
        </w:trPr>
        <w:tc>
          <w:tcPr>
            <w:tcW w:w="3600" w:type="dxa"/>
            <w:vAlign w:val="bottom"/>
            <w:tcBorders>
              <w:bottom w:val="single" w:sz="8" w:color="A9A9A9"/>
            </w:tcBorders>
          </w:tcPr>
          <w:p>
            <w:pPr>
              <w:spacing w:after="0"/>
              <w:rPr>
                <w:sz w:val="20"/>
                <w:szCs w:val="20"/>
                <w:color w:val="auto"/>
              </w:rPr>
            </w:pPr>
            <w:r>
              <w:rPr>
                <w:rFonts w:ascii="Arial" w:cs="Arial" w:eastAsia="Arial" w:hAnsi="Arial"/>
                <w:sz w:val="16"/>
                <w:szCs w:val="16"/>
                <w:color w:val="auto"/>
              </w:rPr>
              <w:t>SoCalGas</w:t>
            </w:r>
          </w:p>
        </w:tc>
        <w:tc>
          <w:tcPr>
            <w:tcW w:w="1580" w:type="dxa"/>
            <w:vAlign w:val="bottom"/>
            <w:tcBorders>
              <w:bottom w:val="single" w:sz="8" w:color="A9A9A9"/>
            </w:tcBorders>
          </w:tcPr>
          <w:p>
            <w:pPr>
              <w:spacing w:after="0"/>
              <w:rPr>
                <w:sz w:val="18"/>
                <w:szCs w:val="18"/>
                <w:color w:val="auto"/>
              </w:rPr>
            </w:pPr>
          </w:p>
        </w:tc>
        <w:tc>
          <w:tcPr>
            <w:tcW w:w="1840" w:type="dxa"/>
            <w:vAlign w:val="bottom"/>
            <w:tcBorders>
              <w:bottom w:val="single" w:sz="8" w:color="A9A9A9"/>
            </w:tcBorders>
            <w:gridSpan w:val="2"/>
          </w:tcPr>
          <w:p>
            <w:pPr>
              <w:jc w:val="right"/>
              <w:ind w:right="1409"/>
              <w:spacing w:after="0"/>
              <w:rPr>
                <w:sz w:val="20"/>
                <w:szCs w:val="20"/>
                <w:color w:val="auto"/>
              </w:rPr>
            </w:pPr>
            <w:r>
              <w:rPr>
                <w:rFonts w:ascii="Arial" w:cs="Arial" w:eastAsia="Arial" w:hAnsi="Arial"/>
                <w:sz w:val="16"/>
                <w:szCs w:val="16"/>
                <w:color w:val="auto"/>
              </w:rPr>
              <w:t>44</w:t>
            </w:r>
          </w:p>
        </w:tc>
        <w:tc>
          <w:tcPr>
            <w:tcW w:w="660" w:type="dxa"/>
            <w:vAlign w:val="bottom"/>
            <w:tcBorders>
              <w:bottom w:val="single" w:sz="8" w:color="A9A9A9"/>
            </w:tcBorders>
          </w:tcPr>
          <w:p>
            <w:pPr>
              <w:ind w:left="140"/>
              <w:spacing w:after="0"/>
              <w:rPr>
                <w:sz w:val="20"/>
                <w:szCs w:val="20"/>
                <w:color w:val="auto"/>
              </w:rPr>
            </w:pPr>
            <w:r>
              <w:rPr>
                <w:rFonts w:ascii="Arial" w:cs="Arial" w:eastAsia="Arial" w:hAnsi="Arial"/>
                <w:sz w:val="16"/>
                <w:szCs w:val="16"/>
                <w:color w:val="auto"/>
              </w:rPr>
              <w:t>31</w:t>
            </w:r>
          </w:p>
        </w:tc>
        <w:tc>
          <w:tcPr>
            <w:tcW w:w="1440" w:type="dxa"/>
            <w:vAlign w:val="bottom"/>
            <w:tcBorders>
              <w:bottom w:val="single" w:sz="8" w:color="A9A9A9"/>
            </w:tcBorders>
          </w:tcPr>
          <w:p>
            <w:pPr>
              <w:spacing w:after="0"/>
              <w:rPr>
                <w:sz w:val="18"/>
                <w:szCs w:val="18"/>
                <w:color w:val="auto"/>
              </w:rPr>
            </w:pPr>
          </w:p>
        </w:tc>
        <w:tc>
          <w:tcPr>
            <w:tcW w:w="360" w:type="dxa"/>
            <w:vAlign w:val="bottom"/>
            <w:tcBorders>
              <w:bottom w:val="single" w:sz="8" w:color="A9A9A9"/>
            </w:tcBorders>
          </w:tcPr>
          <w:p>
            <w:pPr>
              <w:jc w:val="right"/>
              <w:spacing w:after="0"/>
              <w:rPr>
                <w:sz w:val="20"/>
                <w:szCs w:val="20"/>
                <w:color w:val="auto"/>
              </w:rPr>
            </w:pPr>
            <w:r>
              <w:rPr>
                <w:rFonts w:ascii="Arial" w:cs="Arial" w:eastAsia="Arial" w:hAnsi="Arial"/>
                <w:sz w:val="16"/>
                <w:szCs w:val="16"/>
                <w:color w:val="auto"/>
              </w:rPr>
              <w:t>38</w:t>
            </w:r>
          </w:p>
        </w:tc>
        <w:tc>
          <w:tcPr>
            <w:tcW w:w="1940" w:type="dxa"/>
            <w:vAlign w:val="bottom"/>
            <w:tcBorders>
              <w:bottom w:val="single" w:sz="8" w:color="A9A9A9"/>
            </w:tcBorders>
          </w:tcPr>
          <w:p>
            <w:pPr>
              <w:ind w:left="1440"/>
              <w:spacing w:after="0"/>
              <w:rPr>
                <w:sz w:val="20"/>
                <w:szCs w:val="20"/>
                <w:color w:val="auto"/>
              </w:rPr>
            </w:pPr>
            <w:r>
              <w:rPr>
                <w:rFonts w:ascii="Arial" w:cs="Arial" w:eastAsia="Arial" w:hAnsi="Arial"/>
                <w:sz w:val="16"/>
                <w:szCs w:val="16"/>
                <w:color w:val="auto"/>
              </w:rPr>
              <w:t>27</w:t>
            </w:r>
          </w:p>
        </w:tc>
      </w:tr>
      <w:tr>
        <w:trPr>
          <w:trHeight w:val="213"/>
        </w:trPr>
        <w:tc>
          <w:tcPr>
            <w:tcW w:w="3600" w:type="dxa"/>
            <w:vAlign w:val="bottom"/>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gridSpan w:val="3"/>
          </w:tcPr>
          <w:p>
            <w:pPr>
              <w:jc w:val="right"/>
              <w:ind w:right="285"/>
              <w:spacing w:after="0"/>
              <w:rPr>
                <w:sz w:val="20"/>
                <w:szCs w:val="20"/>
                <w:color w:val="auto"/>
              </w:rPr>
            </w:pPr>
            <w:r>
              <w:rPr>
                <w:rFonts w:ascii="Arial" w:cs="Arial" w:eastAsia="Arial" w:hAnsi="Arial"/>
                <w:sz w:val="14"/>
                <w:szCs w:val="14"/>
                <w:color w:val="auto"/>
              </w:rPr>
              <w:t>Nine months ended September 30,</w:t>
            </w:r>
          </w:p>
        </w:tc>
        <w:tc>
          <w:tcPr>
            <w:tcW w:w="3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r>
      <w:tr>
        <w:trPr>
          <w:trHeight w:val="206"/>
        </w:trPr>
        <w:tc>
          <w:tcPr>
            <w:tcW w:w="36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2"/>
          </w:tcPr>
          <w:p>
            <w:pPr>
              <w:jc w:val="right"/>
              <w:ind w:right="1009"/>
              <w:spacing w:after="0"/>
              <w:rPr>
                <w:sz w:val="20"/>
                <w:szCs w:val="20"/>
                <w:color w:val="auto"/>
              </w:rPr>
            </w:pPr>
            <w:r>
              <w:rPr>
                <w:rFonts w:ascii="Arial" w:cs="Arial" w:eastAsia="Arial" w:hAnsi="Arial"/>
                <w:sz w:val="14"/>
                <w:szCs w:val="14"/>
                <w:color w:val="auto"/>
              </w:rPr>
              <w:t>2014</w:t>
            </w:r>
          </w:p>
        </w:tc>
        <w:tc>
          <w:tcPr>
            <w:tcW w:w="6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2013</w:t>
            </w:r>
          </w:p>
        </w:tc>
      </w:tr>
      <w:tr>
        <w:trPr>
          <w:trHeight w:val="214"/>
        </w:trPr>
        <w:tc>
          <w:tcPr>
            <w:tcW w:w="3600" w:type="dxa"/>
            <w:vAlign w:val="bottom"/>
          </w:tcPr>
          <w:p>
            <w:pPr>
              <w:spacing w:after="0"/>
              <w:rPr>
                <w:sz w:val="20"/>
                <w:szCs w:val="20"/>
                <w:color w:val="auto"/>
              </w:rPr>
            </w:pPr>
            <w:r>
              <w:rPr>
                <w:rFonts w:ascii="Arial" w:cs="Arial" w:eastAsia="Arial" w:hAnsi="Arial"/>
                <w:sz w:val="16"/>
                <w:szCs w:val="16"/>
                <w:color w:val="auto"/>
              </w:rPr>
              <w:t>Sempra Energy Consolidated</w:t>
            </w:r>
          </w:p>
        </w:tc>
        <w:tc>
          <w:tcPr>
            <w:tcW w:w="1580" w:type="dxa"/>
            <w:vAlign w:val="bottom"/>
          </w:tcPr>
          <w:p>
            <w:pPr>
              <w:jc w:val="right"/>
              <w:ind w:right="1185"/>
              <w:spacing w:after="0"/>
              <w:rPr>
                <w:sz w:val="20"/>
                <w:szCs w:val="20"/>
                <w:color w:val="auto"/>
              </w:rPr>
            </w:pPr>
            <w:r>
              <w:rPr>
                <w:rFonts w:ascii="Arial" w:cs="Arial" w:eastAsia="Arial" w:hAnsi="Arial"/>
                <w:sz w:val="16"/>
                <w:szCs w:val="16"/>
                <w:color w:val="auto"/>
              </w:rPr>
              <w:t>$</w:t>
            </w:r>
          </w:p>
        </w:tc>
        <w:tc>
          <w:tcPr>
            <w:tcW w:w="1840" w:type="dxa"/>
            <w:vAlign w:val="bottom"/>
            <w:gridSpan w:val="2"/>
          </w:tcPr>
          <w:p>
            <w:pPr>
              <w:jc w:val="right"/>
              <w:ind w:right="1409"/>
              <w:spacing w:after="0"/>
              <w:rPr>
                <w:sz w:val="20"/>
                <w:szCs w:val="20"/>
                <w:color w:val="auto"/>
              </w:rPr>
            </w:pPr>
            <w:r>
              <w:rPr>
                <w:rFonts w:ascii="Arial" w:cs="Arial" w:eastAsia="Arial" w:hAnsi="Arial"/>
                <w:sz w:val="16"/>
                <w:szCs w:val="16"/>
                <w:color w:val="auto"/>
              </w:rPr>
              <w:t>291</w:t>
            </w:r>
          </w:p>
        </w:tc>
        <w:tc>
          <w:tcPr>
            <w:tcW w:w="660" w:type="dxa"/>
            <w:vAlign w:val="bottom"/>
          </w:tcPr>
          <w:p>
            <w:pPr>
              <w:ind w:left="140"/>
              <w:spacing w:after="0"/>
              <w:rPr>
                <w:sz w:val="20"/>
                <w:szCs w:val="20"/>
                <w:color w:val="auto"/>
              </w:rPr>
            </w:pPr>
            <w:r>
              <w:rPr>
                <w:rFonts w:ascii="Arial" w:cs="Arial" w:eastAsia="Arial" w:hAnsi="Arial"/>
                <w:sz w:val="16"/>
                <w:szCs w:val="16"/>
                <w:color w:val="auto"/>
              </w:rPr>
              <w:t>24%</w:t>
            </w:r>
          </w:p>
        </w:tc>
        <w:tc>
          <w:tcPr>
            <w:tcW w:w="1440" w:type="dxa"/>
            <w:vAlign w:val="bottom"/>
          </w:tcPr>
          <w:p>
            <w:pPr>
              <w:jc w:val="right"/>
              <w:ind w:right="1085"/>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327</w:t>
            </w:r>
          </w:p>
        </w:tc>
        <w:tc>
          <w:tcPr>
            <w:tcW w:w="1940" w:type="dxa"/>
            <w:vAlign w:val="bottom"/>
          </w:tcPr>
          <w:p>
            <w:pPr>
              <w:ind w:left="1440"/>
              <w:spacing w:after="0"/>
              <w:rPr>
                <w:sz w:val="20"/>
                <w:szCs w:val="20"/>
                <w:color w:val="auto"/>
              </w:rPr>
            </w:pPr>
            <w:r>
              <w:rPr>
                <w:rFonts w:ascii="Arial" w:cs="Arial" w:eastAsia="Arial" w:hAnsi="Arial"/>
                <w:sz w:val="16"/>
                <w:szCs w:val="16"/>
                <w:color w:val="auto"/>
              </w:rPr>
              <w:t>30%</w:t>
            </w:r>
          </w:p>
        </w:tc>
      </w:tr>
      <w:tr>
        <w:trPr>
          <w:trHeight w:val="213"/>
        </w:trPr>
        <w:tc>
          <w:tcPr>
            <w:tcW w:w="3600" w:type="dxa"/>
            <w:vAlign w:val="bottom"/>
          </w:tcPr>
          <w:p>
            <w:pPr>
              <w:spacing w:after="0"/>
              <w:rPr>
                <w:sz w:val="20"/>
                <w:szCs w:val="20"/>
                <w:color w:val="auto"/>
              </w:rPr>
            </w:pPr>
            <w:r>
              <w:rPr>
                <w:rFonts w:ascii="Arial" w:cs="Arial" w:eastAsia="Arial" w:hAnsi="Arial"/>
                <w:sz w:val="16"/>
                <w:szCs w:val="16"/>
                <w:color w:val="auto"/>
              </w:rPr>
              <w:t>SDG&amp;E</w:t>
            </w:r>
          </w:p>
        </w:tc>
        <w:tc>
          <w:tcPr>
            <w:tcW w:w="1580" w:type="dxa"/>
            <w:vAlign w:val="bottom"/>
          </w:tcPr>
          <w:p>
            <w:pPr>
              <w:spacing w:after="0"/>
              <w:rPr>
                <w:sz w:val="18"/>
                <w:szCs w:val="18"/>
                <w:color w:val="auto"/>
              </w:rPr>
            </w:pPr>
          </w:p>
        </w:tc>
        <w:tc>
          <w:tcPr>
            <w:tcW w:w="1840" w:type="dxa"/>
            <w:vAlign w:val="bottom"/>
            <w:gridSpan w:val="2"/>
          </w:tcPr>
          <w:p>
            <w:pPr>
              <w:jc w:val="right"/>
              <w:ind w:right="1409"/>
              <w:spacing w:after="0"/>
              <w:rPr>
                <w:sz w:val="20"/>
                <w:szCs w:val="20"/>
                <w:color w:val="auto"/>
              </w:rPr>
            </w:pPr>
            <w:r>
              <w:rPr>
                <w:rFonts w:ascii="Arial" w:cs="Arial" w:eastAsia="Arial" w:hAnsi="Arial"/>
                <w:sz w:val="16"/>
                <w:szCs w:val="16"/>
                <w:color w:val="auto"/>
              </w:rPr>
              <w:t>217</w:t>
            </w:r>
          </w:p>
        </w:tc>
        <w:tc>
          <w:tcPr>
            <w:tcW w:w="660" w:type="dxa"/>
            <w:vAlign w:val="bottom"/>
          </w:tcPr>
          <w:p>
            <w:pPr>
              <w:ind w:left="140"/>
              <w:spacing w:after="0"/>
              <w:rPr>
                <w:sz w:val="20"/>
                <w:szCs w:val="20"/>
                <w:color w:val="auto"/>
              </w:rPr>
            </w:pPr>
            <w:r>
              <w:rPr>
                <w:rFonts w:ascii="Arial" w:cs="Arial" w:eastAsia="Arial" w:hAnsi="Arial"/>
                <w:sz w:val="16"/>
                <w:szCs w:val="16"/>
                <w:color w:val="auto"/>
              </w:rPr>
              <w:t>35</w:t>
            </w:r>
          </w:p>
        </w:tc>
        <w:tc>
          <w:tcPr>
            <w:tcW w:w="14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147</w:t>
            </w:r>
          </w:p>
        </w:tc>
        <w:tc>
          <w:tcPr>
            <w:tcW w:w="1940" w:type="dxa"/>
            <w:vAlign w:val="bottom"/>
          </w:tcPr>
          <w:p>
            <w:pPr>
              <w:ind w:left="1440"/>
              <w:spacing w:after="0"/>
              <w:rPr>
                <w:sz w:val="20"/>
                <w:szCs w:val="20"/>
                <w:color w:val="auto"/>
              </w:rPr>
            </w:pPr>
            <w:r>
              <w:rPr>
                <w:rFonts w:ascii="Arial" w:cs="Arial" w:eastAsia="Arial" w:hAnsi="Arial"/>
                <w:sz w:val="16"/>
                <w:szCs w:val="16"/>
                <w:color w:val="auto"/>
              </w:rPr>
              <w:t>33</w:t>
            </w:r>
          </w:p>
        </w:tc>
      </w:tr>
      <w:tr>
        <w:trPr>
          <w:trHeight w:val="211"/>
        </w:trPr>
        <w:tc>
          <w:tcPr>
            <w:tcW w:w="3600" w:type="dxa"/>
            <w:vAlign w:val="bottom"/>
            <w:tcBorders>
              <w:bottom w:val="single" w:sz="8" w:color="A9A9A9"/>
            </w:tcBorders>
          </w:tcPr>
          <w:p>
            <w:pPr>
              <w:spacing w:after="0"/>
              <w:rPr>
                <w:sz w:val="20"/>
                <w:szCs w:val="20"/>
                <w:color w:val="auto"/>
              </w:rPr>
            </w:pPr>
            <w:r>
              <w:rPr>
                <w:rFonts w:ascii="Arial" w:cs="Arial" w:eastAsia="Arial" w:hAnsi="Arial"/>
                <w:sz w:val="16"/>
                <w:szCs w:val="16"/>
                <w:color w:val="auto"/>
              </w:rPr>
              <w:t>SoCalGas</w:t>
            </w:r>
          </w:p>
        </w:tc>
        <w:tc>
          <w:tcPr>
            <w:tcW w:w="1580" w:type="dxa"/>
            <w:vAlign w:val="bottom"/>
            <w:tcBorders>
              <w:bottom w:val="single" w:sz="8" w:color="A6A6A6"/>
            </w:tcBorders>
          </w:tcPr>
          <w:p>
            <w:pPr>
              <w:spacing w:after="0"/>
              <w:rPr>
                <w:sz w:val="18"/>
                <w:szCs w:val="18"/>
                <w:color w:val="auto"/>
              </w:rPr>
            </w:pPr>
          </w:p>
        </w:tc>
        <w:tc>
          <w:tcPr>
            <w:tcW w:w="3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110</w:t>
            </w:r>
          </w:p>
        </w:tc>
        <w:tc>
          <w:tcPr>
            <w:tcW w:w="1480" w:type="dxa"/>
            <w:vAlign w:val="bottom"/>
            <w:tcBorders>
              <w:bottom w:val="single" w:sz="8" w:color="A9A9A9"/>
            </w:tcBorders>
          </w:tcPr>
          <w:p>
            <w:pPr>
              <w:spacing w:after="0"/>
              <w:rPr>
                <w:sz w:val="18"/>
                <w:szCs w:val="18"/>
                <w:color w:val="auto"/>
              </w:rPr>
            </w:pPr>
          </w:p>
        </w:tc>
        <w:tc>
          <w:tcPr>
            <w:tcW w:w="660" w:type="dxa"/>
            <w:vAlign w:val="bottom"/>
            <w:tcBorders>
              <w:bottom w:val="single" w:sz="8" w:color="A9A9A9"/>
            </w:tcBorders>
          </w:tcPr>
          <w:p>
            <w:pPr>
              <w:ind w:left="140"/>
              <w:spacing w:after="0"/>
              <w:rPr>
                <w:sz w:val="20"/>
                <w:szCs w:val="20"/>
                <w:color w:val="auto"/>
              </w:rPr>
            </w:pPr>
            <w:r>
              <w:rPr>
                <w:rFonts w:ascii="Arial" w:cs="Arial" w:eastAsia="Arial" w:hAnsi="Arial"/>
                <w:sz w:val="16"/>
                <w:szCs w:val="16"/>
                <w:color w:val="auto"/>
              </w:rPr>
              <w:t>30</w:t>
            </w:r>
          </w:p>
        </w:tc>
        <w:tc>
          <w:tcPr>
            <w:tcW w:w="1440" w:type="dxa"/>
            <w:vAlign w:val="bottom"/>
            <w:tcBorders>
              <w:bottom w:val="single" w:sz="8" w:color="A9A9A9"/>
            </w:tcBorders>
          </w:tcPr>
          <w:p>
            <w:pPr>
              <w:spacing w:after="0"/>
              <w:rPr>
                <w:sz w:val="18"/>
                <w:szCs w:val="18"/>
                <w:color w:val="auto"/>
              </w:rPr>
            </w:pPr>
          </w:p>
        </w:tc>
        <w:tc>
          <w:tcPr>
            <w:tcW w:w="360" w:type="dxa"/>
            <w:vAlign w:val="bottom"/>
            <w:tcBorders>
              <w:bottom w:val="single" w:sz="8" w:color="A9A9A9"/>
            </w:tcBorders>
          </w:tcPr>
          <w:p>
            <w:pPr>
              <w:jc w:val="right"/>
              <w:spacing w:after="0"/>
              <w:rPr>
                <w:sz w:val="20"/>
                <w:szCs w:val="20"/>
                <w:color w:val="auto"/>
              </w:rPr>
            </w:pPr>
            <w:r>
              <w:rPr>
                <w:rFonts w:ascii="Arial" w:cs="Arial" w:eastAsia="Arial" w:hAnsi="Arial"/>
                <w:sz w:val="16"/>
                <w:szCs w:val="16"/>
                <w:color w:val="auto"/>
              </w:rPr>
              <w:t>107</w:t>
            </w:r>
          </w:p>
        </w:tc>
        <w:tc>
          <w:tcPr>
            <w:tcW w:w="1940" w:type="dxa"/>
            <w:vAlign w:val="bottom"/>
            <w:tcBorders>
              <w:bottom w:val="single" w:sz="8" w:color="A9A9A9"/>
            </w:tcBorders>
          </w:tcPr>
          <w:p>
            <w:pPr>
              <w:ind w:left="1440"/>
              <w:spacing w:after="0"/>
              <w:rPr>
                <w:sz w:val="20"/>
                <w:szCs w:val="20"/>
                <w:color w:val="auto"/>
              </w:rPr>
            </w:pPr>
            <w:r>
              <w:rPr>
                <w:rFonts w:ascii="Arial" w:cs="Arial" w:eastAsia="Arial" w:hAnsi="Arial"/>
                <w:sz w:val="16"/>
                <w:szCs w:val="16"/>
                <w:color w:val="auto"/>
              </w:rPr>
              <w:t>29</w:t>
            </w:r>
          </w:p>
        </w:tc>
      </w:tr>
    </w:tbl>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Sempra Energy Consolidated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decrease in income tax expense in the three months ended September 30, 2014 was mainly due to a lower effective tax rate, primarily from:</w:t>
      </w:r>
    </w:p>
    <w:p>
      <w:pPr>
        <w:spacing w:after="0" w:line="230" w:lineRule="exact"/>
        <w:rPr>
          <w:sz w:val="20"/>
          <w:szCs w:val="20"/>
          <w:color w:val="auto"/>
        </w:rPr>
      </w:pPr>
    </w:p>
    <w:p>
      <w:pPr>
        <w:ind w:left="320" w:hanging="172"/>
        <w:spacing w:after="0" w:line="266" w:lineRule="auto"/>
        <w:tabs>
          <w:tab w:leader="none" w:pos="3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$25 million tax benefit due to the release in 2014 of Louisiana valuation allowance against a deferred tax asset associated with Cameron LNG developments;</w:t>
      </w:r>
    </w:p>
    <w:p>
      <w:pPr>
        <w:spacing w:after="0" w:line="205" w:lineRule="exact"/>
        <w:rPr>
          <w:rFonts w:ascii="Arial" w:cs="Arial" w:eastAsia="Arial" w:hAnsi="Arial"/>
          <w:sz w:val="18"/>
          <w:szCs w:val="18"/>
          <w:color w:val="auto"/>
        </w:rPr>
      </w:pPr>
    </w:p>
    <w:p>
      <w:pPr>
        <w:ind w:left="320" w:hanging="172"/>
        <w:spacing w:after="0"/>
        <w:tabs>
          <w:tab w:leader="none" w:pos="3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higher income tax benefit from Mexican currency translation and inflation adjustments; and</w:t>
      </w:r>
    </w:p>
    <w:p>
      <w:pPr>
        <w:spacing w:after="0" w:line="238" w:lineRule="exact"/>
        <w:rPr>
          <w:rFonts w:ascii="Arial" w:cs="Arial" w:eastAsia="Arial" w:hAnsi="Arial"/>
          <w:sz w:val="18"/>
          <w:szCs w:val="18"/>
          <w:color w:val="auto"/>
        </w:rPr>
      </w:pPr>
    </w:p>
    <w:p>
      <w:pPr>
        <w:ind w:left="320" w:hanging="172"/>
        <w:spacing w:after="0"/>
        <w:tabs>
          <w:tab w:leader="none" w:pos="3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favorable adjustments to prior years’ income tax items in 2014; </w:t>
      </w:r>
      <w:r>
        <w:rPr>
          <w:rFonts w:ascii="Arial" w:cs="Arial" w:eastAsia="Arial" w:hAnsi="Arial"/>
          <w:sz w:val="18"/>
          <w:szCs w:val="18"/>
          <w:b w:val="1"/>
          <w:bCs w:val="1"/>
          <w:color w:val="auto"/>
        </w:rPr>
        <w:t>offset by</w:t>
      </w:r>
    </w:p>
    <w:p>
      <w:pPr>
        <w:spacing w:after="0" w:line="250" w:lineRule="exact"/>
        <w:rPr>
          <w:rFonts w:ascii="Arial" w:cs="Arial" w:eastAsia="Arial" w:hAnsi="Arial"/>
          <w:sz w:val="18"/>
          <w:szCs w:val="18"/>
          <w:color w:val="auto"/>
        </w:rPr>
      </w:pPr>
    </w:p>
    <w:p>
      <w:pPr>
        <w:ind w:left="320" w:hanging="172"/>
        <w:spacing w:after="0"/>
        <w:tabs>
          <w:tab w:leader="none" w:pos="3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$8 million U.S. tax on the repatriation of a portion of current year earnings from certain non-U.S. subsidiaries in Mexico and Peru.</w:t>
      </w:r>
    </w:p>
    <w:p>
      <w:pPr>
        <w:spacing w:after="0" w:line="245"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color w:val="auto"/>
        </w:rPr>
        <w:t>In the first nine months of 2014, the decrease in income tax expense was due to a lower effective tax rate, offset by higher pretax income. The lower effective income tax rate was primarily due to:</w:t>
      </w:r>
    </w:p>
    <w:p>
      <w:pPr>
        <w:spacing w:after="0" w:line="179" w:lineRule="exact"/>
        <w:rPr>
          <w:sz w:val="20"/>
          <w:szCs w:val="20"/>
          <w:color w:val="auto"/>
        </w:rPr>
      </w:pPr>
    </w:p>
    <w:p>
      <w:pPr>
        <w:ind w:left="320" w:hanging="172"/>
        <w:spacing w:after="0" w:line="266" w:lineRule="auto"/>
        <w:tabs>
          <w:tab w:leader="none" w:pos="3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$63 million income tax expense in 2013 resulting from a corporate reorganization in connection with the IEnova stock offerings. We discuss the stock offerings in Note 5 of the Notes to Condensed Consolidated Financial Statements herein; and</w:t>
      </w:r>
    </w:p>
    <w:p>
      <w:pPr>
        <w:spacing w:after="0" w:line="205" w:lineRule="exact"/>
        <w:rPr>
          <w:rFonts w:ascii="Arial" w:cs="Arial" w:eastAsia="Arial" w:hAnsi="Arial"/>
          <w:sz w:val="18"/>
          <w:szCs w:val="18"/>
          <w:color w:val="auto"/>
        </w:rPr>
      </w:pPr>
    </w:p>
    <w:p>
      <w:pPr>
        <w:ind w:left="320" w:hanging="172"/>
        <w:spacing w:after="0" w:line="266" w:lineRule="auto"/>
        <w:tabs>
          <w:tab w:leader="none" w:pos="3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$25 million tax benefit due to the release in 2014 of Louisiana valuation allowance against a deferred tax asset associated with Cameron LNG developments; </w:t>
      </w:r>
      <w:r>
        <w:rPr>
          <w:rFonts w:ascii="Arial" w:cs="Arial" w:eastAsia="Arial" w:hAnsi="Arial"/>
          <w:sz w:val="18"/>
          <w:szCs w:val="18"/>
          <w:b w:val="1"/>
          <w:bCs w:val="1"/>
          <w:color w:val="auto"/>
        </w:rPr>
        <w:t>offset by</w:t>
      </w:r>
    </w:p>
    <w:p>
      <w:pPr>
        <w:spacing w:after="0" w:line="205" w:lineRule="exact"/>
        <w:rPr>
          <w:rFonts w:ascii="Arial" w:cs="Arial" w:eastAsia="Arial" w:hAnsi="Arial"/>
          <w:sz w:val="18"/>
          <w:szCs w:val="18"/>
          <w:color w:val="auto"/>
        </w:rPr>
      </w:pPr>
    </w:p>
    <w:p>
      <w:pPr>
        <w:ind w:left="320" w:hanging="172"/>
        <w:spacing w:after="0"/>
        <w:tabs>
          <w:tab w:leader="none" w:pos="3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$32 million U.S. tax on the repatriation of a portion of current year earnings from certain non-U.S. subsidiaries in Mexico and Peru; and</w:t>
      </w:r>
    </w:p>
    <w:p>
      <w:pPr>
        <w:spacing w:after="0" w:line="244" w:lineRule="exact"/>
        <w:rPr>
          <w:rFonts w:ascii="Arial" w:cs="Arial" w:eastAsia="Arial" w:hAnsi="Arial"/>
          <w:sz w:val="18"/>
          <w:szCs w:val="18"/>
          <w:color w:val="auto"/>
        </w:rPr>
      </w:pPr>
    </w:p>
    <w:p>
      <w:pPr>
        <w:jc w:val="both"/>
        <w:ind w:left="320" w:hanging="172"/>
        <w:spacing w:after="0" w:line="256" w:lineRule="auto"/>
        <w:tabs>
          <w:tab w:leader="none" w:pos="320" w:val="left"/>
        </w:tabs>
        <w:numPr>
          <w:ilvl w:val="0"/>
          <w:numId w:val="119"/>
        </w:numPr>
        <w:rPr>
          <w:rFonts w:ascii="Arial" w:cs="Arial" w:eastAsia="Arial" w:hAnsi="Arial"/>
          <w:sz w:val="18"/>
          <w:szCs w:val="18"/>
          <w:b w:val="1"/>
          <w:bCs w:val="1"/>
          <w:color w:val="auto"/>
        </w:rPr>
      </w:pPr>
      <w:r>
        <w:rPr>
          <w:rFonts w:ascii="Arial" w:cs="Arial" w:eastAsia="Arial" w:hAnsi="Arial"/>
          <w:sz w:val="18"/>
          <w:szCs w:val="18"/>
          <w:color w:val="auto"/>
        </w:rPr>
        <w:t>a $17 million charge to reduce certain tax regulatory assets attributed to SDG&amp;E’s investment in SONGS that may no longer be recoverable from customers in rates pursuant to the proposed settlement agreement to resolve the CPUC’s Order Instituting Investigation (OII) into the SONGS outage that we discuss in Note 9 of the Notes to Condensed Consolidated Financial Statements herein.</w:t>
      </w:r>
    </w:p>
    <w:p>
      <w:pPr>
        <w:spacing w:after="0" w:line="21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As noted in “Results of Operations – Changes in Revenues, Costs and Earnings – Income Taxes” in “Management’s Discussion and Analysis of Financial Condition and Results of Operations” in the Annual Report, we have planned to repatriate a portion of current earnings beginning in 2014 from our subsidiaries in Mexico and Peru. Currently, all repatriated earnings from January 1, 2014 forward (reduced for previously taxed income) are subject to U.S. income tax (with credits for foreign income taxes), and repatriation from Peru is subject to local country withholding tax. Because any repatriation would only be from earnings in 2014 and later years, it does not change our current assertion that we intend to continue to indefinitely reinvest our cumulative undistributed non-U.S. earnings through December 31, 2013. Therefore, we do not intend to use these cumulative undistributed earnings as a source of funding for U.S. operations.</w:t>
      </w:r>
    </w:p>
    <w:p>
      <w:pPr>
        <w:spacing w:after="0" w:line="16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As we discuss in Note 5 of the Notes to Condensed Consolidated Financial Statements herein, Sempra Energy, SDG&amp;E and SoCalGas record income taxes for interim periods utilizing a forecasted effective tax rate anticipated for the full year, as required by U.S. GAAP. The income tax effect of items that can be reliably forecasted on a full year basis are factored into the forecasted effective tax rate and their impact is recognized proportionately over the year. Items that cannot be reliably forecasted are recorded in the interim period in which they actually occur, which can result in variability to income tax expense.</w:t>
      </w:r>
    </w:p>
    <w:p>
      <w:pPr>
        <w:spacing w:after="0" w:line="162"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color w:val="auto"/>
        </w:rPr>
        <w:t>Due to the extension of bonus depreciation, Sempra Energy, SDG&amp;E and SoCalGas generated large U.S. federal net operating losses (NOLs) in 2011 and 2012. We discuss further the impact of NOLs on Sempra Energy, SDG&amp;E and SoCalGas in “Results of Operations – Changes in Revenues, Costs and Earnings – Income Taxes” in “Management’s Discussion and Analysis of Financial Condition and Results of Operations” in the Annual Report.</w:t>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Chilean Tax Reform</w:t>
      </w:r>
    </w:p>
    <w:p>
      <w:pPr>
        <w:sectPr>
          <w:pgSz w:w="11900" w:h="16838" w:orient="portrait"/>
          <w:cols w:equalWidth="0" w:num="1">
            <w:col w:w="11420"/>
          </w:cols>
          <w:pgMar w:left="240" w:top="127" w:right="239" w:bottom="0" w:gutter="0" w:footer="0" w:header="0"/>
        </w:sectPr>
      </w:pPr>
    </w:p>
    <w:p>
      <w:pPr>
        <w:spacing w:after="0" w:line="211" w:lineRule="exact"/>
        <w:rPr>
          <w:sz w:val="20"/>
          <w:szCs w:val="20"/>
          <w:color w:val="auto"/>
        </w:rPr>
      </w:pPr>
    </w:p>
    <w:p>
      <w:pPr>
        <w:ind w:right="80"/>
        <w:spacing w:after="0" w:line="303" w:lineRule="auto"/>
        <w:rPr>
          <w:sz w:val="20"/>
          <w:szCs w:val="20"/>
          <w:color w:val="auto"/>
        </w:rPr>
      </w:pPr>
      <w:r>
        <w:rPr>
          <w:rFonts w:ascii="Arial" w:cs="Arial" w:eastAsia="Arial" w:hAnsi="Arial"/>
          <w:sz w:val="16"/>
          <w:szCs w:val="16"/>
          <w:color w:val="auto"/>
        </w:rPr>
        <w:t>The 2014 Chilean Tax Reform Bill (Tax Reform Bill) became effective on September 29, 2014. Taxpayers have an option of being taxed under two approaches. For the approach that we intend to select, the corporate income tax rates will increase gradually, between 2014 and 2017, from 21 percent to 27 percent. To reflect the impact of the change in tax law, we remeasured our Chilean deferred tax balances, which resulted in an additional $6 million of deferred tax expense</w:t>
      </w:r>
    </w:p>
    <w:p>
      <w:pPr>
        <w:sectPr>
          <w:pgSz w:w="11900" w:h="16838" w:orient="portrait"/>
          <w:cols w:equalWidth="0" w:num="1">
            <w:col w:w="11420"/>
          </w:cols>
          <w:pgMar w:left="240" w:top="127" w:right="239" w:bottom="0" w:gutter="0" w:footer="0" w:header="0"/>
          <w:type w:val="continuous"/>
        </w:sectPr>
      </w:pPr>
    </w:p>
    <w:bookmarkStart w:id="71" w:name="page72"/>
    <w:bookmarkEnd w:id="71"/>
    <w:p>
      <w:pPr>
        <w:ind w:right="340"/>
        <w:spacing w:after="0" w:line="329" w:lineRule="auto"/>
        <w:rPr>
          <w:sz w:val="20"/>
          <w:szCs w:val="20"/>
          <w:color w:val="auto"/>
        </w:rPr>
      </w:pPr>
      <w:r>
        <w:rPr>
          <w:rFonts w:ascii="Arial" w:cs="Arial" w:eastAsia="Arial" w:hAnsi="Arial"/>
          <w:sz w:val="16"/>
          <w:szCs w:val="16"/>
          <w:color w:val="auto"/>
        </w:rPr>
        <w:t>that was recorded in the third quarter of 2014. The Tax Reform Bill also imposes a tax on earnings distributed to non-Chilean shareholders. However, since Sempra Energy intends to indefinitely reinvest the cumulative Chilean earnings, there is no impact from the Tax Reform Bill’s shareholder level income tax.</w:t>
      </w:r>
    </w:p>
    <w:p>
      <w:pPr>
        <w:spacing w:after="0" w:line="129"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SDG&amp;E</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decrease in SDG&amp;E’s income tax expense in the three months ended September 30, 2014 was mainly due to a lower effective tax rate, primarily from:</w:t>
      </w:r>
    </w:p>
    <w:p>
      <w:pPr>
        <w:spacing w:after="0" w:line="241" w:lineRule="exact"/>
        <w:rPr>
          <w:sz w:val="20"/>
          <w:szCs w:val="20"/>
          <w:color w:val="auto"/>
        </w:rPr>
      </w:pPr>
    </w:p>
    <w:p>
      <w:pPr>
        <w:ind w:left="320" w:hanging="172"/>
        <w:spacing w:after="0"/>
        <w:tabs>
          <w:tab w:leader="none" w:pos="3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favorable adjustments to prior years’ income tax items in 2014 compared to unfavorable adjustments in 2013; and</w:t>
      </w:r>
    </w:p>
    <w:p>
      <w:pPr>
        <w:spacing w:after="0" w:line="244" w:lineRule="exact"/>
        <w:rPr>
          <w:rFonts w:ascii="Arial" w:cs="Arial" w:eastAsia="Arial" w:hAnsi="Arial"/>
          <w:sz w:val="18"/>
          <w:szCs w:val="18"/>
          <w:color w:val="auto"/>
        </w:rPr>
      </w:pPr>
    </w:p>
    <w:p>
      <w:pPr>
        <w:ind w:left="320" w:hanging="172"/>
        <w:spacing w:after="0" w:line="266" w:lineRule="auto"/>
        <w:tabs>
          <w:tab w:leader="none" w:pos="3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xml:space="preserve">lower unfavorable impact on our effective tax rate in 2014 from the reversal through book depreciation of previously recognized tax benefits for a certain portion of utility fixed assets; </w:t>
      </w:r>
      <w:r>
        <w:rPr>
          <w:rFonts w:ascii="Arial" w:cs="Arial" w:eastAsia="Arial" w:hAnsi="Arial"/>
          <w:sz w:val="18"/>
          <w:szCs w:val="18"/>
          <w:b w:val="1"/>
          <w:bCs w:val="1"/>
          <w:color w:val="auto"/>
        </w:rPr>
        <w:t>offset by</w:t>
      </w:r>
    </w:p>
    <w:p>
      <w:pPr>
        <w:spacing w:after="0" w:line="205" w:lineRule="exact"/>
        <w:rPr>
          <w:rFonts w:ascii="Arial" w:cs="Arial" w:eastAsia="Arial" w:hAnsi="Arial"/>
          <w:sz w:val="18"/>
          <w:szCs w:val="18"/>
          <w:color w:val="auto"/>
        </w:rPr>
      </w:pPr>
    </w:p>
    <w:p>
      <w:pPr>
        <w:ind w:left="320" w:hanging="172"/>
        <w:spacing w:after="0"/>
        <w:tabs>
          <w:tab w:leader="none" w:pos="320" w:val="left"/>
        </w:tabs>
        <w:numPr>
          <w:ilvl w:val="0"/>
          <w:numId w:val="120"/>
        </w:numPr>
        <w:rPr>
          <w:rFonts w:ascii="Arial" w:cs="Arial" w:eastAsia="Arial" w:hAnsi="Arial"/>
          <w:sz w:val="18"/>
          <w:szCs w:val="18"/>
          <w:b w:val="1"/>
          <w:bCs w:val="1"/>
          <w:color w:val="auto"/>
        </w:rPr>
      </w:pPr>
      <w:r>
        <w:rPr>
          <w:rFonts w:ascii="Arial" w:cs="Arial" w:eastAsia="Arial" w:hAnsi="Arial"/>
          <w:sz w:val="18"/>
          <w:szCs w:val="18"/>
          <w:color w:val="auto"/>
        </w:rPr>
        <w:t>lower deductions for self-developed software expenditures.</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SDG&amp;E’s income tax expense in the nine months ended September 30, 2014 was due to higher pretax income and a higher effective tax rate.</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The higher effective tax rate was primarily due to:</w:t>
      </w:r>
    </w:p>
    <w:p>
      <w:pPr>
        <w:spacing w:after="0" w:line="207" w:lineRule="exact"/>
        <w:rPr>
          <w:sz w:val="20"/>
          <w:szCs w:val="20"/>
          <w:color w:val="auto"/>
        </w:rPr>
      </w:pPr>
    </w:p>
    <w:p>
      <w:pPr>
        <w:ind w:left="320" w:hanging="172"/>
        <w:spacing w:after="0"/>
        <w:tabs>
          <w:tab w:leader="none" w:pos="3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$17 million charge to reduce certain tax regulatory assets attributed to SDG&amp;E’s investment in SONGS discussed above;</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lower exclusions from taxable income of the equity portion of AFUDC; and</w:t>
      </w:r>
    </w:p>
    <w:p>
      <w:pPr>
        <w:spacing w:after="0" w:line="238" w:lineRule="exact"/>
        <w:rPr>
          <w:rFonts w:ascii="Arial" w:cs="Arial" w:eastAsia="Arial" w:hAnsi="Arial"/>
          <w:sz w:val="18"/>
          <w:szCs w:val="18"/>
          <w:color w:val="auto"/>
        </w:rPr>
      </w:pPr>
    </w:p>
    <w:p>
      <w:pPr>
        <w:ind w:left="320" w:hanging="172"/>
        <w:spacing w:after="0"/>
        <w:tabs>
          <w:tab w:leader="none" w:pos="3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lower deductions for self-developed software expenditures; </w:t>
      </w:r>
      <w:r>
        <w:rPr>
          <w:rFonts w:ascii="Arial" w:cs="Arial" w:eastAsia="Arial" w:hAnsi="Arial"/>
          <w:sz w:val="18"/>
          <w:szCs w:val="18"/>
          <w:b w:val="1"/>
          <w:bCs w:val="1"/>
          <w:color w:val="auto"/>
        </w:rPr>
        <w:t>offset by</w:t>
      </w:r>
    </w:p>
    <w:p>
      <w:pPr>
        <w:spacing w:after="0" w:line="250" w:lineRule="exact"/>
        <w:rPr>
          <w:rFonts w:ascii="Arial" w:cs="Arial" w:eastAsia="Arial" w:hAnsi="Arial"/>
          <w:sz w:val="18"/>
          <w:szCs w:val="18"/>
          <w:color w:val="auto"/>
        </w:rPr>
      </w:pPr>
    </w:p>
    <w:p>
      <w:pPr>
        <w:ind w:left="320" w:hanging="172"/>
        <w:spacing w:after="0"/>
        <w:tabs>
          <w:tab w:leader="none" w:pos="3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favorable adjustments to prior years’ income tax items in 2014 compared to unfavorable adjustments in 2013.</w:t>
      </w:r>
    </w:p>
    <w:p>
      <w:pPr>
        <w:spacing w:after="0" w:line="245" w:lineRule="exact"/>
        <w:rPr>
          <w:sz w:val="20"/>
          <w:szCs w:val="20"/>
          <w:color w:val="auto"/>
        </w:rPr>
      </w:pPr>
    </w:p>
    <w:p>
      <w:pPr>
        <w:jc w:val="both"/>
        <w:ind w:right="100"/>
        <w:spacing w:after="0" w:line="303" w:lineRule="auto"/>
        <w:rPr>
          <w:sz w:val="20"/>
          <w:szCs w:val="20"/>
          <w:color w:val="auto"/>
        </w:rPr>
      </w:pPr>
      <w:r>
        <w:rPr>
          <w:rFonts w:ascii="Arial" w:cs="Arial" w:eastAsia="Arial" w:hAnsi="Arial"/>
          <w:sz w:val="16"/>
          <w:szCs w:val="16"/>
          <w:color w:val="auto"/>
        </w:rPr>
        <w:t>The results for Sempra Energy Consolidated and SDG&amp;E include Otay Mesa VIE, which is not included in Sempra Energy’s federal or state income tax returns but is consolidated for financial statement purposes, and therefore, Sempra Energy Consolidated’s and SDG&amp;E’s effective income tax rates are impacted by the VIE’s stand-alone effective income tax rate. We discuss Otay Mesa VIE further in Note 5 of the Notes to Condensed Consolidated Financial Statements herein.</w:t>
      </w:r>
    </w:p>
    <w:p>
      <w:pPr>
        <w:spacing w:after="0" w:line="36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SoCalGas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SoCalGas’ income tax expense in the three months ended September 30, 2014 was mainly due to a higher effective tax rate, primarily from:</w:t>
      </w:r>
    </w:p>
    <w:p>
      <w:pPr>
        <w:spacing w:after="0" w:line="241" w:lineRule="exact"/>
        <w:rPr>
          <w:sz w:val="20"/>
          <w:szCs w:val="20"/>
          <w:color w:val="auto"/>
        </w:rPr>
      </w:pPr>
    </w:p>
    <w:p>
      <w:pPr>
        <w:ind w:left="320" w:hanging="172"/>
        <w:spacing w:after="0"/>
        <w:tabs>
          <w:tab w:leader="none" w:pos="3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favorable adjustments to prior years’ income tax items in 2013; and</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lower deductions for self-developed software expenditures.</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SoCalGas’ income tax expense in the nine months ended September 30, 2014 was mainly due to a higher effective tax rate, primarily from:</w:t>
      </w:r>
    </w:p>
    <w:p>
      <w:pPr>
        <w:spacing w:after="0" w:line="235" w:lineRule="exact"/>
        <w:rPr>
          <w:sz w:val="20"/>
          <w:szCs w:val="20"/>
          <w:color w:val="auto"/>
        </w:rPr>
      </w:pPr>
    </w:p>
    <w:p>
      <w:pPr>
        <w:ind w:left="320" w:hanging="172"/>
        <w:spacing w:after="0"/>
        <w:tabs>
          <w:tab w:leader="none" w:pos="3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favorable adjustments to prior years’ income tax items in 2013; </w:t>
      </w:r>
      <w:r>
        <w:rPr>
          <w:rFonts w:ascii="Arial" w:cs="Arial" w:eastAsia="Arial" w:hAnsi="Arial"/>
          <w:sz w:val="18"/>
          <w:szCs w:val="18"/>
          <w:b w:val="1"/>
          <w:bCs w:val="1"/>
          <w:color w:val="auto"/>
        </w:rPr>
        <w:t>offset by</w:t>
      </w:r>
    </w:p>
    <w:p>
      <w:pPr>
        <w:spacing w:after="0" w:line="250" w:lineRule="exact"/>
        <w:rPr>
          <w:rFonts w:ascii="Arial" w:cs="Arial" w:eastAsia="Arial" w:hAnsi="Arial"/>
          <w:sz w:val="18"/>
          <w:szCs w:val="18"/>
          <w:color w:val="auto"/>
        </w:rPr>
      </w:pPr>
    </w:p>
    <w:p>
      <w:pPr>
        <w:ind w:left="320" w:hanging="172"/>
        <w:spacing w:after="0"/>
        <w:tabs>
          <w:tab w:leader="none" w:pos="3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higher deductions for certain repairs expenditures that are capitalized for financial statement purposes.</w:t>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Mexican Currency Exchange Rate and Inflation Impact on Income Taxes and Related Economic Hedging Activity</w:t>
      </w:r>
    </w:p>
    <w:p>
      <w:pPr>
        <w:spacing w:after="0" w:line="211"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color w:val="auto"/>
        </w:rPr>
        <w:t>Our Mexican subsidiaries have U.S. dollar denominated cash balances, receivables and payables (monetary assets and liabilities) that give rise to Mexican currency exchange rate movements for Mexican income tax purposes. They also have deferred income tax assets and liabilities that are denominated in the Mexican peso, which must be translated to U.S. dollars for financial reporting purposes. In addition, monetary assets and liabilities are adjusted for Mexican inflation for Mexican income tax purposes.</w:t>
      </w:r>
    </w:p>
    <w:p>
      <w:pPr>
        <w:spacing w:after="0" w:line="190"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fluctuations in both the currency exchange rate for the Mexican peso against the U.S. dollar, with regard to Mexican monetary assets and liabilities, and Mexican inflation are subject to Mexican income tax and thus may expose us to fluctuations in our income tax expense. The income tax expense of Sempra Mexico is impacted by these factors. From time to time, we may utilize short-term foreign currency derivatives at our subsidiaries and at the consolidated level as a means to manage these exposures.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For Sempra Energy Consolidated, the impacts related to the factors described above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298450</wp:posOffset>
            </wp:positionV>
            <wp:extent cx="7248525" cy="2787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8525" cy="27876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MEXICAN CURRENCY IMPACT ON INCOME TAXES AND RELATED ECONOMIC HEDGING ACTIVITY</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2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9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3"/>
        </w:trPr>
        <w:tc>
          <w:tcPr>
            <w:tcW w:w="5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0" w:type="dxa"/>
            <w:vAlign w:val="bottom"/>
            <w:gridSpan w:val="2"/>
          </w:tcPr>
          <w:p>
            <w:pPr>
              <w:jc w:val="right"/>
              <w:ind w:right="223"/>
              <w:spacing w:after="0"/>
              <w:rPr>
                <w:sz w:val="20"/>
                <w:szCs w:val="20"/>
                <w:color w:val="auto"/>
              </w:rPr>
            </w:pPr>
            <w:r>
              <w:rPr>
                <w:rFonts w:ascii="Arial" w:cs="Arial" w:eastAsia="Arial" w:hAnsi="Arial"/>
                <w:sz w:val="14"/>
                <w:szCs w:val="14"/>
                <w:color w:val="auto"/>
                <w:w w:val="99"/>
              </w:rPr>
              <w:t>Three months ended</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80" w:type="dxa"/>
            <w:vAlign w:val="bottom"/>
            <w:gridSpan w:val="3"/>
          </w:tcPr>
          <w:p>
            <w:pPr>
              <w:jc w:val="right"/>
              <w:ind w:right="782"/>
              <w:spacing w:after="0"/>
              <w:rPr>
                <w:sz w:val="20"/>
                <w:szCs w:val="20"/>
                <w:color w:val="auto"/>
              </w:rPr>
            </w:pPr>
            <w:r>
              <w:rPr>
                <w:rFonts w:ascii="Arial" w:cs="Arial" w:eastAsia="Arial" w:hAnsi="Arial"/>
                <w:sz w:val="14"/>
                <w:szCs w:val="14"/>
                <w:color w:val="auto"/>
              </w:rPr>
              <w:t>Nine months ended</w:t>
            </w:r>
          </w:p>
        </w:tc>
      </w:tr>
      <w:tr>
        <w:trPr>
          <w:trHeight w:val="184"/>
        </w:trPr>
        <w:tc>
          <w:tcPr>
            <w:tcW w:w="55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jc w:val="right"/>
              <w:ind w:right="403"/>
              <w:spacing w:after="0"/>
              <w:rPr>
                <w:sz w:val="20"/>
                <w:szCs w:val="20"/>
                <w:color w:val="auto"/>
              </w:rPr>
            </w:pPr>
            <w:r>
              <w:rPr>
                <w:rFonts w:ascii="Arial" w:cs="Arial" w:eastAsia="Arial" w:hAnsi="Arial"/>
                <w:sz w:val="14"/>
                <w:szCs w:val="14"/>
                <w:color w:val="auto"/>
              </w:rPr>
              <w:t>September 30,</w:t>
            </w:r>
          </w:p>
        </w:tc>
        <w:tc>
          <w:tcPr>
            <w:tcW w:w="6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w:t>
            </w:r>
          </w:p>
        </w:tc>
        <w:tc>
          <w:tcPr>
            <w:tcW w:w="960" w:type="dxa"/>
            <w:vAlign w:val="bottom"/>
            <w:tcBorders>
              <w:bottom w:val="single" w:sz="8" w:color="auto"/>
            </w:tcBorders>
          </w:tcPr>
          <w:p>
            <w:pPr>
              <w:spacing w:after="0"/>
              <w:rPr>
                <w:sz w:val="15"/>
                <w:szCs w:val="15"/>
                <w:color w:val="auto"/>
              </w:rPr>
            </w:pPr>
          </w:p>
        </w:tc>
      </w:tr>
      <w:tr>
        <w:trPr>
          <w:trHeight w:val="206"/>
        </w:trPr>
        <w:tc>
          <w:tcPr>
            <w:tcW w:w="55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2014</w:t>
            </w:r>
          </w:p>
        </w:tc>
        <w:tc>
          <w:tcPr>
            <w:tcW w:w="7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color w:val="auto"/>
              </w:rPr>
              <w:t>2013</w:t>
            </w:r>
          </w:p>
        </w:tc>
        <w:tc>
          <w:tcPr>
            <w:tcW w:w="6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43"/>
              <w:spacing w:after="0"/>
              <w:rPr>
                <w:sz w:val="20"/>
                <w:szCs w:val="20"/>
                <w:color w:val="auto"/>
              </w:rPr>
            </w:pPr>
            <w:r>
              <w:rPr>
                <w:rFonts w:ascii="Arial" w:cs="Arial" w:eastAsia="Arial" w:hAnsi="Arial"/>
                <w:sz w:val="14"/>
                <w:szCs w:val="14"/>
                <w:color w:val="auto"/>
              </w:rPr>
              <w:t>2014</w:t>
            </w: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color w:val="auto"/>
              </w:rPr>
              <w:t>2013</w:t>
            </w:r>
          </w:p>
        </w:tc>
      </w:tr>
      <w:tr>
        <w:trPr>
          <w:trHeight w:val="214"/>
        </w:trPr>
        <w:tc>
          <w:tcPr>
            <w:tcW w:w="5520" w:type="dxa"/>
            <w:vAlign w:val="bottom"/>
          </w:tcPr>
          <w:p>
            <w:pPr>
              <w:spacing w:after="0"/>
              <w:rPr>
                <w:sz w:val="20"/>
                <w:szCs w:val="20"/>
                <w:color w:val="auto"/>
              </w:rPr>
            </w:pPr>
            <w:r>
              <w:rPr>
                <w:rFonts w:ascii="Arial" w:cs="Arial" w:eastAsia="Arial" w:hAnsi="Arial"/>
                <w:sz w:val="16"/>
                <w:szCs w:val="16"/>
                <w:color w:val="auto"/>
              </w:rPr>
              <w:t>Income tax benefit (expense) on currency exchange</w:t>
            </w: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3"/>
        </w:trPr>
        <w:tc>
          <w:tcPr>
            <w:tcW w:w="5520" w:type="dxa"/>
            <w:vAlign w:val="bottom"/>
          </w:tcPr>
          <w:p>
            <w:pPr>
              <w:ind w:left="280"/>
              <w:spacing w:after="0"/>
              <w:rPr>
                <w:sz w:val="20"/>
                <w:szCs w:val="20"/>
                <w:color w:val="auto"/>
              </w:rPr>
            </w:pPr>
            <w:r>
              <w:rPr>
                <w:rFonts w:ascii="Arial" w:cs="Arial" w:eastAsia="Arial" w:hAnsi="Arial"/>
                <w:sz w:val="16"/>
                <w:szCs w:val="16"/>
                <w:color w:val="auto"/>
              </w:rPr>
              <w:t>rate movement of monetary assets and liabilities</w:t>
            </w:r>
          </w:p>
        </w:tc>
        <w:tc>
          <w:tcPr>
            <w:tcW w:w="900" w:type="dxa"/>
            <w:vAlign w:val="bottom"/>
          </w:tcPr>
          <w:p>
            <w:pPr>
              <w:jc w:val="right"/>
              <w:ind w:right="443"/>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82"/>
              <w:spacing w:after="0"/>
              <w:rPr>
                <w:sz w:val="20"/>
                <w:szCs w:val="20"/>
                <w:color w:val="auto"/>
              </w:rPr>
            </w:pPr>
            <w:r>
              <w:rPr>
                <w:rFonts w:ascii="Arial" w:cs="Arial" w:eastAsia="Arial" w:hAnsi="Arial"/>
                <w:sz w:val="16"/>
                <w:szCs w:val="16"/>
                <w:color w:val="auto"/>
              </w:rPr>
              <w:t>4</w:t>
            </w:r>
          </w:p>
        </w:tc>
        <w:tc>
          <w:tcPr>
            <w:tcW w:w="880" w:type="dxa"/>
            <w:vAlign w:val="bottom"/>
          </w:tcPr>
          <w:p>
            <w:pPr>
              <w:jc w:val="right"/>
              <w:ind w:right="563"/>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80"/>
              <w:spacing w:after="0"/>
              <w:rPr>
                <w:sz w:val="20"/>
                <w:szCs w:val="20"/>
                <w:color w:val="auto"/>
              </w:rPr>
            </w:pPr>
            <w:r>
              <w:rPr>
                <w:rFonts w:ascii="Arial" w:cs="Arial" w:eastAsia="Arial" w:hAnsi="Arial"/>
                <w:sz w:val="16"/>
                <w:szCs w:val="16"/>
                <w:color w:val="auto"/>
              </w:rPr>
              <w:t>1</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63"/>
              <w:spacing w:after="0"/>
              <w:rPr>
                <w:sz w:val="20"/>
                <w:szCs w:val="20"/>
                <w:color w:val="auto"/>
              </w:rPr>
            </w:pPr>
            <w:r>
              <w:rPr>
                <w:rFonts w:ascii="Arial" w:cs="Arial" w:eastAsia="Arial" w:hAnsi="Arial"/>
                <w:sz w:val="16"/>
                <w:szCs w:val="16"/>
                <w:color w:val="auto"/>
              </w:rPr>
              <w:t>4</w:t>
            </w:r>
          </w:p>
        </w:tc>
        <w:tc>
          <w:tcPr>
            <w:tcW w:w="3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3"/>
        </w:trPr>
        <w:tc>
          <w:tcPr>
            <w:tcW w:w="5520" w:type="dxa"/>
            <w:vAlign w:val="bottom"/>
          </w:tcPr>
          <w:p>
            <w:pPr>
              <w:spacing w:after="0"/>
              <w:rPr>
                <w:sz w:val="20"/>
                <w:szCs w:val="20"/>
                <w:color w:val="auto"/>
              </w:rPr>
            </w:pPr>
            <w:r>
              <w:rPr>
                <w:rFonts w:ascii="Arial" w:cs="Arial" w:eastAsia="Arial" w:hAnsi="Arial"/>
                <w:sz w:val="16"/>
                <w:szCs w:val="16"/>
                <w:color w:val="auto"/>
              </w:rPr>
              <w:t>Translation of non-U.S. deferred income tax balances</w:t>
            </w:r>
          </w:p>
        </w:tc>
        <w:tc>
          <w:tcPr>
            <w:tcW w:w="900" w:type="dxa"/>
            <w:vAlign w:val="bottom"/>
          </w:tcPr>
          <w:p>
            <w:pPr>
              <w:spacing w:after="0"/>
              <w:rPr>
                <w:sz w:val="18"/>
                <w:szCs w:val="18"/>
                <w:color w:val="auto"/>
              </w:rPr>
            </w:pPr>
          </w:p>
        </w:tc>
        <w:tc>
          <w:tcPr>
            <w:tcW w:w="720" w:type="dxa"/>
            <w:vAlign w:val="bottom"/>
          </w:tcPr>
          <w:p>
            <w:pPr>
              <w:jc w:val="right"/>
              <w:ind w:right="82"/>
              <w:spacing w:after="0"/>
              <w:rPr>
                <w:sz w:val="20"/>
                <w:szCs w:val="20"/>
                <w:color w:val="auto"/>
              </w:rPr>
            </w:pPr>
            <w:r>
              <w:rPr>
                <w:rFonts w:ascii="Arial" w:cs="Arial" w:eastAsia="Arial" w:hAnsi="Arial"/>
                <w:sz w:val="16"/>
                <w:szCs w:val="16"/>
                <w:color w:val="auto"/>
              </w:rPr>
              <w:t>5</w:t>
            </w:r>
          </w:p>
        </w:tc>
        <w:tc>
          <w:tcPr>
            <w:tcW w:w="880" w:type="dxa"/>
            <w:vAlign w:val="bottom"/>
          </w:tcPr>
          <w:p>
            <w:pPr>
              <w:spacing w:after="0"/>
              <w:rPr>
                <w:sz w:val="18"/>
                <w:szCs w:val="18"/>
                <w:color w:val="auto"/>
              </w:rPr>
            </w:pPr>
          </w:p>
        </w:tc>
        <w:tc>
          <w:tcPr>
            <w:tcW w:w="60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40" w:type="dxa"/>
            <w:vAlign w:val="bottom"/>
          </w:tcPr>
          <w:p>
            <w:pPr>
              <w:jc w:val="right"/>
              <w:ind w:right="63"/>
              <w:spacing w:after="0"/>
              <w:rPr>
                <w:sz w:val="20"/>
                <w:szCs w:val="20"/>
                <w:color w:val="auto"/>
              </w:rPr>
            </w:pPr>
            <w:r>
              <w:rPr>
                <w:rFonts w:ascii="Arial" w:cs="Arial" w:eastAsia="Arial" w:hAnsi="Arial"/>
                <w:sz w:val="16"/>
                <w:szCs w:val="16"/>
                <w:color w:val="auto"/>
              </w:rPr>
              <w:t>5</w:t>
            </w:r>
          </w:p>
        </w:tc>
        <w:tc>
          <w:tcPr>
            <w:tcW w:w="380" w:type="dxa"/>
            <w:vAlign w:val="bottom"/>
          </w:tcPr>
          <w:p>
            <w:pPr>
              <w:spacing w:after="0"/>
              <w:rPr>
                <w:sz w:val="18"/>
                <w:szCs w:val="18"/>
                <w:color w:val="auto"/>
              </w:rPr>
            </w:pPr>
          </w:p>
        </w:tc>
        <w:tc>
          <w:tcPr>
            <w:tcW w:w="960" w:type="dxa"/>
            <w:vAlign w:val="bottom"/>
          </w:tcPr>
          <w:p>
            <w:pPr>
              <w:jc w:val="right"/>
              <w:ind w:right="62"/>
              <w:spacing w:after="0"/>
              <w:rPr>
                <w:sz w:val="20"/>
                <w:szCs w:val="20"/>
                <w:color w:val="auto"/>
              </w:rPr>
            </w:pPr>
            <w:r>
              <w:rPr>
                <w:rFonts w:ascii="Arial" w:cs="Arial" w:eastAsia="Arial" w:hAnsi="Arial"/>
                <w:sz w:val="16"/>
                <w:szCs w:val="16"/>
                <w:color w:val="auto"/>
              </w:rPr>
              <w:t>―</w:t>
            </w:r>
          </w:p>
        </w:tc>
      </w:tr>
      <w:tr>
        <w:trPr>
          <w:trHeight w:val="204"/>
        </w:trPr>
        <w:tc>
          <w:tcPr>
            <w:tcW w:w="5520" w:type="dxa"/>
            <w:vAlign w:val="bottom"/>
          </w:tcPr>
          <w:p>
            <w:pPr>
              <w:spacing w:after="0"/>
              <w:rPr>
                <w:sz w:val="20"/>
                <w:szCs w:val="20"/>
                <w:color w:val="auto"/>
              </w:rPr>
            </w:pPr>
            <w:r>
              <w:rPr>
                <w:rFonts w:ascii="Arial" w:cs="Arial" w:eastAsia="Arial" w:hAnsi="Arial"/>
                <w:sz w:val="16"/>
                <w:szCs w:val="16"/>
                <w:color w:val="auto"/>
              </w:rPr>
              <w:t>Income tax expense on inflation</w:t>
            </w:r>
          </w:p>
        </w:tc>
        <w:tc>
          <w:tcPr>
            <w:tcW w:w="9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(1)</w:t>
            </w: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w:t>
            </w:r>
          </w:p>
        </w:tc>
      </w:tr>
      <w:tr>
        <w:trPr>
          <w:trHeight w:val="214"/>
        </w:trPr>
        <w:tc>
          <w:tcPr>
            <w:tcW w:w="5520" w:type="dxa"/>
            <w:vAlign w:val="bottom"/>
          </w:tcPr>
          <w:p>
            <w:pPr>
              <w:ind w:left="280"/>
              <w:spacing w:after="0"/>
              <w:rPr>
                <w:sz w:val="20"/>
                <w:szCs w:val="20"/>
                <w:color w:val="auto"/>
              </w:rPr>
            </w:pPr>
            <w:r>
              <w:rPr>
                <w:rFonts w:ascii="Arial" w:cs="Arial" w:eastAsia="Arial" w:hAnsi="Arial"/>
                <w:sz w:val="16"/>
                <w:szCs w:val="16"/>
                <w:color w:val="auto"/>
              </w:rPr>
              <w:t>Total impact included in Income Tax Benefit (Expense)</w:t>
            </w:r>
          </w:p>
        </w:tc>
        <w:tc>
          <w:tcPr>
            <w:tcW w:w="900" w:type="dxa"/>
            <w:vAlign w:val="bottom"/>
          </w:tcPr>
          <w:p>
            <w:pPr>
              <w:spacing w:after="0"/>
              <w:rPr>
                <w:sz w:val="18"/>
                <w:szCs w:val="18"/>
                <w:color w:val="auto"/>
              </w:rPr>
            </w:pPr>
          </w:p>
        </w:tc>
        <w:tc>
          <w:tcPr>
            <w:tcW w:w="720" w:type="dxa"/>
            <w:vAlign w:val="bottom"/>
          </w:tcPr>
          <w:p>
            <w:pPr>
              <w:jc w:val="right"/>
              <w:ind w:right="82"/>
              <w:spacing w:after="0"/>
              <w:rPr>
                <w:sz w:val="20"/>
                <w:szCs w:val="20"/>
                <w:color w:val="auto"/>
              </w:rPr>
            </w:pPr>
            <w:r>
              <w:rPr>
                <w:rFonts w:ascii="Arial" w:cs="Arial" w:eastAsia="Arial" w:hAnsi="Arial"/>
                <w:sz w:val="16"/>
                <w:szCs w:val="16"/>
                <w:color w:val="auto"/>
              </w:rPr>
              <w:t>9</w:t>
            </w:r>
          </w:p>
        </w:tc>
        <w:tc>
          <w:tcPr>
            <w:tcW w:w="880" w:type="dxa"/>
            <w:vAlign w:val="bottom"/>
          </w:tcPr>
          <w:p>
            <w:pPr>
              <w:spacing w:after="0"/>
              <w:rPr>
                <w:sz w:val="18"/>
                <w:szCs w:val="18"/>
                <w:color w:val="auto"/>
              </w:rPr>
            </w:pPr>
          </w:p>
        </w:tc>
        <w:tc>
          <w:tcPr>
            <w:tcW w:w="600" w:type="dxa"/>
            <w:vAlign w:val="bottom"/>
          </w:tcPr>
          <w:p>
            <w:pPr>
              <w:jc w:val="right"/>
              <w:ind w:right="80"/>
              <w:spacing w:after="0"/>
              <w:rPr>
                <w:sz w:val="20"/>
                <w:szCs w:val="20"/>
                <w:color w:val="auto"/>
              </w:rPr>
            </w:pPr>
            <w:r>
              <w:rPr>
                <w:rFonts w:ascii="Arial" w:cs="Arial" w:eastAsia="Arial" w:hAnsi="Arial"/>
                <w:sz w:val="16"/>
                <w:szCs w:val="16"/>
                <w:color w:val="auto"/>
              </w:rPr>
              <w:t>1</w:t>
            </w:r>
          </w:p>
        </w:tc>
        <w:tc>
          <w:tcPr>
            <w:tcW w:w="320" w:type="dxa"/>
            <w:vAlign w:val="bottom"/>
          </w:tcPr>
          <w:p>
            <w:pPr>
              <w:spacing w:after="0"/>
              <w:rPr>
                <w:sz w:val="18"/>
                <w:szCs w:val="18"/>
                <w:color w:val="auto"/>
              </w:rPr>
            </w:pPr>
          </w:p>
        </w:tc>
        <w:tc>
          <w:tcPr>
            <w:tcW w:w="1140" w:type="dxa"/>
            <w:vAlign w:val="bottom"/>
          </w:tcPr>
          <w:p>
            <w:pPr>
              <w:jc w:val="right"/>
              <w:ind w:right="63"/>
              <w:spacing w:after="0"/>
              <w:rPr>
                <w:sz w:val="20"/>
                <w:szCs w:val="20"/>
                <w:color w:val="auto"/>
              </w:rPr>
            </w:pPr>
            <w:r>
              <w:rPr>
                <w:rFonts w:ascii="Arial" w:cs="Arial" w:eastAsia="Arial" w:hAnsi="Arial"/>
                <w:sz w:val="16"/>
                <w:szCs w:val="16"/>
                <w:color w:val="auto"/>
              </w:rPr>
              <w:t>8</w:t>
            </w: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3"/>
        </w:trPr>
        <w:tc>
          <w:tcPr>
            <w:tcW w:w="5520" w:type="dxa"/>
            <w:vAlign w:val="bottom"/>
          </w:tcPr>
          <w:p>
            <w:pPr>
              <w:spacing w:after="0"/>
              <w:rPr>
                <w:sz w:val="20"/>
                <w:szCs w:val="20"/>
                <w:color w:val="auto"/>
              </w:rPr>
            </w:pPr>
            <w:r>
              <w:rPr>
                <w:rFonts w:ascii="Arial" w:cs="Arial" w:eastAsia="Arial" w:hAnsi="Arial"/>
                <w:sz w:val="16"/>
                <w:szCs w:val="16"/>
                <w:color w:val="auto"/>
              </w:rPr>
              <w:t>After-tax (losses) gains on Mexican peso exchange rate</w:t>
            </w: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4"/>
        </w:trPr>
        <w:tc>
          <w:tcPr>
            <w:tcW w:w="5520" w:type="dxa"/>
            <w:vAlign w:val="bottom"/>
          </w:tcPr>
          <w:p>
            <w:pPr>
              <w:ind w:left="280"/>
              <w:spacing w:after="0"/>
              <w:rPr>
                <w:sz w:val="20"/>
                <w:szCs w:val="20"/>
                <w:color w:val="auto"/>
              </w:rPr>
            </w:pPr>
            <w:r>
              <w:rPr>
                <w:rFonts w:ascii="Arial" w:cs="Arial" w:eastAsia="Arial" w:hAnsi="Arial"/>
                <w:sz w:val="16"/>
                <w:szCs w:val="16"/>
                <w:color w:val="auto"/>
              </w:rPr>
              <w:t>instruments (included in Other Income, Net)</w:t>
            </w:r>
          </w:p>
        </w:tc>
        <w:tc>
          <w:tcPr>
            <w:tcW w:w="9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(4)</w:t>
            </w:r>
          </w:p>
        </w:tc>
        <w:tc>
          <w:tcPr>
            <w:tcW w:w="8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(4)</w:t>
            </w: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14"/>
        </w:trPr>
        <w:tc>
          <w:tcPr>
            <w:tcW w:w="5520" w:type="dxa"/>
            <w:vAlign w:val="bottom"/>
          </w:tcPr>
          <w:p>
            <w:pPr>
              <w:spacing w:after="0"/>
              <w:rPr>
                <w:sz w:val="20"/>
                <w:szCs w:val="20"/>
                <w:color w:val="auto"/>
              </w:rPr>
            </w:pPr>
            <w:r>
              <w:rPr>
                <w:rFonts w:ascii="Arial" w:cs="Arial" w:eastAsia="Arial" w:hAnsi="Arial"/>
                <w:sz w:val="16"/>
                <w:szCs w:val="16"/>
                <w:color w:val="auto"/>
              </w:rPr>
              <w:t>Net impacts on Sempra Energy Condensed</w:t>
            </w: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1"/>
        </w:trPr>
        <w:tc>
          <w:tcPr>
            <w:tcW w:w="552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Consolidated Statements of Operations</w:t>
            </w:r>
          </w:p>
        </w:tc>
        <w:tc>
          <w:tcPr>
            <w:tcW w:w="900" w:type="dxa"/>
            <w:vAlign w:val="bottom"/>
            <w:tcBorders>
              <w:bottom w:val="single" w:sz="8" w:color="auto"/>
            </w:tcBorders>
          </w:tcPr>
          <w:p>
            <w:pPr>
              <w:jc w:val="right"/>
              <w:ind w:right="443"/>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5</w:t>
            </w:r>
          </w:p>
        </w:tc>
        <w:tc>
          <w:tcPr>
            <w:tcW w:w="880" w:type="dxa"/>
            <w:vAlign w:val="bottom"/>
            <w:tcBorders>
              <w:bottom w:val="single" w:sz="8" w:color="auto"/>
            </w:tcBorders>
          </w:tcPr>
          <w:p>
            <w:pPr>
              <w:jc w:val="right"/>
              <w:ind w:right="563"/>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4</w:t>
            </w:r>
          </w:p>
        </w:tc>
        <w:tc>
          <w:tcPr>
            <w:tcW w:w="3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bl>
    <w:p>
      <w:pPr>
        <w:sectPr>
          <w:pgSz w:w="11900" w:h="16838" w:orient="portrait"/>
          <w:cols w:equalWidth="0" w:num="1">
            <w:col w:w="11420"/>
          </w:cols>
          <w:pgMar w:left="240" w:top="127" w:right="239" w:bottom="213" w:gutter="0" w:footer="0" w:header="0"/>
        </w:sectPr>
      </w:pPr>
    </w:p>
    <w:bookmarkStart w:id="72" w:name="page73"/>
    <w:bookmarkEnd w:id="72"/>
    <w:p>
      <w:pPr>
        <w:spacing w:after="0"/>
        <w:rPr>
          <w:sz w:val="20"/>
          <w:szCs w:val="20"/>
          <w:color w:val="auto"/>
        </w:rPr>
      </w:pPr>
      <w:r>
        <w:rPr>
          <w:rFonts w:ascii="Arial" w:cs="Arial" w:eastAsia="Arial" w:hAnsi="Arial"/>
          <w:sz w:val="19"/>
          <w:szCs w:val="19"/>
          <w:b w:val="1"/>
          <w:bCs w:val="1"/>
          <w:i w:val="1"/>
          <w:iCs w:val="1"/>
          <w:color w:val="auto"/>
        </w:rPr>
        <w:t>Equity Earnings, Net of Income Tax</w:t>
      </w:r>
    </w:p>
    <w:p>
      <w:pPr>
        <w:spacing w:after="0" w:line="212"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In the nine months ended September 30, 2014, equity earnings of unconsolidated subsidiaries, net of income tax, increased primarily due to $11 million equity losses in 2013 related to our investments in two Argentine natural gas utility holding companies, as we discuss in Note 4 of the Notes to Condensed Consolidated Financial Statements herein.</w:t>
      </w:r>
    </w:p>
    <w:p>
      <w:pPr>
        <w:spacing w:after="0" w:line="39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Earnings Attributable to Noncontrolling Interests</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Sempra Energy Consolidated</w:t>
      </w:r>
    </w:p>
    <w:p>
      <w:pPr>
        <w:spacing w:after="0" w:line="211"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color w:val="auto"/>
        </w:rPr>
        <w:t>Earnings attributable to noncontrolling interests were $35 million for the three months ended September 30, 2014 compared to $22 million for the same period in 2013. The net change of $13 million included</w:t>
      </w:r>
    </w:p>
    <w:p>
      <w:pPr>
        <w:spacing w:after="0" w:line="179" w:lineRule="exact"/>
        <w:rPr>
          <w:sz w:val="20"/>
          <w:szCs w:val="20"/>
          <w:color w:val="auto"/>
        </w:rPr>
      </w:pPr>
    </w:p>
    <w:p>
      <w:pPr>
        <w:ind w:left="320" w:hanging="172"/>
        <w:spacing w:after="0"/>
        <w:tabs>
          <w:tab w:leader="none" w:pos="3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$7 million increase in earnings attributable to noncontrolling interest at Otay Mesa VIE; and</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124"/>
        </w:numPr>
        <w:rPr>
          <w:rFonts w:ascii="Arial" w:cs="Arial" w:eastAsia="Arial" w:hAnsi="Arial"/>
          <w:sz w:val="18"/>
          <w:szCs w:val="18"/>
          <w:b w:val="1"/>
          <w:bCs w:val="1"/>
          <w:color w:val="auto"/>
        </w:rPr>
      </w:pPr>
      <w:r>
        <w:rPr>
          <w:rFonts w:ascii="Arial" w:cs="Arial" w:eastAsia="Arial" w:hAnsi="Arial"/>
          <w:sz w:val="18"/>
          <w:szCs w:val="18"/>
          <w:color w:val="auto"/>
        </w:rPr>
        <w:t>$6 million increase in earnings attributable to noncontrolling interests of IEnova.</w:t>
      </w:r>
    </w:p>
    <w:p>
      <w:pPr>
        <w:spacing w:after="0" w:line="245"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Earnings attributable to noncontrolling interests were $76 million for the nine months ended September 30, 2014 compared to $41 million for the same period in 2013. The net change of $35 million included</w:t>
      </w:r>
    </w:p>
    <w:p>
      <w:pPr>
        <w:spacing w:after="0" w:line="179" w:lineRule="exact"/>
        <w:rPr>
          <w:sz w:val="20"/>
          <w:szCs w:val="20"/>
          <w:color w:val="auto"/>
        </w:rPr>
      </w:pPr>
    </w:p>
    <w:p>
      <w:pPr>
        <w:ind w:left="320" w:hanging="172"/>
        <w:spacing w:after="0"/>
        <w:tabs>
          <w:tab w:leader="none" w:pos="3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$19 million increase in earnings attributable to noncontrolling interest at Otay Mesa VIE; and</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125"/>
        </w:numPr>
        <w:rPr>
          <w:rFonts w:ascii="Arial" w:cs="Arial" w:eastAsia="Arial" w:hAnsi="Arial"/>
          <w:sz w:val="18"/>
          <w:szCs w:val="18"/>
          <w:b w:val="1"/>
          <w:bCs w:val="1"/>
          <w:color w:val="auto"/>
        </w:rPr>
      </w:pPr>
      <w:r>
        <w:rPr>
          <w:rFonts w:ascii="Arial" w:cs="Arial" w:eastAsia="Arial" w:hAnsi="Arial"/>
          <w:sz w:val="18"/>
          <w:szCs w:val="18"/>
          <w:color w:val="auto"/>
        </w:rPr>
        <w:t>$16 million increase in earnings attributable to noncontrolling interests of IEnova.</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Earnings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discuss variations in earnings by segment above in “Segment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349250</wp:posOffset>
            </wp:positionV>
            <wp:extent cx="72656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5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9"/>
          <w:szCs w:val="19"/>
          <w:color w:val="auto"/>
        </w:rPr>
        <w:t>CAPITAL RESOURCES AND LIQUIDITY</w:t>
      </w:r>
    </w:p>
    <w:p>
      <w:pPr>
        <w:spacing w:after="0" w:line="19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expect our cash flows from operations to fund a substantial portion of our capital expenditures and dividends. In addition, we may meet our cash requirements through the issuance of securities, including short-term and long-term debt securities, distributions from our equity method investments and project financing.</w:t>
      </w:r>
    </w:p>
    <w:p>
      <w:pPr>
        <w:spacing w:after="0" w:line="188"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Our lines of credit provide liquidity and support commercial paper. As we discuss in Note 6 of the Notes to Condensed Consolidated Financial Statements herein, Sempra Energy, Sempra Global (the holding company for our subsidiaries not subject to California utility regulation) and the California Utilities each have five-year revolving credit facilities, expiring in March 2017. At Sempra Energy and the California Utilities, the agreements are syndicated broadly among 24 different lenders and at Sempra Global, among 25 different lenders. No single lender has greater than a 7-percent share in any agreement. The table below shows the amount of available funds on these credit facilities at September 30, 2014:</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AVAILABLE FUNDS AT SEPTEMBER 30,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-104775</wp:posOffset>
            </wp:positionV>
            <wp:extent cx="7248525" cy="2197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8525" cy="21971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20" w:type="dxa"/>
            <w:vAlign w:val="bottom"/>
          </w:tcPr>
          <w:p>
            <w:pPr>
              <w:spacing w:after="0"/>
              <w:rPr>
                <w:sz w:val="14"/>
                <w:szCs w:val="14"/>
                <w:color w:val="auto"/>
              </w:rPr>
            </w:pPr>
          </w:p>
        </w:tc>
        <w:tc>
          <w:tcPr>
            <w:tcW w:w="2800" w:type="dxa"/>
            <w:vAlign w:val="bottom"/>
          </w:tcPr>
          <w:p>
            <w:pPr>
              <w:jc w:val="center"/>
              <w:ind w:left="1666"/>
              <w:spacing w:after="0"/>
              <w:rPr>
                <w:sz w:val="20"/>
                <w:szCs w:val="20"/>
                <w:color w:val="auto"/>
              </w:rPr>
            </w:pPr>
            <w:r>
              <w:rPr>
                <w:rFonts w:ascii="Arial" w:cs="Arial" w:eastAsia="Arial" w:hAnsi="Arial"/>
                <w:sz w:val="14"/>
                <w:szCs w:val="14"/>
                <w:color w:val="auto"/>
              </w:rPr>
              <w:t>Sempra Energy</w:t>
            </w:r>
          </w:p>
        </w:tc>
        <w:tc>
          <w:tcPr>
            <w:tcW w:w="8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7"/>
        </w:trPr>
        <w:tc>
          <w:tcPr>
            <w:tcW w:w="4320" w:type="dxa"/>
            <w:vAlign w:val="bottom"/>
          </w:tcPr>
          <w:p>
            <w:pPr>
              <w:spacing w:after="0"/>
              <w:rPr>
                <w:sz w:val="17"/>
                <w:szCs w:val="17"/>
                <w:color w:val="auto"/>
              </w:rPr>
            </w:pPr>
          </w:p>
        </w:tc>
        <w:tc>
          <w:tcPr>
            <w:tcW w:w="2800" w:type="dxa"/>
            <w:vAlign w:val="bottom"/>
          </w:tcPr>
          <w:p>
            <w:pPr>
              <w:jc w:val="center"/>
              <w:ind w:left="1686"/>
              <w:spacing w:after="0"/>
              <w:rPr>
                <w:sz w:val="20"/>
                <w:szCs w:val="20"/>
                <w:color w:val="auto"/>
              </w:rPr>
            </w:pPr>
            <w:r>
              <w:rPr>
                <w:rFonts w:ascii="Arial" w:cs="Arial" w:eastAsia="Arial" w:hAnsi="Arial"/>
                <w:sz w:val="14"/>
                <w:szCs w:val="14"/>
                <w:color w:val="auto"/>
              </w:rPr>
              <w:t>Consolidated</w:t>
            </w:r>
          </w:p>
        </w:tc>
        <w:tc>
          <w:tcPr>
            <w:tcW w:w="840" w:type="dxa"/>
            <w:vAlign w:val="bottom"/>
          </w:tcPr>
          <w:p>
            <w:pPr>
              <w:spacing w:after="0"/>
              <w:rPr>
                <w:sz w:val="17"/>
                <w:szCs w:val="17"/>
                <w:color w:val="auto"/>
              </w:rPr>
            </w:pPr>
          </w:p>
        </w:tc>
        <w:tc>
          <w:tcPr>
            <w:tcW w:w="1880" w:type="dxa"/>
            <w:vAlign w:val="bottom"/>
          </w:tcPr>
          <w:p>
            <w:pPr>
              <w:jc w:val="right"/>
              <w:ind w:right="1003"/>
              <w:spacing w:after="0"/>
              <w:rPr>
                <w:sz w:val="20"/>
                <w:szCs w:val="20"/>
                <w:color w:val="auto"/>
              </w:rPr>
            </w:pPr>
            <w:r>
              <w:rPr>
                <w:rFonts w:ascii="Arial" w:cs="Arial" w:eastAsia="Arial" w:hAnsi="Arial"/>
                <w:sz w:val="14"/>
                <w:szCs w:val="14"/>
                <w:color w:val="auto"/>
              </w:rPr>
              <w:t>SDG&amp;E</w:t>
            </w:r>
          </w:p>
        </w:tc>
        <w:tc>
          <w:tcPr>
            <w:tcW w:w="1600" w:type="dxa"/>
            <w:vAlign w:val="bottom"/>
            <w:gridSpan w:val="2"/>
          </w:tcPr>
          <w:p>
            <w:pPr>
              <w:jc w:val="right"/>
              <w:ind w:right="660"/>
              <w:spacing w:after="0"/>
              <w:rPr>
                <w:sz w:val="20"/>
                <w:szCs w:val="20"/>
                <w:color w:val="auto"/>
              </w:rPr>
            </w:pPr>
            <w:r>
              <w:rPr>
                <w:rFonts w:ascii="Arial" w:cs="Arial" w:eastAsia="Arial" w:hAnsi="Arial"/>
                <w:sz w:val="14"/>
                <w:szCs w:val="14"/>
                <w:color w:val="auto"/>
              </w:rPr>
              <w:t>SoCalGas</w:t>
            </w:r>
          </w:p>
        </w:tc>
      </w:tr>
      <w:tr>
        <w:trPr>
          <w:trHeight w:val="186"/>
        </w:trPr>
        <w:tc>
          <w:tcPr>
            <w:tcW w:w="43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Unrestricted cash and cash equivalents(1)</w:t>
            </w:r>
          </w:p>
        </w:tc>
        <w:tc>
          <w:tcPr>
            <w:tcW w:w="2800" w:type="dxa"/>
            <w:vAlign w:val="bottom"/>
            <w:tcBorders>
              <w:top w:val="single" w:sz="8" w:color="auto"/>
            </w:tcBorders>
          </w:tcPr>
          <w:p>
            <w:pPr>
              <w:jc w:val="right"/>
              <w:ind w:right="1326"/>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240"/>
              <w:spacing w:after="0"/>
              <w:rPr>
                <w:sz w:val="20"/>
                <w:szCs w:val="20"/>
                <w:color w:val="auto"/>
              </w:rPr>
            </w:pPr>
            <w:r>
              <w:rPr>
                <w:rFonts w:ascii="Arial" w:cs="Arial" w:eastAsia="Arial" w:hAnsi="Arial"/>
                <w:sz w:val="16"/>
                <w:szCs w:val="16"/>
                <w:color w:val="auto"/>
              </w:rPr>
              <w:t>667$</w:t>
            </w:r>
          </w:p>
        </w:tc>
        <w:tc>
          <w:tcPr>
            <w:tcW w:w="1880" w:type="dxa"/>
            <w:vAlign w:val="bottom"/>
            <w:tcBorders>
              <w:top w:val="single" w:sz="8" w:color="auto"/>
            </w:tcBorders>
          </w:tcPr>
          <w:p>
            <w:pPr>
              <w:jc w:val="right"/>
              <w:ind w:right="183"/>
              <w:spacing w:after="0"/>
              <w:rPr>
                <w:sz w:val="20"/>
                <w:szCs w:val="20"/>
                <w:color w:val="auto"/>
              </w:rPr>
            </w:pPr>
            <w:r>
              <w:rPr>
                <w:rFonts w:ascii="Arial" w:cs="Arial" w:eastAsia="Arial" w:hAnsi="Arial"/>
                <w:sz w:val="16"/>
                <w:szCs w:val="16"/>
                <w:color w:val="auto"/>
              </w:rPr>
              <w:t>33$</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20" w:type="dxa"/>
            <w:vAlign w:val="bottom"/>
          </w:tcPr>
          <w:p>
            <w:pPr>
              <w:spacing w:after="0"/>
              <w:rPr>
                <w:sz w:val="16"/>
                <w:szCs w:val="16"/>
                <w:color w:val="auto"/>
              </w:rPr>
            </w:pPr>
          </w:p>
        </w:tc>
      </w:tr>
      <w:tr>
        <w:trPr>
          <w:trHeight w:val="201"/>
        </w:trPr>
        <w:tc>
          <w:tcPr>
            <w:tcW w:w="4320" w:type="dxa"/>
            <w:vAlign w:val="bottom"/>
          </w:tcPr>
          <w:p>
            <w:pPr>
              <w:spacing w:after="0"/>
              <w:rPr>
                <w:sz w:val="20"/>
                <w:szCs w:val="20"/>
                <w:color w:val="auto"/>
              </w:rPr>
            </w:pPr>
            <w:r>
              <w:rPr>
                <w:rFonts w:ascii="Arial" w:cs="Arial" w:eastAsia="Arial" w:hAnsi="Arial"/>
                <w:sz w:val="16"/>
                <w:szCs w:val="16"/>
                <w:color w:val="auto"/>
              </w:rPr>
              <w:t>Available unused credit(2)</w:t>
            </w:r>
          </w:p>
        </w:tc>
        <w:tc>
          <w:tcPr>
            <w:tcW w:w="2800" w:type="dxa"/>
            <w:vAlign w:val="bottom"/>
          </w:tcPr>
          <w:p>
            <w:pPr>
              <w:spacing w:after="0"/>
              <w:rPr>
                <w:sz w:val="17"/>
                <w:szCs w:val="17"/>
                <w:color w:val="auto"/>
              </w:rPr>
            </w:pPr>
          </w:p>
        </w:tc>
        <w:tc>
          <w:tcPr>
            <w:tcW w:w="840" w:type="dxa"/>
            <w:vAlign w:val="bottom"/>
          </w:tcPr>
          <w:p>
            <w:pPr>
              <w:jc w:val="right"/>
              <w:ind w:right="320"/>
              <w:spacing w:after="0"/>
              <w:rPr>
                <w:sz w:val="20"/>
                <w:szCs w:val="20"/>
                <w:color w:val="auto"/>
              </w:rPr>
            </w:pPr>
            <w:r>
              <w:rPr>
                <w:rFonts w:ascii="Arial" w:cs="Arial" w:eastAsia="Arial" w:hAnsi="Arial"/>
                <w:sz w:val="16"/>
                <w:szCs w:val="16"/>
                <w:color w:val="auto"/>
              </w:rPr>
              <w:t>2,878</w:t>
            </w:r>
          </w:p>
        </w:tc>
        <w:tc>
          <w:tcPr>
            <w:tcW w:w="1880" w:type="dxa"/>
            <w:vAlign w:val="bottom"/>
          </w:tcPr>
          <w:p>
            <w:pPr>
              <w:jc w:val="right"/>
              <w:ind w:right="283"/>
              <w:spacing w:after="0"/>
              <w:rPr>
                <w:sz w:val="20"/>
                <w:szCs w:val="20"/>
                <w:color w:val="auto"/>
              </w:rPr>
            </w:pPr>
            <w:r>
              <w:rPr>
                <w:rFonts w:ascii="Arial" w:cs="Arial" w:eastAsia="Arial" w:hAnsi="Arial"/>
                <w:sz w:val="16"/>
                <w:szCs w:val="16"/>
                <w:color w:val="auto"/>
              </w:rPr>
              <w:t>558</w:t>
            </w:r>
          </w:p>
        </w:tc>
        <w:tc>
          <w:tcPr>
            <w:tcW w:w="1600" w:type="dxa"/>
            <w:vAlign w:val="bottom"/>
            <w:gridSpan w:val="2"/>
          </w:tcPr>
          <w:p>
            <w:pPr>
              <w:jc w:val="right"/>
              <w:ind w:right="20"/>
              <w:spacing w:after="0"/>
              <w:rPr>
                <w:sz w:val="20"/>
                <w:szCs w:val="20"/>
                <w:color w:val="auto"/>
              </w:rPr>
            </w:pPr>
            <w:r>
              <w:rPr>
                <w:rFonts w:ascii="Arial" w:cs="Arial" w:eastAsia="Arial" w:hAnsi="Arial"/>
                <w:sz w:val="16"/>
                <w:szCs w:val="16"/>
                <w:color w:val="auto"/>
              </w:rPr>
              <w:t>658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724852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8525" cy="17145"/>
                    </a:xfrm>
                    <a:prstGeom prst="rect">
                      <a:avLst/>
                    </a:prstGeom>
                    <a:noFill/>
                  </pic:spPr>
                </pic:pic>
              </a:graphicData>
            </a:graphic>
          </wp:anchor>
        </w:drawing>
      </w:r>
    </w:p>
    <w:p>
      <w:pPr>
        <w:ind w:left="640" w:right="160" w:hanging="634"/>
        <w:spacing w:after="0" w:line="248" w:lineRule="auto"/>
        <w:tabs>
          <w:tab w:leader="none" w:pos="640" w:val="left"/>
        </w:tabs>
        <w:numPr>
          <w:ilvl w:val="0"/>
          <w:numId w:val="126"/>
        </w:numPr>
        <w:rPr>
          <w:rFonts w:ascii="Arial" w:cs="Arial" w:eastAsia="Arial" w:hAnsi="Arial"/>
          <w:sz w:val="14"/>
          <w:szCs w:val="14"/>
          <w:i w:val="1"/>
          <w:iCs w:val="1"/>
          <w:color w:val="auto"/>
        </w:rPr>
      </w:pPr>
      <w:r>
        <w:rPr>
          <w:rFonts w:ascii="Arial" w:cs="Arial" w:eastAsia="Arial" w:hAnsi="Arial"/>
          <w:sz w:val="14"/>
          <w:szCs w:val="14"/>
          <w:i w:val="1"/>
          <w:iCs w:val="1"/>
          <w:color w:val="auto"/>
        </w:rPr>
        <w:t>Amounts at Sempra Energy Consolidated include $591 million held in non-U.S. jurisdictions that are unavailable to fund U.S. operations unless repatriated, as we discuss below.</w:t>
      </w:r>
    </w:p>
    <w:p>
      <w:pPr>
        <w:ind w:left="640" w:right="100" w:hanging="634"/>
        <w:spacing w:after="0" w:line="241" w:lineRule="auto"/>
        <w:tabs>
          <w:tab w:leader="none" w:pos="640" w:val="left"/>
        </w:tabs>
        <w:numPr>
          <w:ilvl w:val="0"/>
          <w:numId w:val="126"/>
        </w:numPr>
        <w:rPr>
          <w:rFonts w:ascii="Arial" w:cs="Arial" w:eastAsia="Arial" w:hAnsi="Arial"/>
          <w:sz w:val="14"/>
          <w:szCs w:val="14"/>
          <w:i w:val="1"/>
          <w:iCs w:val="1"/>
          <w:color w:val="auto"/>
        </w:rPr>
      </w:pPr>
      <w:r>
        <w:rPr>
          <w:rFonts w:ascii="Arial" w:cs="Arial" w:eastAsia="Arial" w:hAnsi="Arial"/>
          <w:sz w:val="14"/>
          <w:szCs w:val="14"/>
          <w:i w:val="1"/>
          <w:iCs w:val="1"/>
          <w:color w:val="auto"/>
        </w:rPr>
        <w:t>Available credit is the total available on Sempra Energy's, Sempra Global's and the California Utilities' credit facilities that we discuss in Note 6 of the Notes to Condensed Consolidated Financial Statements herein. Borrowings on the shared line of credit at SDG&amp;E and SoCalGas are limited to $658 million for each utility and a combined total of $877 million. SDG&amp;E's available funds reflect commercial paper outstanding of $100 million supported by the line. Some of Sempra Energy's subsidiaries, primarily our foreign operations, have additional general purpose credit facilities, aggregating $875 million at September 30, 2014. Available unused credit on these lines totaled $630 million at September 30, 2014.</w:t>
      </w:r>
    </w:p>
    <w:p>
      <w:pPr>
        <w:spacing w:after="0" w:line="39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Sempra Energy Consolidated</w:t>
      </w:r>
    </w:p>
    <w:p>
      <w:pPr>
        <w:spacing w:after="0" w:line="211" w:lineRule="exact"/>
        <w:rPr>
          <w:sz w:val="20"/>
          <w:szCs w:val="20"/>
          <w:color w:val="auto"/>
        </w:rPr>
      </w:pPr>
    </w:p>
    <w:p>
      <w:pPr>
        <w:ind w:right="600"/>
        <w:spacing w:after="0" w:line="266" w:lineRule="auto"/>
        <w:rPr>
          <w:sz w:val="20"/>
          <w:szCs w:val="20"/>
          <w:color w:val="auto"/>
        </w:rPr>
      </w:pPr>
      <w:r>
        <w:rPr>
          <w:rFonts w:ascii="Arial" w:cs="Arial" w:eastAsia="Arial" w:hAnsi="Arial"/>
          <w:sz w:val="18"/>
          <w:szCs w:val="18"/>
          <w:color w:val="auto"/>
        </w:rPr>
        <w:t>We believe that these available funds and cash flows from operations, distributions from equity method investments and securities issuances, and project financing and partnering in joint ventures, will be adequate to fund operations, including to:</w:t>
      </w:r>
    </w:p>
    <w:p>
      <w:pPr>
        <w:spacing w:after="0" w:line="179" w:lineRule="exact"/>
        <w:rPr>
          <w:sz w:val="20"/>
          <w:szCs w:val="20"/>
          <w:color w:val="auto"/>
        </w:rPr>
      </w:pPr>
    </w:p>
    <w:p>
      <w:pPr>
        <w:ind w:left="320" w:hanging="172"/>
        <w:spacing w:after="0"/>
        <w:tabs>
          <w:tab w:leader="none" w:pos="3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finance capital expenditures</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meet liquidity requirements</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fund shareholder dividends</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fund new business acquisitions or start-ups</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repay maturing long-term debt</w:t>
      </w:r>
    </w:p>
    <w:p>
      <w:pPr>
        <w:spacing w:after="0" w:line="245" w:lineRule="exact"/>
        <w:rPr>
          <w:sz w:val="20"/>
          <w:szCs w:val="20"/>
          <w:color w:val="auto"/>
        </w:rPr>
      </w:pPr>
    </w:p>
    <w:p>
      <w:pPr>
        <w:ind w:right="100"/>
        <w:spacing w:after="0" w:line="303" w:lineRule="auto"/>
        <w:rPr>
          <w:sz w:val="20"/>
          <w:szCs w:val="20"/>
          <w:color w:val="auto"/>
        </w:rPr>
      </w:pPr>
      <w:r>
        <w:rPr>
          <w:rFonts w:ascii="Arial" w:cs="Arial" w:eastAsia="Arial" w:hAnsi="Arial"/>
          <w:sz w:val="16"/>
          <w:szCs w:val="16"/>
          <w:color w:val="auto"/>
        </w:rPr>
        <w:t>In September and March 2014, SoCalGas publicly offered and sold $500 million and $250 million of 3.15-percent and 4.45-percent notes maturing in 2024 and 2044, respectively. In June 2014, Sempra Energy publicly offered and sold $500 million of 3.55-percent notes maturing in 2024. In 2013, Sempra Energy and SDG&amp;E publicly offered and sold debt securities totaling $500 million and $450 million, respectively, maturing in 2023. In 2013, Sempra Mexico issued debt</w:t>
      </w:r>
    </w:p>
    <w:p>
      <w:pPr>
        <w:sectPr>
          <w:pgSz w:w="11900" w:h="16838" w:orient="portrait"/>
          <w:cols w:equalWidth="0" w:num="1">
            <w:col w:w="11420"/>
          </w:cols>
          <w:pgMar w:left="240" w:top="122" w:right="239" w:bottom="0" w:gutter="0" w:footer="0" w:header="0"/>
        </w:sectPr>
      </w:pPr>
    </w:p>
    <w:bookmarkStart w:id="73" w:name="page74"/>
    <w:bookmarkEnd w:id="73"/>
    <w:p>
      <w:pPr>
        <w:ind w:right="140"/>
        <w:spacing w:after="0" w:line="287" w:lineRule="auto"/>
        <w:rPr>
          <w:sz w:val="20"/>
          <w:szCs w:val="20"/>
          <w:color w:val="auto"/>
        </w:rPr>
      </w:pPr>
      <w:r>
        <w:rPr>
          <w:rFonts w:ascii="Arial" w:cs="Arial" w:eastAsia="Arial" w:hAnsi="Arial"/>
          <w:sz w:val="16"/>
          <w:szCs w:val="16"/>
          <w:color w:val="auto"/>
        </w:rPr>
        <w:t>securities totaling $408 million U.S. dollar equivalent maturing in 2018 and 2023. Changing economic conditions could affect the availability and cost of both short-term and long-term financing. If cash flows from operations were to be significantly reduced or we were unable to borrow under acceptable terms, we would likely first reduce or postpone discretionary capital expenditures (not related to safety) and investments in new businesses. If these measures were necessary, they would primarily impact certain of our Sempra International and Sempra U.S. Gas &amp; Power businesses before we would reduce funds necessary for the ongoing needs of our utilities. We continuously monitor our ability to finance the needs of our operating, investing and financing activities in a manner consistent with our intention to maintain strong, investment-grade credit ratings and capital structure.</w:t>
      </w:r>
    </w:p>
    <w:p>
      <w:pPr>
        <w:spacing w:after="0" w:line="16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addition to capital expenditures and changes in publicly traded securities and commercial paper borrowings, large investing and financing cash items contributing to the $237 million net decrease in Sempra Energy Consolidated cash and cash equivalents at September 30, 2014 compared to December 31, 2013 included increases (decreases) in cash of:</w:t>
      </w:r>
    </w:p>
    <w:p>
      <w:pPr>
        <w:spacing w:after="0" w:line="188" w:lineRule="exact"/>
        <w:rPr>
          <w:sz w:val="20"/>
          <w:szCs w:val="20"/>
          <w:color w:val="auto"/>
        </w:rPr>
      </w:pPr>
    </w:p>
    <w:p>
      <w:pPr>
        <w:ind w:left="320" w:hanging="172"/>
        <w:spacing w:after="0"/>
        <w:tabs>
          <w:tab w:leader="none" w:pos="3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$(450) million common dividends paid</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$(109) million for acquisition of a 50-percent equity interest in four solar projects in May 2014</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$66 million cash proceeds from the sale of a 50-percent equity interest in Copper Mountain Solar 3 in March 2014, net of $2 million cash sold</w:t>
      </w:r>
    </w:p>
    <w:p>
      <w:pPr>
        <w:spacing w:after="0" w:line="256" w:lineRule="exact"/>
        <w:rPr>
          <w:rFonts w:ascii="Arial" w:cs="Arial" w:eastAsia="Arial" w:hAnsi="Arial"/>
          <w:sz w:val="17"/>
          <w:szCs w:val="17"/>
          <w:color w:val="auto"/>
        </w:rPr>
      </w:pPr>
    </w:p>
    <w:p>
      <w:pPr>
        <w:ind w:left="320" w:hanging="172"/>
        <w:spacing w:after="0" w:line="329" w:lineRule="auto"/>
        <w:tabs>
          <w:tab w:leader="none" w:pos="32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$84 million in net proceeds from a construction loan related to Copper Mountain Solar 3 in March 2014; the loan was deconsolidated upon the sale. We discuss the Copper Mountain Solar 3 transactions further in Notes 3 and 6 of the Notes to Condensed Consolidated Financial Statements herein</w:t>
      </w:r>
    </w:p>
    <w:p>
      <w:pPr>
        <w:spacing w:after="0" w:line="160" w:lineRule="exact"/>
        <w:rPr>
          <w:rFonts w:ascii="Arial" w:cs="Arial" w:eastAsia="Arial" w:hAnsi="Arial"/>
          <w:sz w:val="16"/>
          <w:szCs w:val="16"/>
          <w:color w:val="auto"/>
        </w:rPr>
      </w:pPr>
    </w:p>
    <w:p>
      <w:pPr>
        <w:ind w:left="320" w:right="20" w:hanging="172"/>
        <w:spacing w:after="0" w:line="266" w:lineRule="auto"/>
        <w:tabs>
          <w:tab w:leader="none" w:pos="3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$24 million cash proceeds from the sale of a 50-percent equity interest in the first phase of the Energía Sierra Juárez wind generation project in July 2014, net of $2 million cash sold</w:t>
      </w:r>
    </w:p>
    <w:p>
      <w:pPr>
        <w:spacing w:after="0" w:line="205" w:lineRule="exact"/>
        <w:rPr>
          <w:rFonts w:ascii="Arial" w:cs="Arial" w:eastAsia="Arial" w:hAnsi="Arial"/>
          <w:sz w:val="18"/>
          <w:szCs w:val="18"/>
          <w:color w:val="auto"/>
        </w:rPr>
      </w:pPr>
    </w:p>
    <w:p>
      <w:pPr>
        <w:ind w:left="320" w:hanging="172"/>
        <w:spacing w:after="0" w:line="295" w:lineRule="auto"/>
        <w:tabs>
          <w:tab w:leader="none" w:pos="32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$82 million proceeds from a construction loan related to the Energía Sierra Juárez project in June 2014; the loan was deconsolidated upon the sale. We discuss the Energía Sierra Juárez transactions further in Notes 3 and 6 of the Notes to Condensed Consolidated Financial Statements herein</w:t>
      </w:r>
    </w:p>
    <w:p>
      <w:pPr>
        <w:spacing w:after="0" w:line="184"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At September 30, 2014, our cash and cash equivalents held in non-U.S. jurisdictions that are unavailable to fund U.S. operations unless repatriated are $591 million. As we discuss in “Results of Operations – Changes in Revenues, Costs and Earnings – Income Taxes” in “Management’s Discussion and Analysis of Financial Condition and Results of Operations” in the Annual Report, we plan to repatriate a portion of current earnings beginning in 2014 from certain of our non-U.S. subsidiaries in Mexico and Peru. Because this potential repatriation would only be from earnings since January 1, 2014, it does not change our current assertion that we intend to continue to indefinitely reinvest our cumulative undistributed non-U.S. earnings through December 31, 2013. Therefore, we do not intend to use these cumulative undistributed earnings as a source of funding for U.S. operations.</w:t>
      </w:r>
    </w:p>
    <w:p>
      <w:pPr>
        <w:spacing w:after="0" w:line="179"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have significant investments in several trusts to provide for future payments of pensions and other postretirement benefits, and nuclear decommissioning. Changes in asset values, which are dependent on the activity in the equity and fixed income markets, have not affected the trust funds’ abilities to make required payments, but along with a number of other factors such as changes to discount rates, assumed rates of returns and regulations, may impact funding requirements for pension and other postretirement benefit plans and the nuclear decommissioning trusts. At the California Utilities, funding requirements are generally recoverable in rates.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We discuss our principal credit agreements more fully in Note 6 of the Notes to Condensed Consolidated Financial Statements herein.</w:t>
      </w:r>
    </w:p>
    <w:p>
      <w:pPr>
        <w:spacing w:after="0" w:line="218"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color w:val="auto"/>
        </w:rPr>
        <w:t>Our short-term debt is primarily used to meet liquidity requirements, fund shareholder dividends, temporarily finance capital expenditures, and fund new business acquisitions or start-ups. Our corporate short-term, unsecured promissory notes, or commercial paper, were our primary source of short-term debt funding in the first nine months of 2014.</w:t>
      </w:r>
    </w:p>
    <w:p>
      <w:pPr>
        <w:spacing w:after="0" w:line="39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California Utilities</w:t>
      </w:r>
    </w:p>
    <w:p>
      <w:pPr>
        <w:spacing w:after="0" w:line="211"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SDG&amp;E and SoCalGas expect that available funds, cash flows from operations and debt issuances will continue to be adequate to meet their working capital and capital expenditure requirements.</w:t>
      </w:r>
    </w:p>
    <w:p>
      <w:pPr>
        <w:spacing w:after="0" w:line="17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 October 2014, SoCalGas declared and paid $100 million in common dividends. In 2013, SoCalGas declared and paid $50 million in common dividends. As a result of the increase in SoCalGas’ capital investment programs over the next few years, and the increase in SoCalGas’ authorized common equity weighting as approved by the CPUC in the cost of capital proceeding, SoCalGas’ dividends on common stock declared on an annual historical basis may not be indicative of future declarations, or may be temporarily suspended over the next few years to maintain SoCalGas’ authorized capital structure during the periods of high capital investments. We discuss the cost of capital proceeding in Note 14 of the Notes to Consolidated Financial Statements in the Annual Report.</w:t>
      </w:r>
    </w:p>
    <w:p>
      <w:pPr>
        <w:spacing w:after="0" w:line="164" w:lineRule="exact"/>
        <w:rPr>
          <w:sz w:val="20"/>
          <w:szCs w:val="20"/>
          <w:color w:val="auto"/>
        </w:rPr>
      </w:pPr>
    </w:p>
    <w:p>
      <w:pPr>
        <w:jc w:val="both"/>
        <w:ind w:right="160"/>
        <w:spacing w:after="0" w:line="253" w:lineRule="auto"/>
        <w:rPr>
          <w:sz w:val="20"/>
          <w:szCs w:val="20"/>
          <w:color w:val="auto"/>
        </w:rPr>
      </w:pPr>
      <w:r>
        <w:rPr>
          <w:rFonts w:ascii="Arial" w:cs="Arial" w:eastAsia="Arial" w:hAnsi="Arial"/>
          <w:sz w:val="18"/>
          <w:szCs w:val="18"/>
          <w:color w:val="auto"/>
        </w:rPr>
        <w:t>In October 2014, SDG&amp;E declared and paid $100 million in common dividends. On the same date, SDG&amp;E also declared $100 million in common dividends payable on December 23, 2014. As a result of SDG&amp;E’s large capital investment program over the past few years, SDG&amp;E did not pay common dividends to Sempra Energy in 2013. However, due to the completion of construction of the Sunrise Powerlink transmission power line in June 2012, SDG&amp;E has resumed the declaration and payment of dividends on its common stock in 2014.</w:t>
      </w:r>
    </w:p>
    <w:p>
      <w:pPr>
        <w:spacing w:after="0" w:line="190" w:lineRule="exact"/>
        <w:rPr>
          <w:sz w:val="20"/>
          <w:szCs w:val="20"/>
          <w:color w:val="auto"/>
        </w:rPr>
      </w:pPr>
    </w:p>
    <w:p>
      <w:pPr>
        <w:ind w:right="100"/>
        <w:spacing w:after="0" w:line="264" w:lineRule="auto"/>
        <w:rPr>
          <w:sz w:val="20"/>
          <w:szCs w:val="20"/>
          <w:color w:val="auto"/>
        </w:rPr>
      </w:pPr>
      <w:r>
        <w:rPr>
          <w:rFonts w:ascii="Arial" w:cs="Arial" w:eastAsia="Arial" w:hAnsi="Arial"/>
          <w:sz w:val="17"/>
          <w:szCs w:val="17"/>
          <w:color w:val="auto"/>
        </w:rPr>
        <w:t>SDG&amp;E uses the Energy Resource Recovery Account (ERRA) balancing account to record the net of its actual cost incurred for electric fuel and purchased power and the amount billed to customers in rates. Primarily as a result of delays in the CPUC issuing final decisions on SDG&amp;E’s ERRA-related filings, as of September 30, 2014, SDG&amp;E’s ERRA balance is undercollected by $489 million. In February 2014, the CPUC issued a decision granting SDG&amp;E authority to increase rates to recover an ERRA Trigger revenue requirement of $221 million, which rate increase was effective on April 1, 2014 and will continue through December 31, 2015. In May 2014, the CPUC issued a final decision approving SDG&amp;E’s proposed 2014 ERRA revenue requirement of $1.23 billion, an increase of $242 million, which rate increase was effective on August 1, 2014. With these rate changes, and assuming that actual energy resource costs incurred approximate what was assumed in the proposed 2014 ERRA revenue requirement, management expects the undercollected balance in ERRA to decrease between now and the end of 2015. We discuss the ERRA Trigger and the status of the ERRA filings further in Note 10 of the Notes to Condensed Consolidated Financial Statements herein and provide information on how the increasing undercollected balance in ERRA has impacted SDG&amp;E in our discussion of “Cash Flows From Operating Activities” below.</w:t>
      </w:r>
    </w:p>
    <w:p>
      <w:pPr>
        <w:spacing w:after="0" w:line="39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Sempra South American Utilities</w:t>
      </w:r>
    </w:p>
    <w:p>
      <w:pPr>
        <w:sectPr>
          <w:pgSz w:w="11900" w:h="16838" w:orient="portrait"/>
          <w:cols w:equalWidth="0" w:num="1">
            <w:col w:w="11420"/>
          </w:cols>
          <w:pgMar w:left="240" w:top="127" w:right="239" w:bottom="38" w:gutter="0" w:footer="0" w:header="0"/>
        </w:sectPr>
      </w:pPr>
    </w:p>
    <w:bookmarkStart w:id="74" w:name="page75"/>
    <w:bookmarkEnd w:id="74"/>
    <w:p>
      <w:pPr>
        <w:ind w:right="560"/>
        <w:spacing w:after="0" w:line="266" w:lineRule="auto"/>
        <w:rPr>
          <w:sz w:val="20"/>
          <w:szCs w:val="20"/>
          <w:color w:val="auto"/>
        </w:rPr>
      </w:pPr>
      <w:r>
        <w:rPr>
          <w:rFonts w:ascii="Arial" w:cs="Arial" w:eastAsia="Arial" w:hAnsi="Arial"/>
          <w:sz w:val="18"/>
          <w:szCs w:val="18"/>
          <w:color w:val="auto"/>
        </w:rPr>
        <w:t>We expect projects at Chilquinta Energía and Luz del Sur to be funded by available funds, funds internally generated by those businesses and by external borrowings.</w:t>
      </w:r>
    </w:p>
    <w:p>
      <w:pPr>
        <w:spacing w:after="0" w:line="38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Sempra Mexico</w:t>
      </w:r>
    </w:p>
    <w:p>
      <w:pPr>
        <w:spacing w:after="0" w:line="211"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We expect projects in Mexico to be funded through a combination of available funds, funds internally generated by the Mexico businesses, securities issuances, project financing and partnering in joint ventures. In June and August 2014, IEnova entered into two three-year term, corporate revolving credit facility agreements providing $200 million and $100 million, respectively, to finance working capital and for other general corporate purposes. IEnova drew down $40 million in July 2014 and $105 million in August 2014 from the first facility. In June 2014, Sempra Mexico also entered into a $240 million loan to finance the construction of the first phase of Energía Sierra Juárez, as we discuss in Note 6 of the Notes to Condensed Consolidated Financial Statements herein. The loan agreement provides for a $31.7 million letter of credit facility. Sempra Mexico also entered into a separate, Peso-denominated credit facility for up to $35 million U.S. dollar equivalent to fund the value added tax of the project. In June 2014, Sempra Mexico drew down $82 million from the loan. In July 2014, Sempra Mexico sold a 50-percent equity interest in the first phase of Energía Sierra Juárez to a wholly owned subsidiary of InterGen N.V. for cash proceeds of $24 million, net of $2 million cash sold. Sempra Mexico’s interest in Energía Sierra Juárez is now accounted for under the equity method, and the $82 million of long-term debt was deconsolidated at the time of sale, as we discuss in Notes 3 and 4 of the Notes to Condensed Consolidated Financial Statements herein.</w:t>
      </w:r>
    </w:p>
    <w:p>
      <w:pPr>
        <w:spacing w:after="0" w:line="37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Sempra Renewables</w:t>
      </w:r>
    </w:p>
    <w:p>
      <w:pPr>
        <w:spacing w:after="0" w:line="211"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We expect Sempra Renewables to require funds for the development of and investment in renewable energy projects. Projects at Sempra Renewables may be financed through a combination of operating cash flow, project financing, funds from the parent, partnering in joint ventures, and other forms of equity sales. The Sempra Renewables projects have planned in-service dates through 2016. In March 2014, Sempra Renewables received a $356 million construction loan related to Copper Mountain Solar 3, as we discuss in Note 6 of the Notes to Condensed Consolidated Financial Statements herein. Copper Mountain Solar 3 made an initial draw-down on the loan of $97 million. Later in March 2014, Sempra Renewables sold a 50-percent equity interest in Copper Mountain Solar 3 to Consolidated Edison Development (ConEdison Development). Sempra Renewables’ interest in Copper Mountain Solar 3 is now accounted for under the equity method and its long-term debt was deconsolidated upon the sale. Sempra Renewables received $66 million in net cash from the sale. In May 2014, Sempra Renewables invested $109 million to become a 50-percent partner with ConEdison Development in four solar projects in California (the California solar partnership), as we discuss in Note 4 of the Notes to Condensed Consolidated Financial Statements herein.</w:t>
      </w:r>
    </w:p>
    <w:p>
      <w:pPr>
        <w:spacing w:after="0" w:line="38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Sempra Natural Gas</w:t>
      </w:r>
    </w:p>
    <w:p>
      <w:pPr>
        <w:spacing w:after="0" w:line="211"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We expect Sempra Natural Gas to require funding for the development and expansion of its portfolio of projects, which may be financed through a combination of operating cash flow and funding from the parent. In January 2014, management approved a plan to sell the remaining 625-MW block of the Mesquite Power plant. In October 2014, Sempra Natural Gas entered into a definitive agreement to sell the remaining block of the Mesquite Power plant to ArcLight Capital Partners, LLC. We anticipate the sale will close late in 2014 or early in 2015, subject to customary regulatory approvals and the assignment of an associated 25-year power sales contract to the buyer. Sempra Natural Gas also plans to develop a natural gas liquefaction export facility at its Cameron LNG terminal. The majority of the liquefaction project is project-financed for 16 years under three debt facilities provided by the Japan Bank for International Cooperation (JBIC) and 29 international commercial banks, some of which will benefit from insurance coverage provided by Nippon Export and Investment Insurance (NEXI), with most or all of the remainder of the capital requirements to be provided by the project partners, including Sempra Energy, through equity contributions under a joint venture agreement. On October 1, 2014, the effective date of the formation of the joint venture, we contributed our share of equity to the joint venture through the contribution of Cameron LNG at its historical value. We also expect to contribute our share of cash generated from the first two liquefaction trains as each achieves commercial operations in 2018. As of October 1, 2014, Sempra Natural Gas will begin accounting for its investment in the joint venture under the equity method.</w:t>
      </w:r>
    </w:p>
    <w:p>
      <w:pPr>
        <w:spacing w:after="0" w:line="184"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On August 6, 2014, Sempra Energy and the project partners, comprised of affiliates of GDF SUEZ S.A., Mitsui &amp; Co., Ltd., and Mitsubishi Corporation (through a related company jointly established with Nippon Yusen Kabushiki Kaisha (NYK)), executed the project financing documents. Under the financing agreements, Sempra Energy signed a completion guarantee for 50.2 percent of the debt, which corresponds to $3.7 billion of the total $7.4 billion principal amount of the debt committed under the financing agreements. The project financing and completion guarantee became effective on October 1, 2014, the effective date of the joint venture formation. The completion guarantee will terminate upon satisfaction of certain conditions, including all three trains achieving commercial operation and meeting certain operational performance tests. The completion guarantee is anticipated to be terminated in the second half of 2019.</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We discuss the Cameron LNG joint venture further in Notes 11 and 13 of the Notes to Condensed Consolidated Financial Statements herein.</w:t>
      </w:r>
    </w:p>
    <w:p>
      <w:pPr>
        <w:spacing w:after="0" w:line="21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Some of Sempra Natural Gas’ long-term power sale contracts contain collateral requirements which require its affiliates and/or the counterparty to post cash or other acceptable collateral to the other party for exposure in excess of established thresholds. Sempra Natural Gas may be required to provide collateral when the fair value of the contract with our counterparty exceeds established thresholds. We have neither collateral posted nor owed to counterparties at September 30, 2014 pursuant to these requirements.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CASH FLOWS FROM OPERATING ACTIVITIES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-104775</wp:posOffset>
            </wp:positionV>
            <wp:extent cx="7248525" cy="2197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8525" cy="219710"/>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6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2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Nine months ended</w:t>
            </w:r>
          </w:p>
        </w:tc>
        <w:tc>
          <w:tcPr>
            <w:tcW w:w="7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35"/>
        </w:trPr>
        <w:tc>
          <w:tcPr>
            <w:tcW w:w="3560" w:type="dxa"/>
            <w:vAlign w:val="bottom"/>
          </w:tcPr>
          <w:p>
            <w:pPr>
              <w:spacing w:after="0"/>
              <w:rPr>
                <w:sz w:val="11"/>
                <w:szCs w:val="11"/>
                <w:color w:val="auto"/>
              </w:rPr>
            </w:pPr>
          </w:p>
        </w:tc>
        <w:tc>
          <w:tcPr>
            <w:tcW w:w="2980" w:type="dxa"/>
            <w:vAlign w:val="bottom"/>
            <w:gridSpan w:val="2"/>
            <w:vMerge w:val="continue"/>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560" w:type="dxa"/>
            <w:vAlign w:val="bottom"/>
            <w:tcBorders>
              <w:bottom w:val="single" w:sz="8" w:color="auto"/>
            </w:tcBorders>
          </w:tcPr>
          <w:p>
            <w:pPr>
              <w:spacing w:after="0"/>
              <w:rPr>
                <w:sz w:val="13"/>
                <w:szCs w:val="13"/>
                <w:color w:val="auto"/>
              </w:rPr>
            </w:pPr>
          </w:p>
        </w:tc>
        <w:tc>
          <w:tcPr>
            <w:tcW w:w="2980" w:type="dxa"/>
            <w:vAlign w:val="bottom"/>
            <w:tcBorders>
              <w:bottom w:val="single" w:sz="8" w:color="auto"/>
            </w:tcBorders>
            <w:gridSpan w:val="2"/>
          </w:tcPr>
          <w:p>
            <w:pPr>
              <w:jc w:val="right"/>
              <w:ind w:right="160"/>
              <w:spacing w:after="0" w:line="155" w:lineRule="exact"/>
              <w:rPr>
                <w:sz w:val="20"/>
                <w:szCs w:val="20"/>
                <w:color w:val="auto"/>
              </w:rPr>
            </w:pPr>
            <w:r>
              <w:rPr>
                <w:rFonts w:ascii="Arial" w:cs="Arial" w:eastAsia="Arial" w:hAnsi="Arial"/>
                <w:sz w:val="14"/>
                <w:szCs w:val="14"/>
                <w:color w:val="auto"/>
              </w:rPr>
              <w:t>September 30, 2014</w:t>
            </w:r>
          </w:p>
        </w:tc>
        <w:tc>
          <w:tcPr>
            <w:tcW w:w="7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122"/>
              <w:spacing w:after="0" w:line="155" w:lineRule="exact"/>
              <w:rPr>
                <w:sz w:val="20"/>
                <w:szCs w:val="20"/>
                <w:color w:val="auto"/>
              </w:rPr>
            </w:pPr>
            <w:r>
              <w:rPr>
                <w:rFonts w:ascii="Arial" w:cs="Arial" w:eastAsia="Arial" w:hAnsi="Arial"/>
                <w:sz w:val="14"/>
                <w:szCs w:val="14"/>
                <w:color w:val="auto"/>
              </w:rPr>
              <w:t>2014 Change</w:t>
            </w:r>
          </w:p>
        </w:tc>
        <w:tc>
          <w:tcPr>
            <w:tcW w:w="92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2"/>
          </w:tcPr>
          <w:p>
            <w:pPr>
              <w:jc w:val="right"/>
              <w:ind w:right="200"/>
              <w:spacing w:after="0" w:line="155" w:lineRule="exact"/>
              <w:rPr>
                <w:sz w:val="20"/>
                <w:szCs w:val="20"/>
                <w:color w:val="auto"/>
              </w:rPr>
            </w:pPr>
            <w:r>
              <w:rPr>
                <w:rFonts w:ascii="Arial" w:cs="Arial" w:eastAsia="Arial" w:hAnsi="Arial"/>
                <w:sz w:val="14"/>
                <w:szCs w:val="14"/>
                <w:color w:val="auto"/>
              </w:rPr>
              <w:t>September 30, 2013</w:t>
            </w:r>
          </w:p>
        </w:tc>
        <w:tc>
          <w:tcPr>
            <w:tcW w:w="0" w:type="dxa"/>
            <w:vAlign w:val="bottom"/>
          </w:tcPr>
          <w:p>
            <w:pPr>
              <w:spacing w:after="0"/>
              <w:rPr>
                <w:sz w:val="1"/>
                <w:szCs w:val="1"/>
                <w:color w:val="auto"/>
              </w:rPr>
            </w:pPr>
          </w:p>
        </w:tc>
      </w:tr>
      <w:tr>
        <w:trPr>
          <w:trHeight w:val="186"/>
        </w:trPr>
        <w:tc>
          <w:tcPr>
            <w:tcW w:w="3560" w:type="dxa"/>
            <w:vAlign w:val="bottom"/>
          </w:tcPr>
          <w:p>
            <w:pPr>
              <w:spacing w:after="0"/>
              <w:rPr>
                <w:sz w:val="20"/>
                <w:szCs w:val="20"/>
                <w:color w:val="auto"/>
              </w:rPr>
            </w:pPr>
            <w:r>
              <w:rPr>
                <w:rFonts w:ascii="Arial" w:cs="Arial" w:eastAsia="Arial" w:hAnsi="Arial"/>
                <w:sz w:val="16"/>
                <w:szCs w:val="16"/>
                <w:color w:val="auto"/>
              </w:rPr>
              <w:t>Sempra Energy Consolidated</w:t>
            </w:r>
          </w:p>
        </w:tc>
        <w:tc>
          <w:tcPr>
            <w:tcW w:w="2160" w:type="dxa"/>
            <w:vAlign w:val="bottom"/>
          </w:tcPr>
          <w:p>
            <w:pPr>
              <w:jc w:val="right"/>
              <w:ind w:right="326"/>
              <w:spacing w:after="0"/>
              <w:rPr>
                <w:sz w:val="20"/>
                <w:szCs w:val="20"/>
                <w:color w:val="auto"/>
              </w:rPr>
            </w:pPr>
            <w:r>
              <w:rPr>
                <w:rFonts w:ascii="Arial" w:cs="Arial" w:eastAsia="Arial" w:hAnsi="Arial"/>
                <w:sz w:val="16"/>
                <w:szCs w:val="16"/>
                <w:color w:val="auto"/>
              </w:rPr>
              <w:t>$</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1,661</w:t>
            </w:r>
          </w:p>
        </w:tc>
        <w:tc>
          <w:tcPr>
            <w:tcW w:w="72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622"/>
              <w:spacing w:after="0"/>
              <w:rPr>
                <w:sz w:val="20"/>
                <w:szCs w:val="20"/>
                <w:color w:val="auto"/>
              </w:rPr>
            </w:pPr>
            <w:r>
              <w:rPr>
                <w:rFonts w:ascii="Arial" w:cs="Arial" w:eastAsia="Arial" w:hAnsi="Arial"/>
                <w:sz w:val="16"/>
                <w:szCs w:val="16"/>
                <w:color w:val="auto"/>
              </w:rPr>
              <w:t>331</w:t>
            </w:r>
          </w:p>
        </w:tc>
        <w:tc>
          <w:tcPr>
            <w:tcW w:w="92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25%</w:t>
            </w:r>
          </w:p>
        </w:tc>
        <w:tc>
          <w:tcPr>
            <w:tcW w:w="1040" w:type="dxa"/>
            <w:vAlign w:val="bottom"/>
          </w:tcPr>
          <w:p>
            <w:pPr>
              <w:jc w:val="right"/>
              <w:ind w:right="326"/>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1,330</w:t>
            </w:r>
          </w:p>
        </w:tc>
        <w:tc>
          <w:tcPr>
            <w:tcW w:w="0" w:type="dxa"/>
            <w:vAlign w:val="bottom"/>
          </w:tcPr>
          <w:p>
            <w:pPr>
              <w:spacing w:after="0"/>
              <w:rPr>
                <w:sz w:val="1"/>
                <w:szCs w:val="1"/>
                <w:color w:val="auto"/>
              </w:rPr>
            </w:pPr>
          </w:p>
        </w:tc>
      </w:tr>
      <w:tr>
        <w:trPr>
          <w:trHeight w:val="193"/>
        </w:trPr>
        <w:tc>
          <w:tcPr>
            <w:tcW w:w="3560" w:type="dxa"/>
            <w:vAlign w:val="bottom"/>
          </w:tcPr>
          <w:p>
            <w:pPr>
              <w:spacing w:after="0"/>
              <w:rPr>
                <w:sz w:val="20"/>
                <w:szCs w:val="20"/>
                <w:color w:val="auto"/>
              </w:rPr>
            </w:pPr>
            <w:r>
              <w:rPr>
                <w:rFonts w:ascii="Arial" w:cs="Arial" w:eastAsia="Arial" w:hAnsi="Arial"/>
                <w:sz w:val="16"/>
                <w:szCs w:val="16"/>
                <w:color w:val="auto"/>
              </w:rPr>
              <w:t>SDG&amp;E</w:t>
            </w:r>
          </w:p>
        </w:tc>
        <w:tc>
          <w:tcPr>
            <w:tcW w:w="2160" w:type="dxa"/>
            <w:vAlign w:val="bottom"/>
          </w:tcPr>
          <w:p>
            <w:pPr>
              <w:spacing w:after="0"/>
              <w:rPr>
                <w:sz w:val="16"/>
                <w:szCs w:val="16"/>
                <w:color w:val="auto"/>
              </w:rPr>
            </w:pP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821</w:t>
            </w:r>
          </w:p>
        </w:tc>
        <w:tc>
          <w:tcPr>
            <w:tcW w:w="720" w:type="dxa"/>
            <w:vAlign w:val="bottom"/>
          </w:tcPr>
          <w:p>
            <w:pPr>
              <w:spacing w:after="0"/>
              <w:rPr>
                <w:sz w:val="16"/>
                <w:szCs w:val="16"/>
                <w:color w:val="auto"/>
              </w:rPr>
            </w:pPr>
          </w:p>
        </w:tc>
        <w:tc>
          <w:tcPr>
            <w:tcW w:w="1400" w:type="dxa"/>
            <w:vAlign w:val="bottom"/>
          </w:tcPr>
          <w:p>
            <w:pPr>
              <w:jc w:val="right"/>
              <w:ind w:right="622"/>
              <w:spacing w:after="0"/>
              <w:rPr>
                <w:sz w:val="20"/>
                <w:szCs w:val="20"/>
                <w:color w:val="auto"/>
              </w:rPr>
            </w:pPr>
            <w:r>
              <w:rPr>
                <w:rFonts w:ascii="Arial" w:cs="Arial" w:eastAsia="Arial" w:hAnsi="Arial"/>
                <w:sz w:val="16"/>
                <w:szCs w:val="16"/>
                <w:color w:val="auto"/>
              </w:rPr>
              <w:t>312</w:t>
            </w:r>
          </w:p>
        </w:tc>
        <w:tc>
          <w:tcPr>
            <w:tcW w:w="92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61</w:t>
            </w:r>
          </w:p>
        </w:tc>
        <w:tc>
          <w:tcPr>
            <w:tcW w:w="10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509</w:t>
            </w:r>
          </w:p>
        </w:tc>
        <w:tc>
          <w:tcPr>
            <w:tcW w:w="0" w:type="dxa"/>
            <w:vAlign w:val="bottom"/>
          </w:tcPr>
          <w:p>
            <w:pPr>
              <w:spacing w:after="0"/>
              <w:rPr>
                <w:sz w:val="1"/>
                <w:szCs w:val="1"/>
                <w:color w:val="auto"/>
              </w:rPr>
            </w:pPr>
          </w:p>
        </w:tc>
      </w:tr>
      <w:tr>
        <w:trPr>
          <w:trHeight w:val="219"/>
        </w:trPr>
        <w:tc>
          <w:tcPr>
            <w:tcW w:w="356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SoCalGas</w:t>
            </w:r>
          </w:p>
        </w:tc>
        <w:tc>
          <w:tcPr>
            <w:tcW w:w="2160" w:type="dxa"/>
            <w:vAlign w:val="bottom"/>
            <w:tcBorders>
              <w:bottom w:val="single" w:sz="8" w:color="C0C0C0"/>
            </w:tcBorders>
          </w:tcPr>
          <w:p>
            <w:pPr>
              <w:spacing w:after="0"/>
              <w:rPr>
                <w:sz w:val="19"/>
                <w:szCs w:val="19"/>
                <w:color w:val="auto"/>
              </w:rPr>
            </w:pPr>
          </w:p>
        </w:tc>
        <w:tc>
          <w:tcPr>
            <w:tcW w:w="820" w:type="dxa"/>
            <w:vAlign w:val="bottom"/>
            <w:tcBorders>
              <w:bottom w:val="single" w:sz="8" w:color="C0C0C0"/>
            </w:tcBorders>
          </w:tcPr>
          <w:p>
            <w:pPr>
              <w:jc w:val="right"/>
              <w:spacing w:after="0"/>
              <w:rPr>
                <w:sz w:val="20"/>
                <w:szCs w:val="20"/>
                <w:color w:val="auto"/>
              </w:rPr>
            </w:pPr>
            <w:r>
              <w:rPr>
                <w:rFonts w:ascii="Arial" w:cs="Arial" w:eastAsia="Arial" w:hAnsi="Arial"/>
                <w:sz w:val="16"/>
                <w:szCs w:val="16"/>
                <w:color w:val="auto"/>
              </w:rPr>
              <w:t>596</w:t>
            </w:r>
          </w:p>
        </w:tc>
        <w:tc>
          <w:tcPr>
            <w:tcW w:w="720" w:type="dxa"/>
            <w:vAlign w:val="bottom"/>
            <w:tcBorders>
              <w:bottom w:val="single" w:sz="8" w:color="C0C0C0"/>
            </w:tcBorders>
          </w:tcPr>
          <w:p>
            <w:pPr>
              <w:spacing w:after="0"/>
              <w:rPr>
                <w:sz w:val="19"/>
                <w:szCs w:val="19"/>
                <w:color w:val="auto"/>
              </w:rPr>
            </w:pPr>
          </w:p>
        </w:tc>
        <w:tc>
          <w:tcPr>
            <w:tcW w:w="1400" w:type="dxa"/>
            <w:vAlign w:val="bottom"/>
            <w:tcBorders>
              <w:bottom w:val="single" w:sz="8" w:color="C0C0C0"/>
            </w:tcBorders>
          </w:tcPr>
          <w:p>
            <w:pPr>
              <w:jc w:val="right"/>
              <w:ind w:right="622"/>
              <w:spacing w:after="0"/>
              <w:rPr>
                <w:sz w:val="20"/>
                <w:szCs w:val="20"/>
                <w:color w:val="auto"/>
              </w:rPr>
            </w:pPr>
            <w:r>
              <w:rPr>
                <w:rFonts w:ascii="Arial" w:cs="Arial" w:eastAsia="Arial" w:hAnsi="Arial"/>
                <w:sz w:val="16"/>
                <w:szCs w:val="16"/>
                <w:color w:val="auto"/>
              </w:rPr>
              <w:t>109</w:t>
            </w:r>
          </w:p>
        </w:tc>
        <w:tc>
          <w:tcPr>
            <w:tcW w:w="920" w:type="dxa"/>
            <w:vAlign w:val="bottom"/>
            <w:tcBorders>
              <w:bottom w:val="single" w:sz="8" w:color="C0C0C0"/>
            </w:tcBorders>
          </w:tcPr>
          <w:p>
            <w:pPr>
              <w:ind w:left="200"/>
              <w:spacing w:after="0"/>
              <w:rPr>
                <w:sz w:val="20"/>
                <w:szCs w:val="20"/>
                <w:color w:val="auto"/>
              </w:rPr>
            </w:pPr>
            <w:r>
              <w:rPr>
                <w:rFonts w:ascii="Arial" w:cs="Arial" w:eastAsia="Arial" w:hAnsi="Arial"/>
                <w:sz w:val="16"/>
                <w:szCs w:val="16"/>
                <w:color w:val="auto"/>
              </w:rPr>
              <w:t>22</w:t>
            </w:r>
          </w:p>
        </w:tc>
        <w:tc>
          <w:tcPr>
            <w:tcW w:w="1040" w:type="dxa"/>
            <w:vAlign w:val="bottom"/>
            <w:tcBorders>
              <w:bottom w:val="single" w:sz="8" w:color="C0C0C0"/>
            </w:tcBorders>
          </w:tcPr>
          <w:p>
            <w:pPr>
              <w:spacing w:after="0"/>
              <w:rPr>
                <w:sz w:val="19"/>
                <w:szCs w:val="19"/>
                <w:color w:val="auto"/>
              </w:rPr>
            </w:pPr>
          </w:p>
        </w:tc>
        <w:tc>
          <w:tcPr>
            <w:tcW w:w="800" w:type="dxa"/>
            <w:vAlign w:val="bottom"/>
            <w:tcBorders>
              <w:bottom w:val="single" w:sz="8" w:color="C0C0C0"/>
            </w:tcBorders>
          </w:tcPr>
          <w:p>
            <w:pPr>
              <w:jc w:val="right"/>
              <w:spacing w:after="0"/>
              <w:rPr>
                <w:sz w:val="20"/>
                <w:szCs w:val="20"/>
                <w:color w:val="auto"/>
              </w:rPr>
            </w:pPr>
            <w:r>
              <w:rPr>
                <w:rFonts w:ascii="Arial" w:cs="Arial" w:eastAsia="Arial" w:hAnsi="Arial"/>
                <w:sz w:val="16"/>
                <w:szCs w:val="16"/>
                <w:color w:val="auto"/>
              </w:rPr>
              <w:t>487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4126230</wp:posOffset>
            </wp:positionH>
            <wp:positionV relativeFrom="paragraph">
              <wp:posOffset>-163830</wp:posOffset>
            </wp:positionV>
            <wp:extent cx="33655" cy="1771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55" cy="17716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-163830</wp:posOffset>
            </wp:positionV>
            <wp:extent cx="33655" cy="1771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655" cy="17716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Sempra Energy Consolidated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Cash provided by operating activities at Sempra Energy increased in 2014 primarily due to:</w:t>
      </w:r>
    </w:p>
    <w:p>
      <w:pPr>
        <w:spacing w:after="0" w:line="218" w:lineRule="exact"/>
        <w:rPr>
          <w:sz w:val="20"/>
          <w:szCs w:val="20"/>
          <w:color w:val="auto"/>
        </w:rPr>
      </w:pPr>
    </w:p>
    <w:p>
      <w:pPr>
        <w:jc w:val="both"/>
        <w:ind w:left="320" w:hanging="172"/>
        <w:spacing w:after="0" w:line="329" w:lineRule="auto"/>
        <w:tabs>
          <w:tab w:leader="none" w:pos="32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$243 million increase in net undercollected regulatory balancing accounts in 2014 at the California Utilities (including long-term amounts included in regulatory assets) compared to a $344 million increase in 2013. Over- and undercollected regulatory balancing accounts reflect the difference between</w:t>
      </w:r>
    </w:p>
    <w:p>
      <w:pPr>
        <w:sectPr>
          <w:pgSz w:w="11900" w:h="16838" w:orient="portrait"/>
          <w:cols w:equalWidth="0" w:num="1">
            <w:col w:w="11420"/>
          </w:cols>
          <w:pgMar w:left="240" w:top="127" w:right="239" w:bottom="0" w:gutter="0" w:footer="0" w:header="0"/>
        </w:sectPr>
      </w:pPr>
    </w:p>
    <w:bookmarkStart w:id="75" w:name="page76"/>
    <w:bookmarkEnd w:id="75"/>
    <w:p>
      <w:pPr>
        <w:ind w:left="320"/>
        <w:spacing w:after="0" w:line="266" w:lineRule="auto"/>
        <w:rPr>
          <w:sz w:val="20"/>
          <w:szCs w:val="20"/>
          <w:color w:val="auto"/>
        </w:rPr>
      </w:pPr>
      <w:r>
        <w:rPr>
          <w:rFonts w:ascii="Arial" w:cs="Arial" w:eastAsia="Arial" w:hAnsi="Arial"/>
          <w:sz w:val="18"/>
          <w:szCs w:val="18"/>
          <w:color w:val="auto"/>
        </w:rPr>
        <w:t>customer billings and recorded or CPUC-authorized costs. These differences are required to be balanced over time. See further discussion of changes in regulatory balances at both SDG&amp;E and SoCalGas below;</w:t>
      </w:r>
    </w:p>
    <w:p>
      <w:pPr>
        <w:spacing w:after="0" w:line="206" w:lineRule="exact"/>
        <w:rPr>
          <w:sz w:val="20"/>
          <w:szCs w:val="20"/>
          <w:color w:val="auto"/>
        </w:rPr>
      </w:pPr>
    </w:p>
    <w:p>
      <w:pPr>
        <w:jc w:val="both"/>
        <w:ind w:left="320" w:hanging="172"/>
        <w:spacing w:after="0" w:line="256" w:lineRule="auto"/>
        <w:tabs>
          <w:tab w:leader="none" w:pos="3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$243 million decrease in accounts receivable in 2014 compared to an $85 million decrease in 2013; the 2014 decrease was mainly due to a $292 million decrease at SoCalGas, primarily due to colder than normal weather in the fourth quarter of 2013 resulting in higher customers’ account receivable balances as of December 31, 2013 being collected in early 2014;</w:t>
      </w:r>
    </w:p>
    <w:p>
      <w:pPr>
        <w:spacing w:after="0" w:line="214" w:lineRule="exact"/>
        <w:rPr>
          <w:rFonts w:ascii="Arial" w:cs="Arial" w:eastAsia="Arial" w:hAnsi="Arial"/>
          <w:sz w:val="18"/>
          <w:szCs w:val="18"/>
          <w:color w:val="auto"/>
        </w:rPr>
      </w:pPr>
    </w:p>
    <w:p>
      <w:pPr>
        <w:ind w:left="320" w:hanging="172"/>
        <w:spacing w:after="0" w:line="266" w:lineRule="auto"/>
        <w:tabs>
          <w:tab w:leader="none" w:pos="3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$52 million increase in accounts payable in 2014 compared to a $99 million decrease in 2013, mainly due to a decrease in 2013 related to natural gas purchased at SoCalGas; and</w:t>
      </w:r>
    </w:p>
    <w:p>
      <w:pPr>
        <w:spacing w:after="0" w:line="199" w:lineRule="exact"/>
        <w:rPr>
          <w:rFonts w:ascii="Arial" w:cs="Arial" w:eastAsia="Arial" w:hAnsi="Arial"/>
          <w:sz w:val="18"/>
          <w:szCs w:val="18"/>
          <w:color w:val="auto"/>
        </w:rPr>
      </w:pPr>
    </w:p>
    <w:p>
      <w:pPr>
        <w:ind w:left="320" w:hanging="172"/>
        <w:spacing w:after="0"/>
        <w:tabs>
          <w:tab w:leader="none" w:pos="3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xml:space="preserve">a $79 million decrease in settlement payments and associated legal fees for wildfire claims at SDG&amp;E in 2014 compared to 2013; </w:t>
      </w:r>
      <w:r>
        <w:rPr>
          <w:rFonts w:ascii="Arial" w:cs="Arial" w:eastAsia="Arial" w:hAnsi="Arial"/>
          <w:sz w:val="18"/>
          <w:szCs w:val="18"/>
          <w:b w:val="1"/>
          <w:bCs w:val="1"/>
          <w:color w:val="auto"/>
        </w:rPr>
        <w:t>offset by</w:t>
      </w:r>
    </w:p>
    <w:p>
      <w:pPr>
        <w:spacing w:after="0" w:line="250" w:lineRule="exact"/>
        <w:rPr>
          <w:rFonts w:ascii="Arial" w:cs="Arial" w:eastAsia="Arial" w:hAnsi="Arial"/>
          <w:sz w:val="18"/>
          <w:szCs w:val="18"/>
          <w:color w:val="auto"/>
        </w:rPr>
      </w:pPr>
    </w:p>
    <w:p>
      <w:pPr>
        <w:ind w:left="320" w:right="20" w:hanging="172"/>
        <w:spacing w:after="0" w:line="266" w:lineRule="auto"/>
        <w:tabs>
          <w:tab w:leader="none" w:pos="3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$211 million increase in inventory in 2014 compared to an $87 million increase in 2013; the 2014 increase was mainly due to a $153 million increase at SoCalGas, primarily due to higher storage volume and higher gas prices; and</w:t>
      </w:r>
    </w:p>
    <w:p>
      <w:pPr>
        <w:spacing w:after="0" w:line="205" w:lineRule="exact"/>
        <w:rPr>
          <w:rFonts w:ascii="Arial" w:cs="Arial" w:eastAsia="Arial" w:hAnsi="Arial"/>
          <w:sz w:val="18"/>
          <w:szCs w:val="18"/>
          <w:color w:val="auto"/>
        </w:rPr>
      </w:pPr>
    </w:p>
    <w:p>
      <w:pPr>
        <w:ind w:left="320" w:hanging="172"/>
        <w:spacing w:after="0" w:line="266" w:lineRule="auto"/>
        <w:tabs>
          <w:tab w:leader="none" w:pos="3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$48 million higher income tax payments in 2014 compared to 2013, primarily due to an $81 million tax payment by IEnova related to Mexican tax reform legislation passed in December 2013.</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SDG&amp;E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Cash provided by operating activities at SDG&amp;E increased in 2014 primarily due to:</w:t>
      </w:r>
    </w:p>
    <w:p>
      <w:pPr>
        <w:spacing w:after="0" w:line="218" w:lineRule="exact"/>
        <w:rPr>
          <w:sz w:val="20"/>
          <w:szCs w:val="20"/>
          <w:color w:val="auto"/>
        </w:rPr>
      </w:pPr>
    </w:p>
    <w:p>
      <w:pPr>
        <w:jc w:val="both"/>
        <w:ind w:left="320" w:right="20" w:hanging="172"/>
        <w:spacing w:after="0" w:line="329" w:lineRule="auto"/>
        <w:tabs>
          <w:tab w:leader="none" w:pos="32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$38 million increase in net undercollected regulatory balancing accounts in 2014 (including long-term amounts included in regulatory assets) compared to a $213 million increase in 2013. The impact of the change in the regulatory balancing accounts on cash provided by operating activities was primarily due to:</w:t>
      </w:r>
    </w:p>
    <w:p>
      <w:pPr>
        <w:spacing w:after="0" w:line="160" w:lineRule="exact"/>
        <w:rPr>
          <w:rFonts w:ascii="Arial" w:cs="Arial" w:eastAsia="Arial" w:hAnsi="Arial"/>
          <w:sz w:val="16"/>
          <w:szCs w:val="16"/>
          <w:color w:val="auto"/>
        </w:rPr>
      </w:pPr>
    </w:p>
    <w:p>
      <w:pPr>
        <w:ind w:left="640" w:hanging="191"/>
        <w:spacing w:after="0" w:line="266" w:lineRule="auto"/>
        <w:tabs>
          <w:tab w:leader="none" w:pos="64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 xml:space="preserve">$121 million decrease in 2014 in the undercollected balance for amounts collected related to the adoption of the 2012 GRC compared to an increase in the undercollected balance in 2013 of $145 million, </w:t>
      </w:r>
      <w:r>
        <w:rPr>
          <w:rFonts w:ascii="Arial" w:cs="Arial" w:eastAsia="Arial" w:hAnsi="Arial"/>
          <w:sz w:val="18"/>
          <w:szCs w:val="18"/>
          <w:i w:val="1"/>
          <w:iCs w:val="1"/>
          <w:color w:val="auto"/>
        </w:rPr>
        <w:t>offset by</w:t>
      </w:r>
    </w:p>
    <w:p>
      <w:pPr>
        <w:spacing w:after="0" w:line="205" w:lineRule="exact"/>
        <w:rPr>
          <w:rFonts w:ascii="Arial" w:cs="Arial" w:eastAsia="Arial" w:hAnsi="Arial"/>
          <w:sz w:val="18"/>
          <w:szCs w:val="18"/>
          <w:color w:val="auto"/>
        </w:rPr>
      </w:pPr>
    </w:p>
    <w:p>
      <w:pPr>
        <w:ind w:left="640" w:hanging="191"/>
        <w:spacing w:after="0" w:line="266" w:lineRule="auto"/>
        <w:tabs>
          <w:tab w:leader="none" w:pos="64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$33 million increase in 2014 in the undercollected balance for electric transmission compared to a $28 million decrease in the undercollected balance in 2013, and</w:t>
      </w:r>
    </w:p>
    <w:p>
      <w:pPr>
        <w:spacing w:after="0" w:line="205" w:lineRule="exact"/>
        <w:rPr>
          <w:rFonts w:ascii="Arial" w:cs="Arial" w:eastAsia="Arial" w:hAnsi="Arial"/>
          <w:sz w:val="18"/>
          <w:szCs w:val="18"/>
          <w:color w:val="auto"/>
        </w:rPr>
      </w:pPr>
    </w:p>
    <w:p>
      <w:pPr>
        <w:ind w:left="640" w:hanging="191"/>
        <w:spacing w:after="0" w:line="266" w:lineRule="auto"/>
        <w:tabs>
          <w:tab w:leader="none" w:pos="64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$33 million increase in 2014 in the undercollected natural gas transportation balancing accounts compared to a $28 million decrease in the undercollected balance in 2013;</w:t>
      </w:r>
    </w:p>
    <w:p>
      <w:pPr>
        <w:spacing w:after="0" w:line="205" w:lineRule="exact"/>
        <w:rPr>
          <w:rFonts w:ascii="Arial" w:cs="Arial" w:eastAsia="Arial" w:hAnsi="Arial"/>
          <w:sz w:val="18"/>
          <w:szCs w:val="18"/>
          <w:color w:val="auto"/>
        </w:rPr>
      </w:pPr>
    </w:p>
    <w:p>
      <w:pPr>
        <w:ind w:left="320" w:hanging="172"/>
        <w:spacing w:after="0"/>
        <w:tabs>
          <w:tab w:leader="none" w:pos="3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 $79 million decrease in settlement payments and associated legal fees for wildfire claims in 2014 compared to 2013; and</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 $46 million decrease in accrued compensation and benefits in 2013.</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SoCalGas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Cash provided by operating activities at SoCalGas increased in 2014 primarily due to:</w:t>
      </w:r>
    </w:p>
    <w:p>
      <w:pPr>
        <w:spacing w:after="0" w:line="218" w:lineRule="exact"/>
        <w:rPr>
          <w:sz w:val="20"/>
          <w:szCs w:val="20"/>
          <w:color w:val="auto"/>
        </w:rPr>
      </w:pPr>
    </w:p>
    <w:p>
      <w:pPr>
        <w:jc w:val="both"/>
        <w:ind w:left="320" w:hanging="172"/>
        <w:spacing w:after="0" w:line="253" w:lineRule="auto"/>
        <w:tabs>
          <w:tab w:leader="none" w:pos="3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$292 million decrease in accounts receivable in 2014 compared to a $192 million decrease in 2013, primarily due to colder than normal weather in the fourth quarter of 2013 resulting in higher customers’ account receivable balances as of December 31, 2013 being collected in early 2014 compared to warmer than normal weather in the fourth quarter of 2012 resulting in lower customers’ account receivable balances as of December 31, 2012 being collected in early 2013;</w:t>
      </w:r>
    </w:p>
    <w:p>
      <w:pPr>
        <w:spacing w:after="0" w:line="216" w:lineRule="exact"/>
        <w:rPr>
          <w:rFonts w:ascii="Arial" w:cs="Arial" w:eastAsia="Arial" w:hAnsi="Arial"/>
          <w:sz w:val="18"/>
          <w:szCs w:val="18"/>
          <w:color w:val="auto"/>
        </w:rPr>
      </w:pPr>
    </w:p>
    <w:p>
      <w:pPr>
        <w:ind w:left="320" w:hanging="172"/>
        <w:spacing w:after="0"/>
        <w:tabs>
          <w:tab w:leader="none" w:pos="3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$14 million decrease in accounts payable in 2014 compared to a $110 million decrease in 2013;</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$57 million higher net income, adjusted for noncash items included in earnings, in 2014 compared to 2013; and</w:t>
      </w:r>
    </w:p>
    <w:p>
      <w:pPr>
        <w:spacing w:after="0" w:line="238" w:lineRule="exact"/>
        <w:rPr>
          <w:rFonts w:ascii="Arial" w:cs="Arial" w:eastAsia="Arial" w:hAnsi="Arial"/>
          <w:sz w:val="18"/>
          <w:szCs w:val="18"/>
          <w:color w:val="auto"/>
        </w:rPr>
      </w:pPr>
    </w:p>
    <w:p>
      <w:pPr>
        <w:ind w:left="320" w:hanging="172"/>
        <w:spacing w:after="0"/>
        <w:tabs>
          <w:tab w:leader="none" w:pos="3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$47 million lower income tax payments in 2014 compared to 2013; </w:t>
      </w:r>
      <w:r>
        <w:rPr>
          <w:rFonts w:ascii="Arial" w:cs="Arial" w:eastAsia="Arial" w:hAnsi="Arial"/>
          <w:sz w:val="18"/>
          <w:szCs w:val="18"/>
          <w:b w:val="1"/>
          <w:bCs w:val="1"/>
          <w:color w:val="auto"/>
        </w:rPr>
        <w:t>offset by</w:t>
      </w:r>
    </w:p>
    <w:p>
      <w:pPr>
        <w:spacing w:after="0" w:line="250" w:lineRule="exact"/>
        <w:rPr>
          <w:rFonts w:ascii="Arial" w:cs="Arial" w:eastAsia="Arial" w:hAnsi="Arial"/>
          <w:sz w:val="18"/>
          <w:szCs w:val="18"/>
          <w:color w:val="auto"/>
        </w:rPr>
      </w:pPr>
    </w:p>
    <w:p>
      <w:pPr>
        <w:ind w:left="320" w:hanging="172"/>
        <w:spacing w:after="0" w:line="266" w:lineRule="auto"/>
        <w:tabs>
          <w:tab w:leader="none" w:pos="3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$205 million increase in net undercollected regulatory balancing accounts in 2014 (including long-term amounts included in regulatory assets) compared to $130 million decrease in net overcollected balances in 2013, primarily due to:</w:t>
      </w:r>
    </w:p>
    <w:p>
      <w:pPr>
        <w:spacing w:after="0" w:line="205" w:lineRule="exact"/>
        <w:rPr>
          <w:rFonts w:ascii="Arial" w:cs="Arial" w:eastAsia="Arial" w:hAnsi="Arial"/>
          <w:sz w:val="18"/>
          <w:szCs w:val="18"/>
          <w:color w:val="auto"/>
        </w:rPr>
      </w:pPr>
    </w:p>
    <w:p>
      <w:pPr>
        <w:ind w:left="640" w:hanging="191"/>
        <w:spacing w:after="0" w:line="266" w:lineRule="auto"/>
        <w:tabs>
          <w:tab w:leader="none" w:pos="64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$229 million increase in 2014 in the undercollected balance associated with the fixed cost balancing accounts compared to an increase of $105 million in 2013, and</w:t>
      </w:r>
    </w:p>
    <w:p>
      <w:pPr>
        <w:spacing w:after="0" w:line="205" w:lineRule="exact"/>
        <w:rPr>
          <w:rFonts w:ascii="Arial" w:cs="Arial" w:eastAsia="Arial" w:hAnsi="Arial"/>
          <w:sz w:val="18"/>
          <w:szCs w:val="18"/>
          <w:color w:val="auto"/>
        </w:rPr>
      </w:pPr>
    </w:p>
    <w:p>
      <w:pPr>
        <w:ind w:left="640" w:hanging="191"/>
        <w:spacing w:after="0"/>
        <w:tabs>
          <w:tab w:leader="none" w:pos="640" w:val="left"/>
        </w:tabs>
        <w:numPr>
          <w:ilvl w:val="1"/>
          <w:numId w:val="132"/>
        </w:numPr>
        <w:rPr>
          <w:rFonts w:ascii="Arial" w:cs="Arial" w:eastAsia="Arial" w:hAnsi="Arial"/>
          <w:sz w:val="17"/>
          <w:szCs w:val="17"/>
          <w:color w:val="auto"/>
        </w:rPr>
      </w:pPr>
      <w:r>
        <w:rPr>
          <w:rFonts w:ascii="Arial" w:cs="Arial" w:eastAsia="Arial" w:hAnsi="Arial"/>
          <w:sz w:val="17"/>
          <w:szCs w:val="17"/>
          <w:color w:val="auto"/>
        </w:rPr>
        <w:t xml:space="preserve">$22 million increase in 2013 in the overcollected balance associated with the advanced metering infrastructure balancing account, </w:t>
      </w:r>
      <w:r>
        <w:rPr>
          <w:rFonts w:ascii="Arial" w:cs="Arial" w:eastAsia="Arial" w:hAnsi="Arial"/>
          <w:sz w:val="17"/>
          <w:szCs w:val="17"/>
          <w:i w:val="1"/>
          <w:iCs w:val="1"/>
          <w:color w:val="auto"/>
        </w:rPr>
        <w:t>offset by</w:t>
      </w:r>
    </w:p>
    <w:p>
      <w:pPr>
        <w:spacing w:after="0" w:line="256" w:lineRule="exact"/>
        <w:rPr>
          <w:rFonts w:ascii="Arial" w:cs="Arial" w:eastAsia="Arial" w:hAnsi="Arial"/>
          <w:sz w:val="17"/>
          <w:szCs w:val="17"/>
          <w:color w:val="auto"/>
        </w:rPr>
      </w:pPr>
    </w:p>
    <w:p>
      <w:pPr>
        <w:ind w:left="640" w:right="20" w:hanging="191"/>
        <w:spacing w:after="0" w:line="266" w:lineRule="auto"/>
        <w:tabs>
          <w:tab w:leader="none" w:pos="64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$39 million decrease in 2014 in the undercollected balance related to the retroactive application of the 2012 GRC compared to a $39 million increase in 2013; and</w:t>
      </w:r>
    </w:p>
    <w:p>
      <w:pPr>
        <w:spacing w:after="0" w:line="205" w:lineRule="exact"/>
        <w:rPr>
          <w:rFonts w:ascii="Arial" w:cs="Arial" w:eastAsia="Arial" w:hAnsi="Arial"/>
          <w:sz w:val="18"/>
          <w:szCs w:val="18"/>
          <w:color w:val="auto"/>
        </w:rPr>
      </w:pPr>
    </w:p>
    <w:p>
      <w:pPr>
        <w:jc w:val="both"/>
        <w:ind w:left="320" w:hanging="172"/>
        <w:spacing w:after="0" w:line="256" w:lineRule="auto"/>
        <w:tabs>
          <w:tab w:leader="none" w:pos="3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$153 million increase in inventory in 2014 compared to a $26 million increase in 2013, primarily due to higher volume of natural gas added to storage in 2014 as compared to 2013 as a result of colder than normal weather in the fourth quarter of 2013, which left a lower volume of natural gas in storage at the end of 2013 compared to the end of 2012, combined with higher gas prices in 2014.</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contributions to pension and other postretirement benefit plans.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CONTRIBUTIONS TO PENSION AND OTHER POSTRETIREMENT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-104775</wp:posOffset>
            </wp:positionV>
            <wp:extent cx="7248525" cy="2197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8525" cy="219710"/>
                    </a:xfrm>
                    <a:prstGeom prst="rect">
                      <a:avLst/>
                    </a:prstGeom>
                    <a:noFill/>
                  </pic:spPr>
                </pic:pic>
              </a:graphicData>
            </a:graphic>
          </wp:anchor>
        </w:drawing>
      </w:r>
    </w:p>
    <w:p>
      <w:pPr>
        <w:sectPr>
          <w:pgSz w:w="11900" w:h="16838" w:orient="portrait"/>
          <w:cols w:equalWidth="0" w:num="1">
            <w:col w:w="11420"/>
          </w:cols>
          <w:pgMar w:left="240" w:top="127" w:right="239" w:bottom="0" w:gutter="0" w:footer="0" w:header="0"/>
        </w:sectPr>
      </w:pP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ectPr>
          <w:pgSz w:w="11900" w:h="16838" w:orient="portrait"/>
          <w:cols w:equalWidth="0" w:num="1">
            <w:col w:w="11420"/>
          </w:cols>
          <w:pgMar w:left="240" w:top="127" w:right="239" w:bottom="0" w:gutter="0" w:footer="0" w:header="0"/>
          <w:type w:val="continuous"/>
        </w:sectPr>
      </w:pPr>
    </w:p>
    <w:bookmarkStart w:id="76" w:name="page77"/>
    <w:bookmarkEnd w:id="76"/>
    <w:tbl>
      <w:tblPr>
        <w:tblLayout w:type="fixed"/>
        <w:tblInd w:w="0" w:type="dxa"/>
        <w:tblCellMar>
          <w:top w:w="0" w:type="dxa"/>
          <w:left w:w="0" w:type="dxa"/>
          <w:bottom w:w="0" w:type="dxa"/>
          <w:right w:w="0" w:type="dxa"/>
        </w:tblCellMar>
      </w:tblPr>
      <w:tr>
        <w:trPr>
          <w:trHeight w:val="170"/>
        </w:trPr>
        <w:tc>
          <w:tcPr>
            <w:tcW w:w="7280" w:type="dxa"/>
            <w:vAlign w:val="bottom"/>
          </w:tcPr>
          <w:p>
            <w:pPr>
              <w:spacing w:after="0"/>
              <w:rPr>
                <w:sz w:val="14"/>
                <w:szCs w:val="14"/>
                <w:color w:val="auto"/>
              </w:rPr>
            </w:pPr>
          </w:p>
        </w:tc>
        <w:tc>
          <w:tcPr>
            <w:tcW w:w="3700" w:type="dxa"/>
            <w:vAlign w:val="bottom"/>
            <w:gridSpan w:val="3"/>
          </w:tcPr>
          <w:p>
            <w:pPr>
              <w:ind w:left="800"/>
              <w:spacing w:after="0"/>
              <w:rPr>
                <w:sz w:val="20"/>
                <w:szCs w:val="20"/>
                <w:color w:val="auto"/>
              </w:rPr>
            </w:pPr>
            <w:r>
              <w:rPr>
                <w:rFonts w:ascii="Arial" w:cs="Arial" w:eastAsia="Arial" w:hAnsi="Arial"/>
                <w:sz w:val="14"/>
                <w:szCs w:val="14"/>
                <w:color w:val="auto"/>
              </w:rPr>
              <w:t>Nine months ended September 30, 2014</w:t>
            </w: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4"/>
        </w:trPr>
        <w:tc>
          <w:tcPr>
            <w:tcW w:w="72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1"/>
        </w:trPr>
        <w:tc>
          <w:tcPr>
            <w:tcW w:w="7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40" w:type="dxa"/>
            <w:vAlign w:val="bottom"/>
          </w:tcPr>
          <w:p>
            <w:pPr>
              <w:jc w:val="center"/>
              <w:ind w:left="167"/>
              <w:spacing w:after="0"/>
              <w:rPr>
                <w:sz w:val="20"/>
                <w:szCs w:val="20"/>
                <w:color w:val="auto"/>
              </w:rPr>
            </w:pPr>
            <w:r>
              <w:rPr>
                <w:rFonts w:ascii="Arial" w:cs="Arial" w:eastAsia="Arial" w:hAnsi="Arial"/>
                <w:sz w:val="14"/>
                <w:szCs w:val="14"/>
                <w:color w:val="auto"/>
              </w:rPr>
              <w:t>Other</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3"/>
        </w:trPr>
        <w:tc>
          <w:tcPr>
            <w:tcW w:w="7280" w:type="dxa"/>
            <w:vAlign w:val="bottom"/>
          </w:tcPr>
          <w:p>
            <w:pPr>
              <w:spacing w:after="0"/>
              <w:rPr>
                <w:sz w:val="18"/>
                <w:szCs w:val="18"/>
                <w:color w:val="auto"/>
              </w:rPr>
            </w:pPr>
          </w:p>
        </w:tc>
        <w:tc>
          <w:tcPr>
            <w:tcW w:w="1580" w:type="dxa"/>
            <w:vAlign w:val="bottom"/>
          </w:tcPr>
          <w:p>
            <w:pPr>
              <w:ind w:left="760"/>
              <w:spacing w:after="0"/>
              <w:rPr>
                <w:sz w:val="20"/>
                <w:szCs w:val="20"/>
                <w:color w:val="auto"/>
              </w:rPr>
            </w:pPr>
            <w:r>
              <w:rPr>
                <w:rFonts w:ascii="Arial" w:cs="Arial" w:eastAsia="Arial" w:hAnsi="Arial"/>
                <w:sz w:val="14"/>
                <w:szCs w:val="14"/>
                <w:color w:val="auto"/>
              </w:rPr>
              <w:t>Pension</w:t>
            </w:r>
          </w:p>
        </w:tc>
        <w:tc>
          <w:tcPr>
            <w:tcW w:w="680" w:type="dxa"/>
            <w:vAlign w:val="bottom"/>
          </w:tcPr>
          <w:p>
            <w:pPr>
              <w:spacing w:after="0"/>
              <w:rPr>
                <w:sz w:val="18"/>
                <w:szCs w:val="18"/>
                <w:color w:val="auto"/>
              </w:rPr>
            </w:pPr>
          </w:p>
        </w:tc>
        <w:tc>
          <w:tcPr>
            <w:tcW w:w="1440" w:type="dxa"/>
            <w:vAlign w:val="bottom"/>
          </w:tcPr>
          <w:p>
            <w:pPr>
              <w:jc w:val="center"/>
              <w:ind w:left="167"/>
              <w:spacing w:after="0"/>
              <w:rPr>
                <w:sz w:val="20"/>
                <w:szCs w:val="20"/>
                <w:color w:val="auto"/>
              </w:rPr>
            </w:pPr>
            <w:r>
              <w:rPr>
                <w:rFonts w:ascii="Arial" w:cs="Arial" w:eastAsia="Arial" w:hAnsi="Arial"/>
                <w:sz w:val="14"/>
                <w:szCs w:val="14"/>
                <w:color w:val="auto"/>
              </w:rPr>
              <w:t>Postretirement</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7"/>
        </w:trPr>
        <w:tc>
          <w:tcPr>
            <w:tcW w:w="7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ind w:left="760"/>
              <w:spacing w:after="0"/>
              <w:rPr>
                <w:sz w:val="20"/>
                <w:szCs w:val="20"/>
                <w:color w:val="auto"/>
              </w:rPr>
            </w:pPr>
            <w:r>
              <w:rPr>
                <w:rFonts w:ascii="Arial" w:cs="Arial" w:eastAsia="Arial" w:hAnsi="Arial"/>
                <w:sz w:val="14"/>
                <w:szCs w:val="14"/>
                <w:color w:val="auto"/>
              </w:rPr>
              <w:t>Benefits</w:t>
            </w:r>
          </w:p>
        </w:tc>
        <w:tc>
          <w:tcPr>
            <w:tcW w:w="6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left="167"/>
              <w:spacing w:after="0"/>
              <w:rPr>
                <w:sz w:val="20"/>
                <w:szCs w:val="20"/>
                <w:color w:val="auto"/>
              </w:rPr>
            </w:pPr>
            <w:r>
              <w:rPr>
                <w:rFonts w:ascii="Arial" w:cs="Arial" w:eastAsia="Arial" w:hAnsi="Arial"/>
                <w:sz w:val="14"/>
                <w:szCs w:val="14"/>
                <w:color w:val="auto"/>
              </w:rPr>
              <w:t>Benefits</w:t>
            </w:r>
          </w:p>
        </w:tc>
        <w:tc>
          <w:tcPr>
            <w:tcW w:w="4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86"/>
        </w:trPr>
        <w:tc>
          <w:tcPr>
            <w:tcW w:w="7280" w:type="dxa"/>
            <w:vAlign w:val="bottom"/>
          </w:tcPr>
          <w:p>
            <w:pPr>
              <w:spacing w:after="0"/>
              <w:rPr>
                <w:sz w:val="20"/>
                <w:szCs w:val="20"/>
                <w:color w:val="auto"/>
              </w:rPr>
            </w:pPr>
            <w:r>
              <w:rPr>
                <w:rFonts w:ascii="Arial" w:cs="Arial" w:eastAsia="Arial" w:hAnsi="Arial"/>
                <w:sz w:val="16"/>
                <w:szCs w:val="16"/>
                <w:color w:val="auto"/>
              </w:rPr>
              <w:t>Sempra Energy Consolidated</w:t>
            </w:r>
          </w:p>
        </w:tc>
        <w:tc>
          <w:tcPr>
            <w:tcW w:w="1580" w:type="dxa"/>
            <w:vAlign w:val="bottom"/>
          </w:tcPr>
          <w:p>
            <w:pPr>
              <w:jc w:val="right"/>
              <w:ind w:right="1007"/>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20"/>
              <w:spacing w:after="0"/>
              <w:rPr>
                <w:sz w:val="20"/>
                <w:szCs w:val="20"/>
                <w:color w:val="auto"/>
              </w:rPr>
            </w:pPr>
            <w:r>
              <w:rPr>
                <w:rFonts w:ascii="Arial" w:cs="Arial" w:eastAsia="Arial" w:hAnsi="Arial"/>
                <w:sz w:val="16"/>
                <w:szCs w:val="16"/>
                <w:color w:val="auto"/>
              </w:rPr>
              <w:t>95</w:t>
            </w:r>
          </w:p>
        </w:tc>
        <w:tc>
          <w:tcPr>
            <w:tcW w:w="1440" w:type="dxa"/>
            <w:vAlign w:val="bottom"/>
          </w:tcPr>
          <w:p>
            <w:pPr>
              <w:jc w:val="right"/>
              <w:ind w:right="1067"/>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14</w:t>
            </w:r>
          </w:p>
        </w:tc>
        <w:tc>
          <w:tcPr>
            <w:tcW w:w="20" w:type="dxa"/>
            <w:vAlign w:val="bottom"/>
          </w:tcPr>
          <w:p>
            <w:pPr>
              <w:spacing w:after="0"/>
              <w:rPr>
                <w:sz w:val="16"/>
                <w:szCs w:val="16"/>
                <w:color w:val="auto"/>
              </w:rPr>
            </w:pPr>
          </w:p>
        </w:tc>
      </w:tr>
      <w:tr>
        <w:trPr>
          <w:trHeight w:val="201"/>
        </w:trPr>
        <w:tc>
          <w:tcPr>
            <w:tcW w:w="7280" w:type="dxa"/>
            <w:vAlign w:val="bottom"/>
          </w:tcPr>
          <w:p>
            <w:pPr>
              <w:spacing w:after="0"/>
              <w:rPr>
                <w:sz w:val="20"/>
                <w:szCs w:val="20"/>
                <w:color w:val="auto"/>
              </w:rPr>
            </w:pPr>
            <w:r>
              <w:rPr>
                <w:rFonts w:ascii="Arial" w:cs="Arial" w:eastAsia="Arial" w:hAnsi="Arial"/>
                <w:sz w:val="16"/>
                <w:szCs w:val="16"/>
                <w:color w:val="auto"/>
              </w:rPr>
              <w:t>SDG&amp;E</w:t>
            </w:r>
          </w:p>
        </w:tc>
        <w:tc>
          <w:tcPr>
            <w:tcW w:w="1580" w:type="dxa"/>
            <w:vAlign w:val="bottom"/>
          </w:tcPr>
          <w:p>
            <w:pPr>
              <w:spacing w:after="0"/>
              <w:rPr>
                <w:sz w:val="17"/>
                <w:szCs w:val="17"/>
                <w:color w:val="auto"/>
              </w:rPr>
            </w:pPr>
          </w:p>
        </w:tc>
        <w:tc>
          <w:tcPr>
            <w:tcW w:w="680" w:type="dxa"/>
            <w:vAlign w:val="bottom"/>
          </w:tcPr>
          <w:p>
            <w:pPr>
              <w:jc w:val="right"/>
              <w:ind w:right="120"/>
              <w:spacing w:after="0"/>
              <w:rPr>
                <w:sz w:val="20"/>
                <w:szCs w:val="20"/>
                <w:color w:val="auto"/>
              </w:rPr>
            </w:pPr>
            <w:r>
              <w:rPr>
                <w:rFonts w:ascii="Arial" w:cs="Arial" w:eastAsia="Arial" w:hAnsi="Arial"/>
                <w:sz w:val="16"/>
                <w:szCs w:val="16"/>
                <w:color w:val="auto"/>
              </w:rPr>
              <w:t>28</w:t>
            </w:r>
          </w:p>
        </w:tc>
        <w:tc>
          <w:tcPr>
            <w:tcW w:w="1440" w:type="dxa"/>
            <w:vAlign w:val="bottom"/>
          </w:tcPr>
          <w:p>
            <w:pPr>
              <w:spacing w:after="0"/>
              <w:rPr>
                <w:sz w:val="17"/>
                <w:szCs w:val="17"/>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6"/>
                <w:szCs w:val="16"/>
                <w:color w:val="auto"/>
              </w:rPr>
              <w:t>12</w:t>
            </w:r>
          </w:p>
        </w:tc>
      </w:tr>
      <w:tr>
        <w:trPr>
          <w:trHeight w:val="211"/>
        </w:trPr>
        <w:tc>
          <w:tcPr>
            <w:tcW w:w="72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SoCalGas</w:t>
            </w:r>
          </w:p>
        </w:tc>
        <w:tc>
          <w:tcPr>
            <w:tcW w:w="1580" w:type="dxa"/>
            <w:vAlign w:val="bottom"/>
            <w:tcBorders>
              <w:bottom w:val="single" w:sz="8" w:color="C0C0C0"/>
            </w:tcBorders>
          </w:tcPr>
          <w:p>
            <w:pPr>
              <w:spacing w:after="0"/>
              <w:rPr>
                <w:sz w:val="18"/>
                <w:szCs w:val="18"/>
                <w:color w:val="auto"/>
              </w:rPr>
            </w:pPr>
          </w:p>
        </w:tc>
        <w:tc>
          <w:tcPr>
            <w:tcW w:w="680" w:type="dxa"/>
            <w:vAlign w:val="bottom"/>
            <w:tcBorders>
              <w:bottom w:val="single" w:sz="8" w:color="C0C0C0"/>
            </w:tcBorders>
          </w:tcPr>
          <w:p>
            <w:pPr>
              <w:jc w:val="right"/>
              <w:ind w:right="120"/>
              <w:spacing w:after="0"/>
              <w:rPr>
                <w:sz w:val="20"/>
                <w:szCs w:val="20"/>
                <w:color w:val="auto"/>
              </w:rPr>
            </w:pPr>
            <w:r>
              <w:rPr>
                <w:rFonts w:ascii="Arial" w:cs="Arial" w:eastAsia="Arial" w:hAnsi="Arial"/>
                <w:sz w:val="16"/>
                <w:szCs w:val="16"/>
                <w:color w:val="auto"/>
              </w:rPr>
              <w:t>39</w:t>
            </w:r>
          </w:p>
        </w:tc>
        <w:tc>
          <w:tcPr>
            <w:tcW w:w="1440" w:type="dxa"/>
            <w:vAlign w:val="bottom"/>
            <w:tcBorders>
              <w:bottom w:val="single" w:sz="8" w:color="C0C0C0"/>
            </w:tcBorders>
          </w:tcPr>
          <w:p>
            <w:pPr>
              <w:spacing w:after="0"/>
              <w:rPr>
                <w:sz w:val="18"/>
                <w:szCs w:val="18"/>
                <w:color w:val="auto"/>
              </w:rPr>
            </w:pPr>
          </w:p>
        </w:tc>
        <w:tc>
          <w:tcPr>
            <w:tcW w:w="440" w:type="dxa"/>
            <w:vAlign w:val="bottom"/>
            <w:tcBorders>
              <w:bottom w:val="single" w:sz="8" w:color="C0C0C0"/>
            </w:tcBorders>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CASH FLOWS FROM INVESTING ACTIVITIES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-104775</wp:posOffset>
            </wp:positionV>
            <wp:extent cx="7248525" cy="2197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8525" cy="21971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80" w:type="dxa"/>
            <w:vAlign w:val="bottom"/>
          </w:tcPr>
          <w:p>
            <w:pPr>
              <w:spacing w:after="0"/>
              <w:rPr>
                <w:sz w:val="14"/>
                <w:szCs w:val="14"/>
                <w:color w:val="auto"/>
              </w:rPr>
            </w:pPr>
          </w:p>
        </w:tc>
        <w:tc>
          <w:tcPr>
            <w:tcW w:w="3040" w:type="dxa"/>
            <w:vAlign w:val="bottom"/>
            <w:gridSpan w:val="2"/>
          </w:tcPr>
          <w:p>
            <w:pPr>
              <w:jc w:val="right"/>
              <w:ind w:right="200"/>
              <w:spacing w:after="0"/>
              <w:rPr>
                <w:sz w:val="20"/>
                <w:szCs w:val="20"/>
                <w:color w:val="auto"/>
              </w:rPr>
            </w:pPr>
            <w:r>
              <w:rPr>
                <w:rFonts w:ascii="Arial" w:cs="Arial" w:eastAsia="Arial" w:hAnsi="Arial"/>
                <w:sz w:val="14"/>
                <w:szCs w:val="14"/>
                <w:color w:val="auto"/>
              </w:rPr>
              <w:t>Nine months ended</w:t>
            </w:r>
          </w:p>
        </w:tc>
        <w:tc>
          <w:tcPr>
            <w:tcW w:w="7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4"/>
                <w:szCs w:val="14"/>
                <w:color w:val="auto"/>
              </w:rPr>
              <w:t>Nine months ended</w:t>
            </w:r>
          </w:p>
        </w:tc>
      </w:tr>
      <w:tr>
        <w:trPr>
          <w:trHeight w:val="197"/>
        </w:trPr>
        <w:tc>
          <w:tcPr>
            <w:tcW w:w="358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September 30, 2014</w:t>
            </w:r>
          </w:p>
        </w:tc>
        <w:tc>
          <w:tcPr>
            <w:tcW w:w="7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color w:val="auto"/>
              </w:rPr>
              <w:t>2014 Change</w:t>
            </w:r>
          </w:p>
        </w:tc>
        <w:tc>
          <w:tcPr>
            <w:tcW w:w="9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September 30, 2013</w:t>
            </w:r>
          </w:p>
        </w:tc>
      </w:tr>
      <w:tr>
        <w:trPr>
          <w:trHeight w:val="186"/>
        </w:trPr>
        <w:tc>
          <w:tcPr>
            <w:tcW w:w="3580" w:type="dxa"/>
            <w:vAlign w:val="bottom"/>
          </w:tcPr>
          <w:p>
            <w:pPr>
              <w:spacing w:after="0"/>
              <w:rPr>
                <w:sz w:val="20"/>
                <w:szCs w:val="20"/>
                <w:color w:val="auto"/>
              </w:rPr>
            </w:pPr>
            <w:r>
              <w:rPr>
                <w:rFonts w:ascii="Arial" w:cs="Arial" w:eastAsia="Arial" w:hAnsi="Arial"/>
                <w:sz w:val="16"/>
                <w:szCs w:val="16"/>
                <w:color w:val="auto"/>
              </w:rPr>
              <w:t>Sempra Energy Consolidated</w:t>
            </w:r>
          </w:p>
        </w:tc>
        <w:tc>
          <w:tcPr>
            <w:tcW w:w="2160" w:type="dxa"/>
            <w:vAlign w:val="bottom"/>
          </w:tcPr>
          <w:p>
            <w:pPr>
              <w:jc w:val="right"/>
              <w:ind w:right="286"/>
              <w:spacing w:after="0"/>
              <w:rPr>
                <w:sz w:val="20"/>
                <w:szCs w:val="20"/>
                <w:color w:val="auto"/>
              </w:rPr>
            </w:pPr>
            <w:r>
              <w:rPr>
                <w:rFonts w:ascii="Arial" w:cs="Arial" w:eastAsia="Arial" w:hAnsi="Arial"/>
                <w:sz w:val="16"/>
                <w:szCs w:val="16"/>
                <w:color w:val="auto"/>
              </w:rPr>
              <w:t>$</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(2,466)</w:t>
            </w:r>
          </w:p>
        </w:tc>
        <w:tc>
          <w:tcPr>
            <w:tcW w:w="70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582"/>
              <w:spacing w:after="0"/>
              <w:rPr>
                <w:sz w:val="20"/>
                <w:szCs w:val="20"/>
                <w:color w:val="auto"/>
              </w:rPr>
            </w:pPr>
            <w:r>
              <w:rPr>
                <w:rFonts w:ascii="Arial" w:cs="Arial" w:eastAsia="Arial" w:hAnsi="Arial"/>
                <w:sz w:val="16"/>
                <w:szCs w:val="16"/>
                <w:color w:val="auto"/>
              </w:rPr>
              <w:t>1,565</w:t>
            </w:r>
          </w:p>
        </w:tc>
        <w:tc>
          <w:tcPr>
            <w:tcW w:w="980" w:type="dxa"/>
            <w:vAlign w:val="bottom"/>
            <w:tcBorders>
              <w:right w:val="single" w:sz="8" w:color="auto"/>
            </w:tcBorders>
          </w:tcPr>
          <w:p>
            <w:pPr>
              <w:jc w:val="right"/>
              <w:ind w:right="340"/>
              <w:spacing w:after="0"/>
              <w:rPr>
                <w:sz w:val="20"/>
                <w:szCs w:val="20"/>
                <w:color w:val="auto"/>
              </w:rPr>
            </w:pPr>
            <w:r>
              <w:rPr>
                <w:rFonts w:ascii="Arial" w:cs="Arial" w:eastAsia="Arial" w:hAnsi="Arial"/>
                <w:sz w:val="16"/>
                <w:szCs w:val="16"/>
                <w:color w:val="auto"/>
              </w:rPr>
              <w:t>174%</w:t>
            </w:r>
          </w:p>
        </w:tc>
        <w:tc>
          <w:tcPr>
            <w:tcW w:w="940" w:type="dxa"/>
            <w:vAlign w:val="bottom"/>
          </w:tcPr>
          <w:p>
            <w:pPr>
              <w:jc w:val="right"/>
              <w:ind w:right="366"/>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(901)</w:t>
            </w:r>
          </w:p>
        </w:tc>
      </w:tr>
      <w:tr>
        <w:trPr>
          <w:trHeight w:val="193"/>
        </w:trPr>
        <w:tc>
          <w:tcPr>
            <w:tcW w:w="3580" w:type="dxa"/>
            <w:vAlign w:val="bottom"/>
          </w:tcPr>
          <w:p>
            <w:pPr>
              <w:spacing w:after="0"/>
              <w:rPr>
                <w:sz w:val="20"/>
                <w:szCs w:val="20"/>
                <w:color w:val="auto"/>
              </w:rPr>
            </w:pPr>
            <w:r>
              <w:rPr>
                <w:rFonts w:ascii="Arial" w:cs="Arial" w:eastAsia="Arial" w:hAnsi="Arial"/>
                <w:sz w:val="16"/>
                <w:szCs w:val="16"/>
                <w:color w:val="auto"/>
              </w:rPr>
              <w:t>SDG&amp;E</w:t>
            </w:r>
          </w:p>
        </w:tc>
        <w:tc>
          <w:tcPr>
            <w:tcW w:w="2160" w:type="dxa"/>
            <w:vAlign w:val="bottom"/>
          </w:tcPr>
          <w:p>
            <w:pPr>
              <w:spacing w:after="0"/>
              <w:rPr>
                <w:sz w:val="16"/>
                <w:szCs w:val="16"/>
                <w:color w:val="auto"/>
              </w:rPr>
            </w:pP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(796)</w:t>
            </w:r>
          </w:p>
        </w:tc>
        <w:tc>
          <w:tcPr>
            <w:tcW w:w="700" w:type="dxa"/>
            <w:vAlign w:val="bottom"/>
          </w:tcPr>
          <w:p>
            <w:pPr>
              <w:spacing w:after="0"/>
              <w:rPr>
                <w:sz w:val="16"/>
                <w:szCs w:val="16"/>
                <w:color w:val="auto"/>
              </w:rPr>
            </w:pPr>
          </w:p>
        </w:tc>
        <w:tc>
          <w:tcPr>
            <w:tcW w:w="1380" w:type="dxa"/>
            <w:vAlign w:val="bottom"/>
          </w:tcPr>
          <w:p>
            <w:pPr>
              <w:jc w:val="right"/>
              <w:ind w:right="582"/>
              <w:spacing w:after="0"/>
              <w:rPr>
                <w:sz w:val="20"/>
                <w:szCs w:val="20"/>
                <w:color w:val="auto"/>
              </w:rPr>
            </w:pPr>
            <w:r>
              <w:rPr>
                <w:rFonts w:ascii="Arial" w:cs="Arial" w:eastAsia="Arial" w:hAnsi="Arial"/>
                <w:sz w:val="16"/>
                <w:szCs w:val="16"/>
                <w:color w:val="auto"/>
              </w:rPr>
              <w:t>118</w:t>
            </w:r>
          </w:p>
        </w:tc>
        <w:tc>
          <w:tcPr>
            <w:tcW w:w="980" w:type="dxa"/>
            <w:vAlign w:val="bottom"/>
            <w:tcBorders>
              <w:right w:val="single" w:sz="8" w:color="auto"/>
            </w:tcBorders>
          </w:tcPr>
          <w:p>
            <w:pPr>
              <w:jc w:val="right"/>
              <w:ind w:right="480"/>
              <w:spacing w:after="0"/>
              <w:rPr>
                <w:sz w:val="20"/>
                <w:szCs w:val="20"/>
                <w:color w:val="auto"/>
              </w:rPr>
            </w:pPr>
            <w:r>
              <w:rPr>
                <w:rFonts w:ascii="Arial" w:cs="Arial" w:eastAsia="Arial" w:hAnsi="Arial"/>
                <w:sz w:val="16"/>
                <w:szCs w:val="16"/>
                <w:color w:val="auto"/>
              </w:rPr>
              <w:t>17</w:t>
            </w:r>
          </w:p>
        </w:tc>
        <w:tc>
          <w:tcPr>
            <w:tcW w:w="9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(678)</w:t>
            </w:r>
          </w:p>
        </w:tc>
      </w:tr>
      <w:tr>
        <w:trPr>
          <w:trHeight w:val="219"/>
        </w:trPr>
        <w:tc>
          <w:tcPr>
            <w:tcW w:w="35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SoCalGas</w:t>
            </w:r>
          </w:p>
        </w:tc>
        <w:tc>
          <w:tcPr>
            <w:tcW w:w="2160" w:type="dxa"/>
            <w:vAlign w:val="bottom"/>
            <w:tcBorders>
              <w:bottom w:val="single" w:sz="8" w:color="C0C0C0"/>
            </w:tcBorders>
          </w:tcPr>
          <w:p>
            <w:pPr>
              <w:spacing w:after="0"/>
              <w:rPr>
                <w:sz w:val="19"/>
                <w:szCs w:val="19"/>
                <w:color w:val="auto"/>
              </w:rPr>
            </w:pPr>
          </w:p>
        </w:tc>
        <w:tc>
          <w:tcPr>
            <w:tcW w:w="880" w:type="dxa"/>
            <w:vAlign w:val="bottom"/>
            <w:tcBorders>
              <w:bottom w:val="single" w:sz="8" w:color="C0C0C0"/>
            </w:tcBorders>
          </w:tcPr>
          <w:p>
            <w:pPr>
              <w:jc w:val="right"/>
              <w:spacing w:after="0"/>
              <w:rPr>
                <w:sz w:val="20"/>
                <w:szCs w:val="20"/>
                <w:color w:val="auto"/>
              </w:rPr>
            </w:pPr>
            <w:r>
              <w:rPr>
                <w:rFonts w:ascii="Arial" w:cs="Arial" w:eastAsia="Arial" w:hAnsi="Arial"/>
                <w:sz w:val="16"/>
                <w:szCs w:val="16"/>
                <w:color w:val="auto"/>
              </w:rPr>
              <w:t>(1,045)</w:t>
            </w:r>
          </w:p>
        </w:tc>
        <w:tc>
          <w:tcPr>
            <w:tcW w:w="700" w:type="dxa"/>
            <w:vAlign w:val="bottom"/>
            <w:tcBorders>
              <w:bottom w:val="single" w:sz="8" w:color="C0C0C0"/>
            </w:tcBorders>
          </w:tcPr>
          <w:p>
            <w:pPr>
              <w:spacing w:after="0"/>
              <w:rPr>
                <w:sz w:val="19"/>
                <w:szCs w:val="19"/>
                <w:color w:val="auto"/>
              </w:rPr>
            </w:pPr>
          </w:p>
        </w:tc>
        <w:tc>
          <w:tcPr>
            <w:tcW w:w="1380" w:type="dxa"/>
            <w:vAlign w:val="bottom"/>
            <w:tcBorders>
              <w:bottom w:val="single" w:sz="8" w:color="C0C0C0"/>
            </w:tcBorders>
          </w:tcPr>
          <w:p>
            <w:pPr>
              <w:jc w:val="right"/>
              <w:ind w:right="582"/>
              <w:spacing w:after="0"/>
              <w:rPr>
                <w:sz w:val="20"/>
                <w:szCs w:val="20"/>
                <w:color w:val="auto"/>
              </w:rPr>
            </w:pPr>
            <w:r>
              <w:rPr>
                <w:rFonts w:ascii="Arial" w:cs="Arial" w:eastAsia="Arial" w:hAnsi="Arial"/>
                <w:sz w:val="16"/>
                <w:szCs w:val="16"/>
                <w:color w:val="auto"/>
              </w:rPr>
              <w:t>541</w:t>
            </w:r>
          </w:p>
        </w:tc>
        <w:tc>
          <w:tcPr>
            <w:tcW w:w="980" w:type="dxa"/>
            <w:vAlign w:val="bottom"/>
            <w:tcBorders>
              <w:bottom w:val="single" w:sz="8" w:color="C0C0C0"/>
            </w:tcBorders>
          </w:tcPr>
          <w:p>
            <w:pPr>
              <w:jc w:val="right"/>
              <w:ind w:right="480"/>
              <w:spacing w:after="0"/>
              <w:rPr>
                <w:sz w:val="20"/>
                <w:szCs w:val="20"/>
                <w:color w:val="auto"/>
              </w:rPr>
            </w:pPr>
            <w:r>
              <w:rPr>
                <w:rFonts w:ascii="Arial" w:cs="Arial" w:eastAsia="Arial" w:hAnsi="Arial"/>
                <w:sz w:val="16"/>
                <w:szCs w:val="16"/>
                <w:color w:val="auto"/>
              </w:rPr>
              <w:t>107</w:t>
            </w:r>
          </w:p>
        </w:tc>
        <w:tc>
          <w:tcPr>
            <w:tcW w:w="940" w:type="dxa"/>
            <w:vAlign w:val="bottom"/>
            <w:tcBorders>
              <w:bottom w:val="single" w:sz="8" w:color="C0C0C0"/>
            </w:tcBorders>
          </w:tcPr>
          <w:p>
            <w:pPr>
              <w:spacing w:after="0"/>
              <w:rPr>
                <w:sz w:val="19"/>
                <w:szCs w:val="19"/>
                <w:color w:val="auto"/>
              </w:rPr>
            </w:pPr>
          </w:p>
        </w:tc>
        <w:tc>
          <w:tcPr>
            <w:tcW w:w="800" w:type="dxa"/>
            <w:vAlign w:val="bottom"/>
            <w:tcBorders>
              <w:bottom w:val="single" w:sz="8" w:color="C0C0C0"/>
            </w:tcBorders>
          </w:tcPr>
          <w:p>
            <w:pPr>
              <w:jc w:val="right"/>
              <w:spacing w:after="0"/>
              <w:rPr>
                <w:sz w:val="20"/>
                <w:szCs w:val="20"/>
                <w:color w:val="auto"/>
              </w:rPr>
            </w:pPr>
            <w:r>
              <w:rPr>
                <w:rFonts w:ascii="Arial" w:cs="Arial" w:eastAsia="Arial" w:hAnsi="Arial"/>
                <w:sz w:val="16"/>
                <w:szCs w:val="16"/>
                <w:color w:val="auto"/>
              </w:rPr>
              <w:t>(504)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-163830</wp:posOffset>
            </wp:positionV>
            <wp:extent cx="33655" cy="1771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655" cy="17716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-163830</wp:posOffset>
            </wp:positionV>
            <wp:extent cx="33655" cy="1771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655" cy="177165"/>
                    </a:xfrm>
                    <a:prstGeom prst="rect">
                      <a:avLst/>
                    </a:prstGeom>
                    <a:noFill/>
                  </pic:spPr>
                </pic:pic>
              </a:graphicData>
            </a:graphic>
          </wp:anchor>
        </w:drawing>
      </w:r>
    </w:p>
    <w:p>
      <w:pPr>
        <w:spacing w:after="0" w:line="38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Sempra Energy Consolidated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Cash used in investing activities at Sempra Energy increased in 2014 primarily due to:</w:t>
      </w:r>
    </w:p>
    <w:p>
      <w:pPr>
        <w:spacing w:after="0" w:line="218" w:lineRule="exact"/>
        <w:rPr>
          <w:sz w:val="20"/>
          <w:szCs w:val="20"/>
          <w:color w:val="auto"/>
        </w:rPr>
      </w:pPr>
    </w:p>
    <w:p>
      <w:pPr>
        <w:ind w:left="320" w:hanging="172"/>
        <w:spacing w:after="0"/>
        <w:tabs>
          <w:tab w:leader="none" w:pos="3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$535 million increase in capital expenditures;</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$371 million of proceeds received in 2013 from Sempra Natural Gas’ sale of a 625-MW block of its Mesquite Power plant;</w:t>
      </w:r>
    </w:p>
    <w:p>
      <w:pPr>
        <w:spacing w:after="0" w:line="244" w:lineRule="exact"/>
        <w:rPr>
          <w:rFonts w:ascii="Arial" w:cs="Arial" w:eastAsia="Arial" w:hAnsi="Arial"/>
          <w:sz w:val="18"/>
          <w:szCs w:val="18"/>
          <w:color w:val="auto"/>
        </w:rPr>
      </w:pPr>
    </w:p>
    <w:p>
      <w:pPr>
        <w:ind w:left="320" w:hanging="172"/>
        <w:spacing w:after="0" w:line="266" w:lineRule="auto"/>
        <w:tabs>
          <w:tab w:leader="none" w:pos="3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$185 million invested in Sempra Renewables’ joint venture partnerships in 2014, as we discuss in Note 4 of the Notes to Condensed Consolidated Financial Statements herein;</w:t>
      </w:r>
    </w:p>
    <w:p>
      <w:pPr>
        <w:spacing w:after="0" w:line="205" w:lineRule="exact"/>
        <w:rPr>
          <w:rFonts w:ascii="Arial" w:cs="Arial" w:eastAsia="Arial" w:hAnsi="Arial"/>
          <w:sz w:val="18"/>
          <w:szCs w:val="18"/>
          <w:color w:val="auto"/>
        </w:rPr>
      </w:pPr>
    </w:p>
    <w:p>
      <w:pPr>
        <w:ind w:left="320" w:hanging="172"/>
        <w:spacing w:after="0"/>
        <w:tabs>
          <w:tab w:leader="none" w:pos="3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$238 million U.S. Treasury grant proceeds received in 2013;</w:t>
      </w:r>
    </w:p>
    <w:p>
      <w:pPr>
        <w:spacing w:after="0" w:line="244" w:lineRule="exact"/>
        <w:rPr>
          <w:rFonts w:ascii="Arial" w:cs="Arial" w:eastAsia="Arial" w:hAnsi="Arial"/>
          <w:sz w:val="18"/>
          <w:szCs w:val="18"/>
          <w:color w:val="auto"/>
        </w:rPr>
      </w:pPr>
    </w:p>
    <w:p>
      <w:pPr>
        <w:ind w:left="320" w:hanging="172"/>
        <w:spacing w:after="0" w:line="266" w:lineRule="auto"/>
        <w:tabs>
          <w:tab w:leader="none" w:pos="3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$74 million higher proceeds in 2013 from sales of equity interests in wind and solar projects at Sempra Mexico and Sempra Renewables, as we discuss in Note 3 of the Notes to Condensed Consolidated Financial Statements herein; and</w:t>
      </w:r>
    </w:p>
    <w:p>
      <w:pPr>
        <w:spacing w:after="0" w:line="205" w:lineRule="exact"/>
        <w:rPr>
          <w:rFonts w:ascii="Arial" w:cs="Arial" w:eastAsia="Arial" w:hAnsi="Arial"/>
          <w:sz w:val="18"/>
          <w:szCs w:val="18"/>
          <w:color w:val="auto"/>
        </w:rPr>
      </w:pPr>
    </w:p>
    <w:p>
      <w:pPr>
        <w:ind w:left="320" w:hanging="172"/>
        <w:spacing w:after="0"/>
        <w:tabs>
          <w:tab w:leader="none" w:pos="3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$71 million in loans from IEnova to its joint venture with PEMEX.</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SDG&amp;E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Cash used in investing activities at SDG&amp;E increased in 2014 primarily due to a $111 million increase in capital expenditures.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SoCalGas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Cash used in investing activities at SoCalGas increased in 2014 due to:</w:t>
      </w:r>
    </w:p>
    <w:p>
      <w:pPr>
        <w:spacing w:after="0" w:line="218" w:lineRule="exact"/>
        <w:rPr>
          <w:sz w:val="20"/>
          <w:szCs w:val="20"/>
          <w:color w:val="auto"/>
        </w:rPr>
      </w:pPr>
    </w:p>
    <w:p>
      <w:pPr>
        <w:ind w:left="320" w:hanging="172"/>
        <w:spacing w:after="0"/>
        <w:tabs>
          <w:tab w:leader="none" w:pos="3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$298 million increase in advances to Sempra Energy; and</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$243 million increase in capital expenditures.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CONSTRUCTION EXPENDITURES AND INVESTMENTS</w:t>
      </w:r>
    </w:p>
    <w:p>
      <w:pPr>
        <w:spacing w:after="0" w:line="229" w:lineRule="exact"/>
        <w:rPr>
          <w:sz w:val="20"/>
          <w:szCs w:val="20"/>
          <w:color w:val="auto"/>
        </w:rPr>
      </w:pPr>
    </w:p>
    <w:p>
      <w:pPr>
        <w:jc w:val="both"/>
        <w:ind w:right="360"/>
        <w:spacing w:after="0" w:line="256" w:lineRule="auto"/>
        <w:rPr>
          <w:sz w:val="20"/>
          <w:szCs w:val="20"/>
          <w:color w:val="auto"/>
        </w:rPr>
      </w:pPr>
      <w:r>
        <w:rPr>
          <w:rFonts w:ascii="Arial" w:cs="Arial" w:eastAsia="Arial" w:hAnsi="Arial"/>
          <w:sz w:val="18"/>
          <w:szCs w:val="18"/>
          <w:color w:val="auto"/>
        </w:rPr>
        <w:t>The amounts and timing of capital expenditures are generally subject to approvals by various regulatory and other governmental and environmental bodies, including the CPUC and the FERC. However, in 2014, we expect to make annual capital expenditures and investments of approximately $3.2 billion. These expenditures include</w:t>
      </w:r>
    </w:p>
    <w:p>
      <w:pPr>
        <w:spacing w:after="0" w:line="188" w:lineRule="exact"/>
        <w:rPr>
          <w:sz w:val="20"/>
          <w:szCs w:val="20"/>
          <w:color w:val="auto"/>
        </w:rPr>
      </w:pPr>
    </w:p>
    <w:p>
      <w:pPr>
        <w:ind w:left="320" w:hanging="172"/>
        <w:spacing w:after="0"/>
        <w:tabs>
          <w:tab w:leader="none" w:pos="3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$2.2 billion at the California Utilities for capital projects and plant improvements ($1.1 billion at each of SDG&amp;E and SoCalGas)</w:t>
      </w:r>
    </w:p>
    <w:p>
      <w:pPr>
        <w:spacing w:after="0" w:line="244" w:lineRule="exact"/>
        <w:rPr>
          <w:rFonts w:ascii="Arial" w:cs="Arial" w:eastAsia="Arial" w:hAnsi="Arial"/>
          <w:sz w:val="18"/>
          <w:szCs w:val="18"/>
          <w:color w:val="auto"/>
        </w:rPr>
      </w:pPr>
    </w:p>
    <w:p>
      <w:pPr>
        <w:ind w:left="320" w:hanging="172"/>
        <w:spacing w:after="0" w:line="266" w:lineRule="auto"/>
        <w:tabs>
          <w:tab w:leader="none" w:pos="3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$1.0 billion at our other subsidiaries for capital projects in Mexico and South America, and development of LNG, natural gas and renewable generation projects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20" w:hanging="172"/>
        <w:spacing w:after="0"/>
        <w:tabs>
          <w:tab w:leader="none" w:pos="3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$610 million for improvements to SDG&amp;E’s natural gas and electric distribution systems</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$300 million for improvements to SDG&amp;E’s electric transmission systems</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$120 million at SDG&amp;E for substation expansions (transmission)</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$90 million for SDG&amp;E’s electric generation plants and equipment</w:t>
      </w:r>
    </w:p>
    <w:p>
      <w:pPr>
        <w:sectPr>
          <w:pgSz w:w="11900" w:h="16838" w:orient="portrait"/>
          <w:cols w:equalWidth="0" w:num="1">
            <w:col w:w="11420"/>
          </w:cols>
          <w:pgMar w:left="240" w:top="144" w:right="239" w:bottom="0" w:gutter="0" w:footer="0" w:header="0"/>
        </w:sectPr>
      </w:pPr>
    </w:p>
    <w:bookmarkStart w:id="77" w:name="page78"/>
    <w:bookmarkEnd w:id="77"/>
    <w:p>
      <w:pPr>
        <w:ind w:left="320" w:hanging="172"/>
        <w:spacing w:after="0"/>
        <w:tabs>
          <w:tab w:leader="none" w:pos="32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$880 million for improvements to SoCalGas’ distribution, transmission and storage systems, and for pipeline safety</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$220 million for SoCalGas’ advanced metering infrastructure</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$20 million for SoCalGas’ other natural gas projects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California Utilities expect to finance these expenditures and investments with cash flows from operations and debt issuances.</w:t>
      </w:r>
    </w:p>
    <w:p>
      <w:pPr>
        <w:spacing w:after="0" w:line="218"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color w:val="auto"/>
        </w:rPr>
        <w:t>In 2014, the expected capital expenditures and investments of approximately $1 billion (excluding amounts expended by joint ventures and net of anticipated project financing and joint venture structures as noted below) at our other subsidiaries include</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Sempra South American Utilities</w:t>
      </w:r>
    </w:p>
    <w:p>
      <w:pPr>
        <w:spacing w:after="0" w:line="218" w:lineRule="exact"/>
        <w:rPr>
          <w:sz w:val="20"/>
          <w:szCs w:val="20"/>
          <w:color w:val="auto"/>
        </w:rPr>
      </w:pPr>
    </w:p>
    <w:p>
      <w:pPr>
        <w:ind w:left="320" w:hanging="172"/>
        <w:spacing w:after="0" w:line="266" w:lineRule="auto"/>
        <w:tabs>
          <w:tab w:leader="none" w:pos="3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approximately $150 million to $200 million for capital projects in South America (approximately $100 million to $150 million in Peru and approximately $50 million in Chile)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Sempra Mexico</w:t>
      </w:r>
    </w:p>
    <w:p>
      <w:pPr>
        <w:spacing w:after="0" w:line="218" w:lineRule="exact"/>
        <w:rPr>
          <w:sz w:val="20"/>
          <w:szCs w:val="20"/>
          <w:color w:val="auto"/>
        </w:rPr>
      </w:pPr>
    </w:p>
    <w:p>
      <w:pPr>
        <w:ind w:left="320" w:hanging="172"/>
        <w:spacing w:after="0" w:line="266" w:lineRule="auto"/>
        <w:tabs>
          <w:tab w:leader="none" w:pos="3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approximately $300 million to $350 million for capital projects in Mexico, net of project financing, including approximately $300 million for the development of the Sonora Pipeline project developed solely by Sempra Mexico</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Sempra Renewables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amounts are net of anticipated project financing undertaken by Sempra Renewables, and exclude expenditures within joint venture structures:</w:t>
      </w:r>
    </w:p>
    <w:p>
      <w:pPr>
        <w:spacing w:after="0" w:line="241" w:lineRule="exact"/>
        <w:rPr>
          <w:sz w:val="20"/>
          <w:szCs w:val="20"/>
          <w:color w:val="auto"/>
        </w:rPr>
      </w:pPr>
    </w:p>
    <w:p>
      <w:pPr>
        <w:ind w:left="320" w:hanging="172"/>
        <w:spacing w:after="0"/>
        <w:tabs>
          <w:tab w:leader="none" w:pos="3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approximately $250 million for the development of renewable projects, including</w:t>
      </w:r>
    </w:p>
    <w:p>
      <w:pPr>
        <w:spacing w:after="0" w:line="244" w:lineRule="exact"/>
        <w:rPr>
          <w:rFonts w:ascii="Arial" w:cs="Arial" w:eastAsia="Arial" w:hAnsi="Arial"/>
          <w:sz w:val="18"/>
          <w:szCs w:val="18"/>
          <w:color w:val="auto"/>
        </w:rPr>
      </w:pPr>
    </w:p>
    <w:p>
      <w:pPr>
        <w:ind w:left="640" w:hanging="191"/>
        <w:spacing w:after="0"/>
        <w:tabs>
          <w:tab w:leader="none" w:pos="64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approximately $100 million for investment in Copper Mountain Solar 3, a 250-MW solar project located near Boulder City, Nevada</w:t>
      </w:r>
    </w:p>
    <w:p>
      <w:pPr>
        <w:spacing w:after="0" w:line="244" w:lineRule="exact"/>
        <w:rPr>
          <w:rFonts w:ascii="Arial" w:cs="Arial" w:eastAsia="Arial" w:hAnsi="Arial"/>
          <w:sz w:val="18"/>
          <w:szCs w:val="18"/>
          <w:color w:val="auto"/>
        </w:rPr>
      </w:pPr>
    </w:p>
    <w:p>
      <w:pPr>
        <w:ind w:left="640" w:hanging="191"/>
        <w:spacing w:after="0" w:line="266" w:lineRule="auto"/>
        <w:tabs>
          <w:tab w:leader="none" w:pos="64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approximately $100 million for investment in the California solar partnership with ConEdison Development that we discuss in Note 4 of the Notes to Condensed Consolidated Financial Statements herein</w:t>
      </w:r>
    </w:p>
    <w:p>
      <w:pPr>
        <w:spacing w:after="0" w:line="205" w:lineRule="exact"/>
        <w:rPr>
          <w:rFonts w:ascii="Arial" w:cs="Arial" w:eastAsia="Arial" w:hAnsi="Arial"/>
          <w:sz w:val="18"/>
          <w:szCs w:val="18"/>
          <w:color w:val="auto"/>
        </w:rPr>
      </w:pPr>
    </w:p>
    <w:p>
      <w:pPr>
        <w:ind w:left="640" w:hanging="191"/>
        <w:spacing w:after="0"/>
        <w:tabs>
          <w:tab w:leader="none" w:pos="64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approximately $50 million for investment in the 75-MW Broken Bow 2 Wind project in Custer County, Nebraska</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Sempra Natural Gas</w:t>
      </w:r>
    </w:p>
    <w:p>
      <w:pPr>
        <w:spacing w:after="0" w:line="218" w:lineRule="exact"/>
        <w:rPr>
          <w:sz w:val="20"/>
          <w:szCs w:val="20"/>
          <w:color w:val="auto"/>
        </w:rPr>
      </w:pPr>
    </w:p>
    <w:p>
      <w:pPr>
        <w:ind w:left="320" w:hanging="172"/>
        <w:spacing w:after="0" w:line="266" w:lineRule="auto"/>
        <w:tabs>
          <w:tab w:leader="none" w:pos="3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approximately $180 million for development of LNG and natural gas transportation and storage projects, net of anticipated joint venture partner reimbursements</w:t>
      </w:r>
    </w:p>
    <w:p>
      <w:pPr>
        <w:spacing w:after="0" w:line="20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Capital expenditure amounts include capitalized interest. At the California Utilities, the amounts also include the portion of AFUDC related to debt, but exclude the portion of AFUDC related to equity. At Sempra Mexico, the amounts also exclude AFUDC related to equity. We provide further details about AFUDC in Note 1 of the Notes to Consolidated Financial Statements in the Annual Report.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color w:val="auto"/>
        </w:rPr>
        <w:t>CASH FLOWS FROM FINANCING ACTIVITIES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-104775</wp:posOffset>
            </wp:positionV>
            <wp:extent cx="7248525" cy="2197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8525" cy="21971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20" w:type="dxa"/>
            <w:vAlign w:val="bottom"/>
          </w:tcPr>
          <w:p>
            <w:pPr>
              <w:spacing w:after="0"/>
              <w:rPr>
                <w:sz w:val="14"/>
                <w:szCs w:val="14"/>
                <w:color w:val="auto"/>
              </w:rPr>
            </w:pPr>
          </w:p>
        </w:tc>
        <w:tc>
          <w:tcPr>
            <w:tcW w:w="3160" w:type="dxa"/>
            <w:vAlign w:val="bottom"/>
          </w:tcPr>
          <w:p>
            <w:pPr>
              <w:jc w:val="center"/>
              <w:ind w:left="1746"/>
              <w:spacing w:after="0"/>
              <w:rPr>
                <w:sz w:val="20"/>
                <w:szCs w:val="20"/>
                <w:color w:val="auto"/>
              </w:rPr>
            </w:pPr>
            <w:r>
              <w:rPr>
                <w:rFonts w:ascii="Arial" w:cs="Arial" w:eastAsia="Arial" w:hAnsi="Arial"/>
                <w:sz w:val="14"/>
                <w:szCs w:val="14"/>
                <w:color w:val="auto"/>
              </w:rPr>
              <w:t>Nine months ended</w:t>
            </w: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20" w:type="dxa"/>
            <w:vAlign w:val="bottom"/>
          </w:tcPr>
          <w:p>
            <w:pPr>
              <w:jc w:val="center"/>
              <w:ind w:left="226"/>
              <w:spacing w:after="0"/>
              <w:rPr>
                <w:sz w:val="20"/>
                <w:szCs w:val="20"/>
                <w:color w:val="auto"/>
              </w:rPr>
            </w:pPr>
            <w:r>
              <w:rPr>
                <w:rFonts w:ascii="Arial" w:cs="Arial" w:eastAsia="Arial" w:hAnsi="Arial"/>
                <w:sz w:val="14"/>
                <w:szCs w:val="14"/>
                <w:color w:val="auto"/>
              </w:rPr>
              <w:t>Nine months ended</w:t>
            </w:r>
          </w:p>
        </w:tc>
        <w:tc>
          <w:tcPr>
            <w:tcW w:w="320" w:type="dxa"/>
            <w:vAlign w:val="bottom"/>
          </w:tcPr>
          <w:p>
            <w:pPr>
              <w:spacing w:after="0"/>
              <w:rPr>
                <w:sz w:val="14"/>
                <w:szCs w:val="14"/>
                <w:color w:val="auto"/>
              </w:rPr>
            </w:pPr>
          </w:p>
        </w:tc>
      </w:tr>
      <w:tr>
        <w:trPr>
          <w:trHeight w:val="197"/>
        </w:trPr>
        <w:tc>
          <w:tcPr>
            <w:tcW w:w="392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tcPr>
          <w:p>
            <w:pPr>
              <w:jc w:val="center"/>
              <w:ind w:left="1726"/>
              <w:spacing w:after="0"/>
              <w:rPr>
                <w:sz w:val="20"/>
                <w:szCs w:val="20"/>
                <w:color w:val="auto"/>
              </w:rPr>
            </w:pPr>
            <w:r>
              <w:rPr>
                <w:rFonts w:ascii="Arial" w:cs="Arial" w:eastAsia="Arial" w:hAnsi="Arial"/>
                <w:sz w:val="14"/>
                <w:szCs w:val="14"/>
                <w:color w:val="auto"/>
              </w:rPr>
              <w:t>September 30, 2014</w:t>
            </w:r>
          </w:p>
        </w:tc>
        <w:tc>
          <w:tcPr>
            <w:tcW w:w="3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color w:val="auto"/>
              </w:rPr>
              <w:t>2014 Change</w:t>
            </w:r>
          </w:p>
        </w:tc>
        <w:tc>
          <w:tcPr>
            <w:tcW w:w="1620" w:type="dxa"/>
            <w:vAlign w:val="bottom"/>
            <w:tcBorders>
              <w:bottom w:val="single" w:sz="8" w:color="auto"/>
            </w:tcBorders>
          </w:tcPr>
          <w:p>
            <w:pPr>
              <w:jc w:val="center"/>
              <w:ind w:left="226"/>
              <w:spacing w:after="0"/>
              <w:rPr>
                <w:sz w:val="20"/>
                <w:szCs w:val="20"/>
                <w:color w:val="auto"/>
              </w:rPr>
            </w:pPr>
            <w:r>
              <w:rPr>
                <w:rFonts w:ascii="Arial" w:cs="Arial" w:eastAsia="Arial" w:hAnsi="Arial"/>
                <w:sz w:val="14"/>
                <w:szCs w:val="14"/>
                <w:color w:val="auto"/>
              </w:rPr>
              <w:t>September 30, 2013</w:t>
            </w:r>
          </w:p>
        </w:tc>
        <w:tc>
          <w:tcPr>
            <w:tcW w:w="320" w:type="dxa"/>
            <w:vAlign w:val="bottom"/>
            <w:tcBorders>
              <w:bottom w:val="single" w:sz="8" w:color="auto"/>
            </w:tcBorders>
          </w:tcPr>
          <w:p>
            <w:pPr>
              <w:spacing w:after="0"/>
              <w:rPr>
                <w:sz w:val="17"/>
                <w:szCs w:val="17"/>
                <w:color w:val="auto"/>
              </w:rPr>
            </w:pPr>
          </w:p>
        </w:tc>
      </w:tr>
      <w:tr>
        <w:trPr>
          <w:trHeight w:val="214"/>
        </w:trPr>
        <w:tc>
          <w:tcPr>
            <w:tcW w:w="3920" w:type="dxa"/>
            <w:vAlign w:val="bottom"/>
          </w:tcPr>
          <w:p>
            <w:pPr>
              <w:spacing w:after="0"/>
              <w:rPr>
                <w:sz w:val="20"/>
                <w:szCs w:val="20"/>
                <w:color w:val="auto"/>
              </w:rPr>
            </w:pPr>
            <w:r>
              <w:rPr>
                <w:rFonts w:ascii="Arial" w:cs="Arial" w:eastAsia="Arial" w:hAnsi="Arial"/>
                <w:sz w:val="16"/>
                <w:szCs w:val="16"/>
                <w:color w:val="auto"/>
              </w:rPr>
              <w:t>Sempra Energy Consolidated</w:t>
            </w:r>
          </w:p>
        </w:tc>
        <w:tc>
          <w:tcPr>
            <w:tcW w:w="3160" w:type="dxa"/>
            <w:vAlign w:val="bottom"/>
          </w:tcPr>
          <w:p>
            <w:pPr>
              <w:jc w:val="right"/>
              <w:ind w:right="986"/>
              <w:spacing w:after="0"/>
              <w:rPr>
                <w:sz w:val="20"/>
                <w:szCs w:val="20"/>
                <w:color w:val="auto"/>
              </w:rPr>
            </w:pPr>
            <w:r>
              <w:rPr>
                <w:rFonts w:ascii="Arial" w:cs="Arial" w:eastAsia="Arial" w:hAnsi="Arial"/>
                <w:sz w:val="16"/>
                <w:szCs w:val="16"/>
                <w:color w:val="auto"/>
              </w:rPr>
              <w:t>$</w:t>
            </w: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572</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right w:val="single" w:sz="8" w:color="auto"/>
            </w:tcBorders>
          </w:tcPr>
          <w:p>
            <w:pPr>
              <w:jc w:val="right"/>
              <w:ind w:right="382"/>
              <w:spacing w:after="0"/>
              <w:rPr>
                <w:sz w:val="20"/>
                <w:szCs w:val="20"/>
                <w:color w:val="auto"/>
              </w:rPr>
            </w:pPr>
            <w:r>
              <w:rPr>
                <w:rFonts w:ascii="Arial" w:cs="Arial" w:eastAsia="Arial" w:hAnsi="Arial"/>
                <w:sz w:val="16"/>
                <w:szCs w:val="16"/>
                <w:color w:val="auto"/>
              </w:rPr>
              <w:t>415</w:t>
            </w:r>
          </w:p>
        </w:tc>
        <w:tc>
          <w:tcPr>
            <w:tcW w:w="1620" w:type="dxa"/>
            <w:vAlign w:val="bottom"/>
          </w:tcPr>
          <w:p>
            <w:pPr>
              <w:jc w:val="right"/>
              <w:ind w:right="966"/>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157</w:t>
            </w:r>
          </w:p>
        </w:tc>
      </w:tr>
      <w:tr>
        <w:trPr>
          <w:trHeight w:val="204"/>
        </w:trPr>
        <w:tc>
          <w:tcPr>
            <w:tcW w:w="3920" w:type="dxa"/>
            <w:vAlign w:val="bottom"/>
          </w:tcPr>
          <w:p>
            <w:pPr>
              <w:spacing w:after="0"/>
              <w:rPr>
                <w:sz w:val="20"/>
                <w:szCs w:val="20"/>
                <w:color w:val="auto"/>
              </w:rPr>
            </w:pPr>
            <w:r>
              <w:rPr>
                <w:rFonts w:ascii="Arial" w:cs="Arial" w:eastAsia="Arial" w:hAnsi="Arial"/>
                <w:sz w:val="16"/>
                <w:szCs w:val="16"/>
                <w:color w:val="auto"/>
              </w:rPr>
              <w:t>SDG&amp;E</w:t>
            </w:r>
          </w:p>
        </w:tc>
        <w:tc>
          <w:tcPr>
            <w:tcW w:w="3160" w:type="dxa"/>
            <w:vAlign w:val="bottom"/>
          </w:tcPr>
          <w:p>
            <w:pPr>
              <w:spacing w:after="0"/>
              <w:rPr>
                <w:sz w:val="17"/>
                <w:szCs w:val="17"/>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w w:val="98"/>
              </w:rPr>
              <w:t>(19)</w:t>
            </w:r>
          </w:p>
        </w:tc>
        <w:tc>
          <w:tcPr>
            <w:tcW w:w="500" w:type="dxa"/>
            <w:vAlign w:val="bottom"/>
          </w:tcPr>
          <w:p>
            <w:pPr>
              <w:spacing w:after="0"/>
              <w:rPr>
                <w:sz w:val="17"/>
                <w:szCs w:val="17"/>
                <w:color w:val="auto"/>
              </w:rPr>
            </w:pPr>
          </w:p>
        </w:tc>
        <w:tc>
          <w:tcPr>
            <w:tcW w:w="1580" w:type="dxa"/>
            <w:vAlign w:val="bottom"/>
            <w:tcBorders>
              <w:right w:val="single" w:sz="8" w:color="auto"/>
            </w:tcBorders>
          </w:tcPr>
          <w:p>
            <w:pPr>
              <w:jc w:val="right"/>
              <w:ind w:right="382"/>
              <w:spacing w:after="0"/>
              <w:rPr>
                <w:sz w:val="20"/>
                <w:szCs w:val="20"/>
                <w:color w:val="auto"/>
              </w:rPr>
            </w:pPr>
            <w:r>
              <w:rPr>
                <w:rFonts w:ascii="Arial" w:cs="Arial" w:eastAsia="Arial" w:hAnsi="Arial"/>
                <w:sz w:val="16"/>
                <w:szCs w:val="16"/>
                <w:color w:val="auto"/>
              </w:rPr>
              <w:t>(268)</w:t>
            </w:r>
          </w:p>
        </w:tc>
        <w:tc>
          <w:tcPr>
            <w:tcW w:w="16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249</w:t>
            </w:r>
          </w:p>
        </w:tc>
      </w:tr>
      <w:tr>
        <w:trPr>
          <w:trHeight w:val="219"/>
        </w:trPr>
        <w:tc>
          <w:tcPr>
            <w:tcW w:w="39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SoCalGas</w:t>
            </w:r>
          </w:p>
        </w:tc>
        <w:tc>
          <w:tcPr>
            <w:tcW w:w="3160" w:type="dxa"/>
            <w:vAlign w:val="bottom"/>
            <w:tcBorders>
              <w:bottom w:val="single" w:sz="8" w:color="C0C0C0"/>
            </w:tcBorders>
          </w:tcPr>
          <w:p>
            <w:pPr>
              <w:spacing w:after="0"/>
              <w:rPr>
                <w:sz w:val="19"/>
                <w:szCs w:val="19"/>
                <w:color w:val="auto"/>
              </w:rPr>
            </w:pPr>
          </w:p>
        </w:tc>
        <w:tc>
          <w:tcPr>
            <w:tcW w:w="320" w:type="dxa"/>
            <w:vAlign w:val="bottom"/>
            <w:tcBorders>
              <w:bottom w:val="single" w:sz="8" w:color="C0C0C0"/>
            </w:tcBorders>
          </w:tcPr>
          <w:p>
            <w:pPr>
              <w:jc w:val="right"/>
              <w:spacing w:after="0"/>
              <w:rPr>
                <w:sz w:val="20"/>
                <w:szCs w:val="20"/>
                <w:color w:val="auto"/>
              </w:rPr>
            </w:pPr>
            <w:r>
              <w:rPr>
                <w:rFonts w:ascii="Arial" w:cs="Arial" w:eastAsia="Arial" w:hAnsi="Arial"/>
                <w:sz w:val="16"/>
                <w:szCs w:val="16"/>
                <w:color w:val="auto"/>
              </w:rPr>
              <w:t>447</w:t>
            </w:r>
          </w:p>
        </w:tc>
        <w:tc>
          <w:tcPr>
            <w:tcW w:w="500" w:type="dxa"/>
            <w:vAlign w:val="bottom"/>
            <w:tcBorders>
              <w:bottom w:val="single" w:sz="8" w:color="C0C0C0"/>
            </w:tcBorders>
          </w:tcPr>
          <w:p>
            <w:pPr>
              <w:spacing w:after="0"/>
              <w:rPr>
                <w:sz w:val="19"/>
                <w:szCs w:val="19"/>
                <w:color w:val="auto"/>
              </w:rPr>
            </w:pPr>
          </w:p>
        </w:tc>
        <w:tc>
          <w:tcPr>
            <w:tcW w:w="1580" w:type="dxa"/>
            <w:vAlign w:val="bottom"/>
            <w:tcBorders>
              <w:bottom w:val="single" w:sz="8" w:color="C0C0C0"/>
            </w:tcBorders>
          </w:tcPr>
          <w:p>
            <w:pPr>
              <w:jc w:val="right"/>
              <w:ind w:right="382"/>
              <w:spacing w:after="0"/>
              <w:rPr>
                <w:sz w:val="20"/>
                <w:szCs w:val="20"/>
                <w:color w:val="auto"/>
              </w:rPr>
            </w:pPr>
            <w:r>
              <w:rPr>
                <w:rFonts w:ascii="Arial" w:cs="Arial" w:eastAsia="Arial" w:hAnsi="Arial"/>
                <w:sz w:val="16"/>
                <w:szCs w:val="16"/>
                <w:color w:val="auto"/>
              </w:rPr>
              <w:t>498</w:t>
            </w:r>
          </w:p>
        </w:tc>
        <w:tc>
          <w:tcPr>
            <w:tcW w:w="1620" w:type="dxa"/>
            <w:vAlign w:val="bottom"/>
            <w:tcBorders>
              <w:bottom w:val="single" w:sz="8" w:color="C0C0C0"/>
            </w:tcBorders>
          </w:tcPr>
          <w:p>
            <w:pPr>
              <w:spacing w:after="0"/>
              <w:rPr>
                <w:sz w:val="19"/>
                <w:szCs w:val="19"/>
                <w:color w:val="auto"/>
              </w:rPr>
            </w:pPr>
          </w:p>
        </w:tc>
        <w:tc>
          <w:tcPr>
            <w:tcW w:w="320" w:type="dxa"/>
            <w:vAlign w:val="bottom"/>
            <w:tcBorders>
              <w:bottom w:val="single" w:sz="8" w:color="C0C0C0"/>
            </w:tcBorders>
          </w:tcPr>
          <w:p>
            <w:pPr>
              <w:jc w:val="right"/>
              <w:spacing w:after="0"/>
              <w:rPr>
                <w:sz w:val="20"/>
                <w:szCs w:val="20"/>
                <w:color w:val="auto"/>
              </w:rPr>
            </w:pPr>
            <w:r>
              <w:rPr>
                <w:rFonts w:ascii="Arial" w:cs="Arial" w:eastAsia="Arial" w:hAnsi="Arial"/>
                <w:sz w:val="16"/>
                <w:szCs w:val="16"/>
                <w:color w:val="auto"/>
              </w:rPr>
              <w:t>(51)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4674870</wp:posOffset>
            </wp:positionH>
            <wp:positionV relativeFrom="paragraph">
              <wp:posOffset>-163830</wp:posOffset>
            </wp:positionV>
            <wp:extent cx="33655" cy="1771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655" cy="177165"/>
                    </a:xfrm>
                    <a:prstGeom prst="rect">
                      <a:avLst/>
                    </a:prstGeom>
                    <a:noFill/>
                  </pic:spPr>
                </pic:pic>
              </a:graphicData>
            </a:graphic>
          </wp:anchor>
        </w:drawing>
        <w:drawing>
          <wp:anchor simplePos="0" relativeHeight="251657728" behindDoc="1" locked="0" layoutInCell="0" allowOverlap="1">
            <wp:simplePos x="0" y="0"/>
            <wp:positionH relativeFrom="column">
              <wp:posOffset>5991225</wp:posOffset>
            </wp:positionH>
            <wp:positionV relativeFrom="paragraph">
              <wp:posOffset>-163830</wp:posOffset>
            </wp:positionV>
            <wp:extent cx="33655" cy="1771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655" cy="17716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Sempra Energy Consolidated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Cash provided by financing activities at Sempra Energy increased in 2014 primarily due to:</w:t>
      </w:r>
    </w:p>
    <w:p>
      <w:pPr>
        <w:spacing w:after="0" w:line="218" w:lineRule="exact"/>
        <w:rPr>
          <w:sz w:val="20"/>
          <w:szCs w:val="20"/>
          <w:color w:val="auto"/>
        </w:rPr>
      </w:pPr>
    </w:p>
    <w:p>
      <w:pPr>
        <w:jc w:val="both"/>
        <w:ind w:left="320" w:hanging="172"/>
        <w:spacing w:after="0" w:line="256" w:lineRule="auto"/>
        <w:tabs>
          <w:tab w:leader="none" w:pos="3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 xml:space="preserve">$1.7 billion higher issuances of debt, including an increase in issuances of long-term debt of $620 million ($1.7 billion in 2014 compared to $1.1 billion in 2013) and an increase in commercial paper and other short-term debt with maturities greater than 90 days of $1 billion ($1.4 billion increase in 2014 compared to $350 million in 2013); </w:t>
      </w:r>
      <w:r>
        <w:rPr>
          <w:rFonts w:ascii="Arial" w:cs="Arial" w:eastAsia="Arial" w:hAnsi="Arial"/>
          <w:sz w:val="18"/>
          <w:szCs w:val="18"/>
          <w:b w:val="1"/>
          <w:bCs w:val="1"/>
          <w:color w:val="auto"/>
        </w:rPr>
        <w:t>offset by</w:t>
      </w:r>
    </w:p>
    <w:p>
      <w:pPr>
        <w:spacing w:after="0" w:line="214" w:lineRule="exact"/>
        <w:rPr>
          <w:rFonts w:ascii="Arial" w:cs="Arial" w:eastAsia="Arial" w:hAnsi="Arial"/>
          <w:sz w:val="18"/>
          <w:szCs w:val="18"/>
          <w:color w:val="auto"/>
        </w:rPr>
      </w:pPr>
    </w:p>
    <w:p>
      <w:pPr>
        <w:ind w:left="320" w:hanging="172"/>
        <w:spacing w:after="0"/>
        <w:tabs>
          <w:tab w:leader="none" w:pos="3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$574 million net proceeds received in 2013 from the sale of noncontrolling interests at Sempra Mexico;</w:t>
      </w:r>
    </w:p>
    <w:p>
      <w:pPr>
        <w:spacing w:after="0" w:line="244" w:lineRule="exact"/>
        <w:rPr>
          <w:rFonts w:ascii="Arial" w:cs="Arial" w:eastAsia="Arial" w:hAnsi="Arial"/>
          <w:sz w:val="18"/>
          <w:szCs w:val="18"/>
          <w:color w:val="auto"/>
        </w:rPr>
      </w:pPr>
    </w:p>
    <w:p>
      <w:pPr>
        <w:jc w:val="both"/>
        <w:ind w:left="320" w:hanging="172"/>
        <w:spacing w:after="0" w:line="256" w:lineRule="auto"/>
        <w:tabs>
          <w:tab w:leader="none" w:pos="3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$401 million higher payments on debt, including higher payments of long-term debt of $444 million ($1.1 billion in 2014 compared to $688 million in 2013), offset by lower payments of commercial paper and other short-term debt with maturities greater than 90 days of $43 million ($713 million in 2014 compared to $756 million in 2013);</w:t>
      </w:r>
    </w:p>
    <w:p>
      <w:pPr>
        <w:sectPr>
          <w:pgSz w:w="11900" w:h="16838" w:orient="portrait"/>
          <w:cols w:equalWidth="0" w:num="1">
            <w:col w:w="11420"/>
          </w:cols>
          <w:pgMar w:left="240" w:top="366" w:right="239" w:bottom="0" w:gutter="0" w:footer="0" w:header="0"/>
        </w:sectPr>
      </w:pPr>
    </w:p>
    <w:bookmarkStart w:id="78" w:name="page79"/>
    <w:bookmarkEnd w:id="78"/>
    <w:p>
      <w:pPr>
        <w:spacing w:after="0" w:line="104" w:lineRule="exact"/>
        <w:rPr>
          <w:sz w:val="20"/>
          <w:szCs w:val="20"/>
          <w:color w:val="auto"/>
        </w:rPr>
      </w:pPr>
    </w:p>
    <w:p>
      <w:pPr>
        <w:ind w:left="320" w:hanging="172"/>
        <w:spacing w:after="0"/>
        <w:tabs>
          <w:tab w:leader="none" w:pos="3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$111 million decrease in short-term debt in 2014 compared to an $81 million increase in 2013; and</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$56 million higher distributions to noncontrolling interests in 2014.</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SDG&amp;E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change in cash from financing activities at SDG&amp;E was primarily due to:</w:t>
      </w:r>
    </w:p>
    <w:p>
      <w:pPr>
        <w:spacing w:after="0" w:line="192" w:lineRule="exact"/>
        <w:rPr>
          <w:sz w:val="20"/>
          <w:szCs w:val="20"/>
          <w:color w:val="auto"/>
        </w:rPr>
      </w:pPr>
    </w:p>
    <w:p>
      <w:pPr>
        <w:ind w:left="320" w:hanging="172"/>
        <w:spacing w:after="0"/>
        <w:tabs>
          <w:tab w:leader="none" w:pos="3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$350 million lower issuance of long-term debt in 2014; and</w:t>
      </w:r>
    </w:p>
    <w:p>
      <w:pPr>
        <w:spacing w:after="0" w:line="238" w:lineRule="exact"/>
        <w:rPr>
          <w:rFonts w:ascii="Arial" w:cs="Arial" w:eastAsia="Arial" w:hAnsi="Arial"/>
          <w:sz w:val="18"/>
          <w:szCs w:val="18"/>
          <w:color w:val="auto"/>
        </w:rPr>
      </w:pPr>
    </w:p>
    <w:p>
      <w:pPr>
        <w:ind w:left="320" w:hanging="172"/>
        <w:spacing w:after="0"/>
        <w:tabs>
          <w:tab w:leader="none" w:pos="3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 xml:space="preserve">$59 million decrease in short-term debt in 2014; </w:t>
      </w:r>
      <w:r>
        <w:rPr>
          <w:rFonts w:ascii="Arial" w:cs="Arial" w:eastAsia="Arial" w:hAnsi="Arial"/>
          <w:sz w:val="18"/>
          <w:szCs w:val="18"/>
          <w:b w:val="1"/>
          <w:bCs w:val="1"/>
          <w:color w:val="auto"/>
        </w:rPr>
        <w:t>offset by</w:t>
      </w:r>
    </w:p>
    <w:p>
      <w:pPr>
        <w:spacing w:after="0" w:line="250" w:lineRule="exact"/>
        <w:rPr>
          <w:rFonts w:ascii="Arial" w:cs="Arial" w:eastAsia="Arial" w:hAnsi="Arial"/>
          <w:sz w:val="18"/>
          <w:szCs w:val="18"/>
          <w:color w:val="auto"/>
        </w:rPr>
      </w:pPr>
    </w:p>
    <w:p>
      <w:pPr>
        <w:ind w:left="320" w:hanging="172"/>
        <w:spacing w:after="0"/>
        <w:tabs>
          <w:tab w:leader="none" w:pos="3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$161 million lower payments on long-term debt in 2014.</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SoCalGas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 SoCalGas, financing activities were a net source of cash in 2014 compared to a use of cash in 2013, primarily due to:</w:t>
      </w:r>
    </w:p>
    <w:p>
      <w:pPr>
        <w:spacing w:after="0" w:line="192" w:lineRule="exact"/>
        <w:rPr>
          <w:sz w:val="20"/>
          <w:szCs w:val="20"/>
          <w:color w:val="auto"/>
        </w:rPr>
      </w:pPr>
    </w:p>
    <w:p>
      <w:pPr>
        <w:ind w:left="320" w:hanging="172"/>
        <w:spacing w:after="0"/>
        <w:tabs>
          <w:tab w:leader="none" w:pos="3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$747 million net proceeds from the issuance of long-term debt in 2014; and</w:t>
      </w:r>
    </w:p>
    <w:p>
      <w:pPr>
        <w:spacing w:after="0" w:line="238" w:lineRule="exact"/>
        <w:rPr>
          <w:rFonts w:ascii="Arial" w:cs="Arial" w:eastAsia="Arial" w:hAnsi="Arial"/>
          <w:sz w:val="18"/>
          <w:szCs w:val="18"/>
          <w:color w:val="auto"/>
        </w:rPr>
      </w:pPr>
    </w:p>
    <w:p>
      <w:pPr>
        <w:ind w:left="320" w:hanging="172"/>
        <w:spacing w:after="0"/>
        <w:tabs>
          <w:tab w:leader="none" w:pos="3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 xml:space="preserve">$50 million common dividends paid in 2013; </w:t>
      </w:r>
      <w:r>
        <w:rPr>
          <w:rFonts w:ascii="Arial" w:cs="Arial" w:eastAsia="Arial" w:hAnsi="Arial"/>
          <w:sz w:val="18"/>
          <w:szCs w:val="18"/>
          <w:b w:val="1"/>
          <w:bCs w:val="1"/>
          <w:color w:val="auto"/>
        </w:rPr>
        <w:t>offset by</w:t>
      </w:r>
    </w:p>
    <w:p>
      <w:pPr>
        <w:spacing w:after="0" w:line="250" w:lineRule="exact"/>
        <w:rPr>
          <w:rFonts w:ascii="Arial" w:cs="Arial" w:eastAsia="Arial" w:hAnsi="Arial"/>
          <w:sz w:val="18"/>
          <w:szCs w:val="18"/>
          <w:color w:val="auto"/>
        </w:rPr>
      </w:pPr>
    </w:p>
    <w:p>
      <w:pPr>
        <w:ind w:left="320" w:hanging="172"/>
        <w:spacing w:after="0"/>
        <w:tabs>
          <w:tab w:leader="none" w:pos="3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$250 million payment of long-term debt in 2014; and</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$42 million decrease in short-term debt in 2014.</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229" w:lineRule="exact"/>
        <w:rPr>
          <w:sz w:val="20"/>
          <w:szCs w:val="20"/>
          <w:color w:val="auto"/>
        </w:rPr>
      </w:pPr>
    </w:p>
    <w:p>
      <w:pPr>
        <w:ind w:right="420"/>
        <w:spacing w:after="0" w:line="266" w:lineRule="auto"/>
        <w:rPr>
          <w:sz w:val="20"/>
          <w:szCs w:val="20"/>
          <w:color w:val="auto"/>
        </w:rPr>
      </w:pPr>
      <w:r>
        <w:rPr>
          <w:rFonts w:ascii="Arial" w:cs="Arial" w:eastAsia="Arial" w:hAnsi="Arial"/>
          <w:sz w:val="18"/>
          <w:szCs w:val="18"/>
          <w:color w:val="auto"/>
        </w:rPr>
        <w:t>We discuss significant changes to contractual commitments at Sempra Energy, SDG&amp;E and SoCalGas in Note 11 of the Notes to Condensed Consolidated Financial Statements herein.</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RATINGS</w:t>
      </w:r>
    </w:p>
    <w:p>
      <w:pPr>
        <w:spacing w:after="0" w:line="229" w:lineRule="exact"/>
        <w:rPr>
          <w:sz w:val="20"/>
          <w:szCs w:val="20"/>
          <w:color w:val="auto"/>
        </w:rPr>
      </w:pPr>
    </w:p>
    <w:p>
      <w:pPr>
        <w:ind w:right="600"/>
        <w:spacing w:after="0" w:line="266" w:lineRule="auto"/>
        <w:rPr>
          <w:sz w:val="20"/>
          <w:szCs w:val="20"/>
          <w:color w:val="auto"/>
        </w:rPr>
      </w:pPr>
      <w:r>
        <w:rPr>
          <w:rFonts w:ascii="Arial" w:cs="Arial" w:eastAsia="Arial" w:hAnsi="Arial"/>
          <w:sz w:val="18"/>
          <w:szCs w:val="18"/>
          <w:color w:val="auto"/>
        </w:rPr>
        <w:t>The credit ratings of Sempra Energy, SDG&amp;E and SoCalGas remained at investment grade levels during the first nine months of 2014. In January 2014, Moody’s increased SDG&amp;E’s and SoCalGas’ unsecured debt rating to A1 with a stable outlook.</w:t>
      </w:r>
    </w:p>
    <w:p>
      <w:pPr>
        <w:spacing w:after="0" w:line="17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Our credit ratings may affect the rates at which borrowings bear interest and of commitment fees on available unused credit. We provide additional information about our credit ratings at Sempra Energy, SDG&amp;E and SoCalGas in “Management’s Discussion and Analysis of Financial Condition and Results of Operations” in the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464820</wp:posOffset>
            </wp:positionV>
            <wp:extent cx="72656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5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color w:val="auto"/>
        </w:rPr>
        <w:t>FACTORS INFLUENCING FUTURE PERFORMANCE</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CALIFORNIA UTILITIES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Overview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California Utilities’ operations have historically provided relatively stable earnings and liquidity.</w:t>
      </w:r>
    </w:p>
    <w:p>
      <w:pPr>
        <w:spacing w:after="0" w:line="218" w:lineRule="exact"/>
        <w:rPr>
          <w:sz w:val="20"/>
          <w:szCs w:val="20"/>
          <w:color w:val="auto"/>
        </w:rPr>
      </w:pPr>
    </w:p>
    <w:p>
      <w:pPr>
        <w:jc w:val="both"/>
        <w:ind w:right="60"/>
        <w:spacing w:after="0" w:line="272" w:lineRule="auto"/>
        <w:rPr>
          <w:sz w:val="20"/>
          <w:szCs w:val="20"/>
          <w:color w:val="auto"/>
        </w:rPr>
      </w:pPr>
      <w:r>
        <w:rPr>
          <w:rFonts w:ascii="Arial" w:cs="Arial" w:eastAsia="Arial" w:hAnsi="Arial"/>
          <w:sz w:val="17"/>
          <w:szCs w:val="17"/>
          <w:color w:val="auto"/>
        </w:rPr>
        <w:t>The California Utilities’ performance will depend primarily on the ratemaking and regulatory process, environmental regulations, economic conditions, actions by the California legislature and the changing energy marketplace. Their performance will also depend on the successful completion of capital projects that we discuss in various sections of this report and below. We discuss certain regulatory matters below and in Notes 9 and 10 of the Notes to Condensed Consolidated Financial Statements herein and Note 14 of the Notes to Consolidated Financial Statements in the Annual Report.</w:t>
      </w:r>
    </w:p>
    <w:p>
      <w:pPr>
        <w:spacing w:after="0" w:line="38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Joint Matters</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Natural Gas Pipeline Operations Safety Assessments</w:t>
      </w:r>
    </w:p>
    <w:p>
      <w:pPr>
        <w:spacing w:after="0" w:line="21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Pending the outcome of the various regulatory agency evaluations of natural gas pipeline safety regulations, practices and procedures, Sempra Energy, including the California Utilities, may incur incremental expense and capital investment associated with its natural gas pipeline operations and investments. In August 2011, SoCalGas, SDG&amp;E, Pacific Gas and Electric Company (PG&amp;E) and Southwest Gas filed implementation plans with the CPUC to test or replace natural gas transmission pipelines located in populated areas that have not been pressure tested, as we discuss in Note 14 of the Notes to Consolidated Financial Statements in the Annual Report. In their 2011 filing with the CPUC, the California Utilities estimated the total cost for Phase 1 of the two-phase plan to be $3.1 billion ($2.5 billion for SoCalGas and $600 million for SDG&amp;E) over the 10-year period of 2012 to 2022. As a result of on-going review since this original filing, the California Utilities have been able to eliminate over two hundred miles of pipeline from the testing scope and have revised their total estimated cost for Phase 1 to $2.1 billion ($1.6 billion for SoCalGas and $500 million for SDG&amp;E). The California Utilities requested that the incremental capital investment required as a result of any approved plan be included in rate base and that cost recovery be allowed for any other incremental cost not eligible for rate-base recovery. The costs that are the subject of these plans were outside the scope of the 2012 General Rate Case proceedings concluded in 2013.</w:t>
      </w:r>
    </w:p>
    <w:p>
      <w:pPr>
        <w:sectPr>
          <w:pgSz w:w="11900" w:h="16942" w:orient="portrait"/>
          <w:cols w:equalWidth="0" w:num="1">
            <w:col w:w="11380"/>
          </w:cols>
          <w:pgMar w:left="240" w:top="127" w:right="279" w:bottom="0" w:gutter="0" w:footer="0" w:header="0"/>
        </w:sectPr>
      </w:pPr>
    </w:p>
    <w:bookmarkStart w:id="79" w:name="page80"/>
    <w:bookmarkEnd w:id="79"/>
    <w:p>
      <w:pPr>
        <w:ind w:right="200"/>
        <w:spacing w:after="0" w:line="266" w:lineRule="auto"/>
        <w:rPr>
          <w:sz w:val="20"/>
          <w:szCs w:val="20"/>
          <w:color w:val="auto"/>
        </w:rPr>
      </w:pPr>
      <w:r>
        <w:rPr>
          <w:rFonts w:ascii="Arial" w:cs="Arial" w:eastAsia="Arial" w:hAnsi="Arial"/>
          <w:sz w:val="18"/>
          <w:szCs w:val="18"/>
          <w:color w:val="auto"/>
        </w:rPr>
        <w:t>In June 2014, the CPUC issued a final decision in the Triennial Cost Allocation Proceeding (TCAP) proceeding addressing SDG&amp;E’s and SoCalGas’ Pipeline Safety Enhancement Plan (PSEP). Specifically, the decision:</w:t>
      </w:r>
    </w:p>
    <w:p>
      <w:pPr>
        <w:spacing w:after="0" w:line="179" w:lineRule="exact"/>
        <w:rPr>
          <w:sz w:val="20"/>
          <w:szCs w:val="20"/>
          <w:color w:val="auto"/>
        </w:rPr>
      </w:pPr>
    </w:p>
    <w:p>
      <w:pPr>
        <w:ind w:left="320" w:hanging="172"/>
        <w:spacing w:after="0"/>
        <w:tabs>
          <w:tab w:leader="none" w:pos="3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approved the utilities’ model for implementing PSEP;</w:t>
      </w:r>
    </w:p>
    <w:p>
      <w:pPr>
        <w:spacing w:after="0" w:line="244" w:lineRule="exact"/>
        <w:rPr>
          <w:rFonts w:ascii="Arial" w:cs="Arial" w:eastAsia="Arial" w:hAnsi="Arial"/>
          <w:sz w:val="18"/>
          <w:szCs w:val="18"/>
          <w:color w:val="auto"/>
        </w:rPr>
      </w:pPr>
    </w:p>
    <w:p>
      <w:pPr>
        <w:ind w:left="320" w:hanging="172"/>
        <w:spacing w:after="0" w:line="329" w:lineRule="auto"/>
        <w:tabs>
          <w:tab w:leader="none" w:pos="32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approved a process, including a reasonableness review, to determine the amount that the utilities will be authorized to recover from ratepayers for the interim costs incurred through the date of the final decision to implement PSEP, which are recorded in the regulatory accounts authorized by the CPUC;</w:t>
      </w:r>
    </w:p>
    <w:p>
      <w:pPr>
        <w:spacing w:after="0" w:line="160" w:lineRule="exact"/>
        <w:rPr>
          <w:rFonts w:ascii="Arial" w:cs="Arial" w:eastAsia="Arial" w:hAnsi="Arial"/>
          <w:sz w:val="16"/>
          <w:szCs w:val="16"/>
          <w:color w:val="auto"/>
        </w:rPr>
      </w:pPr>
    </w:p>
    <w:p>
      <w:pPr>
        <w:ind w:left="320" w:hanging="172"/>
        <w:spacing w:after="0"/>
        <w:tabs>
          <w:tab w:leader="none" w:pos="32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approved balancing account treatment, subject to a reasonableness review, for incremental costs yet to be incurred to implement PSEP; and</w:t>
      </w:r>
    </w:p>
    <w:p>
      <w:pPr>
        <w:spacing w:after="0" w:line="256" w:lineRule="exact"/>
        <w:rPr>
          <w:rFonts w:ascii="Arial" w:cs="Arial" w:eastAsia="Arial" w:hAnsi="Arial"/>
          <w:sz w:val="17"/>
          <w:szCs w:val="17"/>
          <w:color w:val="auto"/>
        </w:rPr>
      </w:pPr>
    </w:p>
    <w:p>
      <w:pPr>
        <w:ind w:left="320" w:hanging="172"/>
        <w:spacing w:after="0"/>
        <w:tabs>
          <w:tab w:leader="none" w:pos="3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established the criteria to determine the amounts that would not be eligible for cost recovery, including:</w:t>
      </w:r>
    </w:p>
    <w:p>
      <w:pPr>
        <w:spacing w:after="0" w:line="244" w:lineRule="exact"/>
        <w:rPr>
          <w:rFonts w:ascii="Arial" w:cs="Arial" w:eastAsia="Arial" w:hAnsi="Arial"/>
          <w:sz w:val="18"/>
          <w:szCs w:val="18"/>
          <w:color w:val="auto"/>
        </w:rPr>
      </w:pPr>
    </w:p>
    <w:p>
      <w:pPr>
        <w:ind w:left="440" w:hanging="253"/>
        <w:spacing w:after="0"/>
        <w:tabs>
          <w:tab w:leader="none" w:pos="440" w:val="left"/>
        </w:tabs>
        <w:numPr>
          <w:ilvl w:val="1"/>
          <w:numId w:val="146"/>
        </w:numPr>
        <w:rPr>
          <w:rFonts w:ascii="MS PGothic" w:cs="MS PGothic" w:eastAsia="MS PGothic" w:hAnsi="MS PGothic"/>
          <w:sz w:val="18"/>
          <w:szCs w:val="18"/>
          <w:color w:val="auto"/>
        </w:rPr>
      </w:pPr>
      <w:r>
        <w:rPr>
          <w:rFonts w:ascii="Arial" w:cs="Arial" w:eastAsia="Arial" w:hAnsi="Arial"/>
          <w:sz w:val="18"/>
          <w:szCs w:val="18"/>
          <w:color w:val="auto"/>
        </w:rPr>
        <w:t>certain costs incurred or to be incurred searching for pipeline test records,</w:t>
      </w:r>
    </w:p>
    <w:p>
      <w:pPr>
        <w:spacing w:after="0" w:line="244" w:lineRule="exact"/>
        <w:rPr>
          <w:rFonts w:ascii="MS PGothic" w:cs="MS PGothic" w:eastAsia="MS PGothic" w:hAnsi="MS PGothic"/>
          <w:sz w:val="18"/>
          <w:szCs w:val="18"/>
          <w:color w:val="auto"/>
        </w:rPr>
      </w:pPr>
    </w:p>
    <w:p>
      <w:pPr>
        <w:ind w:left="440" w:hanging="253"/>
        <w:spacing w:after="0"/>
        <w:tabs>
          <w:tab w:leader="none" w:pos="440" w:val="left"/>
        </w:tabs>
        <w:numPr>
          <w:ilvl w:val="1"/>
          <w:numId w:val="146"/>
        </w:numPr>
        <w:rPr>
          <w:rFonts w:ascii="MS PGothic" w:cs="MS PGothic" w:eastAsia="MS PGothic" w:hAnsi="MS PGothic"/>
          <w:sz w:val="18"/>
          <w:szCs w:val="18"/>
          <w:color w:val="auto"/>
        </w:rPr>
      </w:pPr>
      <w:r>
        <w:rPr>
          <w:rFonts w:ascii="Arial" w:cs="Arial" w:eastAsia="Arial" w:hAnsi="Arial"/>
          <w:sz w:val="18"/>
          <w:szCs w:val="18"/>
          <w:color w:val="auto"/>
        </w:rPr>
        <w:t>the cost of pressure testing pipelines installed after July 1, 1961 for which the company has not found sufficient records of testing, and</w:t>
      </w:r>
    </w:p>
    <w:p>
      <w:pPr>
        <w:spacing w:after="0" w:line="244" w:lineRule="exact"/>
        <w:rPr>
          <w:rFonts w:ascii="MS PGothic" w:cs="MS PGothic" w:eastAsia="MS PGothic" w:hAnsi="MS PGothic"/>
          <w:sz w:val="18"/>
          <w:szCs w:val="18"/>
          <w:color w:val="auto"/>
        </w:rPr>
      </w:pPr>
    </w:p>
    <w:p>
      <w:pPr>
        <w:ind w:left="440" w:hanging="253"/>
        <w:spacing w:after="0"/>
        <w:tabs>
          <w:tab w:leader="none" w:pos="440" w:val="left"/>
        </w:tabs>
        <w:numPr>
          <w:ilvl w:val="1"/>
          <w:numId w:val="146"/>
        </w:numPr>
        <w:rPr>
          <w:rFonts w:ascii="MS PGothic" w:cs="MS PGothic" w:eastAsia="MS PGothic" w:hAnsi="MS PGothic"/>
          <w:sz w:val="18"/>
          <w:szCs w:val="18"/>
          <w:color w:val="auto"/>
        </w:rPr>
      </w:pPr>
      <w:r>
        <w:rPr>
          <w:rFonts w:ascii="Arial" w:cs="Arial" w:eastAsia="Arial" w:hAnsi="Arial"/>
          <w:sz w:val="18"/>
          <w:szCs w:val="18"/>
          <w:color w:val="auto"/>
        </w:rPr>
        <w:t>any undepreciated balances for pipelines installed after 1961 that were replaced due to insufficient documentation of pressure testing.</w:t>
      </w:r>
    </w:p>
    <w:p>
      <w:pPr>
        <w:spacing w:after="0" w:line="245"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As a result of this decision, SoCalGas recorded an after-tax earnings charge of $5 million for costs incurred in prior periods for which SoCalGas was disallowed recovery. After taking the amounts disallowed for recovery into consideration, as of September 30, 2014, SDG&amp;E and SoCalGas have recorded PSEP implementation costs of $0.2 million and $47 million, respectively, in the CPUC-authorized regulatory account. In October 2014, SDG&amp;E and SoCalGas filed a request with the CPUC for authority to recover from customers PSEP costs as incurred prior to a reasonableness review by the CPUC.</w:t>
      </w:r>
    </w:p>
    <w:p>
      <w:pPr>
        <w:spacing w:after="0" w:line="162"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In July 2014, the CPUC Office of Ratepayer Advocates (ORA) and The Utility Reform Network (TURN) filed a joint application for rehearing of the CPUC’s June 2014 final decision. The ORA and TURN allege that the CPUC made a legal error in directing that ratepayers, not shareholders, be responsible for the costs associated with testing or replacing transmission pipelines that were installed between January 1, 1956 and July 1, 1961 for which the California Utilities do not have a record of a pressure test. In early August 2014, the California Utilities filed their response to the application for rehearing objecting to the assertions by the ORA and TURN. The CPUC is not obligated to act on the application for rehearing by a certain date. The California Utilities are continuing to implement PSEP in accordance with the June 2014 decision.</w:t>
      </w:r>
    </w:p>
    <w:p>
      <w:pPr>
        <w:spacing w:after="0" w:line="179" w:lineRule="exact"/>
        <w:rPr>
          <w:sz w:val="20"/>
          <w:szCs w:val="20"/>
          <w:color w:val="auto"/>
        </w:rPr>
      </w:pPr>
    </w:p>
    <w:p>
      <w:pPr>
        <w:jc w:val="both"/>
        <w:ind w:right="540"/>
        <w:spacing w:after="0" w:line="278" w:lineRule="auto"/>
        <w:rPr>
          <w:sz w:val="20"/>
          <w:szCs w:val="20"/>
          <w:color w:val="auto"/>
        </w:rPr>
      </w:pPr>
      <w:r>
        <w:rPr>
          <w:rFonts w:ascii="Arial" w:cs="Arial" w:eastAsia="Arial" w:hAnsi="Arial"/>
          <w:sz w:val="17"/>
          <w:szCs w:val="17"/>
          <w:color w:val="auto"/>
        </w:rPr>
        <w:t>If the CPUC were to decide as part of any future reasonableness review that rate recovery not be allowed for certain gas pipeline safety costs incurred by SDG&amp;E and SoCalGas, or if the CPUC were to decide in favor of the ORA/TURN joint application for rehearing, it could materially adversely affect the respective company’s cash flows, financial condition, results of operations and prospects in implementing the PSEP.</w:t>
      </w:r>
    </w:p>
    <w:p>
      <w:pPr>
        <w:spacing w:after="0" w:line="171"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color w:val="auto"/>
        </w:rPr>
        <w:t>We provide additional information regarding these rulemaking proceedings and the California Utilities’ PSEP in Note 14 of the Notes to Consolidated Financial Statements in the Annual Report and in Note 10 of the Notes to Condensed Consolidated Financial Statements herein.</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Safety Enforcement</w:t>
      </w:r>
    </w:p>
    <w:p>
      <w:pPr>
        <w:spacing w:after="0" w:line="211"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California Senate Bill (SB) 291, enacted in October 2013, requires the CPUC to develop and implement a safety enforcement program that includes procedures for monitoring, data tracking and analysis, and investigations, as well as delegating citation authority to CPUC staff personnel under the direction of the CPUC Executive Director. SB 291 requires the CPUC to implement the enforcement program for gas safety by July 1, 2014 and for electric safety by January 1, 2015. In exercising the citation authority, the CPUC staff will take into account voluntary reporting of potential violations, voluntary resolution efforts undertaken, prior history of violations, the gravity of the violation, and the degree of culpability. The CPUC is planning to adopt an administrative limit on the maximum monetary penalty that may be set by the CPUC staff.</w:t>
      </w:r>
    </w:p>
    <w:p>
      <w:pPr>
        <w:spacing w:after="0" w:line="179"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In May 2014, the CPUC initiated a rulemaking proceeding to develop the necessary enforcement programs pursuant to the requirements of SB 291. We expect a CPUC decision on the electric safety enforcement program in the fourth quarter of 2014 and a CPUC decision making further refinements to the electric and gas safety enforcement programs in 2015.</w:t>
      </w:r>
    </w:p>
    <w:p>
      <w:pPr>
        <w:spacing w:after="0" w:line="18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December 2011, the CPUC adopted a gas safety citation program whereby natural gas distribution companies can be fined by CPUC staff for violations of the CPUC’s safety standards or federal standards. Each day of an ongoing violation may be counted as an additional offense. The maximum penalty is $50,000 per offense. In September 2013, the CPUC’s safety and enforcement division issued its Standard Operating Procedures setting forth its principles and management process for the natural gas safety citation program.</w:t>
      </w:r>
    </w:p>
    <w:p>
      <w:pPr>
        <w:spacing w:after="0" w:line="39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SDG&amp;E Matters</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2007 Wildfire Litigation</w:t>
      </w:r>
    </w:p>
    <w:p>
      <w:pPr>
        <w:spacing w:after="0" w:line="211"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In regard to the 2007 wildfire litigation, SDG&amp;E’s payments for claims settlements plus funds estimated to be required for settlement of outstanding claims and legal fees total approximately $2.4 billion, which is in excess of the $1.1 billion of liability insurance coverage and the approximately $824 million recovered from third parties. However, SDG&amp;E has concluded that it is probable that it will be permitted to recover in rates a substantial portion of the reasonably incurred costs of resolving wildfire claims in excess of its liability insurance coverage and amounts recovered from third parties. Consequently, Sempra Energy and SDG&amp;E expect no significant earnings impact from the resolution of the remaining wildfire claims. At September 30, 2014, Sempra Energy’s and SDG&amp;E’s Condensed Consolidated Balance Sheets include assets of $371 million in Other Regulatory Assets (long-term), of which $357 million is related to CPUC-regulated operations and $14 million is related to FERC-regulated operations, for costs incurred and the estimated settlement of pending claims. However, SDG&amp;E’s cash flow may be materially adversely affected by timing differences between the resolution of claims and recoveries in rates, which may extend over a number of years. In addition, recovery in rates will require future regulatory approval, and a failure to obtain substantial or full recovery, or any negative assessment of the likelihood of recovery, would likely have a material adverse effect on Sempra Energy’s and SDG&amp;E’s financial condition, cash flows and results of operations.</w:t>
      </w:r>
    </w:p>
    <w:p>
      <w:pPr>
        <w:spacing w:after="0" w:line="186" w:lineRule="exact"/>
        <w:rPr>
          <w:sz w:val="20"/>
          <w:szCs w:val="20"/>
          <w:color w:val="auto"/>
        </w:rPr>
      </w:pPr>
    </w:p>
    <w:p>
      <w:pPr>
        <w:ind w:right="280"/>
        <w:spacing w:after="0" w:line="295" w:lineRule="auto"/>
        <w:rPr>
          <w:sz w:val="20"/>
          <w:szCs w:val="20"/>
          <w:color w:val="auto"/>
        </w:rPr>
      </w:pPr>
      <w:r>
        <w:rPr>
          <w:rFonts w:ascii="Arial" w:cs="Arial" w:eastAsia="Arial" w:hAnsi="Arial"/>
          <w:sz w:val="17"/>
          <w:szCs w:val="17"/>
          <w:color w:val="auto"/>
        </w:rPr>
        <w:t>SDG&amp;E will continue to gather information to evaluate and assess the remaining wildfire claims and the likelihood, amount and timing of recoveries in rates and will make appropriate adjustments to wildfire reserves and the related regulatory assets as additional information becomes available.</w:t>
      </w:r>
    </w:p>
    <w:p>
      <w:pPr>
        <w:sectPr>
          <w:pgSz w:w="11900" w:h="16838" w:orient="portrait"/>
          <w:cols w:equalWidth="0" w:num="1">
            <w:col w:w="11420"/>
          </w:cols>
          <w:pgMar w:left="240" w:top="340" w:right="239" w:bottom="0" w:gutter="0" w:footer="0" w:header="0"/>
        </w:sectPr>
      </w:pPr>
    </w:p>
    <w:bookmarkStart w:id="80" w:name="page81"/>
    <w:bookmarkEnd w:id="80"/>
    <w:p>
      <w:pPr>
        <w:ind w:right="40"/>
        <w:spacing w:after="0" w:line="268" w:lineRule="auto"/>
        <w:rPr>
          <w:sz w:val="20"/>
          <w:szCs w:val="20"/>
          <w:color w:val="auto"/>
        </w:rPr>
      </w:pPr>
      <w:r>
        <w:rPr>
          <w:rFonts w:ascii="Arial" w:cs="Arial" w:eastAsia="Arial" w:hAnsi="Arial"/>
          <w:sz w:val="17"/>
          <w:szCs w:val="17"/>
          <w:color w:val="auto"/>
        </w:rPr>
        <w:t>Should SDG&amp;E conclude that recovery of excess wildfire costs in rates is no longer probable, at that time SDG&amp;E will record a charge against earnings. If SDG&amp;E had concluded that the recovery of regulatory assets related to CPUC-regulated operations was no longer probable or was less than currently estimated, at September 30, 2014, the resulting after-tax charge against earnings would have been up to approximately $210 million. In addition, in periods following any such conclusion by SDG&amp;E that recovery is no longer probable, Sempra Energy’s and SDG&amp;E’s earnings will be adversely impacted by increases in the estimated costs to litigate or settle pending wildfire claims. We discuss how we assess the probability of recovery of our regulatory assets in Note 1 of the Notes to Consolidated Financial Statements in the Annual Report.</w:t>
      </w:r>
    </w:p>
    <w:p>
      <w:pPr>
        <w:spacing w:after="0" w:line="179" w:lineRule="exact"/>
        <w:rPr>
          <w:sz w:val="20"/>
          <w:szCs w:val="20"/>
          <w:color w:val="auto"/>
        </w:rPr>
      </w:pPr>
    </w:p>
    <w:p>
      <w:pPr>
        <w:ind w:right="380"/>
        <w:spacing w:after="0" w:line="266" w:lineRule="auto"/>
        <w:rPr>
          <w:sz w:val="20"/>
          <w:szCs w:val="20"/>
          <w:color w:val="auto"/>
        </w:rPr>
      </w:pPr>
      <w:r>
        <w:rPr>
          <w:rFonts w:ascii="Arial" w:cs="Arial" w:eastAsia="Arial" w:hAnsi="Arial"/>
          <w:sz w:val="18"/>
          <w:szCs w:val="18"/>
          <w:color w:val="auto"/>
        </w:rPr>
        <w:t>We provide additional information concerning these matters in Notes 10 and 11 of the Notes to Condensed Consolidated Financial Statements herein and in Notes 14 and 15 of the Notes to Consolidated Financial Statements in the Annual Report.</w:t>
      </w:r>
    </w:p>
    <w:p>
      <w:pPr>
        <w:spacing w:after="0" w:line="387"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SONGS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discuss regulatory and other matters related to SONGS in the Notes to Condensed Consolidated Financial Statements herein as follows: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In Note 9:</w:t>
      </w:r>
    </w:p>
    <w:p>
      <w:pPr>
        <w:spacing w:after="0" w:line="218" w:lineRule="exact"/>
        <w:rPr>
          <w:sz w:val="20"/>
          <w:szCs w:val="20"/>
          <w:color w:val="auto"/>
        </w:rPr>
      </w:pPr>
    </w:p>
    <w:p>
      <w:pPr>
        <w:ind w:left="320" w:hanging="172"/>
        <w:spacing w:after="0"/>
        <w:tabs>
          <w:tab w:leader="none" w:pos="3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SONGS Outage and Retirement</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Pending Settlement Agreement to Resolve the CPUC’s Order Instituting Investigation (OII) into the SONGS Outage (SONGS OII)</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Nuclear Regulatory Commission Proceedings</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Nuclear Decommissioning and Funding</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Nuclear Decommissioning Trusts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In Note 11:</w:t>
      </w:r>
    </w:p>
    <w:p>
      <w:pPr>
        <w:spacing w:after="0" w:line="218" w:lineRule="exact"/>
        <w:rPr>
          <w:sz w:val="20"/>
          <w:szCs w:val="20"/>
          <w:color w:val="auto"/>
        </w:rPr>
      </w:pPr>
    </w:p>
    <w:p>
      <w:pPr>
        <w:ind w:left="320" w:hanging="172"/>
        <w:spacing w:after="0"/>
        <w:tabs>
          <w:tab w:leader="none" w:pos="3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Lawsuit Against Mitsubishi Heavy Industries, Ltd.</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Nuclear Insurance</w:t>
      </w:r>
    </w:p>
    <w:p>
      <w:pPr>
        <w:spacing w:after="0" w:line="244" w:lineRule="exact"/>
        <w:rPr>
          <w:rFonts w:ascii="Arial" w:cs="Arial" w:eastAsia="Arial" w:hAnsi="Arial"/>
          <w:sz w:val="18"/>
          <w:szCs w:val="18"/>
          <w:color w:val="auto"/>
        </w:rPr>
      </w:pPr>
    </w:p>
    <w:p>
      <w:pPr>
        <w:ind w:left="320" w:hanging="172"/>
        <w:spacing w:after="0"/>
        <w:tabs>
          <w:tab w:leader="none" w:pos="3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Department of Energy Nuclear Fuel Disposal</w:t>
      </w:r>
    </w:p>
    <w:p>
      <w:pPr>
        <w:spacing w:after="0" w:line="245" w:lineRule="exact"/>
        <w:rPr>
          <w:sz w:val="20"/>
          <w:szCs w:val="20"/>
          <w:color w:val="auto"/>
        </w:rPr>
      </w:pPr>
    </w:p>
    <w:p>
      <w:pPr>
        <w:ind w:right="540"/>
        <w:spacing w:after="0" w:line="266" w:lineRule="auto"/>
        <w:rPr>
          <w:sz w:val="20"/>
          <w:szCs w:val="20"/>
          <w:color w:val="auto"/>
        </w:rPr>
      </w:pPr>
      <w:r>
        <w:rPr>
          <w:rFonts w:ascii="Arial" w:cs="Arial" w:eastAsia="Arial" w:hAnsi="Arial"/>
          <w:sz w:val="18"/>
          <w:szCs w:val="18"/>
          <w:color w:val="auto"/>
        </w:rPr>
        <w:t>We also discuss SONGS in Notes 13 and 15 of the Notes to Consolidated Financial Statements in the Annual Report, and in “Risk Factors” in the Annual Report.</w:t>
      </w:r>
    </w:p>
    <w:p>
      <w:pPr>
        <w:spacing w:after="0" w:line="387"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Investment in Wind Farm</w:t>
      </w:r>
    </w:p>
    <w:p>
      <w:pPr>
        <w:spacing w:after="0" w:line="211" w:lineRule="exact"/>
        <w:rPr>
          <w:sz w:val="20"/>
          <w:szCs w:val="20"/>
          <w:color w:val="auto"/>
        </w:rPr>
      </w:pPr>
    </w:p>
    <w:p>
      <w:pPr>
        <w:ind w:right="260"/>
        <w:spacing w:after="0" w:line="251" w:lineRule="auto"/>
        <w:rPr>
          <w:sz w:val="20"/>
          <w:szCs w:val="20"/>
          <w:color w:val="auto"/>
        </w:rPr>
      </w:pPr>
      <w:r>
        <w:rPr>
          <w:rFonts w:ascii="Arial" w:cs="Arial" w:eastAsia="Arial" w:hAnsi="Arial"/>
          <w:sz w:val="18"/>
          <w:szCs w:val="18"/>
          <w:color w:val="auto"/>
        </w:rPr>
        <w:t>In 2011, the CPUC and FERC approved SDG&amp;E’s estimated $285 million tax equity investment in the Rim Rock wind farm project. SDG&amp;E and the project developer are in dispute regarding whether all conditions precedent in the contribution agreement have been achieved by the developer of the project. As a result, SDG&amp;E has not made the investment, and the project developer and SDG&amp;E are in dispute regarding SDG&amp;E’s contractual obligation to invest in the project, as we discuss in Note 11 of the Notes to Condensed Consolidated Financial Statements herein and in Note 15 of the Notes to Consolidated Financial Statements in the Annual Report.</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Electric Rate Reform – State of California Assembly Bill 327</w:t>
      </w:r>
    </w:p>
    <w:p>
      <w:pPr>
        <w:spacing w:after="0" w:line="21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In October 2013, the Governor of California signed Assembly Bill (AB) 327. This bill became law on January 1, 2014. This new law restores the authority to establish electric residential rates for electric utility companies in California to the CPUC and removes the rate caps established in AB 1X adopted in early 2001 during California’s energy crisis, as well as SB 695 adopted in 2009. Additionally, the bill provides the CPUC the authority to adopt up to a $10.00 monthly fixed charge for all non-CARE (California Alternative Rates for Energy) residential customers and up to a $5.00 monthly fixed charge for CARE customers. Beginning January 1, 2016, the maximum allowable fixed charge may be adjusted by no more than the annual percentage increase in the Consumer Price Index for the prior calendar year. In February 2014, SDG&amp;E filed comprehensive proposals with the CPUC that provide a roadmap to reforming electric residential rate design beginning in 2015 and continuing through 2018, consistent with the provisions of AB 327. We expect a CPUC decision in the first half of 2015.</w:t>
      </w:r>
    </w:p>
    <w:p>
      <w:pPr>
        <w:spacing w:after="0" w:line="16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 July 2014, the CPUC initiated a rulemaking proceeding to develop a successor tariff to the state’s existing net energy metering (NEM) program, pursuant to the provisions of AB 327, which require the CPUC to establish a revised NEM tariff or similar program by December 31, 2015. The NEM program is an electric billing tariff mechanism designed to promote the installation of on-site renewable generation. It was originally established in California in 1995 with the adoption of Senate Bill 656, as codified in Section 2827 of the Public Utilities Code. Currently, customers who install and operate eligible renewable generation facilities of 1 megawatt or less may choose to participate in the NEM program. Under NEM, customer-generators receive a full retail-rate bill credit for the power they generate that is fed back to the utility’s power grid during times when the customer’s generation exceeds their own energy usage.</w:t>
      </w:r>
    </w:p>
    <w:p>
      <w:pPr>
        <w:spacing w:after="0" w:line="16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Meaningful rate reform is necessary to ensure that SDG&amp;E is authorized to recover its costs in providing services to NEM customers due to, among other issues, the increased power supply from renewable energy sources and the growth in distributed and local power generation. If the CPUC fails to reform SDG&amp;E’s rate structures to allow it to recover costs associated with the services provided to NEM customers and maintain competitive and affordable electric rates for all customers by adopting both fixed and variable rate components, such failure could have a material adverse effect on SDG&amp;E’s business, cash flows, financial condition, results of operations and/or prospects. For additional discussion, see “Risk Factors” in the Annual Report.</w:t>
      </w:r>
    </w:p>
    <w:p>
      <w:pPr>
        <w:spacing w:after="0" w:line="37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Industry Developments and Capital Projects</w:t>
      </w:r>
    </w:p>
    <w:p>
      <w:pPr>
        <w:sectPr>
          <w:pgSz w:w="11900" w:h="16838" w:orient="portrait"/>
          <w:cols w:equalWidth="0" w:num="1">
            <w:col w:w="11420"/>
          </w:cols>
          <w:pgMar w:left="240" w:top="127" w:right="239" w:bottom="0" w:gutter="0" w:footer="0" w:header="0"/>
        </w:sectPr>
      </w:pPr>
    </w:p>
    <w:p>
      <w:pPr>
        <w:spacing w:after="0" w:line="21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describe capital projects, electric and natural gas regulation and rates, and other pending proceedings and investigations that affect the California Utilities in Note 10 of the Notes to Condensed Consolidated Financial Statements herein and in Note 14 of the Notes to Consolidated Financial Statements in the Annual Report.</w:t>
      </w:r>
    </w:p>
    <w:p>
      <w:pPr>
        <w:sectPr>
          <w:pgSz w:w="11900" w:h="16838" w:orient="portrait"/>
          <w:cols w:equalWidth="0" w:num="1">
            <w:col w:w="11420"/>
          </w:cols>
          <w:pgMar w:left="240" w:top="127" w:right="239" w:bottom="0" w:gutter="0" w:footer="0" w:header="0"/>
          <w:type w:val="continuous"/>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SEMPRA INTERNATIONAL</w:t>
      </w:r>
    </w:p>
    <w:p>
      <w:pPr>
        <w:spacing w:after="0" w:line="229" w:lineRule="exact"/>
        <w:rPr>
          <w:sz w:val="20"/>
          <w:szCs w:val="20"/>
          <w:color w:val="auto"/>
        </w:rPr>
      </w:pPr>
    </w:p>
    <w:p>
      <w:pPr>
        <w:ind w:right="60"/>
        <w:spacing w:after="0" w:line="303" w:lineRule="auto"/>
        <w:rPr>
          <w:sz w:val="20"/>
          <w:szCs w:val="20"/>
          <w:color w:val="auto"/>
        </w:rPr>
      </w:pPr>
      <w:r>
        <w:rPr>
          <w:rFonts w:ascii="Arial" w:cs="Arial" w:eastAsia="Arial" w:hAnsi="Arial"/>
          <w:sz w:val="16"/>
          <w:szCs w:val="16"/>
          <w:color w:val="auto"/>
        </w:rPr>
        <w:t>As we discuss in “Cash Flows From Investing Activities,” our investments will significantly impact our future performance. In addition to the discussion below, we provide information about these investments in “Capital Resources and Liquidity” herein and in the “Capital Resources and Liquidity” and “Factors Influencing Future Performance” sections of “Management’s Discussion and Analysis of Financial Condition and Results of Operations” in the Annual Report.</w:t>
      </w:r>
    </w:p>
    <w:p>
      <w:pPr>
        <w:spacing w:after="0" w:line="36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Sempra South American Utilities</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Overview</w:t>
      </w:r>
    </w:p>
    <w:p>
      <w:pPr>
        <w:spacing w:after="0" w:line="211"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In April 2011, Sempra South American Utilities increased its investment in two utilities in South America, Chilquinta Energía and Luz del Sur. In connection with our increased interests in these utilities, Sempra Energy has $854 million in goodwill on its Condensed Consolidated Balance Sheet at September 30, 2014. Goodwill is subject to impairment testing, annually and under other potential circumstances, which may cause its fair value to vary if differing estimates and assumptions are used in the valuation techniques applied as indicated by changing market or other conditions. We discuss the acquisition in Note 3 of the Notes to Consolidated Financial Statements in the Annual Report.</w:t>
      </w:r>
    </w:p>
    <w:p>
      <w:pPr>
        <w:spacing w:after="0" w:line="193"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color w:val="auto"/>
        </w:rPr>
        <w:t>Sempra South American Utilities is also expected to provide earnings from construction projects when completed and from other investments, but will require substantial funding for these investments.</w:t>
      </w:r>
    </w:p>
    <w:p>
      <w:pPr>
        <w:spacing w:after="0" w:line="179"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color w:val="auto"/>
        </w:rPr>
        <w:t>Sempra South American Utilities has historically provided relatively stable earnings and liquidity, and its performance will depend primarily on the ratemaking and regulatory process, environmental regulations, foreign currency rate fluctuations and economic conditions.</w:t>
      </w:r>
    </w:p>
    <w:p>
      <w:pPr>
        <w:spacing w:after="0" w:line="179"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Revenues at Chilquinta Energía are based on tariffs set by the National Energy Commission (Comisión Nacional de Energía, or CNE) every four years. Rates for four-year periods related to distribution and sub-transmission are reviewed separately on an alternating basis every two years. In late 2011, Chilquinta Energía initiated the process to establish its distribution rates for the period from November 2012 to October 2016. This process was completed in November 2012, with rates published in April 2013, and tariff adjustments going into effect retroactively from November 2012. This resulted in a 3.2 percent decrease in rates.</w:t>
      </w:r>
    </w:p>
    <w:p>
      <w:pPr>
        <w:spacing w:after="0" w:line="162"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In April 2013, the CNE completed the process to establish sub-transmission rates for the period January 2011 to December 2014, with tariff adjustments going into effect retroactively from January 2011. This resulted in immaterial changes in rates. The review process for sub-transmission rates for the period of January 2015 to December 2018 is expected to be completed during the second quarter of 2015, with tariff adjustment going into effect in January 2015. However, there is a proposal in the congress that will grant the energy commission the right to extend, for one time only, the current sub-transmission period to December 2015, which approval is expected before year-end.</w:t>
      </w:r>
    </w:p>
    <w:p>
      <w:pPr>
        <w:spacing w:after="0" w:line="193"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color w:val="auto"/>
        </w:rPr>
        <w:t>The next reviews are scheduled to be completed, with tariff adjustments also going into effect, in January 2015 for sub-transmission, and again for distribution in November 2016.</w:t>
      </w:r>
    </w:p>
    <w:p>
      <w:pPr>
        <w:spacing w:after="0" w:line="179"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Luz del Sur serves primarily regulated customers in Peru and revenues are based on rates set by the Energy and Mining Investment Supervisory Body (Organismo Supervisor de la Inversión en Energía y Minería, or OSINERGMIN). The rates are reviewed and adjusted every four years. OSINERGMIN’s final distribution rate setting resolution for the 2013-2017 period was published in October 2013 and went into effect on November 1, 2013. There was no material change in the rates.</w:t>
      </w:r>
    </w:p>
    <w:p>
      <w:pPr>
        <w:spacing w:after="0" w:line="19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September 2014, tax reform legislation was passed in Chile. The main amendments established in the tax reform include, among others, a gradual increase in the corporate income tax rate and the introduction of two options to pay the secondary tax (shareholder tax) on corporate profits (either immediate payment of tax or deferment of tax until earnings are distributed) with different impacts to the total income tax burden. We discuss this tax reform above in “Results of Operations – Changes in Revenues, Costs and Earnings – Income Taxes.”</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Santa Teresa</w:t>
      </w:r>
    </w:p>
    <w:p>
      <w:pPr>
        <w:spacing w:after="0" w:line="211" w:lineRule="exact"/>
        <w:rPr>
          <w:sz w:val="20"/>
          <w:szCs w:val="20"/>
          <w:color w:val="auto"/>
        </w:rPr>
      </w:pPr>
    </w:p>
    <w:p>
      <w:pPr>
        <w:ind w:right="660"/>
        <w:spacing w:after="0" w:line="266" w:lineRule="auto"/>
        <w:rPr>
          <w:sz w:val="20"/>
          <w:szCs w:val="20"/>
          <w:color w:val="auto"/>
        </w:rPr>
      </w:pPr>
      <w:r>
        <w:rPr>
          <w:rFonts w:ascii="Arial" w:cs="Arial" w:eastAsia="Arial" w:hAnsi="Arial"/>
          <w:sz w:val="18"/>
          <w:szCs w:val="18"/>
          <w:color w:val="auto"/>
        </w:rPr>
        <w:t>Luz del Sur is in the final stages of construction of Santa Teresa, a 100-MW hydroelectric power plant in Peru’s Cusco region. It is now scheduled to be completed in the first half of 2015.</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Transmission Projects</w:t>
      </w:r>
    </w:p>
    <w:p>
      <w:pPr>
        <w:spacing w:after="0" w:line="205"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b w:val="1"/>
          <w:bCs w:val="1"/>
          <w:color w:val="auto"/>
        </w:rPr>
        <w:t>Chilquinta Energía</w:t>
      </w:r>
      <w:r>
        <w:rPr>
          <w:rFonts w:ascii="Arial" w:cs="Arial" w:eastAsia="Arial" w:hAnsi="Arial"/>
          <w:sz w:val="18"/>
          <w:szCs w:val="18"/>
          <w:color w:val="auto"/>
        </w:rPr>
        <w:t>. Chilquinta Energía has entered into two 50-percent owned joint ventures, Eletrans S.A. and Eletrans II S.A., with Sociedad Austral de</w:t>
      </w:r>
      <w:r>
        <w:rPr>
          <w:rFonts w:ascii="Arial" w:cs="Arial" w:eastAsia="Arial" w:hAnsi="Arial"/>
          <w:sz w:val="18"/>
          <w:szCs w:val="18"/>
          <w:b w:val="1"/>
          <w:bCs w:val="1"/>
          <w:color w:val="auto"/>
        </w:rPr>
        <w:t xml:space="preserve"> </w:t>
      </w:r>
      <w:r>
        <w:rPr>
          <w:rFonts w:ascii="Arial" w:cs="Arial" w:eastAsia="Arial" w:hAnsi="Arial"/>
          <w:sz w:val="18"/>
          <w:szCs w:val="18"/>
          <w:color w:val="auto"/>
        </w:rPr>
        <w:t>Electricidad Sociedad Anónima (SAESA) to construct transmission lines in Chile.</w:t>
      </w:r>
    </w:p>
    <w:p>
      <w:pPr>
        <w:spacing w:after="0" w:line="161" w:lineRule="exact"/>
        <w:rPr>
          <w:sz w:val="20"/>
          <w:szCs w:val="20"/>
          <w:color w:val="auto"/>
        </w:rPr>
      </w:pPr>
    </w:p>
    <w:p>
      <w:pPr>
        <w:ind w:right="220"/>
        <w:spacing w:after="0" w:line="250" w:lineRule="auto"/>
        <w:rPr>
          <w:sz w:val="20"/>
          <w:szCs w:val="20"/>
          <w:color w:val="auto"/>
        </w:rPr>
      </w:pPr>
      <w:r>
        <w:rPr>
          <w:rFonts w:ascii="Arial" w:cs="Arial" w:eastAsia="Arial" w:hAnsi="Arial"/>
          <w:sz w:val="18"/>
          <w:szCs w:val="18"/>
          <w:color w:val="auto"/>
        </w:rPr>
        <w:t>In May 2012, Eletrans S.A. was awarded two 220-kilovolt (kV) transmission lines in Chile. The transmission lines will extend 150 miles, and we estimate the projects will cost approximately $150 million in total and be completed in 2016 and 2017.</w:t>
      </w:r>
    </w:p>
    <w:p>
      <w:pPr>
        <w:spacing w:after="0" w:line="167"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In June 2013, Eletrans II S.A. was awarded two 220-kV transmission lines in Chile. The transmission lines will extend approximately 70 miles, and we estimate the projects will cost approximately $80 million and be completed in 2018.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projects will be financed by the joint venture partners. Other financing may be pursued upon completion of the projects.</w:t>
      </w:r>
    </w:p>
    <w:p>
      <w:pPr>
        <w:spacing w:after="0" w:line="186"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b w:val="1"/>
          <w:bCs w:val="1"/>
          <w:color w:val="auto"/>
        </w:rPr>
        <w:t>Luz del Sur</w:t>
      </w:r>
      <w:r>
        <w:rPr>
          <w:rFonts w:ascii="Arial" w:cs="Arial" w:eastAsia="Arial" w:hAnsi="Arial"/>
          <w:sz w:val="18"/>
          <w:szCs w:val="18"/>
          <w:color w:val="auto"/>
        </w:rPr>
        <w:t>. Luz del Sur has received regulatory approval for an amended transmission investment plan that includes the development and operation of four</w:t>
      </w:r>
      <w:r>
        <w:rPr>
          <w:rFonts w:ascii="Arial" w:cs="Arial" w:eastAsia="Arial" w:hAnsi="Arial"/>
          <w:sz w:val="18"/>
          <w:szCs w:val="18"/>
          <w:b w:val="1"/>
          <w:bCs w:val="1"/>
          <w:color w:val="auto"/>
        </w:rPr>
        <w:t xml:space="preserve"> </w:t>
      </w:r>
      <w:r>
        <w:rPr>
          <w:rFonts w:ascii="Arial" w:cs="Arial" w:eastAsia="Arial" w:hAnsi="Arial"/>
          <w:sz w:val="18"/>
          <w:szCs w:val="18"/>
          <w:color w:val="auto"/>
        </w:rPr>
        <w:t>substations and their related transmission lines in Lima. We estimate that the project will cost approximately $150 million and be in service in 2016 and 2017 as portions are completed. Once in operation, the capitalized cost will earn the regulated return for 30 years. The project will be financed through Luz del Sur’s existing debt program in Peru’s capital markets.</w:t>
      </w:r>
    </w:p>
    <w:p>
      <w:pPr>
        <w:spacing w:after="0" w:line="38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Sempra Mexico</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Overview</w:t>
      </w:r>
    </w:p>
    <w:p>
      <w:pPr>
        <w:sectPr>
          <w:pgSz w:w="11900" w:h="16838" w:orient="portrait"/>
          <w:cols w:equalWidth="0" w:num="1">
            <w:col w:w="11420"/>
          </w:cols>
          <w:pgMar w:left="240" w:top="542" w:right="239" w:bottom="198" w:gutter="0" w:footer="0" w:header="0"/>
        </w:sectPr>
      </w:pPr>
    </w:p>
    <w:bookmarkStart w:id="82" w:name="page83"/>
    <w:bookmarkEnd w:id="82"/>
    <w:p>
      <w:pPr>
        <w:ind w:right="40"/>
        <w:spacing w:after="0" w:line="253" w:lineRule="auto"/>
        <w:rPr>
          <w:sz w:val="20"/>
          <w:szCs w:val="20"/>
          <w:color w:val="auto"/>
        </w:rPr>
      </w:pPr>
      <w:r>
        <w:rPr>
          <w:rFonts w:ascii="Arial" w:cs="Arial" w:eastAsia="Arial" w:hAnsi="Arial"/>
          <w:sz w:val="18"/>
          <w:szCs w:val="18"/>
          <w:color w:val="auto"/>
        </w:rPr>
        <w:t>Sempra Mexico is expected to provide earnings from construction projects when completed and from other investments. We expect projects in Mexico to be funded through a combination of available funds (the proceeds from IEnova’s debt and equity offerings in early 2013), funds internally generated by the Mexico businesses, securities issuances, project financing, and partnering in joint ventures. We discuss the debt offering further in Note 5 of the Notes to the Consolidated Financial Statements in the Annual Report.</w:t>
      </w:r>
    </w:p>
    <w:p>
      <w:pPr>
        <w:spacing w:after="0" w:line="1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March 2013, Sempra Mexico sold common shares of IEnova in a private placement in the U.S. and outside of Mexico and, concurrently, in a registered public offering in Mexico, as we discuss in Note 5 of the Notes to Condensed Consolidated Financial Statements herein. The shares sold represent approximately 18.9 percent of the ownership interests in IEnova, which reduce our earnings from Sempra Mexico and have a dilutive effect on our earnings per share. The earnings attributable to IEnova’s noncontrolling interests were $34 million for the nine months ended September 30, 2014.</w:t>
      </w:r>
    </w:p>
    <w:p>
      <w:pPr>
        <w:spacing w:after="0" w:line="16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June and August 2014, IEnova entered into three-year term corporate revolving credit facility agreements for $200 million and $100 million, respectively, to finance working capital and for other general corporate purposes. IEnova drew down $40 million in July 2014 and $105 million in August 2014 from the first facility. We discuss the credit facilities further in Note 6 of the Notes to Condensed Consolidated Financial Statements herein.</w:t>
      </w:r>
    </w:p>
    <w:p>
      <w:pPr>
        <w:spacing w:after="0" w:line="157" w:lineRule="exact"/>
        <w:rPr>
          <w:sz w:val="20"/>
          <w:szCs w:val="20"/>
          <w:color w:val="auto"/>
        </w:rPr>
      </w:pPr>
    </w:p>
    <w:p>
      <w:pPr>
        <w:ind w:right="600"/>
        <w:spacing w:after="0" w:line="266" w:lineRule="auto"/>
        <w:rPr>
          <w:sz w:val="20"/>
          <w:szCs w:val="20"/>
          <w:color w:val="auto"/>
        </w:rPr>
      </w:pPr>
      <w:r>
        <w:rPr>
          <w:rFonts w:ascii="Arial" w:cs="Arial" w:eastAsia="Arial" w:hAnsi="Arial"/>
          <w:sz w:val="18"/>
          <w:szCs w:val="18"/>
          <w:color w:val="auto"/>
        </w:rPr>
        <w:t>We discuss the impact of Mexican tax reform in “Results of Operations – Changes in Revenues, Costs and Earnings – Income Taxes” in “Management’s Discussion and Analysis of Financial Condition and Results of Operations” in the Annual Report.</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Pipeline Projects</w:t>
      </w:r>
    </w:p>
    <w:p>
      <w:pPr>
        <w:spacing w:after="0" w:line="211" w:lineRule="exact"/>
        <w:rPr>
          <w:sz w:val="20"/>
          <w:szCs w:val="20"/>
          <w:color w:val="auto"/>
        </w:rPr>
      </w:pPr>
    </w:p>
    <w:p>
      <w:pPr>
        <w:ind w:right="180"/>
        <w:spacing w:after="0" w:line="251" w:lineRule="auto"/>
        <w:rPr>
          <w:sz w:val="20"/>
          <w:szCs w:val="20"/>
          <w:color w:val="auto"/>
        </w:rPr>
      </w:pPr>
      <w:r>
        <w:rPr>
          <w:rFonts w:ascii="Arial" w:cs="Arial" w:eastAsia="Arial" w:hAnsi="Arial"/>
          <w:sz w:val="17"/>
          <w:szCs w:val="17"/>
          <w:color w:val="auto"/>
        </w:rPr>
        <w:t>In October 2012, Sempra Mexico was awarded two contracts by the Federal Electricity Commission (Comisión Federal de Electricidad, or CFE) to build and operate an approximately 500-mile pipeline network (Sonora Pipeline) to transport natural gas from the U.S.-Mexico border south of Tucson, Arizona through the Mexican state of Sonora to the northern part of the Mexican state of Sinaloa along the Gulf of California. The network will be comprised of two segments that will interconnect to the U.S. interstate pipeline system. We estimate it will cost approximately $1 billion. The first segment of the project, approximately 300 miles, was completed in October 2014, and we expect to complete the remaining segment in the second half of 2016. The capacity is fully contracted by CFE under two 25-year contracts denominated in U.S. dollars.</w:t>
      </w:r>
    </w:p>
    <w:p>
      <w:pPr>
        <w:spacing w:after="0" w:line="169" w:lineRule="exact"/>
        <w:rPr>
          <w:sz w:val="20"/>
          <w:szCs w:val="20"/>
          <w:color w:val="auto"/>
        </w:rPr>
      </w:pPr>
    </w:p>
    <w:p>
      <w:pPr>
        <w:ind w:right="180"/>
        <w:spacing w:after="0" w:line="277" w:lineRule="auto"/>
        <w:rPr>
          <w:sz w:val="20"/>
          <w:szCs w:val="20"/>
          <w:color w:val="auto"/>
        </w:rPr>
      </w:pPr>
      <w:r>
        <w:rPr>
          <w:rFonts w:ascii="Arial" w:cs="Arial" w:eastAsia="Arial" w:hAnsi="Arial"/>
          <w:sz w:val="16"/>
          <w:szCs w:val="16"/>
          <w:color w:val="auto"/>
        </w:rPr>
        <w:t>In December 2012, through its joint venture with PEMEX, the Mexican state-owned oil company, Sempra Mexico executed an ethane transportation services agreement with PEMEX to construct and operate an approximately 140-mile pipeline (Ethane Pipeline) to transport ethane from Tabasco, Mexico to Veracruz, Mexico. We estimate it will cost approximately $330 million and be funded by the joint venture without additional capital contributions from the partners. It is expected to be completed in the first half of 2015. PEMEX has fully contracted the capacity under a 21-year contract denominated in U.S. dollars.</w:t>
      </w:r>
    </w:p>
    <w:p>
      <w:pPr>
        <w:spacing w:after="0" w:line="147"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In January 2013, PEMEX announced that the first phase of the Los Ramones pipeline project was assigned to and will be developed by our joint venture with PEMEX. The project is a 70-mile natural gas pipeline (Los Ramones I) from the northern portion of the state of Tamaulipas bordering the United States to Los Ramones in the Mexican state of Nuevo León. The capacity is fully contracted under a 25-year transportation services agreement with PEMEX denominated in Mexican pesos, with a contract rate based on the U.S. dollar investment, adjusted annually for inflation and fluctuation of the exchange rate. The project is scheduled to begin operations at the end of 2014.</w:t>
      </w:r>
    </w:p>
    <w:p>
      <w:pPr>
        <w:spacing w:after="0" w:line="193"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In addition, in 2014, our joint venture with PEMEX and affiliates of PEMEX executed agreements for the development of Los Ramones Norte, a natural gas pipeline of approximately 275 miles and two compression stations, which will connect with the first phase of Los Ramones and run to the vicinity of San Luis Potosi, with an estimated cost of approximately $1.3 billion to $1.5 billion. Our joint venture with PEMEX has a 50-percent interest in the project. In June 2014, the project executed an engineering, procurement and construction contract with a consortium formed by Arendal, S. de R.L. de C.V., Construtora Norberto Odebrecht S.A., and Techint, S.A. de C.V., and in July 2014, the project issued the full notice to proceed. We expect expenditures for the project to be funded by the joint venture’s cash flows from operations and project financing, plus additional contributions from its partners. Any additional contributions from partners will depend on the amount of project financing obtained. The pipeline’s capacity is fully contracted under a 25-year transportation services agreement with PEMEX denominated in Mexican pesos, with a contract rate based on the U.S. dollar investment, adjusted annually for inflation and fluctuation of the exchange rate.</w:t>
      </w:r>
    </w:p>
    <w:p>
      <w:pPr>
        <w:spacing w:after="0" w:line="197"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Energía Sierra Juárez</w:t>
      </w:r>
    </w:p>
    <w:p>
      <w:pPr>
        <w:spacing w:after="0" w:line="211" w:lineRule="exact"/>
        <w:rPr>
          <w:sz w:val="20"/>
          <w:szCs w:val="20"/>
          <w:color w:val="auto"/>
        </w:rPr>
      </w:pPr>
    </w:p>
    <w:p>
      <w:pPr>
        <w:jc w:val="both"/>
        <w:ind w:right="160"/>
        <w:spacing w:after="0"/>
        <w:rPr>
          <w:sz w:val="20"/>
          <w:szCs w:val="20"/>
          <w:color w:val="auto"/>
        </w:rPr>
      </w:pPr>
      <w:r>
        <w:rPr>
          <w:rFonts w:ascii="Arial" w:cs="Arial" w:eastAsia="Arial" w:hAnsi="Arial"/>
          <w:sz w:val="18"/>
          <w:szCs w:val="18"/>
          <w:color w:val="auto"/>
        </w:rPr>
        <w:t>In April 2011, SDG&amp;E entered into a 20-year contract for up to 155 MW of renewable power supplied from the first phase of Sempra Mexico’s Energía Sierra Juárez wind generation project in Baja California, Mexico. The contract was approved by the CPUC in March 2012 and by the FERC in July 2012. In October 2013, Sempra Mexico issued full notice to proceed to the construction contractor.</w:t>
      </w:r>
    </w:p>
    <w:p>
      <w:pPr>
        <w:spacing w:after="0" w:line="176"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In June 2014, the Energía Sierra Juárez wind project entered into an 18-year, $240 million loan to project finance the construction and drew down $82 million from the loan, as we discuss in Note 6 of the Notes to Condensed Consolidated Financial Statements herein. The loan agreement also provides for a $31.7 million letter of credit facility. Energía Sierra Juárez also entered into a separate Peso-denominated credit facility for up to $35 million U.S. dollar equivalent to fund the value added tax of the project.</w:t>
      </w:r>
    </w:p>
    <w:p>
      <w:pPr>
        <w:spacing w:after="0" w:line="17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 July 2014, after obtaining the required regulatory approvals in Mexico and the U.S., we consummated the sale of a 50-percent equity interest in the first phase of Energía Sierra Juárez to a wholly owned subsidiary of InterGen N.V. for $24 million, net of $2 million cash sold, as we discuss in Note 3 of the Notes to Condensed Consolidated Financial Statements herein. Upon consummation of the sale, the indebtedness under the credit facilities was deconsolidated.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U.S. GAS &amp; POWER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Sempra Renewables</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Overview</w:t>
      </w:r>
    </w:p>
    <w:p>
      <w:pPr>
        <w:spacing w:after="0" w:line="21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Sempra Renewables is developing and investing in renewable energy generation projects that have long-term contracts with utilities. The renewable energy projects have planned in-service dates through 2016. These projects require construction financing, which may come from a variety of sources including operating cash flow, project financing, funds from the parent, partnering in joint ventures and, potentially, other forms of equity sales. The varying costs of these alternative financing sources impact the projects’ returns.</w:t>
      </w:r>
    </w:p>
    <w:p>
      <w:pPr>
        <w:spacing w:after="0" w:line="19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Sempra Renewables’ future performance and the demand for renewable energy is impacted by various market factors, most notably state mandated requirements to deliver a portion of total energy load from renewable energy sources. The rules governing these requirements are generally known as Renewables Portfolio Standards (RPS). Additionally, the phase out or extension of U.S. federal income tax incentives, primarily investment tax credits and production tax credits, and grant programs could significantly impact future renewable energy resource availability and investment decisions.</w:t>
      </w:r>
    </w:p>
    <w:p>
      <w:pPr>
        <w:sectPr>
          <w:pgSz w:w="11900" w:h="16838" w:orient="portrait"/>
          <w:cols w:equalWidth="0" w:num="1">
            <w:col w:w="11420"/>
          </w:cols>
          <w:pgMar w:left="240" w:top="127" w:right="239" w:bottom="0" w:gutter="0" w:footer="0" w:header="0"/>
        </w:sectPr>
      </w:pPr>
    </w:p>
    <w:bookmarkStart w:id="83" w:name="page84"/>
    <w:bookmarkEnd w:id="83"/>
    <w:p>
      <w:pPr>
        <w:spacing w:after="0"/>
        <w:rPr>
          <w:sz w:val="20"/>
          <w:szCs w:val="20"/>
          <w:color w:val="auto"/>
        </w:rPr>
      </w:pPr>
      <w:r>
        <w:rPr>
          <w:rFonts w:ascii="Arial" w:cs="Arial" w:eastAsia="Arial" w:hAnsi="Arial"/>
          <w:sz w:val="19"/>
          <w:szCs w:val="19"/>
          <w:i w:val="1"/>
          <w:iCs w:val="1"/>
          <w:color w:val="auto"/>
        </w:rPr>
        <w:t>Copper Mountain Solar</w:t>
      </w:r>
    </w:p>
    <w:p>
      <w:pPr>
        <w:spacing w:after="0" w:line="251" w:lineRule="exact"/>
        <w:rPr>
          <w:sz w:val="20"/>
          <w:szCs w:val="20"/>
          <w:color w:val="auto"/>
        </w:rPr>
      </w:pPr>
    </w:p>
    <w:p>
      <w:pPr>
        <w:ind w:right="200"/>
        <w:spacing w:after="0" w:line="251" w:lineRule="auto"/>
        <w:rPr>
          <w:sz w:val="20"/>
          <w:szCs w:val="20"/>
          <w:color w:val="auto"/>
        </w:rPr>
      </w:pPr>
      <w:r>
        <w:rPr>
          <w:rFonts w:ascii="Arial" w:cs="Arial" w:eastAsia="Arial" w:hAnsi="Arial"/>
          <w:sz w:val="18"/>
          <w:szCs w:val="18"/>
          <w:color w:val="auto"/>
        </w:rPr>
        <w:t>Copper Mountain Solar is a photovoltaic generation facility operated and under development by Sempra Renewables in Boulder City, Nevada. When fully developed, the project will be capable of producing up to approximately 550 MW of solar power; it is being developed in multiple phases as power sales become contracted. Copper Mountain Solar is comprised of four separate projects. Copper Mountain Solar 1 is a 58-MW photovoltaic generation facility currently in operation, which includes the 10-MW facility previously referred to as El Dorado Solar. PG&amp;E has contracted for all of the solar power at Copper Mountain Solar 1 for 20 years.</w:t>
      </w:r>
    </w:p>
    <w:p>
      <w:pPr>
        <w:spacing w:after="0" w:line="193"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Copper Mountain Solar 2 began construction in December 2011 and will total 150 MW when completed. Copper Mountain Solar 2 is divided into two phases, with the first phase of 92 MW placed in service in November 2012 and the remaining 58 MW planned to be placed in service in 2015. PG&amp;E has contracted for all of the solar power at Copper Mountain Solar 2 for 25 years. In July 2013, we completed the sale of 50 percent of our equity in Copper Mountain Solar 2 to ConEdison Development as we discuss in Notes 3, 4 and 5 of the Notes to Consolidated Financial Statements in the Annual Report and Note 3 of the Notes to Condensed Consolidated Financial Statements herein.</w:t>
      </w:r>
    </w:p>
    <w:p>
      <w:pPr>
        <w:spacing w:after="0" w:line="193"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Copper Mountain Solar 3 started construction in March 2013 and will total 250 MW when completed. Copper Mountain Solar 3 will be placed in service as each of the ten blocks of solar panels is installed and is planned to be entirely in service in 2015. The cities of Los Angeles and Burbank have contracted for all of the solar power at Copper Mountain Solar 3 for 20 years. In addition to solar power, the power sales agreement provides the cities of Los Angeles and Burbank the option to purchase the Copper Mountain Solar 3 facility at years 10, 15 and 20 of the contract term, or upon earlier termination of the agreement. In March 2014, we completed the sale of 50 percent of our equity in Copper Mountain Solar 3 to ConEdison Development, as we discuss in Note 3 of the Notes to Condensed Consolidated Financial Statements herein.</w:t>
      </w:r>
    </w:p>
    <w:p>
      <w:pPr>
        <w:spacing w:after="0" w:line="195" w:lineRule="exact"/>
        <w:rPr>
          <w:sz w:val="20"/>
          <w:szCs w:val="20"/>
          <w:color w:val="auto"/>
        </w:rPr>
      </w:pPr>
    </w:p>
    <w:p>
      <w:pPr>
        <w:jc w:val="both"/>
        <w:ind w:right="360"/>
        <w:spacing w:after="0" w:line="303" w:lineRule="auto"/>
        <w:rPr>
          <w:sz w:val="20"/>
          <w:szCs w:val="20"/>
          <w:color w:val="auto"/>
        </w:rPr>
      </w:pPr>
      <w:r>
        <w:rPr>
          <w:rFonts w:ascii="Arial" w:cs="Arial" w:eastAsia="Arial" w:hAnsi="Arial"/>
          <w:sz w:val="16"/>
          <w:szCs w:val="16"/>
          <w:color w:val="auto"/>
        </w:rPr>
        <w:t>In July 2014, Sempra Renewables signed a 20-year power sale agreement with Southern California Edison for all of the solar power from Copper Mountain Solar 4 beginning in 2020. We expect Copper Mountain Solar 4 to be in service in 2016, marketing its output prior to the commencement of the power sale agreement. Copper Mountain Solar 4 will total 94 MW when completed. The power sale agreement is subject to approval by the CPUC.</w:t>
      </w:r>
    </w:p>
    <w:p>
      <w:pPr>
        <w:spacing w:after="0" w:line="149"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Mesquite Solar</w:t>
      </w:r>
    </w:p>
    <w:p>
      <w:pPr>
        <w:spacing w:after="0" w:line="21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Mesquite Solar is a photovoltaic generation facility under development by Sempra Renewables in Maricopa County, Arizona. If fully developed, the project will be capable of producing up to approximately 700 MW of solar power. Construction on the first phase (Mesquite Solar 1) of 150 MW was completed in December 2012. PG&amp;E has contracted for all of the solar power at Mesquite Solar 1 for 20 years. In September 2013, we completed the sale of 50 percent of our equity in Mesquite Solar 1 to ConEdison Development as we discuss in Notes 3, 4 and 5 of the Notes to Consolidated Financial Statements in the Annual Report and Note 3 of the Notes to Condensed Consolidated Financial Statements herein.</w:t>
      </w:r>
    </w:p>
    <w:p>
      <w:pPr>
        <w:spacing w:after="0" w:line="388"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Broken Bow 2 Wind Project</w:t>
      </w:r>
    </w:p>
    <w:p>
      <w:pPr>
        <w:spacing w:after="0" w:line="211"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In September 2013, Sempra Renewables acquired the rights to develop the Broken Bow 2 Wind project in Custer County, Nebraska. Sempra Renewables began construction on the 75-MW wind farm in 2013, and we achieved commercial operation in October 2014. Nebraska Public Power District has contracted for all of the wind energy from the project for 25 years. In October 2014, Sempra Renewables completed a private offering of an aggregate of $72 million in principal amount of 4.82-percent fixed-rate notes maturing in 2039. Proceeds from this offering were used to finance this project. Sempra Renewables intends to operate the project within the framework of a joint venture.</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California Solar Partnership with ConEdison Development</w:t>
      </w:r>
    </w:p>
    <w:p>
      <w:pPr>
        <w:spacing w:after="0" w:line="21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May 2014, Sempra Renewables and ConEdison Development consummated an agreement to partner in four solar projects in California. The joint venture includes ConEdison Development’s CED California Holdings, LLC portfolio, which consists of the 50-MW Alpaugh 50, the 20-MW Alpaugh North and the 20-MW White River 1 facilities in Tulare County, and the 20-MW Corcoran 1 facility in Kings County. The renewable power from all of the projects has been sold under long-term contracts. Sempra Renewables and ConEdison Development each own a 50-percent interest in the four fully operating solar facilities. We discuss the joint venture further in Note 4 of the Notes to Condensed Consolidated Financial Statements herein.</w:t>
      </w:r>
    </w:p>
    <w:p>
      <w:pPr>
        <w:spacing w:after="0" w:line="38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Sempra Natural Gas</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Mesquite Power Natural Gas-Fired Plant</w:t>
      </w:r>
    </w:p>
    <w:p>
      <w:pPr>
        <w:spacing w:after="0" w:line="211"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color w:val="auto"/>
        </w:rPr>
        <w:t>In June 2011, Sempra Natural Gas entered into a 25-year power contract with various members of Southwest Public Power Resources Group (SPPR Group), an association of 40 not-for-profit utilities in Arizona and southern Nevada. The contract was expanded to a total of 271 MW in February 2013. Under the terms of the agreement, Sempra Natural Gas will provide 21 participating SPPR Group members with firm, day-ahead dispatchable power from its Mesquite Power plant or other sources delivered to the Palo Verde hub beginning in January 2015.</w:t>
      </w:r>
    </w:p>
    <w:p>
      <w:pPr>
        <w:spacing w:after="0" w:line="190"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In February 2013, Sempra Natural Gas completed the sale of one 625-MW block of its Mesquite Power plant to the Salt River Project Agricultural Improvement and Power District for $371 million in cash. Sempra Natural Gas retained ownership of the second 625-MW block of the Mesquite Power plant that will support the contract with the participating SPPR Group members.</w:t>
      </w:r>
    </w:p>
    <w:p>
      <w:pPr>
        <w:spacing w:after="0" w:line="18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January 2014, management approved a plan to market and sell the remaining 625-MW block of the plant. In October 2014, Sempra Natural Gas entered into a definitive agreement to sell the remaining 625-MW block of the Mesquite Power plant and SPPR contract to ArcLight Capital Partners, LLC. We anticipate the sale will close late in 2014 or early in 2015, subject to customary regulatory approvals and assignment of the contract with the SPPR Group to the buyer. We discuss the plan to sell the second 625-MW block of Mesquite Power in Note 3 of the Notes to Condensed Consolidated Financial Statements herein.</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Rockies Express</w:t>
      </w:r>
    </w:p>
    <w:p>
      <w:pPr>
        <w:spacing w:after="0" w:line="211"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Sempra Natural Gas owns a 25-percent interest in Rockies Express Pipeline LLC (Rockies Express), a partnership that operates a natural gas pipeline, the Rockies Express Pipeline (REX), which links the Rocky Mountains region to the upper Midwest and the eastern United States. All of REX’s original capacity sales provide for west-to-east service. Sempra Rockies Marketing, a subsidiary of Sempra Natural Gas, has an agreement for such capacity on REX through November 2019. The capacity costs are offset by revenues from releases of the capacity contracted to third parties. Certain capacity release commitments</w:t>
      </w:r>
    </w:p>
    <w:p>
      <w:pPr>
        <w:sectPr>
          <w:pgSz w:w="11900" w:h="16838" w:orient="portrait"/>
          <w:cols w:equalWidth="0" w:num="1">
            <w:col w:w="11420"/>
          </w:cols>
          <w:pgMar w:left="240" w:top="349" w:right="239" w:bottom="0" w:gutter="0" w:footer="0" w:header="0"/>
        </w:sectPr>
      </w:pPr>
    </w:p>
    <w:bookmarkStart w:id="84" w:name="page85"/>
    <w:bookmarkEnd w:id="84"/>
    <w:p>
      <w:pPr>
        <w:ind w:right="60"/>
        <w:spacing w:after="0" w:line="266" w:lineRule="auto"/>
        <w:rPr>
          <w:sz w:val="20"/>
          <w:szCs w:val="20"/>
          <w:color w:val="auto"/>
        </w:rPr>
      </w:pPr>
      <w:r>
        <w:rPr>
          <w:rFonts w:ascii="Arial" w:cs="Arial" w:eastAsia="Arial" w:hAnsi="Arial"/>
          <w:sz w:val="18"/>
          <w:szCs w:val="18"/>
          <w:color w:val="auto"/>
        </w:rPr>
        <w:t>totaling $22 million concluded during 2013. Contracting activity related to that capacity has not been sufficient to offset all of our capacity payments to Rockies Express.</w:t>
      </w:r>
    </w:p>
    <w:p>
      <w:pPr>
        <w:spacing w:after="0" w:line="179" w:lineRule="exact"/>
        <w:rPr>
          <w:sz w:val="20"/>
          <w:szCs w:val="20"/>
          <w:color w:val="auto"/>
        </w:rPr>
      </w:pPr>
    </w:p>
    <w:p>
      <w:pPr>
        <w:jc w:val="both"/>
        <w:ind w:right="80"/>
        <w:spacing w:after="0" w:line="303" w:lineRule="auto"/>
        <w:rPr>
          <w:sz w:val="20"/>
          <w:szCs w:val="20"/>
          <w:color w:val="auto"/>
        </w:rPr>
      </w:pPr>
      <w:r>
        <w:rPr>
          <w:rFonts w:ascii="Arial" w:cs="Arial" w:eastAsia="Arial" w:hAnsi="Arial"/>
          <w:sz w:val="16"/>
          <w:szCs w:val="16"/>
          <w:color w:val="auto"/>
        </w:rPr>
        <w:t>In November 2013, FERC issued a decision ruling that east-to-west service offerings within a single REX rate zone would not result in potential rate reductions under provisions in the original customers’ west-to-east contracts (“most favored nation” provisions). In December 2013, certain west-to-east customers sought rehearing of that decision. The triggering of these provisions would result in significantly reduced revenue to REX from these west-to-east contracts.</w:t>
      </w:r>
    </w:p>
    <w:p>
      <w:pPr>
        <w:spacing w:after="0" w:line="154"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In April 2014, prior to the launching of an open season, Rockies Express had secured binding financial commitments with four shippers totaling 1.2 billion cubic feet (Bcf) per day of capacity for east-to-west transportation services at a rate of $0.50 per dekatherm for a term of twenty years originating at or near Clarington, Ohio. We expect the capacity to be in service by mid-2015. In June 2014, Rockies Express finished constructing the Seneca lateral, an initial 0.25 Bcf per day capacity project that connects natural gas production sources in Ohio to REX, with further plans to expand the lateral’s capability to 0.6 Bcf per day of capacity by the end of 2014. The lateral is fully contracted through September 2021. Rockies Express has also conducted a non-binding open season to assess interest in further expansion of its facilities for east-to-west service. Further expansion of east-to-west capacity would require additional capital investment.</w:t>
      </w:r>
    </w:p>
    <w:p>
      <w:pPr>
        <w:spacing w:after="0" w:line="16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Our carrying value in Rockies Express at September 30, 2014 is $342 million. We recorded noncash, after-tax impairment charges totaling $239 million in 2012 to write down our investment in the partnership. We discuss our investment in Rockies Express and the impairment charges in Notes 4 and 10 of the Notes to Consolidated Financial Statements in the Annual Report.</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Natural Gas Storage</w:t>
      </w:r>
    </w:p>
    <w:p>
      <w:pPr>
        <w:spacing w:after="0" w:line="211" w:lineRule="exact"/>
        <w:rPr>
          <w:sz w:val="20"/>
          <w:szCs w:val="20"/>
          <w:color w:val="auto"/>
        </w:rPr>
      </w:pPr>
    </w:p>
    <w:p>
      <w:pPr>
        <w:ind w:right="340"/>
        <w:spacing w:after="0" w:line="363" w:lineRule="auto"/>
        <w:rPr>
          <w:sz w:val="20"/>
          <w:szCs w:val="20"/>
          <w:color w:val="auto"/>
        </w:rPr>
      </w:pPr>
      <w:r>
        <w:rPr>
          <w:rFonts w:ascii="Arial" w:cs="Arial" w:eastAsia="Arial" w:hAnsi="Arial"/>
          <w:sz w:val="14"/>
          <w:szCs w:val="14"/>
          <w:color w:val="auto"/>
        </w:rPr>
        <w:t>Our natural gas storage assets include operational and development assets at Bay Gas in Alabama and Mississippi Hub in Mississippi, as well as our development project, LA Storage in Louisiana. LA Storage could be positioned to support LNG export from Cameron and other liquefaction projects, if anticipated cash flows support further investment. However, changes in the U.S. natural gas market could also lead to diminished natural gas storage values.</w:t>
      </w:r>
    </w:p>
    <w:p>
      <w:pPr>
        <w:spacing w:after="0" w:line="120"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Historically, the value of natural gas storage services has positively correlated with the difference between the seasonal prices of natural gas, among other factors. In general, over the past several years, seasonal differences in natural gas prices have declined, which have contributed to lower prices for storage services. As our legacy (higher rate) sales contracts mature at Bay Gas and Mississippi Hub, replacement sales contract rates could be lower than has historically been the case. Lower sales revenues may not be offset by cost reductions, which could lead to depressed asset values. In addition, our LA Storage development project may be unable to attract cash flow commitments sufficient to support further investment, or unable to extend its FERC construction permit beyond its expiration date of June 2015. These market conditions could result in the need to perform recovery testing of our recorded asset values. In the event such values are not recoverable, we would consider the fair value of these assets relative to their recorded value. To the extent excess book value over fair value is indicated, an impairment charge would be required to be recorded. The book value of our equity in natural gas storage assets at September 30, 2014 is $1.3 billion, excluding intercompany loans to the projects totaling $200 million.</w:t>
      </w:r>
    </w:p>
    <w:p>
      <w:pPr>
        <w:spacing w:after="0" w:line="184"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After placing additional capacity in service at Bay Gas and Mississippi Hub in June 2014, Sempra Natural Gas has 42 Bcf of operational working natural gas storage capacity (20 Bcf at Bay Gas and 22 Bcf at Mississippi Hub). Sempra Natural Gas may, over the long term, develop as much as 76 Bcf of total storage capacity at all of its facilities.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Sempra Natural Gas’ natural gas storage facilities and projects include</w:t>
      </w:r>
    </w:p>
    <w:p>
      <w:pPr>
        <w:spacing w:after="0" w:line="218" w:lineRule="exact"/>
        <w:rPr>
          <w:sz w:val="20"/>
          <w:szCs w:val="20"/>
          <w:color w:val="auto"/>
        </w:rPr>
      </w:pPr>
    </w:p>
    <w:p>
      <w:pPr>
        <w:jc w:val="both"/>
        <w:ind w:left="320" w:hanging="172"/>
        <w:spacing w:after="0" w:line="256" w:lineRule="auto"/>
        <w:tabs>
          <w:tab w:leader="none" w:pos="3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Bay Gas, a facility located 40 miles north of Mobile, Alabama, that provides underground storage and delivery of natural gas. Sempra Natural Gas owns 91 percent of the project. It is the easternmost salt dome storage facility on the Gulf Coast, with direct service to the Florida market and markets across the Southeast, Mid-Atlantic and Northeast regions.</w:t>
      </w:r>
    </w:p>
    <w:p>
      <w:pPr>
        <w:spacing w:after="0" w:line="214" w:lineRule="exact"/>
        <w:rPr>
          <w:rFonts w:ascii="Arial" w:cs="Arial" w:eastAsia="Arial" w:hAnsi="Arial"/>
          <w:sz w:val="18"/>
          <w:szCs w:val="18"/>
          <w:color w:val="auto"/>
        </w:rPr>
      </w:pPr>
    </w:p>
    <w:p>
      <w:pPr>
        <w:ind w:left="320" w:right="20" w:hanging="172"/>
        <w:spacing w:after="0" w:line="295" w:lineRule="auto"/>
        <w:tabs>
          <w:tab w:leader="none" w:pos="32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Mississippi Hub, located 45 miles southeast of Jackson, Mississippi, an underground salt dome natural gas storage project with access to shale basins of East Texas and Louisiana, traditional gulf supplies and LNG, with multiple interconnections to serve the Southeast and Northeast regions.</w:t>
      </w:r>
    </w:p>
    <w:p>
      <w:pPr>
        <w:spacing w:after="0" w:line="183" w:lineRule="exact"/>
        <w:rPr>
          <w:rFonts w:ascii="Arial" w:cs="Arial" w:eastAsia="Arial" w:hAnsi="Arial"/>
          <w:sz w:val="17"/>
          <w:szCs w:val="17"/>
          <w:color w:val="auto"/>
        </w:rPr>
      </w:pPr>
    </w:p>
    <w:p>
      <w:pPr>
        <w:ind w:left="320" w:hanging="172"/>
        <w:spacing w:after="0" w:line="266" w:lineRule="auto"/>
        <w:tabs>
          <w:tab w:leader="none" w:pos="3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LA Storage, a salt cavern development project in Cameron Parish, Louisiana. Sempra Natural Gas owns 75 percent of the project and ProLiance Transportation LLC owns the remaining 25 percent. The project’s location provides access to several LNG facilities in the area.</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Cameron Liquefaction Project</w:t>
      </w:r>
    </w:p>
    <w:p>
      <w:pPr>
        <w:spacing w:after="0" w:line="21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Cameron liquefaction project will utilize Cameron LNG’s existing facilities, including two marine berths, three LNG storage tanks, and vaporization capability of 1.5 Bcf per day. In January 2012, the Department of Energy (DOE) approved Cameron LNG’s application for authorization to export LNG to Free Trade Agreement countries.</w:t>
      </w:r>
    </w:p>
    <w:p>
      <w:pPr>
        <w:spacing w:after="0" w:line="188"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In 2012, Sempra Natural Gas signed commercial development agreements with Mitsubishi Corporation, Mitsui &amp; Co., Ltd., and a subsidiary of GDF SUEZ S.A. to develop a natural gas liquefaction export facility at the Cameron LNG terminal. The Cameron liquefaction project is comprised of three liquefaction trains and is being designed to a nameplate capacity of 13.5 million tonnes per annum (Mtpa) of LNG with an expected export capability of 12 Mtpa of LNG, or approximately 1.7 Bcf per day. Upon receipt of all necessary permitting and regulatory approvals, construction commenced in 2014, which should allow us to achieve commercial operation of all three trains in 2018, and have the first year of full operations in 2019. The anticipated incremental investment in the three-train liquefaction project is estimated to be approximately $7 billion, which includes the cost of the lump-sum, turnkey construction contract, development engineering costs and permitting costs, and excludes capitalized interest and other financing costs. The majority of the incremental investment will be project-financed and the balance provided by the project partners through the joint-venture agreements we discuss below. We discuss the construction contract further in Note 11 of the Notes to Condensed Consolidated Financial Statements herein. The total cost of the facility, including the cost of our original facility plus interest during construction, financing costs and required reserves, is estimated to be approximately $10 billion.</w:t>
      </w:r>
    </w:p>
    <w:p>
      <w:pPr>
        <w:spacing w:after="0" w:line="169"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In May 2013, we signed a joint venture agreement with affiliates of GDF SUEZ S.A., Mitsubishi Corporation (through a related company jointly established with Nippon Yusen Kabushiki Kaisha (NYK)), and Mitsui &amp; Co., Ltd. each to acquire 16.6 percent indirect equity in Cameron LNG, and for Sempra Energy to retain a 50.2-percent indirect interest in the joint venture. As we discuss below, on October 1, 2014, we contributed our share of equity to the joint venture through the contribution of Cameron LNG. We also expect to contribute our share of cash generated from each liquefaction train as it comes on line. If construction, financing or other project costs are higher than we currently expect, we may have to contribute additional cash.</w:t>
      </w:r>
    </w:p>
    <w:p>
      <w:pPr>
        <w:spacing w:after="0" w:line="164"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commercial development agreements executed in 2012 bind the parties to fund certain development costs, including design, permitting and engineering, as well as to negotiate in good faith 20-year tolling agreements, based on agreed-upon key terms outlined in the commercial development agreements. In May 2013, we signed 20-year liquefaction and regasification tolling capacity agreements with GDF SUEZ S.A. and affiliates of Mitsubishi Corporation and Mitsui &amp; Co., Ltd. which subscribe the full nameplate capacity of the facility. Each tolling agreement is for 4.5 Mtpa of capacity to enable 4.0 Mtpa of LNG export.</w:t>
      </w:r>
    </w:p>
    <w:p>
      <w:pPr>
        <w:sectPr>
          <w:pgSz w:w="11900" w:h="16838" w:orient="portrait"/>
          <w:cols w:equalWidth="0" w:num="1">
            <w:col w:w="11420"/>
          </w:cols>
          <w:pgMar w:left="240" w:top="127" w:right="239" w:bottom="0" w:gutter="0" w:footer="0" w:header="0"/>
        </w:sectPr>
      </w:pPr>
    </w:p>
    <w:bookmarkStart w:id="85" w:name="page86"/>
    <w:bookmarkEnd w:id="85"/>
    <w:p>
      <w:pPr>
        <w:ind w:right="20"/>
        <w:spacing w:after="0" w:line="253" w:lineRule="auto"/>
        <w:rPr>
          <w:sz w:val="20"/>
          <w:szCs w:val="20"/>
          <w:color w:val="auto"/>
        </w:rPr>
      </w:pPr>
      <w:r>
        <w:rPr>
          <w:rFonts w:ascii="Arial" w:cs="Arial" w:eastAsia="Arial" w:hAnsi="Arial"/>
          <w:sz w:val="18"/>
          <w:szCs w:val="18"/>
          <w:color w:val="auto"/>
        </w:rPr>
        <w:t>In June and November 2013, Sempra Natural Gas signed agreements totaling 1.45 Bcf per day of firm natural gas transportation service to Cameron LNG on the Cameron Interstate Pipeline (subject to effectiveness of the liquefaction and regasification tolling capacity agreements) with GDF SUEZ S.A. and affiliates of Mitsubishi Corporation and Mitsui &amp; Co., Ltd. The terms of these agreements are concurrent with the liquefaction and regasification tolling capacity agreements.</w:t>
      </w:r>
    </w:p>
    <w:p>
      <w:pPr>
        <w:spacing w:after="0" w:line="190"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On February 11, 2014, the DOE issued an order (Order) granting Cameron LNG, LLC conditional authorization to export from its Cameron liquefaction project approximately 1.7 Bcf per day of domestically produced LNG to countries with which the United States does not have agreements for free trade in natural gas (Non-Free Trade Agreement). The conditional authorization granted in the Order is for a term of 20 years commencing on the earlier of the date of first commercial export or seven years from the date of the Order. Under the terms of the Order, Cameron LNG is authorized to export LNG either on its own behalf or as agent for the customers of the project. In September 2014, the DOE granted the final authorization.</w:t>
      </w:r>
    </w:p>
    <w:p>
      <w:pPr>
        <w:spacing w:after="0" w:line="18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March 2014, we signed an engineering, procurement and construction (EPC) contract with a joint venture between CB&amp;I Shaw Constructors, Inc., a wholly owned subsidiary of Chicago Bridge &amp; Iron Company N.V., and Chiyoda International Corporation, a wholly owned subsidiary of Chiyoda Corporation. The joint venture issued full notice to proceed to the contractor in October 2014. We discuss this contract further in Note 11 of the Notes to Condensed Consolidated Financial Statements herein.</w:t>
      </w:r>
    </w:p>
    <w:p>
      <w:pPr>
        <w:spacing w:after="0" w:line="190"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On April 30, 2014, FERC issued the Final Environmental Impact Statement for the project, which concludes that the project would not result in significant environmental impacts, after taking into account mitigation requirements that will be implemented by the Cameron LNG joint venture. On June 19, 2014, Cameron LNG received an order from the FERC authorizing the siting, construction and operation of the three-train liquefaction facility. In the same order, the FERC also authorized Cameron Interstate Pipeline’s 21-mile, 42-inch natural gas pipeline expansion, new compressor station and ancillary equipment that will provide natural gas transportation to the Cameron LNG facility. On July 9, 2014, the FERC issued its initial authorization to commence site preparation activities at the Cameron LNG site.</w:t>
      </w:r>
    </w:p>
    <w:p>
      <w:pPr>
        <w:spacing w:after="0" w:line="195"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On August 6, 2014, Sempra Energy and the project partners provided their respective final investment decision with respect to the joint venture. The effective date of the Cameron LNG joint venture, Cameron LNG Holdings, LLC (Cameron LNG Holdings), among Sempra Energy and its project partners occurred on October 1, 2014 after satisfaction of various conditions, including receipt of final regulatory approval and satisfaction of conditions precedent to the first disbursement of the project financing. Beginning from the October 1, 2014 joint venture effective date, Cameron LNG is no longer wholly owned or controlled by Sempra Energy, and is owned 50.2 percent by Sempra Energy and 49.8 percent by the project partners. As of October 1, 2014, Sempra Energy will account for its investment in the joint venture under the equity method.</w:t>
      </w:r>
    </w:p>
    <w:p>
      <w:pPr>
        <w:spacing w:after="0" w:line="17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Also on August 6, 2014, Sempra Energy and the project partners executed project financing documents for senior secured debt in an initial aggregate principal amount up to $7.4 billion for the purpose of financing the cost of development and construction of the Cameron LNG project. Also on August 6, 2014, Sempra Energy entered into a completion guarantee under which Sempra Energy has severally guaranteed 50.2 percent of the debt, or a maximum of $3.7 billion. The project financing and completion guarantee became effective October 1, 2014, the effective date of the joint venture formation, and will terminate upon financial completion of the project, which is subject to satisfaction of certain conditions, including all three trains achieving commercial operation and meeting certain operational performance tests. We expect the project to achieve financial completion and the completion guarantee to be terminated in the second half of 2019.</w:t>
      </w:r>
    </w:p>
    <w:p>
      <w:pPr>
        <w:spacing w:after="0" w:line="168"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At September 30, 2014, Cameron LNG had a terminal services agreement with one customer that required the customer to pay capacity reservation and usage fees to use its Cameron LNG facilities to receive, store and regasify the customer’s LNG. There is a termination agreement in place that will result in the termination of this agreement at the point during construction of the new liquefaction facilities where piping tie-ins to the existing regasification terminal become necessary. Based on the full notice to proceed that was issued to Cameron LNG’s EPC contractor on October 9, 2014, we expect this termination date to occur during the first quarter of 2017.</w:t>
      </w:r>
    </w:p>
    <w:p>
      <w:pPr>
        <w:spacing w:after="0" w:line="19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Cameron LNG Holdings is pursuing potential growth projects for the Cameron LNG facility. Under the Cameron LNG financing agreements, expansion of the Cameron LNG facilities beyond the first three trains are subject to certain restrictions and conditions. These restrictions include, among others, certain timing restrictions on expansions of the projects unless appropriate prior consent is obtained from lenders.</w:t>
      </w:r>
    </w:p>
    <w:p>
      <w:pPr>
        <w:spacing w:after="0" w:line="188" w:lineRule="exact"/>
        <w:rPr>
          <w:sz w:val="20"/>
          <w:szCs w:val="20"/>
          <w:color w:val="auto"/>
        </w:rPr>
      </w:pPr>
    </w:p>
    <w:p>
      <w:pPr>
        <w:ind w:right="820"/>
        <w:spacing w:after="0" w:line="266" w:lineRule="auto"/>
        <w:rPr>
          <w:sz w:val="20"/>
          <w:szCs w:val="20"/>
          <w:color w:val="auto"/>
        </w:rPr>
      </w:pPr>
      <w:r>
        <w:rPr>
          <w:rFonts w:ascii="Arial" w:cs="Arial" w:eastAsia="Arial" w:hAnsi="Arial"/>
          <w:sz w:val="18"/>
          <w:szCs w:val="18"/>
          <w:color w:val="auto"/>
        </w:rPr>
        <w:t>We discuss the deconsolidation of Cameron LNG and Sempra Energy’s project financing obligations and guarantee further in Note 13 of the Notes to Condensed Consolidated Financial Statements herein.</w:t>
      </w:r>
    </w:p>
    <w:p>
      <w:pPr>
        <w:spacing w:after="0" w:line="38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RBS Sempra Commodities</w:t>
      </w:r>
    </w:p>
    <w:p>
      <w:pPr>
        <w:spacing w:after="0" w:line="21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 three separate transactions in 2010 and one in early 2011, we and The Royal Bank of Scotland plc (RBS), our partner in the RBS Sempra Commodities joint venture, sold substantially all of the businesses and assets of our commodities-marketing partnership. The investment balance of $73 million at September 30, 2014 reflects remaining distributions expected to be received from the partnership as it is dissolved. The amount of distributions may be impacted by the matters we discuss related to RBS Sempra Commodities under “Other Litigation” in Note 11 of the Notes to Condensed Consolidated Financial Statements herein. In addition, amounts may be retained by the partnership for an extended period of time to help offset unanticipated future general and administrative costs necessary to complete the dissolution of the partnership. We provide additional information in Note 4 of the Notes to Condensed Consolidated Financial Statements herein and in Notes 4, 5 and 15 of the Notes to Consolidated Financial Statements in the Annual Report.</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SEMPRA ENERGY MATTERS</w:t>
      </w:r>
    </w:p>
    <w:p>
      <w:pPr>
        <w:spacing w:after="0" w:line="229"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We discuss Chilean tax reform in “Management’s Discussion and Analysis of Financial Condition and Results of Operations – Changes in Revenues, Costs and Earnings – Income Taxes” herein, and the impacts of the American Taxpayer Relief Act of 2012, the Tax Relief, Unemployment Insurance Reauthorization, and Job Creation Act of 2010 and the Mexican tax reform legislation passed in December 2013 on our income tax expense, earnings and cash flows in “Management’s Discussion and Analysis of Financial Condition and Results of Operations – Changes in Revenues, Costs and Earnings – Income Taxes” in the Annual Report.</w:t>
      </w:r>
    </w:p>
    <w:p>
      <w:pPr>
        <w:spacing w:after="0" w:line="19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may be further impacted by depressed and rapidly changing economic conditions. Moreover, the dollar may fluctuate significantly compared to some foreign currencies, especially in Mexico and South America where we have significant operations. We discuss foreign currency rate risk further under “Foreign Currency Rate Risk” in Item 3. “Quantitative and Qualitative Disclosures About Market Risk” below. North American natural gas prices, which affect profitability at Sempra Renewables and Sempra Natural Gas, are currently significantly below Asian and European prices. These factors could, if they remain unchanged, adversely affect profitability. However, management expects that future export capability at Sempra Natural Gas’ Cameron LNG facility would benefit from lower gas prices in North America compared to other regions.</w:t>
      </w:r>
    </w:p>
    <w:p>
      <w:pPr>
        <w:sectPr>
          <w:pgSz w:w="11900" w:h="16838" w:orient="portrait"/>
          <w:cols w:equalWidth="0" w:num="1">
            <w:col w:w="11420"/>
          </w:cols>
          <w:pgMar w:left="240" w:top="340" w:right="239" w:bottom="0" w:gutter="0" w:footer="0" w:header="0"/>
        </w:sectPr>
      </w:pPr>
    </w:p>
    <w:bookmarkStart w:id="86" w:name="page87"/>
    <w:bookmarkEnd w:id="86"/>
    <w:p>
      <w:pPr>
        <w:ind w:right="60"/>
        <w:spacing w:after="0" w:line="266" w:lineRule="auto"/>
        <w:rPr>
          <w:sz w:val="20"/>
          <w:szCs w:val="20"/>
          <w:color w:val="auto"/>
        </w:rPr>
      </w:pPr>
      <w:r>
        <w:rPr>
          <w:rFonts w:ascii="Arial" w:cs="Arial" w:eastAsia="Arial" w:hAnsi="Arial"/>
          <w:sz w:val="17"/>
          <w:szCs w:val="17"/>
          <w:color w:val="auto"/>
        </w:rPr>
        <w:t>In July 2010, federal legislation to reform financial markets was enacted that significantly alters how over-the-counter (OTC) derivatives are regulated, which may impact all of our businesses. The law increased regulatory oversight of OTC energy derivatives, including (1) requiring standardized OTC derivatives to be traded on registered exchanges regulated by the U.S. Commodity Futures Trading Commission (CFTC), (2) imposing new and potentially higher capital and margin requirements and (3) authorizing the establishment of overall volume and position limits. The law gives the CFTC authority to exempt end users of energy commodities which could reduce, but not eliminate, the applicability of these measures to us and other end users. These requirements could cause our OTC transactions to be more costly and have a material adverse effect on our liquidity due to additional capital requirements. In addition, as these reforms aim to standardize OTC products, they could limit the effectiveness of our hedging programs, because we would have less ability to tailor OTC derivatives to match the precise risk we are seeking to mitigate.</w:t>
      </w:r>
    </w:p>
    <w:p>
      <w:pPr>
        <w:spacing w:after="0" w:line="180" w:lineRule="exact"/>
        <w:rPr>
          <w:sz w:val="20"/>
          <w:szCs w:val="20"/>
          <w:color w:val="auto"/>
        </w:rPr>
      </w:pPr>
    </w:p>
    <w:p>
      <w:pPr>
        <w:ind w:right="200"/>
        <w:spacing w:after="0" w:line="363" w:lineRule="auto"/>
        <w:rPr>
          <w:sz w:val="20"/>
          <w:szCs w:val="20"/>
          <w:color w:val="auto"/>
        </w:rPr>
      </w:pPr>
      <w:r>
        <w:rPr>
          <w:rFonts w:ascii="Arial" w:cs="Arial" w:eastAsia="Arial" w:hAnsi="Arial"/>
          <w:sz w:val="14"/>
          <w:szCs w:val="14"/>
          <w:color w:val="auto"/>
        </w:rPr>
        <w:t>Our future performance depends substantially on the timing and success of our business development efforts and our construction, maintenance and capital projects. We discuss this and additional matters that could affect our future performance in Notes 10 and 11 of the Notes to Condensed Consolidated Financial Statements herein, in Notes 14 and 15 of the Notes to Consolidated Financial Statements in the Annual Report, and in “Risk Factors” in the Annual Report.</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color w:val="auto"/>
        </w:rPr>
        <w:t>We describe legal proceedings which could adversely affect our future performance in Note 11 of the Notes to Condensed Consolidated Financial Statements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459105</wp:posOffset>
            </wp:positionV>
            <wp:extent cx="72656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5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color w:val="auto"/>
        </w:rPr>
        <w:t>CRITICAL ACCOUNTING POLICIES AND ESTIMATES</w:t>
      </w:r>
    </w:p>
    <w:p>
      <w:pPr>
        <w:spacing w:after="0" w:line="19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view certain accounting policies as critical because their application is the most relevant, judgmental, and/or material to our financial position and results of operations, and/or because they require the use of material judgments and estimates. We discuss these accounting policies in “Management’s Discussion and Analysis of Financial Condition and Results of Operations” in the Annual Report.</w:t>
      </w:r>
    </w:p>
    <w:p>
      <w:pPr>
        <w:spacing w:after="0" w:line="188" w:lineRule="exact"/>
        <w:rPr>
          <w:sz w:val="20"/>
          <w:szCs w:val="20"/>
          <w:color w:val="auto"/>
        </w:rPr>
      </w:pPr>
    </w:p>
    <w:p>
      <w:pPr>
        <w:ind w:right="720"/>
        <w:spacing w:after="0" w:line="266" w:lineRule="auto"/>
        <w:rPr>
          <w:sz w:val="20"/>
          <w:szCs w:val="20"/>
          <w:color w:val="auto"/>
        </w:rPr>
      </w:pPr>
      <w:r>
        <w:rPr>
          <w:rFonts w:ascii="Arial" w:cs="Arial" w:eastAsia="Arial" w:hAnsi="Arial"/>
          <w:sz w:val="18"/>
          <w:szCs w:val="18"/>
          <w:color w:val="auto"/>
        </w:rPr>
        <w:t>We describe our significant accounting policies in Note 1 of the Notes to Consolidated Financial Statements in the Annual Report. We follow the same accounting policies for interim reporting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459105</wp:posOffset>
            </wp:positionV>
            <wp:extent cx="72656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5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color w:val="auto"/>
        </w:rPr>
        <w:t>NEW ACCOUNTING STANDARDS</w:t>
      </w:r>
    </w:p>
    <w:p>
      <w:pPr>
        <w:spacing w:after="0" w:line="198"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We discuss the relevant pronouncements that have recently become effective and have had or may have an impact on our financial statements and/or disclosures in Note 2 of the Notes to Condensed Consolidated Financial Statements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459105</wp:posOffset>
            </wp:positionV>
            <wp:extent cx="726567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5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color w:val="auto"/>
        </w:rPr>
        <w:t>ITEM 3. QUANTITATIVE AND QUALITATIVE DISCLOSURES ABOUT MARKET RISK</w:t>
      </w:r>
    </w:p>
    <w:p>
      <w:pPr>
        <w:spacing w:after="0" w:line="198" w:lineRule="exact"/>
        <w:rPr>
          <w:sz w:val="20"/>
          <w:szCs w:val="20"/>
          <w:color w:val="auto"/>
        </w:rPr>
      </w:pPr>
    </w:p>
    <w:p>
      <w:pPr>
        <w:ind w:right="160"/>
        <w:spacing w:after="0" w:line="329" w:lineRule="auto"/>
        <w:rPr>
          <w:sz w:val="20"/>
          <w:szCs w:val="20"/>
          <w:color w:val="auto"/>
        </w:rPr>
      </w:pPr>
      <w:r>
        <w:rPr>
          <w:rFonts w:ascii="Arial" w:cs="Arial" w:eastAsia="Arial" w:hAnsi="Arial"/>
          <w:sz w:val="16"/>
          <w:szCs w:val="16"/>
          <w:color w:val="auto"/>
        </w:rPr>
        <w:t>We provide disclosure regarding derivative activity in Note 7 of the Notes to Condensed Consolidated Financial Statements herein. We discuss our market risk and risk policies in detail in "Management's Discussion and Analysis of Financial Condition and Results of Operations" in the Annual Report.</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shows the nominal amount and the one-year Value at Risk (VaR) for long-term debt at September 30, 2014 and December 31, 2013:</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NOMINAL AMOUNT AND ONE-YEAR VALUE AT RISK OF LONG-TERM DEBT(1)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-104775</wp:posOffset>
            </wp:positionV>
            <wp:extent cx="7248525" cy="2197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8525" cy="21971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80" w:type="dxa"/>
            <w:vAlign w:val="bottom"/>
            <w:gridSpan w:val="2"/>
          </w:tcPr>
          <w:p>
            <w:pPr>
              <w:jc w:val="right"/>
              <w:ind w:right="325"/>
              <w:spacing w:after="0"/>
              <w:rPr>
                <w:sz w:val="20"/>
                <w:szCs w:val="20"/>
                <w:color w:val="auto"/>
              </w:rPr>
            </w:pPr>
            <w:r>
              <w:rPr>
                <w:rFonts w:ascii="Arial" w:cs="Arial" w:eastAsia="Arial" w:hAnsi="Arial"/>
                <w:sz w:val="14"/>
                <w:szCs w:val="14"/>
                <w:color w:val="auto"/>
              </w:rPr>
              <w:t>Sempra Energy</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84"/>
        </w:trPr>
        <w:tc>
          <w:tcPr>
            <w:tcW w:w="37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2"/>
          </w:tcPr>
          <w:p>
            <w:pPr>
              <w:jc w:val="right"/>
              <w:ind w:right="405"/>
              <w:spacing w:after="0"/>
              <w:rPr>
                <w:sz w:val="20"/>
                <w:szCs w:val="20"/>
                <w:color w:val="auto"/>
              </w:rPr>
            </w:pPr>
            <w:r>
              <w:rPr>
                <w:rFonts w:ascii="Arial" w:cs="Arial" w:eastAsia="Arial" w:hAnsi="Arial"/>
                <w:sz w:val="14"/>
                <w:szCs w:val="14"/>
                <w:color w:val="auto"/>
              </w:rPr>
              <w:t>Consolidated</w:t>
            </w:r>
          </w:p>
        </w:tc>
        <w:tc>
          <w:tcPr>
            <w:tcW w:w="2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SDG&amp;E</w:t>
            </w:r>
          </w:p>
        </w:tc>
        <w:tc>
          <w:tcPr>
            <w:tcW w:w="6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2"/>
          </w:tcPr>
          <w:p>
            <w:pPr>
              <w:jc w:val="right"/>
              <w:ind w:right="525"/>
              <w:spacing w:after="0"/>
              <w:rPr>
                <w:sz w:val="20"/>
                <w:szCs w:val="20"/>
                <w:color w:val="auto"/>
              </w:rPr>
            </w:pPr>
            <w:r>
              <w:rPr>
                <w:rFonts w:ascii="Arial" w:cs="Arial" w:eastAsia="Arial" w:hAnsi="Arial"/>
                <w:sz w:val="14"/>
                <w:szCs w:val="14"/>
                <w:color w:val="auto"/>
              </w:rPr>
              <w:t>SoCalGas</w:t>
            </w:r>
          </w:p>
        </w:tc>
        <w:tc>
          <w:tcPr>
            <w:tcW w:w="300" w:type="dxa"/>
            <w:vAlign w:val="bottom"/>
            <w:tcBorders>
              <w:bottom w:val="single" w:sz="8" w:color="auto"/>
            </w:tcBorders>
          </w:tcPr>
          <w:p>
            <w:pPr>
              <w:spacing w:after="0"/>
              <w:rPr>
                <w:sz w:val="15"/>
                <w:szCs w:val="15"/>
                <w:color w:val="auto"/>
              </w:rPr>
            </w:pPr>
          </w:p>
        </w:tc>
      </w:tr>
      <w:tr>
        <w:trPr>
          <w:trHeight w:val="221"/>
        </w:trPr>
        <w:tc>
          <w:tcPr>
            <w:tcW w:w="3740" w:type="dxa"/>
            <w:vAlign w:val="bottom"/>
          </w:tcPr>
          <w:p>
            <w:pPr>
              <w:spacing w:after="0"/>
              <w:rPr>
                <w:sz w:val="19"/>
                <w:szCs w:val="19"/>
                <w:color w:val="auto"/>
              </w:rPr>
            </w:pPr>
          </w:p>
        </w:tc>
        <w:tc>
          <w:tcPr>
            <w:tcW w:w="1320" w:type="dxa"/>
            <w:vAlign w:val="bottom"/>
            <w:gridSpan w:val="2"/>
          </w:tcPr>
          <w:p>
            <w:pPr>
              <w:jc w:val="right"/>
              <w:ind w:right="383"/>
              <w:spacing w:after="0"/>
              <w:rPr>
                <w:sz w:val="20"/>
                <w:szCs w:val="20"/>
                <w:color w:val="auto"/>
              </w:rPr>
            </w:pPr>
            <w:r>
              <w:rPr>
                <w:rFonts w:ascii="Arial" w:cs="Arial" w:eastAsia="Arial" w:hAnsi="Arial"/>
                <w:sz w:val="14"/>
                <w:szCs w:val="14"/>
                <w:color w:val="auto"/>
              </w:rPr>
              <w:t>Nominal</w:t>
            </w:r>
          </w:p>
        </w:tc>
        <w:tc>
          <w:tcPr>
            <w:tcW w:w="760" w:type="dxa"/>
            <w:vAlign w:val="bottom"/>
          </w:tcPr>
          <w:p>
            <w:pPr>
              <w:jc w:val="right"/>
              <w:spacing w:after="0"/>
              <w:rPr>
                <w:sz w:val="20"/>
                <w:szCs w:val="20"/>
                <w:color w:val="auto"/>
              </w:rPr>
            </w:pPr>
            <w:r>
              <w:rPr>
                <w:rFonts w:ascii="Arial" w:cs="Arial" w:eastAsia="Arial" w:hAnsi="Arial"/>
                <w:sz w:val="14"/>
                <w:szCs w:val="14"/>
                <w:color w:val="auto"/>
              </w:rPr>
              <w:t>One-Year</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jc w:val="right"/>
              <w:ind w:right="522"/>
              <w:spacing w:after="0"/>
              <w:rPr>
                <w:sz w:val="20"/>
                <w:szCs w:val="20"/>
                <w:color w:val="auto"/>
              </w:rPr>
            </w:pPr>
            <w:r>
              <w:rPr>
                <w:rFonts w:ascii="Arial" w:cs="Arial" w:eastAsia="Arial" w:hAnsi="Arial"/>
                <w:sz w:val="14"/>
                <w:szCs w:val="14"/>
                <w:color w:val="auto"/>
              </w:rPr>
              <w:t>Nominal</w:t>
            </w:r>
          </w:p>
        </w:tc>
        <w:tc>
          <w:tcPr>
            <w:tcW w:w="640" w:type="dxa"/>
            <w:vAlign w:val="bottom"/>
          </w:tcPr>
          <w:p>
            <w:pPr>
              <w:jc w:val="right"/>
              <w:spacing w:after="0"/>
              <w:rPr>
                <w:sz w:val="20"/>
                <w:szCs w:val="20"/>
                <w:color w:val="auto"/>
              </w:rPr>
            </w:pPr>
            <w:r>
              <w:rPr>
                <w:rFonts w:ascii="Arial" w:cs="Arial" w:eastAsia="Arial" w:hAnsi="Arial"/>
                <w:sz w:val="14"/>
                <w:szCs w:val="14"/>
                <w:color w:val="auto"/>
              </w:rPr>
              <w:t>One-Year</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center"/>
              <w:ind w:right="62"/>
              <w:spacing w:after="0"/>
              <w:rPr>
                <w:sz w:val="20"/>
                <w:szCs w:val="20"/>
                <w:color w:val="auto"/>
              </w:rPr>
            </w:pPr>
            <w:r>
              <w:rPr>
                <w:rFonts w:ascii="Arial" w:cs="Arial" w:eastAsia="Arial" w:hAnsi="Arial"/>
                <w:sz w:val="14"/>
                <w:szCs w:val="14"/>
                <w:color w:val="auto"/>
              </w:rPr>
              <w:t>Nominal</w:t>
            </w:r>
          </w:p>
        </w:tc>
        <w:tc>
          <w:tcPr>
            <w:tcW w:w="800" w:type="dxa"/>
            <w:vAlign w:val="bottom"/>
          </w:tcPr>
          <w:p>
            <w:pPr>
              <w:jc w:val="right"/>
              <w:spacing w:after="0"/>
              <w:rPr>
                <w:sz w:val="20"/>
                <w:szCs w:val="20"/>
                <w:color w:val="auto"/>
              </w:rPr>
            </w:pPr>
            <w:r>
              <w:rPr>
                <w:rFonts w:ascii="Arial" w:cs="Arial" w:eastAsia="Arial" w:hAnsi="Arial"/>
                <w:sz w:val="14"/>
                <w:szCs w:val="14"/>
                <w:color w:val="auto"/>
              </w:rPr>
              <w:t>One-Year</w:t>
            </w:r>
          </w:p>
        </w:tc>
        <w:tc>
          <w:tcPr>
            <w:tcW w:w="300" w:type="dxa"/>
            <w:vAlign w:val="bottom"/>
          </w:tcPr>
          <w:p>
            <w:pPr>
              <w:spacing w:after="0"/>
              <w:rPr>
                <w:sz w:val="19"/>
                <w:szCs w:val="19"/>
                <w:color w:val="auto"/>
              </w:rPr>
            </w:pPr>
          </w:p>
        </w:tc>
      </w:tr>
      <w:tr>
        <w:trPr>
          <w:trHeight w:val="197"/>
        </w:trPr>
        <w:tc>
          <w:tcPr>
            <w:tcW w:w="37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color w:val="auto"/>
              </w:rPr>
              <w:t>Debt</w:t>
            </w:r>
          </w:p>
        </w:tc>
        <w:tc>
          <w:tcPr>
            <w:tcW w:w="760" w:type="dxa"/>
            <w:vAlign w:val="bottom"/>
            <w:tcBorders>
              <w:bottom w:val="single" w:sz="8" w:color="auto"/>
            </w:tcBorders>
          </w:tcPr>
          <w:p>
            <w:pPr>
              <w:jc w:val="right"/>
              <w:ind w:right="5"/>
              <w:spacing w:after="0"/>
              <w:rPr>
                <w:sz w:val="20"/>
                <w:szCs w:val="20"/>
                <w:color w:val="auto"/>
              </w:rPr>
            </w:pPr>
            <w:r>
              <w:rPr>
                <w:rFonts w:ascii="Arial" w:cs="Arial" w:eastAsia="Arial" w:hAnsi="Arial"/>
                <w:sz w:val="14"/>
                <w:szCs w:val="14"/>
                <w:color w:val="auto"/>
              </w:rPr>
              <w:t>VaR(2)</w:t>
            </w:r>
          </w:p>
        </w:tc>
        <w:tc>
          <w:tcPr>
            <w:tcW w:w="2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22"/>
              <w:spacing w:after="0"/>
              <w:rPr>
                <w:sz w:val="20"/>
                <w:szCs w:val="20"/>
                <w:color w:val="auto"/>
              </w:rPr>
            </w:pPr>
            <w:r>
              <w:rPr>
                <w:rFonts w:ascii="Arial" w:cs="Arial" w:eastAsia="Arial" w:hAnsi="Arial"/>
                <w:sz w:val="14"/>
                <w:szCs w:val="14"/>
                <w:color w:val="auto"/>
              </w:rPr>
              <w:t>Debt</w:t>
            </w: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VaR(2)</w:t>
            </w:r>
          </w:p>
        </w:tc>
        <w:tc>
          <w:tcPr>
            <w:tcW w:w="3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442"/>
              <w:spacing w:after="0"/>
              <w:rPr>
                <w:sz w:val="20"/>
                <w:szCs w:val="20"/>
                <w:color w:val="auto"/>
              </w:rPr>
            </w:pPr>
            <w:r>
              <w:rPr>
                <w:rFonts w:ascii="Arial" w:cs="Arial" w:eastAsia="Arial" w:hAnsi="Arial"/>
                <w:sz w:val="14"/>
                <w:szCs w:val="14"/>
                <w:color w:val="auto"/>
              </w:rPr>
              <w:t>Debt</w:t>
            </w:r>
          </w:p>
        </w:tc>
        <w:tc>
          <w:tcPr>
            <w:tcW w:w="80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color w:val="auto"/>
              </w:rPr>
              <w:t>VaR(2)</w:t>
            </w:r>
          </w:p>
        </w:tc>
        <w:tc>
          <w:tcPr>
            <w:tcW w:w="300" w:type="dxa"/>
            <w:vAlign w:val="bottom"/>
            <w:tcBorders>
              <w:bottom w:val="single" w:sz="8" w:color="auto"/>
            </w:tcBorders>
          </w:tcPr>
          <w:p>
            <w:pPr>
              <w:spacing w:after="0"/>
              <w:rPr>
                <w:sz w:val="17"/>
                <w:szCs w:val="17"/>
                <w:color w:val="auto"/>
              </w:rPr>
            </w:pPr>
          </w:p>
        </w:tc>
      </w:tr>
      <w:tr>
        <w:trPr>
          <w:trHeight w:val="214"/>
        </w:trPr>
        <w:tc>
          <w:tcPr>
            <w:tcW w:w="3740" w:type="dxa"/>
            <w:vAlign w:val="bottom"/>
          </w:tcPr>
          <w:p>
            <w:pPr>
              <w:spacing w:after="0"/>
              <w:rPr>
                <w:sz w:val="20"/>
                <w:szCs w:val="20"/>
                <w:color w:val="auto"/>
              </w:rPr>
            </w:pPr>
            <w:r>
              <w:rPr>
                <w:rFonts w:ascii="Arial" w:cs="Arial" w:eastAsia="Arial" w:hAnsi="Arial"/>
                <w:sz w:val="16"/>
                <w:szCs w:val="16"/>
                <w:color w:val="auto"/>
              </w:rPr>
              <w:t>At September 30, 2014:</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3"/>
        </w:trPr>
        <w:tc>
          <w:tcPr>
            <w:tcW w:w="3740" w:type="dxa"/>
            <w:vAlign w:val="bottom"/>
          </w:tcPr>
          <w:p>
            <w:pPr>
              <w:ind w:left="480"/>
              <w:spacing w:after="0"/>
              <w:rPr>
                <w:sz w:val="20"/>
                <w:szCs w:val="20"/>
                <w:color w:val="auto"/>
              </w:rPr>
            </w:pPr>
            <w:r>
              <w:rPr>
                <w:rFonts w:ascii="Arial" w:cs="Arial" w:eastAsia="Arial" w:hAnsi="Arial"/>
                <w:sz w:val="16"/>
                <w:szCs w:val="16"/>
                <w:color w:val="auto"/>
              </w:rPr>
              <w:t>California Utilities fixed-rate</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63"/>
              <w:spacing w:after="0"/>
              <w:rPr>
                <w:sz w:val="20"/>
                <w:szCs w:val="20"/>
                <w:color w:val="auto"/>
              </w:rPr>
            </w:pPr>
            <w:r>
              <w:rPr>
                <w:rFonts w:ascii="Arial" w:cs="Arial" w:eastAsia="Arial" w:hAnsi="Arial"/>
                <w:sz w:val="16"/>
                <w:szCs w:val="16"/>
                <w:color w:val="auto"/>
              </w:rPr>
              <w:t>6,049</w:t>
            </w:r>
          </w:p>
        </w:tc>
        <w:tc>
          <w:tcPr>
            <w:tcW w:w="760" w:type="dxa"/>
            <w:vAlign w:val="bottom"/>
          </w:tcPr>
          <w:p>
            <w:pPr>
              <w:jc w:val="right"/>
              <w:ind w:right="485"/>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240"/>
              <w:spacing w:after="0"/>
              <w:rPr>
                <w:sz w:val="20"/>
                <w:szCs w:val="20"/>
                <w:color w:val="auto"/>
              </w:rPr>
            </w:pPr>
            <w:r>
              <w:rPr>
                <w:rFonts w:ascii="Arial" w:cs="Arial" w:eastAsia="Arial" w:hAnsi="Arial"/>
                <w:sz w:val="16"/>
                <w:szCs w:val="16"/>
                <w:color w:val="auto"/>
                <w:w w:val="97"/>
              </w:rPr>
              <w:t>396</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82"/>
              <w:spacing w:after="0"/>
              <w:rPr>
                <w:sz w:val="20"/>
                <w:szCs w:val="20"/>
                <w:color w:val="auto"/>
              </w:rPr>
            </w:pPr>
            <w:r>
              <w:rPr>
                <w:rFonts w:ascii="Arial" w:cs="Arial" w:eastAsia="Arial" w:hAnsi="Arial"/>
                <w:sz w:val="16"/>
                <w:szCs w:val="16"/>
                <w:color w:val="auto"/>
              </w:rPr>
              <w:t>4,136</w:t>
            </w:r>
          </w:p>
        </w:tc>
        <w:tc>
          <w:tcPr>
            <w:tcW w:w="640" w:type="dxa"/>
            <w:vAlign w:val="bottom"/>
          </w:tcPr>
          <w:p>
            <w:pPr>
              <w:jc w:val="right"/>
              <w:ind w:right="488"/>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rPr>
              <w:t>267</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center"/>
              <w:ind w:left="182"/>
              <w:spacing w:after="0"/>
              <w:rPr>
                <w:sz w:val="20"/>
                <w:szCs w:val="20"/>
                <w:color w:val="auto"/>
              </w:rPr>
            </w:pPr>
            <w:r>
              <w:rPr>
                <w:rFonts w:ascii="Arial" w:cs="Arial" w:eastAsia="Arial" w:hAnsi="Arial"/>
                <w:sz w:val="16"/>
                <w:szCs w:val="16"/>
                <w:color w:val="auto"/>
                <w:w w:val="99"/>
              </w:rPr>
              <w:t>1,913</w:t>
            </w:r>
          </w:p>
        </w:tc>
        <w:tc>
          <w:tcPr>
            <w:tcW w:w="800" w:type="dxa"/>
            <w:vAlign w:val="bottom"/>
          </w:tcPr>
          <w:p>
            <w:pPr>
              <w:jc w:val="right"/>
              <w:ind w:right="505"/>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129</w:t>
            </w:r>
          </w:p>
        </w:tc>
      </w:tr>
      <w:tr>
        <w:trPr>
          <w:trHeight w:val="213"/>
        </w:trPr>
        <w:tc>
          <w:tcPr>
            <w:tcW w:w="3740" w:type="dxa"/>
            <w:vAlign w:val="bottom"/>
          </w:tcPr>
          <w:p>
            <w:pPr>
              <w:ind w:left="480"/>
              <w:spacing w:after="0"/>
              <w:rPr>
                <w:sz w:val="20"/>
                <w:szCs w:val="20"/>
                <w:color w:val="auto"/>
              </w:rPr>
            </w:pPr>
            <w:r>
              <w:rPr>
                <w:rFonts w:ascii="Arial" w:cs="Arial" w:eastAsia="Arial" w:hAnsi="Arial"/>
                <w:sz w:val="16"/>
                <w:szCs w:val="16"/>
                <w:color w:val="auto"/>
              </w:rPr>
              <w:t>California Utilities variable-rate</w:t>
            </w:r>
          </w:p>
        </w:tc>
        <w:tc>
          <w:tcPr>
            <w:tcW w:w="400" w:type="dxa"/>
            <w:vAlign w:val="bottom"/>
          </w:tcPr>
          <w:p>
            <w:pPr>
              <w:spacing w:after="0"/>
              <w:rPr>
                <w:sz w:val="18"/>
                <w:szCs w:val="18"/>
                <w:color w:val="auto"/>
              </w:rPr>
            </w:pPr>
          </w:p>
        </w:tc>
        <w:tc>
          <w:tcPr>
            <w:tcW w:w="920" w:type="dxa"/>
            <w:vAlign w:val="bottom"/>
          </w:tcPr>
          <w:p>
            <w:pPr>
              <w:jc w:val="right"/>
              <w:ind w:right="63"/>
              <w:spacing w:after="0"/>
              <w:rPr>
                <w:sz w:val="20"/>
                <w:szCs w:val="20"/>
                <w:color w:val="auto"/>
              </w:rPr>
            </w:pPr>
            <w:r>
              <w:rPr>
                <w:rFonts w:ascii="Arial" w:cs="Arial" w:eastAsia="Arial" w:hAnsi="Arial"/>
                <w:sz w:val="16"/>
                <w:szCs w:val="16"/>
                <w:color w:val="auto"/>
              </w:rPr>
              <w:t>327</w:t>
            </w:r>
          </w:p>
        </w:tc>
        <w:tc>
          <w:tcPr>
            <w:tcW w:w="760" w:type="dxa"/>
            <w:vAlign w:val="bottom"/>
          </w:tcPr>
          <w:p>
            <w:pPr>
              <w:spacing w:after="0"/>
              <w:rPr>
                <w:sz w:val="18"/>
                <w:szCs w:val="18"/>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6"/>
                <w:szCs w:val="16"/>
                <w:color w:val="auto"/>
              </w:rPr>
              <w:t>11</w:t>
            </w:r>
          </w:p>
        </w:tc>
        <w:tc>
          <w:tcPr>
            <w:tcW w:w="400" w:type="dxa"/>
            <w:vAlign w:val="bottom"/>
          </w:tcPr>
          <w:p>
            <w:pPr>
              <w:spacing w:after="0"/>
              <w:rPr>
                <w:sz w:val="18"/>
                <w:szCs w:val="18"/>
                <w:color w:val="auto"/>
              </w:rPr>
            </w:pPr>
          </w:p>
        </w:tc>
        <w:tc>
          <w:tcPr>
            <w:tcW w:w="1060" w:type="dxa"/>
            <w:vAlign w:val="bottom"/>
          </w:tcPr>
          <w:p>
            <w:pPr>
              <w:jc w:val="right"/>
              <w:ind w:right="182"/>
              <w:spacing w:after="0"/>
              <w:rPr>
                <w:sz w:val="20"/>
                <w:szCs w:val="20"/>
                <w:color w:val="auto"/>
              </w:rPr>
            </w:pPr>
            <w:r>
              <w:rPr>
                <w:rFonts w:ascii="Arial" w:cs="Arial" w:eastAsia="Arial" w:hAnsi="Arial"/>
                <w:sz w:val="16"/>
                <w:szCs w:val="16"/>
                <w:color w:val="auto"/>
              </w:rPr>
              <w:t>327</w:t>
            </w:r>
          </w:p>
        </w:tc>
        <w:tc>
          <w:tcPr>
            <w:tcW w:w="64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rPr>
              <w:t>11</w:t>
            </w:r>
          </w:p>
        </w:tc>
        <w:tc>
          <w:tcPr>
            <w:tcW w:w="400" w:type="dxa"/>
            <w:vAlign w:val="bottom"/>
          </w:tcPr>
          <w:p>
            <w:pPr>
              <w:spacing w:after="0"/>
              <w:rPr>
                <w:sz w:val="18"/>
                <w:szCs w:val="18"/>
                <w:color w:val="auto"/>
              </w:rPr>
            </w:pPr>
          </w:p>
        </w:tc>
        <w:tc>
          <w:tcPr>
            <w:tcW w:w="940" w:type="dxa"/>
            <w:vAlign w:val="bottom"/>
          </w:tcPr>
          <w:p>
            <w:pPr>
              <w:jc w:val="center"/>
              <w:ind w:left="182"/>
              <w:spacing w:after="0"/>
              <w:rPr>
                <w:sz w:val="20"/>
                <w:szCs w:val="20"/>
                <w:color w:val="auto"/>
              </w:rPr>
            </w:pPr>
            <w:r>
              <w:rPr>
                <w:rFonts w:ascii="Arial" w:cs="Arial" w:eastAsia="Arial" w:hAnsi="Arial"/>
                <w:sz w:val="16"/>
                <w:szCs w:val="16"/>
                <w:color w:val="auto"/>
                <w:w w:val="99"/>
              </w:rPr>
              <w:t>―</w:t>
            </w:r>
          </w:p>
        </w:tc>
        <w:tc>
          <w:tcPr>
            <w:tcW w:w="8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740" w:type="dxa"/>
            <w:vAlign w:val="bottom"/>
          </w:tcPr>
          <w:p>
            <w:pPr>
              <w:ind w:left="480"/>
              <w:spacing w:after="0"/>
              <w:rPr>
                <w:sz w:val="20"/>
                <w:szCs w:val="20"/>
                <w:color w:val="auto"/>
              </w:rPr>
            </w:pPr>
            <w:r>
              <w:rPr>
                <w:rFonts w:ascii="Arial" w:cs="Arial" w:eastAsia="Arial" w:hAnsi="Arial"/>
                <w:sz w:val="16"/>
                <w:szCs w:val="16"/>
                <w:color w:val="auto"/>
              </w:rPr>
              <w:t>All other, fixed-rate and variable-rate</w:t>
            </w:r>
          </w:p>
        </w:tc>
        <w:tc>
          <w:tcPr>
            <w:tcW w:w="400" w:type="dxa"/>
            <w:vAlign w:val="bottom"/>
          </w:tcPr>
          <w:p>
            <w:pPr>
              <w:spacing w:after="0"/>
              <w:rPr>
                <w:sz w:val="18"/>
                <w:szCs w:val="18"/>
                <w:color w:val="auto"/>
              </w:rPr>
            </w:pPr>
          </w:p>
        </w:tc>
        <w:tc>
          <w:tcPr>
            <w:tcW w:w="920" w:type="dxa"/>
            <w:vAlign w:val="bottom"/>
          </w:tcPr>
          <w:p>
            <w:pPr>
              <w:jc w:val="right"/>
              <w:ind w:right="63"/>
              <w:spacing w:after="0"/>
              <w:rPr>
                <w:sz w:val="20"/>
                <w:szCs w:val="20"/>
                <w:color w:val="auto"/>
              </w:rPr>
            </w:pPr>
            <w:r>
              <w:rPr>
                <w:rFonts w:ascii="Arial" w:cs="Arial" w:eastAsia="Arial" w:hAnsi="Arial"/>
                <w:sz w:val="16"/>
                <w:szCs w:val="16"/>
                <w:color w:val="auto"/>
              </w:rPr>
              <w:t>5,967</w:t>
            </w:r>
          </w:p>
        </w:tc>
        <w:tc>
          <w:tcPr>
            <w:tcW w:w="760" w:type="dxa"/>
            <w:vAlign w:val="bottom"/>
          </w:tcPr>
          <w:p>
            <w:pPr>
              <w:spacing w:after="0"/>
              <w:rPr>
                <w:sz w:val="18"/>
                <w:szCs w:val="18"/>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6"/>
                <w:szCs w:val="16"/>
                <w:color w:val="auto"/>
                <w:w w:val="97"/>
              </w:rPr>
              <w:t>238</w:t>
            </w:r>
          </w:p>
        </w:tc>
        <w:tc>
          <w:tcPr>
            <w:tcW w:w="400" w:type="dxa"/>
            <w:vAlign w:val="bottom"/>
          </w:tcPr>
          <w:p>
            <w:pPr>
              <w:spacing w:after="0"/>
              <w:rPr>
                <w:sz w:val="18"/>
                <w:szCs w:val="18"/>
                <w:color w:val="auto"/>
              </w:rPr>
            </w:pPr>
          </w:p>
        </w:tc>
        <w:tc>
          <w:tcPr>
            <w:tcW w:w="1060" w:type="dxa"/>
            <w:vAlign w:val="bottom"/>
          </w:tcPr>
          <w:p>
            <w:pPr>
              <w:jc w:val="right"/>
              <w:ind w:right="322"/>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40" w:type="dxa"/>
            <w:vAlign w:val="bottom"/>
          </w:tcPr>
          <w:p>
            <w:pPr>
              <w:jc w:val="center"/>
              <w:ind w:left="182"/>
              <w:spacing w:after="0"/>
              <w:rPr>
                <w:sz w:val="20"/>
                <w:szCs w:val="20"/>
                <w:color w:val="auto"/>
              </w:rPr>
            </w:pPr>
            <w:r>
              <w:rPr>
                <w:rFonts w:ascii="Arial" w:cs="Arial" w:eastAsia="Arial" w:hAnsi="Arial"/>
                <w:sz w:val="16"/>
                <w:szCs w:val="16"/>
                <w:color w:val="auto"/>
                <w:w w:val="99"/>
              </w:rPr>
              <w:t>―</w:t>
            </w:r>
          </w:p>
        </w:tc>
        <w:tc>
          <w:tcPr>
            <w:tcW w:w="800" w:type="dxa"/>
            <w:vAlign w:val="bottom"/>
          </w:tcPr>
          <w:p>
            <w:pPr>
              <w:spacing w:after="0"/>
              <w:rPr>
                <w:sz w:val="18"/>
                <w:szCs w:val="18"/>
                <w:color w:val="auto"/>
              </w:rPr>
            </w:pPr>
          </w:p>
        </w:tc>
        <w:tc>
          <w:tcPr>
            <w:tcW w:w="300" w:type="dxa"/>
            <w:vAlign w:val="bottom"/>
          </w:tcPr>
          <w:p>
            <w:pPr>
              <w:jc w:val="right"/>
              <w:ind w:right="60"/>
              <w:spacing w:after="0"/>
              <w:rPr>
                <w:sz w:val="20"/>
                <w:szCs w:val="20"/>
                <w:color w:val="auto"/>
              </w:rPr>
            </w:pPr>
            <w:r>
              <w:rPr>
                <w:rFonts w:ascii="Arial" w:cs="Arial" w:eastAsia="Arial" w:hAnsi="Arial"/>
                <w:sz w:val="16"/>
                <w:szCs w:val="16"/>
                <w:color w:val="auto"/>
                <w:w w:val="87"/>
              </w:rPr>
              <w:t>―</w:t>
            </w:r>
          </w:p>
        </w:tc>
      </w:tr>
      <w:tr>
        <w:trPr>
          <w:trHeight w:val="213"/>
        </w:trPr>
        <w:tc>
          <w:tcPr>
            <w:tcW w:w="3740" w:type="dxa"/>
            <w:vAlign w:val="bottom"/>
          </w:tcPr>
          <w:p>
            <w:pPr>
              <w:spacing w:after="0"/>
              <w:rPr>
                <w:sz w:val="20"/>
                <w:szCs w:val="20"/>
                <w:color w:val="auto"/>
              </w:rPr>
            </w:pPr>
            <w:r>
              <w:rPr>
                <w:rFonts w:ascii="Arial" w:cs="Arial" w:eastAsia="Arial" w:hAnsi="Arial"/>
                <w:sz w:val="16"/>
                <w:szCs w:val="16"/>
                <w:color w:val="auto"/>
              </w:rPr>
              <w:t>At December 31, 2013:</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3"/>
        </w:trPr>
        <w:tc>
          <w:tcPr>
            <w:tcW w:w="3740" w:type="dxa"/>
            <w:vAlign w:val="bottom"/>
          </w:tcPr>
          <w:p>
            <w:pPr>
              <w:ind w:left="480"/>
              <w:spacing w:after="0"/>
              <w:rPr>
                <w:sz w:val="20"/>
                <w:szCs w:val="20"/>
                <w:color w:val="auto"/>
              </w:rPr>
            </w:pPr>
            <w:r>
              <w:rPr>
                <w:rFonts w:ascii="Arial" w:cs="Arial" w:eastAsia="Arial" w:hAnsi="Arial"/>
                <w:sz w:val="16"/>
                <w:szCs w:val="16"/>
                <w:color w:val="auto"/>
              </w:rPr>
              <w:t>California Utilities fixed-rate</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63"/>
              <w:spacing w:after="0"/>
              <w:rPr>
                <w:sz w:val="20"/>
                <w:szCs w:val="20"/>
                <w:color w:val="auto"/>
              </w:rPr>
            </w:pPr>
            <w:r>
              <w:rPr>
                <w:rFonts w:ascii="Arial" w:cs="Arial" w:eastAsia="Arial" w:hAnsi="Arial"/>
                <w:sz w:val="16"/>
                <w:szCs w:val="16"/>
                <w:color w:val="auto"/>
              </w:rPr>
              <w:t>5,464</w:t>
            </w:r>
          </w:p>
        </w:tc>
        <w:tc>
          <w:tcPr>
            <w:tcW w:w="760" w:type="dxa"/>
            <w:vAlign w:val="bottom"/>
          </w:tcPr>
          <w:p>
            <w:pPr>
              <w:jc w:val="right"/>
              <w:ind w:right="485"/>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240"/>
              <w:spacing w:after="0"/>
              <w:rPr>
                <w:sz w:val="20"/>
                <w:szCs w:val="20"/>
                <w:color w:val="auto"/>
              </w:rPr>
            </w:pPr>
            <w:r>
              <w:rPr>
                <w:rFonts w:ascii="Arial" w:cs="Arial" w:eastAsia="Arial" w:hAnsi="Arial"/>
                <w:sz w:val="16"/>
                <w:szCs w:val="16"/>
                <w:color w:val="auto"/>
                <w:w w:val="97"/>
              </w:rPr>
              <w:t>531</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82"/>
              <w:spacing w:after="0"/>
              <w:rPr>
                <w:sz w:val="20"/>
                <w:szCs w:val="20"/>
                <w:color w:val="auto"/>
              </w:rPr>
            </w:pPr>
            <w:r>
              <w:rPr>
                <w:rFonts w:ascii="Arial" w:cs="Arial" w:eastAsia="Arial" w:hAnsi="Arial"/>
                <w:sz w:val="16"/>
                <w:szCs w:val="16"/>
                <w:color w:val="auto"/>
              </w:rPr>
              <w:t>4,051</w:t>
            </w:r>
          </w:p>
        </w:tc>
        <w:tc>
          <w:tcPr>
            <w:tcW w:w="640" w:type="dxa"/>
            <w:vAlign w:val="bottom"/>
          </w:tcPr>
          <w:p>
            <w:pPr>
              <w:jc w:val="right"/>
              <w:ind w:right="488"/>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rPr>
              <w:t>407</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center"/>
              <w:ind w:left="182"/>
              <w:spacing w:after="0"/>
              <w:rPr>
                <w:sz w:val="20"/>
                <w:szCs w:val="20"/>
                <w:color w:val="auto"/>
              </w:rPr>
            </w:pPr>
            <w:r>
              <w:rPr>
                <w:rFonts w:ascii="Arial" w:cs="Arial" w:eastAsia="Arial" w:hAnsi="Arial"/>
                <w:sz w:val="16"/>
                <w:szCs w:val="16"/>
                <w:color w:val="auto"/>
                <w:w w:val="99"/>
              </w:rPr>
              <w:t>1,413</w:t>
            </w:r>
          </w:p>
        </w:tc>
        <w:tc>
          <w:tcPr>
            <w:tcW w:w="800" w:type="dxa"/>
            <w:vAlign w:val="bottom"/>
          </w:tcPr>
          <w:p>
            <w:pPr>
              <w:jc w:val="right"/>
              <w:ind w:right="505"/>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124</w:t>
            </w:r>
          </w:p>
        </w:tc>
      </w:tr>
      <w:tr>
        <w:trPr>
          <w:trHeight w:val="213"/>
        </w:trPr>
        <w:tc>
          <w:tcPr>
            <w:tcW w:w="3740" w:type="dxa"/>
            <w:vAlign w:val="bottom"/>
          </w:tcPr>
          <w:p>
            <w:pPr>
              <w:ind w:left="480"/>
              <w:spacing w:after="0"/>
              <w:rPr>
                <w:sz w:val="20"/>
                <w:szCs w:val="20"/>
                <w:color w:val="auto"/>
              </w:rPr>
            </w:pPr>
            <w:r>
              <w:rPr>
                <w:rFonts w:ascii="Arial" w:cs="Arial" w:eastAsia="Arial" w:hAnsi="Arial"/>
                <w:sz w:val="16"/>
                <w:szCs w:val="16"/>
                <w:color w:val="auto"/>
              </w:rPr>
              <w:t>California Utilities variable-rate</w:t>
            </w:r>
          </w:p>
        </w:tc>
        <w:tc>
          <w:tcPr>
            <w:tcW w:w="400" w:type="dxa"/>
            <w:vAlign w:val="bottom"/>
          </w:tcPr>
          <w:p>
            <w:pPr>
              <w:spacing w:after="0"/>
              <w:rPr>
                <w:sz w:val="18"/>
                <w:szCs w:val="18"/>
                <w:color w:val="auto"/>
              </w:rPr>
            </w:pPr>
          </w:p>
        </w:tc>
        <w:tc>
          <w:tcPr>
            <w:tcW w:w="920" w:type="dxa"/>
            <w:vAlign w:val="bottom"/>
          </w:tcPr>
          <w:p>
            <w:pPr>
              <w:jc w:val="right"/>
              <w:ind w:right="63"/>
              <w:spacing w:after="0"/>
              <w:rPr>
                <w:sz w:val="20"/>
                <w:szCs w:val="20"/>
                <w:color w:val="auto"/>
              </w:rPr>
            </w:pPr>
            <w:r>
              <w:rPr>
                <w:rFonts w:ascii="Arial" w:cs="Arial" w:eastAsia="Arial" w:hAnsi="Arial"/>
                <w:sz w:val="16"/>
                <w:szCs w:val="16"/>
                <w:color w:val="auto"/>
              </w:rPr>
              <w:t>335</w:t>
            </w:r>
          </w:p>
        </w:tc>
        <w:tc>
          <w:tcPr>
            <w:tcW w:w="760" w:type="dxa"/>
            <w:vAlign w:val="bottom"/>
          </w:tcPr>
          <w:p>
            <w:pPr>
              <w:spacing w:after="0"/>
              <w:rPr>
                <w:sz w:val="18"/>
                <w:szCs w:val="18"/>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6"/>
                <w:szCs w:val="16"/>
                <w:color w:val="auto"/>
              </w:rPr>
              <w:t>15</w:t>
            </w:r>
          </w:p>
        </w:tc>
        <w:tc>
          <w:tcPr>
            <w:tcW w:w="400" w:type="dxa"/>
            <w:vAlign w:val="bottom"/>
          </w:tcPr>
          <w:p>
            <w:pPr>
              <w:spacing w:after="0"/>
              <w:rPr>
                <w:sz w:val="18"/>
                <w:szCs w:val="18"/>
                <w:color w:val="auto"/>
              </w:rPr>
            </w:pPr>
          </w:p>
        </w:tc>
        <w:tc>
          <w:tcPr>
            <w:tcW w:w="1060" w:type="dxa"/>
            <w:vAlign w:val="bottom"/>
          </w:tcPr>
          <w:p>
            <w:pPr>
              <w:jc w:val="right"/>
              <w:ind w:right="182"/>
              <w:spacing w:after="0"/>
              <w:rPr>
                <w:sz w:val="20"/>
                <w:szCs w:val="20"/>
                <w:color w:val="auto"/>
              </w:rPr>
            </w:pPr>
            <w:r>
              <w:rPr>
                <w:rFonts w:ascii="Arial" w:cs="Arial" w:eastAsia="Arial" w:hAnsi="Arial"/>
                <w:sz w:val="16"/>
                <w:szCs w:val="16"/>
                <w:color w:val="auto"/>
              </w:rPr>
              <w:t>335</w:t>
            </w:r>
          </w:p>
        </w:tc>
        <w:tc>
          <w:tcPr>
            <w:tcW w:w="64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rPr>
              <w:t>15</w:t>
            </w:r>
          </w:p>
        </w:tc>
        <w:tc>
          <w:tcPr>
            <w:tcW w:w="400" w:type="dxa"/>
            <w:vAlign w:val="bottom"/>
          </w:tcPr>
          <w:p>
            <w:pPr>
              <w:spacing w:after="0"/>
              <w:rPr>
                <w:sz w:val="18"/>
                <w:szCs w:val="18"/>
                <w:color w:val="auto"/>
              </w:rPr>
            </w:pPr>
          </w:p>
        </w:tc>
        <w:tc>
          <w:tcPr>
            <w:tcW w:w="940" w:type="dxa"/>
            <w:vAlign w:val="bottom"/>
          </w:tcPr>
          <w:p>
            <w:pPr>
              <w:jc w:val="center"/>
              <w:ind w:left="182"/>
              <w:spacing w:after="0"/>
              <w:rPr>
                <w:sz w:val="20"/>
                <w:szCs w:val="20"/>
                <w:color w:val="auto"/>
              </w:rPr>
            </w:pPr>
            <w:r>
              <w:rPr>
                <w:rFonts w:ascii="Arial" w:cs="Arial" w:eastAsia="Arial" w:hAnsi="Arial"/>
                <w:sz w:val="16"/>
                <w:szCs w:val="16"/>
                <w:color w:val="auto"/>
                <w:w w:val="99"/>
              </w:rPr>
              <w:t>―</w:t>
            </w:r>
          </w:p>
        </w:tc>
        <w:tc>
          <w:tcPr>
            <w:tcW w:w="800" w:type="dxa"/>
            <w:vAlign w:val="bottom"/>
          </w:tcPr>
          <w:p>
            <w:pPr>
              <w:spacing w:after="0"/>
              <w:rPr>
                <w:sz w:val="18"/>
                <w:szCs w:val="18"/>
                <w:color w:val="auto"/>
              </w:rPr>
            </w:pPr>
          </w:p>
        </w:tc>
        <w:tc>
          <w:tcPr>
            <w:tcW w:w="300" w:type="dxa"/>
            <w:vAlign w:val="bottom"/>
          </w:tcPr>
          <w:p>
            <w:pPr>
              <w:jc w:val="right"/>
              <w:ind w:right="60"/>
              <w:spacing w:after="0"/>
              <w:rPr>
                <w:sz w:val="20"/>
                <w:szCs w:val="20"/>
                <w:color w:val="auto"/>
              </w:rPr>
            </w:pPr>
            <w:r>
              <w:rPr>
                <w:rFonts w:ascii="Arial" w:cs="Arial" w:eastAsia="Arial" w:hAnsi="Arial"/>
                <w:sz w:val="16"/>
                <w:szCs w:val="16"/>
                <w:color w:val="auto"/>
                <w:w w:val="87"/>
              </w:rPr>
              <w:t>―</w:t>
            </w:r>
          </w:p>
        </w:tc>
      </w:tr>
      <w:tr>
        <w:trPr>
          <w:trHeight w:val="213"/>
        </w:trPr>
        <w:tc>
          <w:tcPr>
            <w:tcW w:w="3740" w:type="dxa"/>
            <w:vAlign w:val="bottom"/>
          </w:tcPr>
          <w:p>
            <w:pPr>
              <w:ind w:left="480"/>
              <w:spacing w:after="0"/>
              <w:rPr>
                <w:sz w:val="20"/>
                <w:szCs w:val="20"/>
                <w:color w:val="auto"/>
              </w:rPr>
            </w:pPr>
            <w:r>
              <w:rPr>
                <w:rFonts w:ascii="Arial" w:cs="Arial" w:eastAsia="Arial" w:hAnsi="Arial"/>
                <w:sz w:val="16"/>
                <w:szCs w:val="16"/>
                <w:color w:val="auto"/>
              </w:rPr>
              <w:t>All other, fixed-rate and variable-rate</w:t>
            </w:r>
          </w:p>
        </w:tc>
        <w:tc>
          <w:tcPr>
            <w:tcW w:w="400" w:type="dxa"/>
            <w:vAlign w:val="bottom"/>
          </w:tcPr>
          <w:p>
            <w:pPr>
              <w:spacing w:after="0"/>
              <w:rPr>
                <w:sz w:val="18"/>
                <w:szCs w:val="18"/>
                <w:color w:val="auto"/>
              </w:rPr>
            </w:pPr>
          </w:p>
        </w:tc>
        <w:tc>
          <w:tcPr>
            <w:tcW w:w="920" w:type="dxa"/>
            <w:vAlign w:val="bottom"/>
          </w:tcPr>
          <w:p>
            <w:pPr>
              <w:jc w:val="right"/>
              <w:ind w:right="63"/>
              <w:spacing w:after="0"/>
              <w:rPr>
                <w:sz w:val="20"/>
                <w:szCs w:val="20"/>
                <w:color w:val="auto"/>
              </w:rPr>
            </w:pPr>
            <w:r>
              <w:rPr>
                <w:rFonts w:ascii="Arial" w:cs="Arial" w:eastAsia="Arial" w:hAnsi="Arial"/>
                <w:sz w:val="16"/>
                <w:szCs w:val="16"/>
                <w:color w:val="auto"/>
              </w:rPr>
              <w:t>6,211</w:t>
            </w:r>
          </w:p>
        </w:tc>
        <w:tc>
          <w:tcPr>
            <w:tcW w:w="760" w:type="dxa"/>
            <w:vAlign w:val="bottom"/>
          </w:tcPr>
          <w:p>
            <w:pPr>
              <w:spacing w:after="0"/>
              <w:rPr>
                <w:sz w:val="18"/>
                <w:szCs w:val="18"/>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6"/>
                <w:szCs w:val="16"/>
                <w:color w:val="auto"/>
                <w:w w:val="97"/>
              </w:rPr>
              <w:t>308</w:t>
            </w:r>
          </w:p>
        </w:tc>
        <w:tc>
          <w:tcPr>
            <w:tcW w:w="400" w:type="dxa"/>
            <w:vAlign w:val="bottom"/>
          </w:tcPr>
          <w:p>
            <w:pPr>
              <w:spacing w:after="0"/>
              <w:rPr>
                <w:sz w:val="18"/>
                <w:szCs w:val="18"/>
                <w:color w:val="auto"/>
              </w:rPr>
            </w:pPr>
          </w:p>
        </w:tc>
        <w:tc>
          <w:tcPr>
            <w:tcW w:w="1060" w:type="dxa"/>
            <w:vAlign w:val="bottom"/>
          </w:tcPr>
          <w:p>
            <w:pPr>
              <w:jc w:val="right"/>
              <w:ind w:right="322"/>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40" w:type="dxa"/>
            <w:vAlign w:val="bottom"/>
          </w:tcPr>
          <w:p>
            <w:pPr>
              <w:jc w:val="center"/>
              <w:ind w:left="182"/>
              <w:spacing w:after="0"/>
              <w:rPr>
                <w:sz w:val="20"/>
                <w:szCs w:val="20"/>
                <w:color w:val="auto"/>
              </w:rPr>
            </w:pPr>
            <w:r>
              <w:rPr>
                <w:rFonts w:ascii="Arial" w:cs="Arial" w:eastAsia="Arial" w:hAnsi="Arial"/>
                <w:sz w:val="16"/>
                <w:szCs w:val="16"/>
                <w:color w:val="auto"/>
                <w:w w:val="99"/>
              </w:rPr>
              <w:t>―</w:t>
            </w:r>
          </w:p>
        </w:tc>
        <w:tc>
          <w:tcPr>
            <w:tcW w:w="800" w:type="dxa"/>
            <w:vAlign w:val="bottom"/>
          </w:tcPr>
          <w:p>
            <w:pPr>
              <w:spacing w:after="0"/>
              <w:rPr>
                <w:sz w:val="18"/>
                <w:szCs w:val="18"/>
                <w:color w:val="auto"/>
              </w:rPr>
            </w:pPr>
          </w:p>
        </w:tc>
        <w:tc>
          <w:tcPr>
            <w:tcW w:w="300" w:type="dxa"/>
            <w:vAlign w:val="bottom"/>
          </w:tcPr>
          <w:p>
            <w:pPr>
              <w:jc w:val="right"/>
              <w:ind w:right="60"/>
              <w:spacing w:after="0"/>
              <w:rPr>
                <w:sz w:val="20"/>
                <w:szCs w:val="20"/>
                <w:color w:val="auto"/>
              </w:rPr>
            </w:pPr>
            <w:r>
              <w:rPr>
                <w:rFonts w:ascii="Arial" w:cs="Arial" w:eastAsia="Arial" w:hAnsi="Arial"/>
                <w:sz w:val="16"/>
                <w:szCs w:val="16"/>
                <w:color w:val="auto"/>
                <w:w w:val="8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724852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8525" cy="17145"/>
                    </a:xfrm>
                    <a:prstGeom prst="rect">
                      <a:avLst/>
                    </a:prstGeom>
                    <a:noFill/>
                  </pic:spPr>
                </pic:pic>
              </a:graphicData>
            </a:graphic>
          </wp:anchor>
        </w:drawing>
      </w:r>
    </w:p>
    <w:p>
      <w:pPr>
        <w:ind w:left="480" w:right="1200" w:hanging="474"/>
        <w:spacing w:after="0" w:line="248" w:lineRule="auto"/>
        <w:tabs>
          <w:tab w:leader="none" w:pos="480" w:val="left"/>
        </w:tabs>
        <w:numPr>
          <w:ilvl w:val="0"/>
          <w:numId w:val="150"/>
        </w:numPr>
        <w:rPr>
          <w:rFonts w:ascii="Arial" w:cs="Arial" w:eastAsia="Arial" w:hAnsi="Arial"/>
          <w:sz w:val="14"/>
          <w:szCs w:val="14"/>
          <w:i w:val="1"/>
          <w:iCs w:val="1"/>
          <w:color w:val="auto"/>
        </w:rPr>
      </w:pPr>
      <w:r>
        <w:rPr>
          <w:rFonts w:ascii="Arial" w:cs="Arial" w:eastAsia="Arial" w:hAnsi="Arial"/>
          <w:sz w:val="14"/>
          <w:szCs w:val="14"/>
          <w:i w:val="1"/>
          <w:iCs w:val="1"/>
          <w:color w:val="auto"/>
        </w:rPr>
        <w:t>Excluding commercial paper classified as long-term debt, capital lease obligations and interest rate swaps, and before reductions/increases for unamortized discount/premium.</w:t>
      </w:r>
    </w:p>
    <w:p>
      <w:pPr>
        <w:ind w:left="480" w:hanging="474"/>
        <w:spacing w:after="0"/>
        <w:tabs>
          <w:tab w:leader="none" w:pos="480" w:val="left"/>
        </w:tabs>
        <w:numPr>
          <w:ilvl w:val="0"/>
          <w:numId w:val="150"/>
        </w:numPr>
        <w:rPr>
          <w:rFonts w:ascii="Arial" w:cs="Arial" w:eastAsia="Arial" w:hAnsi="Arial"/>
          <w:sz w:val="14"/>
          <w:szCs w:val="14"/>
          <w:i w:val="1"/>
          <w:iCs w:val="1"/>
          <w:color w:val="auto"/>
        </w:rPr>
      </w:pPr>
      <w:r>
        <w:rPr>
          <w:rFonts w:ascii="Arial" w:cs="Arial" w:eastAsia="Arial" w:hAnsi="Arial"/>
          <w:sz w:val="14"/>
          <w:szCs w:val="14"/>
          <w:i w:val="1"/>
          <w:iCs w:val="1"/>
          <w:color w:val="auto"/>
        </w:rPr>
        <w:t>After the effects of interest rate swaps.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We provide additional information about interest rate swap transactions in Note 7 of the Notes to Condensed Consolidated Financial Statements herein.</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RATE RISK</w:t>
      </w:r>
    </w:p>
    <w:p>
      <w:pPr>
        <w:sectPr>
          <w:pgSz w:w="11900" w:h="16838" w:orient="portrait"/>
          <w:cols w:equalWidth="0" w:num="1">
            <w:col w:w="11420"/>
          </w:cols>
          <w:pgMar w:left="240" w:top="340" w:right="239" w:bottom="109" w:gutter="0" w:footer="0" w:header="0"/>
        </w:sectPr>
      </w:pPr>
    </w:p>
    <w:bookmarkStart w:id="87" w:name="page88"/>
    <w:bookmarkEnd w:id="87"/>
    <w:p>
      <w:pPr>
        <w:ind w:right="20"/>
        <w:spacing w:after="0" w:line="238" w:lineRule="auto"/>
        <w:rPr>
          <w:sz w:val="20"/>
          <w:szCs w:val="20"/>
          <w:color w:val="auto"/>
        </w:rPr>
      </w:pPr>
      <w:r>
        <w:rPr>
          <w:rFonts w:ascii="Arial" w:cs="Arial" w:eastAsia="Arial" w:hAnsi="Arial"/>
          <w:sz w:val="18"/>
          <w:szCs w:val="18"/>
          <w:color w:val="auto"/>
        </w:rPr>
        <w:t>We discuss our foreign currency exposure at our Mexican subsidiaries in “Management’s Discussion and Analysis of Financial Condition and Results of Operations – Changes in Revenues, Costs and Earnings – Income Taxes – Mexican Currency Exchange Rate and Inflation Impact on Income Taxes and Related Economic Hedging Activity” herein. At September 30, 2014, there were no significant changes to our exposure to foreign currency rate risk since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465455</wp:posOffset>
            </wp:positionV>
            <wp:extent cx="726567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5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ITEM 4. CONTROLS AND PROCEDURES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Sempra Energy, SDG&amp;E and SoCalGas have designed and maintain disclosure controls and procedures to ensure that information required to be disclosed in their respective reports is recorded, processed, summarized and reported within the time periods specified in the rules and forms of the Securities and Exchange Commission and is accumulated and communicated to the management of each company, including each respective Chief Executive Officer and Chief Financial Officer, to allow timely decisions regarding required disclosure. In designing and evaluating these controls and procedures, the management of each company recognizes that any system of controls and procedures, no matter how well designed and operated, can provide only reasonable assurance of achieving the desired control objectives; therefore, the management of each company applies judgment in evaluating the cost-benefit relationship of other possible controls and procedures.</w:t>
      </w:r>
    </w:p>
    <w:p>
      <w:pPr>
        <w:spacing w:after="0" w:line="198" w:lineRule="exact"/>
        <w:rPr>
          <w:sz w:val="20"/>
          <w:szCs w:val="20"/>
          <w:color w:val="auto"/>
        </w:rPr>
      </w:pPr>
    </w:p>
    <w:p>
      <w:pPr>
        <w:ind w:right="340"/>
        <w:spacing w:after="0" w:line="348" w:lineRule="auto"/>
        <w:rPr>
          <w:sz w:val="20"/>
          <w:szCs w:val="20"/>
          <w:color w:val="auto"/>
        </w:rPr>
      </w:pPr>
      <w:r>
        <w:rPr>
          <w:rFonts w:ascii="Arial" w:cs="Arial" w:eastAsia="Arial" w:hAnsi="Arial"/>
          <w:sz w:val="14"/>
          <w:szCs w:val="14"/>
          <w:color w:val="auto"/>
        </w:rPr>
        <w:t>Under the supervision and with the participation of management, including the Chief Executive Officers and Chief Financial Officers of Sempra Energy, SDG&amp;E and SoCalGas, each company evaluated the effectiveness of the design and operation of its disclosure controls and procedures as of September 30, 2014, the end of the period covered by this report. Based on these evaluations, the Chief Executive Officers and Chief Financial Officers of Sempra Energy, SDG&amp;E and SoCalGas concluded that their respective company’s disclosure controls and procedures were effective at the reasonable assurance level.</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29"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color w:val="auto"/>
        </w:rPr>
        <w:t>There have been no changes in the companies’ internal control over financial reporting during the most recent fiscal quarter that have materially affected, or are reasonably likely to materially affect, the companies’ internal control over financial reporting.</w:t>
      </w:r>
    </w:p>
    <w:p>
      <w:pPr>
        <w:spacing w:after="0" w:line="17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On May 14, 2013, the Committee of Sponsoring Organizations of the Treadway Commission (COSO) issued an updated version of its Internal Control – Integrated Framework (2013 Framework). Originally issued in 1992 (1992 Framework), the framework helps organizations design, implement and evaluate the effectiveness of internal control concepts and simplify their use and application. The 1992 Framework remains available during the transition period, which extends to December 15, 2014, after which time COSO will consider it as superseded by the 2013 Framework. As of September 30, 2014, Sempra Energy, SDG&amp;E and SoCalGas continue to utilize the 1992 Framework during the transition to the 2013 Framework by the end of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3"/>
          <w:szCs w:val="23"/>
          <w:color w:val="auto"/>
        </w:rPr>
        <w:t>PART II –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504190</wp:posOffset>
            </wp:positionV>
            <wp:extent cx="726567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5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9"/>
          <w:szCs w:val="19"/>
          <w:color w:val="auto"/>
        </w:rPr>
        <w:t>ITEM 1. LEGAL PROCEEDINGS</w:t>
      </w:r>
    </w:p>
    <w:p>
      <w:pPr>
        <w:spacing w:after="0" w:line="198"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are not party to, and our property is not the subject of, any material pending legal proceedings (other than ordinary routine litigation incidental to our businesses) except for the matters 1) described in Notes 9, 10 and 11 of the Notes to Condensed Consolidated Financial Statements herein and Notes 13, 14 and 15 of the Notes to Consolidated Financial Statements in the Annual Report, or 2) referred to in “Management's Discussion and Analysis of Financial Condition and Results of Operations” herein and in the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466090</wp:posOffset>
            </wp:positionV>
            <wp:extent cx="726567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5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9"/>
          <w:szCs w:val="19"/>
          <w:color w:val="auto"/>
        </w:rPr>
        <w:t>ITEM 1A. RISK FACTORS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There have not been any material changes from the risk factors previously disclosed in our Annual Report on Form 10-K for the year ended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498475</wp:posOffset>
            </wp:positionV>
            <wp:extent cx="726567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5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9"/>
          <w:szCs w:val="19"/>
          <w:color w:val="auto"/>
        </w:rPr>
        <w:t>ITEM 6. EXHIBITS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relate to each registrant as indicated.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10 – MATERIAL CONTRACTS</w:t>
      </w:r>
    </w:p>
    <w:p>
      <w:pPr>
        <w:spacing w:after="0" w:line="22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Sempra Energy / San Diego Gas &amp; Electric Company</w:t>
      </w:r>
    </w:p>
    <w:p>
      <w:pPr>
        <w:spacing w:after="0" w:line="211" w:lineRule="exact"/>
        <w:rPr>
          <w:sz w:val="20"/>
          <w:szCs w:val="20"/>
          <w:color w:val="auto"/>
        </w:rPr>
      </w:pPr>
    </w:p>
    <w:p>
      <w:pPr>
        <w:ind w:left="1500" w:right="560" w:hanging="309"/>
        <w:spacing w:after="0" w:line="250" w:lineRule="auto"/>
        <w:rPr>
          <w:sz w:val="20"/>
          <w:szCs w:val="20"/>
          <w:color w:val="auto"/>
        </w:rPr>
      </w:pPr>
      <w:r>
        <w:rPr>
          <w:rFonts w:ascii="Arial" w:cs="Arial" w:eastAsia="Arial" w:hAnsi="Arial"/>
          <w:sz w:val="18"/>
          <w:szCs w:val="18"/>
          <w:color w:val="auto"/>
        </w:rPr>
        <w:t>10.1 Amendment No. 10 to the San Diego Gas &amp; Electric Company Nuclear Facilities Qualified CPUC Decommissioning Master Trust Agreement for San Onofre Nuclear Generating Station dated August 27, 2014.</w:t>
      </w:r>
    </w:p>
    <w:p>
      <w:pPr>
        <w:spacing w:after="0" w:line="180" w:lineRule="exact"/>
        <w:rPr>
          <w:sz w:val="20"/>
          <w:szCs w:val="20"/>
          <w:color w:val="auto"/>
        </w:rPr>
      </w:pPr>
    </w:p>
    <w:p>
      <w:pPr>
        <w:ind w:left="1500" w:right="560" w:hanging="309"/>
        <w:spacing w:after="0" w:line="250" w:lineRule="auto"/>
        <w:rPr>
          <w:sz w:val="20"/>
          <w:szCs w:val="20"/>
          <w:color w:val="auto"/>
        </w:rPr>
      </w:pPr>
      <w:r>
        <w:rPr>
          <w:rFonts w:ascii="Arial" w:cs="Arial" w:eastAsia="Arial" w:hAnsi="Arial"/>
          <w:sz w:val="18"/>
          <w:szCs w:val="18"/>
          <w:color w:val="auto"/>
        </w:rPr>
        <w:t>10.2 Amendment No. 11 to the San Diego Gas &amp; Electric Company Nuclear Facilities Qualified CPUC Decommissioning Master Trust Agreement for San Onofre Nuclear Generating Station dated August 27, 2014.</w:t>
      </w:r>
    </w:p>
    <w:p>
      <w:pPr>
        <w:sectPr>
          <w:pgSz w:w="11900" w:h="16838" w:orient="portrait"/>
          <w:cols w:equalWidth="0" w:num="1">
            <w:col w:w="11400"/>
          </w:cols>
          <w:pgMar w:left="240" w:top="127" w:right="259" w:bottom="0" w:gutter="0" w:footer="0" w:header="0"/>
        </w:sectPr>
      </w:pPr>
    </w:p>
    <w:bookmarkStart w:id="88" w:name="page89"/>
    <w:bookmarkEnd w:id="88"/>
    <w:p>
      <w:pPr>
        <w:ind w:left="1500" w:right="560" w:hanging="309"/>
        <w:spacing w:after="0" w:line="250" w:lineRule="auto"/>
        <w:rPr>
          <w:sz w:val="20"/>
          <w:szCs w:val="20"/>
          <w:color w:val="auto"/>
        </w:rPr>
      </w:pPr>
      <w:r>
        <w:rPr>
          <w:rFonts w:ascii="Arial" w:cs="Arial" w:eastAsia="Arial" w:hAnsi="Arial"/>
          <w:sz w:val="18"/>
          <w:szCs w:val="18"/>
          <w:color w:val="auto"/>
        </w:rPr>
        <w:t>10.3 Amendment No. 12 to the San Diego Gas &amp; Electric Company Nuclear Facilities Qualified CPUC Decommissioning Master Trust Agreement for San Onofre Nuclear Generating Station dated August 27, 2014.</w:t>
      </w:r>
    </w:p>
    <w:p>
      <w:pPr>
        <w:spacing w:after="0" w:line="180" w:lineRule="exact"/>
        <w:rPr>
          <w:sz w:val="20"/>
          <w:szCs w:val="20"/>
          <w:color w:val="auto"/>
        </w:rPr>
      </w:pPr>
    </w:p>
    <w:p>
      <w:pPr>
        <w:ind w:left="1500" w:right="280" w:hanging="309"/>
        <w:spacing w:after="0" w:line="250" w:lineRule="auto"/>
        <w:rPr>
          <w:sz w:val="20"/>
          <w:szCs w:val="20"/>
          <w:color w:val="auto"/>
        </w:rPr>
      </w:pPr>
      <w:r>
        <w:rPr>
          <w:rFonts w:ascii="Arial" w:cs="Arial" w:eastAsia="Arial" w:hAnsi="Arial"/>
          <w:sz w:val="18"/>
          <w:szCs w:val="18"/>
          <w:color w:val="auto"/>
        </w:rPr>
        <w:t>10.4 Amendment No. 8 to the San Diego Gas &amp; Electric Company Nuclear Facilities Non-Qualified CPUC Decommissioning Master Trust Agreement for San Onofre Nuclear Generating Station dated August 27, 2014.</w:t>
      </w:r>
    </w:p>
    <w:p>
      <w:pPr>
        <w:spacing w:after="0" w:line="180" w:lineRule="exact"/>
        <w:rPr>
          <w:sz w:val="20"/>
          <w:szCs w:val="20"/>
          <w:color w:val="auto"/>
        </w:rPr>
      </w:pPr>
    </w:p>
    <w:p>
      <w:pPr>
        <w:ind w:left="1500" w:right="280" w:hanging="309"/>
        <w:spacing w:after="0" w:line="250" w:lineRule="auto"/>
        <w:rPr>
          <w:sz w:val="20"/>
          <w:szCs w:val="20"/>
          <w:color w:val="auto"/>
        </w:rPr>
      </w:pPr>
      <w:r>
        <w:rPr>
          <w:rFonts w:ascii="Arial" w:cs="Arial" w:eastAsia="Arial" w:hAnsi="Arial"/>
          <w:sz w:val="18"/>
          <w:szCs w:val="18"/>
          <w:color w:val="auto"/>
        </w:rPr>
        <w:t>10.5 Amendment No. 9 to the San Diego Gas &amp; Electric Company Nuclear Facilities Non-Qualified CPUC Decommissioning Master Trust Agreement for San Onofre Nuclear Generating Station dated August 27, 2014.</w:t>
      </w:r>
    </w:p>
    <w:p>
      <w:pPr>
        <w:spacing w:after="0" w:line="180" w:lineRule="exact"/>
        <w:rPr>
          <w:sz w:val="20"/>
          <w:szCs w:val="20"/>
          <w:color w:val="auto"/>
        </w:rPr>
      </w:pPr>
    </w:p>
    <w:p>
      <w:pPr>
        <w:ind w:left="1500" w:right="200" w:hanging="309"/>
        <w:spacing w:after="0" w:line="250" w:lineRule="auto"/>
        <w:rPr>
          <w:sz w:val="20"/>
          <w:szCs w:val="20"/>
          <w:color w:val="auto"/>
        </w:rPr>
      </w:pPr>
      <w:r>
        <w:rPr>
          <w:rFonts w:ascii="Arial" w:cs="Arial" w:eastAsia="Arial" w:hAnsi="Arial"/>
          <w:sz w:val="18"/>
          <w:szCs w:val="18"/>
          <w:color w:val="auto"/>
        </w:rPr>
        <w:t>10.6 Amendment No. 10 to the San Diego Gas &amp; Electric Company Nuclear Facilities Non-Qualified CPUC Decommissioning Master Trust Agreement for San Onofre Nuclear Generating Station dated August 27, 2014.</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12 -- STATEMENTS RE: COMPUTATION OF RATIOS</w:t>
      </w:r>
    </w:p>
    <w:p>
      <w:pPr>
        <w:spacing w:after="0" w:line="22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Sempra Energy</w:t>
      </w:r>
    </w:p>
    <w:p>
      <w:pPr>
        <w:spacing w:after="0" w:line="211"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12.1 Sempra Energy Computation of Ratio of Earnings to Combined Fixed Charges and Preferred Stock Dividends.</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San Diego Gas &amp; Electric Company</w:t>
      </w:r>
    </w:p>
    <w:p>
      <w:pPr>
        <w:spacing w:after="0" w:line="211"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12.2 San Diego Gas &amp; Electric Company Computation of Ratio of Earnings to Combined Fixed Charges and Preferred Stock Dividends.</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Southern California Gas Company</w:t>
      </w:r>
    </w:p>
    <w:p>
      <w:pPr>
        <w:spacing w:after="0" w:line="211"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12.3 Southern California Gas Company Computation of Ratio of Earnings to Combined Fixed Charges and Preferred Stock Dividends.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31 -- SECTION 302 CERTIFICATIONS</w:t>
      </w:r>
    </w:p>
    <w:p>
      <w:pPr>
        <w:spacing w:after="0" w:line="22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Sempra Energy</w:t>
      </w:r>
    </w:p>
    <w:p>
      <w:pPr>
        <w:spacing w:after="0" w:line="211"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31.1 Statement of Sempra Energy’s Chief Executive Officer pursuant to Rules 13a-14 and 15d-14 of the Securities Exchange Act of 1934.</w:t>
      </w:r>
    </w:p>
    <w:p>
      <w:pPr>
        <w:spacing w:after="0" w:line="228"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31.2 Statement of Sempra Energy’s Chief Financial Officer pursuant to Rules 13a-14 and 15d-14 of the Securities Exchange Act of 1934.</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San Diego Gas &amp; Electric Company</w:t>
      </w:r>
    </w:p>
    <w:p>
      <w:pPr>
        <w:spacing w:after="0" w:line="211" w:lineRule="exact"/>
        <w:rPr>
          <w:sz w:val="20"/>
          <w:szCs w:val="20"/>
          <w:color w:val="auto"/>
        </w:rPr>
      </w:pPr>
    </w:p>
    <w:p>
      <w:pPr>
        <w:ind w:left="1500" w:right="580" w:hanging="309"/>
        <w:spacing w:after="0" w:line="250" w:lineRule="auto"/>
        <w:rPr>
          <w:sz w:val="20"/>
          <w:szCs w:val="20"/>
          <w:color w:val="auto"/>
        </w:rPr>
      </w:pPr>
      <w:r>
        <w:rPr>
          <w:rFonts w:ascii="Arial" w:cs="Arial" w:eastAsia="Arial" w:hAnsi="Arial"/>
          <w:sz w:val="18"/>
          <w:szCs w:val="18"/>
          <w:color w:val="auto"/>
        </w:rPr>
        <w:t>31.3 Statement of San Diego Gas &amp; Electric Company’s Chief Executive Officer pursuant to Rules 13a-14 and 15d-14 of the Securities Exchange Act of 1934.</w:t>
      </w:r>
    </w:p>
    <w:p>
      <w:pPr>
        <w:spacing w:after="0" w:line="180" w:lineRule="exact"/>
        <w:rPr>
          <w:sz w:val="20"/>
          <w:szCs w:val="20"/>
          <w:color w:val="auto"/>
        </w:rPr>
      </w:pPr>
    </w:p>
    <w:p>
      <w:pPr>
        <w:ind w:left="1500" w:right="620" w:hanging="309"/>
        <w:spacing w:after="0" w:line="250" w:lineRule="auto"/>
        <w:rPr>
          <w:sz w:val="20"/>
          <w:szCs w:val="20"/>
          <w:color w:val="auto"/>
        </w:rPr>
      </w:pPr>
      <w:r>
        <w:rPr>
          <w:rFonts w:ascii="Arial" w:cs="Arial" w:eastAsia="Arial" w:hAnsi="Arial"/>
          <w:sz w:val="18"/>
          <w:szCs w:val="18"/>
          <w:color w:val="auto"/>
        </w:rPr>
        <w:t>31.4 Statement of San Diego Gas &amp; Electric Company’s Chief Financial Officer pursuant to Rules 13a-14 and 15d-14 of the Securities Exchange Act of 1934.</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Southern California Gas Company</w:t>
      </w:r>
    </w:p>
    <w:p>
      <w:pPr>
        <w:spacing w:after="0" w:line="211" w:lineRule="exact"/>
        <w:rPr>
          <w:sz w:val="20"/>
          <w:szCs w:val="20"/>
          <w:color w:val="auto"/>
        </w:rPr>
      </w:pPr>
    </w:p>
    <w:p>
      <w:pPr>
        <w:ind w:left="1500" w:right="700" w:hanging="309"/>
        <w:spacing w:after="0" w:line="250" w:lineRule="auto"/>
        <w:rPr>
          <w:sz w:val="20"/>
          <w:szCs w:val="20"/>
          <w:color w:val="auto"/>
        </w:rPr>
      </w:pPr>
      <w:r>
        <w:rPr>
          <w:rFonts w:ascii="Arial" w:cs="Arial" w:eastAsia="Arial" w:hAnsi="Arial"/>
          <w:sz w:val="18"/>
          <w:szCs w:val="18"/>
          <w:color w:val="auto"/>
        </w:rPr>
        <w:t>31.5 Statement of Southern California Gas Company’s Chief Executive Officer pursuant to Rules 13a-14 and 15d-14 of the Securities Exchange Act of 1934.</w:t>
      </w:r>
    </w:p>
    <w:p>
      <w:pPr>
        <w:spacing w:after="0" w:line="180" w:lineRule="exact"/>
        <w:rPr>
          <w:sz w:val="20"/>
          <w:szCs w:val="20"/>
          <w:color w:val="auto"/>
        </w:rPr>
      </w:pPr>
    </w:p>
    <w:p>
      <w:pPr>
        <w:ind w:left="1500" w:hanging="309"/>
        <w:spacing w:after="0" w:line="250" w:lineRule="auto"/>
        <w:rPr>
          <w:sz w:val="20"/>
          <w:szCs w:val="20"/>
          <w:color w:val="auto"/>
        </w:rPr>
      </w:pPr>
      <w:r>
        <w:rPr>
          <w:rFonts w:ascii="Arial" w:cs="Arial" w:eastAsia="Arial" w:hAnsi="Arial"/>
          <w:sz w:val="18"/>
          <w:szCs w:val="18"/>
          <w:color w:val="auto"/>
        </w:rPr>
        <w:t>31.6 Statement of Southern California Gas Company’s Chief Financial Officer pursuant to Rules 13a-14 and 15d-14 of the Securities Exchange Act of 1934.</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32 -- SECTION 906 CERTIFICATIONS</w:t>
      </w:r>
    </w:p>
    <w:p>
      <w:pPr>
        <w:spacing w:after="0" w:line="22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Sempra Energy</w:t>
      </w:r>
    </w:p>
    <w:p>
      <w:pPr>
        <w:spacing w:after="0" w:line="211"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32.1 Statement of Sempra Energy’s Chief Executive Officer pursuant to 18 U.S.C. Sec. 1350.</w:t>
      </w:r>
    </w:p>
    <w:p>
      <w:pPr>
        <w:spacing w:after="0" w:line="205"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32.2 Statement of Sempra Energy’s Chief Financial Officer pursuant to 18 U.S.C. Sec. 1350.</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San Diego Gas &amp; Electric Company</w:t>
      </w:r>
    </w:p>
    <w:p>
      <w:pPr>
        <w:spacing w:after="0" w:line="211"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32.3 Statement of San Diego Gas &amp; Electric Company’s Chief Executive Officer pursuant to 18 U.S.C. Sec. 1350.</w:t>
      </w:r>
    </w:p>
    <w:p>
      <w:pPr>
        <w:spacing w:after="0" w:line="205"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32.4 Statement of San Diego Gas &amp; Electric Company’s Chief Financial Officer pursuant to 18 U.S.C. Sec. 1350.</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Southern California Gas Company</w:t>
      </w:r>
    </w:p>
    <w:p>
      <w:pPr>
        <w:spacing w:after="0" w:line="211"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32.5 Statement of Southern California Gas Company’s Chief Executive Officer pursuant to 18 U.S.C. Sec. 1350.</w:t>
      </w:r>
    </w:p>
    <w:p>
      <w:pPr>
        <w:spacing w:after="0" w:line="205"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32.6 Statement of Southern California Gas Company’s Chief Financial Officer pursuant to 18 U.S.C. Sec. 1350.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101 -- INTERACTIVE DATA FILE</w:t>
      </w:r>
    </w:p>
    <w:p>
      <w:pPr>
        <w:spacing w:after="0" w:line="22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Sempra Energy / San Diego Gas &amp; Electric Company / Southern California Gas Company</w:t>
      </w:r>
    </w:p>
    <w:p>
      <w:pPr>
        <w:spacing w:after="0" w:line="21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101.INS XBRL Instance Document</w:t>
      </w:r>
    </w:p>
    <w:p>
      <w:pPr>
        <w:spacing w:after="0" w:line="20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101.SCH XBRL Taxonomy Extension Schema Document</w:t>
      </w:r>
    </w:p>
    <w:p>
      <w:pPr>
        <w:spacing w:after="0" w:line="20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101.CAL XBRL Taxonomy Extension Calculation Linkbase Document</w:t>
      </w:r>
    </w:p>
    <w:p>
      <w:pPr>
        <w:sectPr>
          <w:pgSz w:w="11900" w:h="16838" w:orient="portrait"/>
          <w:cols w:equalWidth="0" w:num="1">
            <w:col w:w="11400"/>
          </w:cols>
          <w:pgMar w:left="240" w:top="127" w:right="259" w:bottom="0" w:gutter="0" w:footer="0" w:header="0"/>
        </w:sectPr>
      </w:pPr>
    </w:p>
    <w:bookmarkStart w:id="89" w:name="page90"/>
    <w:bookmarkEnd w:id="89"/>
    <w:p>
      <w:pPr>
        <w:ind w:left="860"/>
        <w:spacing w:after="0"/>
        <w:rPr>
          <w:sz w:val="20"/>
          <w:szCs w:val="20"/>
          <w:color w:val="auto"/>
        </w:rPr>
      </w:pPr>
      <w:r>
        <w:rPr>
          <w:rFonts w:ascii="Arial" w:cs="Arial" w:eastAsia="Arial" w:hAnsi="Arial"/>
          <w:sz w:val="18"/>
          <w:szCs w:val="18"/>
          <w:color w:val="auto"/>
        </w:rPr>
        <w:t>101.DEF XBRL Taxonomy Extension Definition Linkbase Document</w:t>
      </w:r>
    </w:p>
    <w:p>
      <w:pPr>
        <w:spacing w:after="0" w:line="20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101.LAB XBRL Taxonomy Extension Label Linkbase Document</w:t>
      </w:r>
    </w:p>
    <w:p>
      <w:pPr>
        <w:spacing w:after="0" w:line="20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101.PRE XBRL Taxonomy Extension Presentation Linkbase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SIGNATURES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Energy:</w:t>
      </w:r>
    </w:p>
    <w:p>
      <w:pPr>
        <w:spacing w:after="0" w:line="200" w:lineRule="exact"/>
        <w:rPr>
          <w:sz w:val="20"/>
          <w:szCs w:val="20"/>
          <w:color w:val="auto"/>
        </w:rPr>
      </w:pPr>
    </w:p>
    <w:p>
      <w:pPr>
        <w:spacing w:after="0" w:line="204"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9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SEMPRA ENERGY,</w:t>
      </w:r>
    </w:p>
    <w:p>
      <w:pPr>
        <w:spacing w:after="0" w:line="6"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(Registrant)</w:t>
      </w:r>
    </w:p>
    <w:p>
      <w:pPr>
        <w:spacing w:after="0" w:line="191" w:lineRule="exact"/>
        <w:rPr>
          <w:sz w:val="20"/>
          <w:szCs w:val="20"/>
          <w:color w:val="auto"/>
        </w:rPr>
      </w:pPr>
    </w:p>
    <w:p>
      <w:pPr>
        <w:ind w:left="1760"/>
        <w:spacing w:after="0"/>
        <w:tabs>
          <w:tab w:leader="none" w:pos="5900" w:val="left"/>
        </w:tabs>
        <w:rPr>
          <w:sz w:val="20"/>
          <w:szCs w:val="20"/>
          <w:color w:val="auto"/>
        </w:rPr>
      </w:pPr>
      <w:r>
        <w:rPr>
          <w:rFonts w:ascii="Arial" w:cs="Arial" w:eastAsia="Arial" w:hAnsi="Arial"/>
          <w:sz w:val="18"/>
          <w:szCs w:val="18"/>
          <w:color w:val="auto"/>
        </w:rPr>
        <w:t>Date: November 4, 2014</w:t>
      </w:r>
      <w:r>
        <w:rPr>
          <w:sz w:val="20"/>
          <w:szCs w:val="20"/>
          <w:color w:val="auto"/>
        </w:rPr>
        <w:tab/>
      </w:r>
      <w:r>
        <w:rPr>
          <w:rFonts w:ascii="Arial" w:cs="Arial" w:eastAsia="Arial" w:hAnsi="Arial"/>
          <w:sz w:val="17"/>
          <w:szCs w:val="17"/>
          <w:color w:val="auto"/>
        </w:rPr>
        <w:t>By: /s/ Trevor I. Mihalik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3759200</wp:posOffset>
            </wp:positionH>
            <wp:positionV relativeFrom="paragraph">
              <wp:posOffset>3175</wp:posOffset>
            </wp:positionV>
            <wp:extent cx="349377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93770" cy="8255"/>
                    </a:xfrm>
                    <a:prstGeom prst="rect">
                      <a:avLst/>
                    </a:prstGeom>
                    <a:noFill/>
                  </pic:spPr>
                </pic:pic>
              </a:graphicData>
            </a:graphic>
          </wp:anchor>
        </w:drawing>
      </w:r>
    </w:p>
    <w:p>
      <w:pPr>
        <w:ind w:left="5920"/>
        <w:spacing w:after="0"/>
        <w:rPr>
          <w:sz w:val="20"/>
          <w:szCs w:val="20"/>
          <w:color w:val="auto"/>
        </w:rPr>
      </w:pPr>
      <w:r>
        <w:rPr>
          <w:rFonts w:ascii="Arial" w:cs="Arial" w:eastAsia="Arial" w:hAnsi="Arial"/>
          <w:sz w:val="18"/>
          <w:szCs w:val="18"/>
          <w:color w:val="auto"/>
        </w:rPr>
        <w:t>Trevor I. Mihalik</w:t>
      </w:r>
    </w:p>
    <w:p>
      <w:pPr>
        <w:ind w:left="5920"/>
        <w:spacing w:after="0" w:line="231" w:lineRule="auto"/>
        <w:rPr>
          <w:sz w:val="20"/>
          <w:szCs w:val="20"/>
          <w:color w:val="auto"/>
        </w:rPr>
      </w:pPr>
      <w:r>
        <w:rPr>
          <w:rFonts w:ascii="Arial" w:cs="Arial" w:eastAsia="Arial" w:hAnsi="Arial"/>
          <w:sz w:val="18"/>
          <w:szCs w:val="18"/>
          <w:color w:val="auto"/>
        </w:rPr>
        <w:t>Senior Vice President, Controller and</w:t>
      </w:r>
    </w:p>
    <w:p>
      <w:pPr>
        <w:ind w:left="5920"/>
        <w:spacing w:after="0"/>
        <w:rPr>
          <w:sz w:val="20"/>
          <w:szCs w:val="20"/>
          <w:color w:val="auto"/>
        </w:rPr>
      </w:pPr>
      <w:r>
        <w:rPr>
          <w:rFonts w:ascii="Arial" w:cs="Arial" w:eastAsia="Arial" w:hAnsi="Arial"/>
          <w:sz w:val="18"/>
          <w:szCs w:val="18"/>
          <w:color w:val="auto"/>
        </w:rPr>
        <w:t>Chief Accounting Officer</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San Diego Gas &amp; Electric Company:</w:t>
      </w:r>
    </w:p>
    <w:p>
      <w:pPr>
        <w:spacing w:after="0" w:line="200" w:lineRule="exact"/>
        <w:rPr>
          <w:sz w:val="20"/>
          <w:szCs w:val="20"/>
          <w:color w:val="auto"/>
        </w:rPr>
      </w:pPr>
    </w:p>
    <w:p>
      <w:pPr>
        <w:spacing w:after="0" w:line="224"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240"/>
          </w:cols>
          <w:pgMar w:left="240" w:top="12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ind w:right="1680"/>
        <w:spacing w:after="0"/>
        <w:rPr>
          <w:sz w:val="20"/>
          <w:szCs w:val="20"/>
          <w:color w:val="auto"/>
        </w:rPr>
      </w:pPr>
      <w:r>
        <w:rPr>
          <w:rFonts w:ascii="Arial" w:cs="Arial" w:eastAsia="Arial" w:hAnsi="Arial"/>
          <w:sz w:val="18"/>
          <w:szCs w:val="18"/>
          <w:color w:val="auto"/>
        </w:rPr>
        <w:t>Date: November 4,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Southern California Gas Company:</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SAN DIEGO GAS &amp; ELECTRIC COMPANY,</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By: /s/ 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349377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9377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Robert M. Schlax</w:t>
      </w:r>
    </w:p>
    <w:p>
      <w:pPr>
        <w:spacing w:after="0" w:line="237" w:lineRule="auto"/>
        <w:rPr>
          <w:sz w:val="20"/>
          <w:szCs w:val="20"/>
          <w:color w:val="auto"/>
        </w:rPr>
      </w:pPr>
      <w:r>
        <w:rPr>
          <w:rFonts w:ascii="Arial" w:cs="Arial" w:eastAsia="Arial" w:hAnsi="Arial"/>
          <w:sz w:val="18"/>
          <w:szCs w:val="18"/>
          <w:color w:val="auto"/>
        </w:rPr>
        <w:t>Vice President, Controller, Chief Financial Officer and Chief Accounting Officer</w:t>
      </w:r>
    </w:p>
    <w:p>
      <w:pPr>
        <w:spacing w:after="0" w:line="974" w:lineRule="exact"/>
        <w:rPr>
          <w:sz w:val="20"/>
          <w:szCs w:val="20"/>
          <w:color w:val="auto"/>
        </w:rPr>
      </w:pPr>
    </w:p>
    <w:p>
      <w:pPr>
        <w:sectPr>
          <w:pgSz w:w="11900" w:h="16838" w:orient="portrait"/>
          <w:cols w:equalWidth="0" w:num="2">
            <w:col w:w="5200" w:space="720"/>
            <w:col w:w="4320"/>
          </w:cols>
          <w:pgMar w:left="240" w:top="127" w:right="1419" w:bottom="1440" w:gutter="0" w:footer="0" w:header="0"/>
          <w:type w:val="continuous"/>
        </w:sectPr>
      </w:pPr>
    </w:p>
    <w:p>
      <w:pPr>
        <w:spacing w:after="0" w:line="224"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9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SOUTHERN CALIFORNIA GAS COMPANY,</w:t>
      </w:r>
    </w:p>
    <w:p>
      <w:pPr>
        <w:spacing w:after="0" w:line="6"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(Registrant)</w:t>
      </w:r>
    </w:p>
    <w:p>
      <w:pPr>
        <w:spacing w:after="0" w:line="191" w:lineRule="exact"/>
        <w:rPr>
          <w:sz w:val="20"/>
          <w:szCs w:val="20"/>
          <w:color w:val="auto"/>
        </w:rPr>
      </w:pPr>
    </w:p>
    <w:p>
      <w:pPr>
        <w:ind w:left="1760"/>
        <w:spacing w:after="0"/>
        <w:tabs>
          <w:tab w:leader="none" w:pos="5900" w:val="left"/>
        </w:tabs>
        <w:rPr>
          <w:sz w:val="20"/>
          <w:szCs w:val="20"/>
          <w:color w:val="auto"/>
        </w:rPr>
      </w:pPr>
      <w:r>
        <w:rPr>
          <w:rFonts w:ascii="Arial" w:cs="Arial" w:eastAsia="Arial" w:hAnsi="Arial"/>
          <w:sz w:val="18"/>
          <w:szCs w:val="18"/>
          <w:color w:val="auto"/>
        </w:rPr>
        <w:t>Date: November 4, 2014</w:t>
      </w:r>
      <w:r>
        <w:rPr>
          <w:sz w:val="20"/>
          <w:szCs w:val="20"/>
          <w:color w:val="auto"/>
        </w:rPr>
        <w:tab/>
      </w:r>
      <w:r>
        <w:rPr>
          <w:rFonts w:ascii="Arial" w:cs="Arial" w:eastAsia="Arial" w:hAnsi="Arial"/>
          <w:sz w:val="16"/>
          <w:szCs w:val="16"/>
          <w:color w:val="auto"/>
        </w:rPr>
        <w:t>By: /s/ 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3759200</wp:posOffset>
            </wp:positionH>
            <wp:positionV relativeFrom="paragraph">
              <wp:posOffset>3175</wp:posOffset>
            </wp:positionV>
            <wp:extent cx="349377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93770" cy="8255"/>
                    </a:xfrm>
                    <a:prstGeom prst="rect">
                      <a:avLst/>
                    </a:prstGeom>
                    <a:noFill/>
                  </pic:spPr>
                </pic:pic>
              </a:graphicData>
            </a:graphic>
          </wp:anchor>
        </w:drawing>
      </w:r>
    </w:p>
    <w:p>
      <w:pPr>
        <w:ind w:left="5920"/>
        <w:spacing w:after="0"/>
        <w:rPr>
          <w:sz w:val="20"/>
          <w:szCs w:val="20"/>
          <w:color w:val="auto"/>
        </w:rPr>
      </w:pPr>
      <w:r>
        <w:rPr>
          <w:rFonts w:ascii="Arial" w:cs="Arial" w:eastAsia="Arial" w:hAnsi="Arial"/>
          <w:sz w:val="18"/>
          <w:szCs w:val="18"/>
          <w:color w:val="auto"/>
        </w:rPr>
        <w:t>Robert M. Schlax</w:t>
      </w:r>
    </w:p>
    <w:p>
      <w:pPr>
        <w:ind w:left="5920"/>
        <w:spacing w:after="0"/>
        <w:rPr>
          <w:sz w:val="20"/>
          <w:szCs w:val="20"/>
          <w:color w:val="auto"/>
        </w:rPr>
      </w:pPr>
      <w:r>
        <w:rPr>
          <w:rFonts w:ascii="Arial" w:cs="Arial" w:eastAsia="Arial" w:hAnsi="Arial"/>
          <w:sz w:val="16"/>
          <w:szCs w:val="16"/>
          <w:color w:val="auto"/>
        </w:rPr>
        <w:t>Vice President, Controller, Chief Financial Officer and Chief</w:t>
      </w:r>
    </w:p>
    <w:p>
      <w:pPr>
        <w:spacing w:after="0" w:line="1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Accounting Officer</w:t>
      </w:r>
    </w:p>
    <w:p>
      <w:pPr>
        <w:sectPr>
          <w:pgSz w:w="11900" w:h="16838" w:orient="portrait"/>
          <w:cols w:equalWidth="0" w:num="1">
            <w:col w:w="10240"/>
          </w:cols>
          <w:pgMar w:left="240" w:top="127" w:right="1419" w:bottom="1440" w:gutter="0" w:footer="0" w:header="0"/>
          <w:type w:val="continuous"/>
        </w:sectPr>
      </w:pPr>
    </w:p>
    <w:bookmarkStart w:id="90" w:name="page91"/>
    <w:bookmarkEnd w:id="90"/>
    <w:p>
      <w:pPr>
        <w:jc w:val="right"/>
        <w:spacing w:after="0"/>
        <w:rPr>
          <w:sz w:val="20"/>
          <w:szCs w:val="20"/>
          <w:color w:val="auto"/>
        </w:rPr>
      </w:pPr>
      <w:r>
        <w:rPr>
          <w:rFonts w:ascii="Arial" w:cs="Arial" w:eastAsia="Arial" w:hAnsi="Arial"/>
          <w:sz w:val="25"/>
          <w:szCs w:val="25"/>
          <w:b w:val="1"/>
          <w:bCs w:val="1"/>
          <w:color w:val="auto"/>
        </w:rPr>
        <w:t>Exhibit 10.1</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AMENDMENT NO. 10</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TO THE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SAN DIEGO GAS &amp; ELECTRIC COMPANY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NUCLEAR FACILITIES QUALIFIED CPUC DECOMMISSIONING</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MASTER TRUST AGREEMENT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SAN ONOFRE NUCLEAR GENERATING STATIONS</w:t>
      </w:r>
    </w:p>
    <w:p>
      <w:pPr>
        <w:spacing w:after="0" w:line="200" w:lineRule="exact"/>
        <w:rPr>
          <w:sz w:val="20"/>
          <w:szCs w:val="20"/>
          <w:color w:val="auto"/>
        </w:rPr>
      </w:pPr>
    </w:p>
    <w:p>
      <w:pPr>
        <w:spacing w:after="0" w:line="361" w:lineRule="exact"/>
        <w:rPr>
          <w:sz w:val="20"/>
          <w:szCs w:val="20"/>
          <w:color w:val="auto"/>
        </w:rPr>
      </w:pPr>
    </w:p>
    <w:p>
      <w:pPr>
        <w:ind w:right="20"/>
        <w:spacing w:after="0" w:line="213" w:lineRule="auto"/>
        <w:rPr>
          <w:sz w:val="20"/>
          <w:szCs w:val="20"/>
          <w:color w:val="auto"/>
        </w:rPr>
      </w:pPr>
      <w:r>
        <w:rPr>
          <w:rFonts w:ascii="Arial" w:cs="Arial" w:eastAsia="Arial" w:hAnsi="Arial"/>
          <w:sz w:val="16"/>
          <w:szCs w:val="16"/>
          <w:color w:val="auto"/>
        </w:rPr>
        <w:t>This Amendment No. 10 made this 27</w:t>
      </w:r>
      <w:r>
        <w:rPr>
          <w:rFonts w:ascii="Arial" w:cs="Arial" w:eastAsia="Arial" w:hAnsi="Arial"/>
          <w:sz w:val="26"/>
          <w:szCs w:val="26"/>
          <w:u w:val="single" w:color="auto"/>
          <w:color w:val="auto"/>
          <w:vertAlign w:val="superscript"/>
        </w:rPr>
        <w:t>th</w:t>
      </w:r>
      <w:r>
        <w:rPr>
          <w:rFonts w:ascii="Arial" w:cs="Arial" w:eastAsia="Arial" w:hAnsi="Arial"/>
          <w:sz w:val="16"/>
          <w:szCs w:val="16"/>
          <w:color w:val="auto"/>
        </w:rPr>
        <w:t xml:space="preserve"> day of August , 2014, by and between San Diego Gas &amp; Electric Company (“Company”) and The Bank of New York Mellon, a New York state bank, successor by operation of law to Mellon Bank, N.A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1452245</wp:posOffset>
            </wp:positionH>
            <wp:positionV relativeFrom="paragraph">
              <wp:posOffset>-139065</wp:posOffset>
            </wp:positionV>
            <wp:extent cx="12160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16025" cy="8255"/>
                    </a:xfrm>
                    <a:prstGeom prst="rect">
                      <a:avLst/>
                    </a:prstGeom>
                    <a:noFill/>
                  </pic:spPr>
                </pic:pic>
              </a:graphicData>
            </a:graphic>
          </wp:anchor>
        </w:drawing>
      </w:r>
    </w:p>
    <w:p>
      <w:pPr>
        <w:spacing w:after="0" w:line="122"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WHEREAS, pursuant to Section 2.12 of the Nuclear Facilities Qualified Decommissioning Master Trust for San Onofre Nuclear Generating Stations dated as of June 29, 1992, as amended (“Agreement”) between the Company and the Trustee, the parties specifically reserve the right to amend the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NOW, THEREFORE, the Company and the Trustee agree as follows:</w:t>
      </w:r>
    </w:p>
    <w:p>
      <w:pPr>
        <w:spacing w:after="0" w:line="148" w:lineRule="exact"/>
        <w:rPr>
          <w:sz w:val="20"/>
          <w:szCs w:val="20"/>
          <w:color w:val="auto"/>
        </w:rPr>
      </w:pPr>
    </w:p>
    <w:p>
      <w:pPr>
        <w:ind w:left="640" w:hanging="315"/>
        <w:spacing w:after="0"/>
        <w:tabs>
          <w:tab w:leader="none" w:pos="64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The third and fourth sentences of Section 4.05 shall be restated as follows:</w:t>
      </w:r>
    </w:p>
    <w:p>
      <w:pPr>
        <w:spacing w:after="0" w:line="150" w:lineRule="exact"/>
        <w:rPr>
          <w:sz w:val="20"/>
          <w:szCs w:val="20"/>
          <w:color w:val="auto"/>
        </w:rPr>
      </w:pPr>
    </w:p>
    <w:p>
      <w:pPr>
        <w:jc w:val="both"/>
        <w:ind w:left="320" w:right="120"/>
        <w:spacing w:after="0" w:line="291" w:lineRule="auto"/>
        <w:rPr>
          <w:sz w:val="20"/>
          <w:szCs w:val="20"/>
          <w:color w:val="auto"/>
        </w:rPr>
      </w:pPr>
      <w:r>
        <w:rPr>
          <w:rFonts w:ascii="Arial" w:cs="Arial" w:eastAsia="Arial" w:hAnsi="Arial"/>
          <w:sz w:val="19"/>
          <w:szCs w:val="19"/>
          <w:color w:val="auto"/>
        </w:rPr>
        <w:t>The Committee, or upon written notice from the Committee, the Trustee, shall assume responsibility for employing independent certified public accountants to audit the financial statements not less frequently than annually, subject to the provisions contained in Section 6.05. The Company and the Committee shall have the right to object to any of the audited financial statements.</w:t>
      </w:r>
    </w:p>
    <w:p>
      <w:pPr>
        <w:spacing w:after="0" w:line="107" w:lineRule="exact"/>
        <w:rPr>
          <w:sz w:val="20"/>
          <w:szCs w:val="20"/>
          <w:color w:val="auto"/>
        </w:rPr>
      </w:pPr>
    </w:p>
    <w:p>
      <w:pPr>
        <w:ind w:left="640" w:hanging="315"/>
        <w:spacing w:after="0"/>
        <w:tabs>
          <w:tab w:leader="none" w:pos="64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The second sentence of the introductory text of Article II shall be restated as follows:</w:t>
      </w:r>
    </w:p>
    <w:p>
      <w:pPr>
        <w:spacing w:after="0" w:line="150" w:lineRule="exact"/>
        <w:rPr>
          <w:sz w:val="20"/>
          <w:szCs w:val="20"/>
          <w:color w:val="auto"/>
        </w:rPr>
      </w:pPr>
    </w:p>
    <w:p>
      <w:pPr>
        <w:ind w:left="320" w:right="120"/>
        <w:spacing w:after="0" w:line="252" w:lineRule="auto"/>
        <w:rPr>
          <w:sz w:val="20"/>
          <w:szCs w:val="20"/>
          <w:color w:val="auto"/>
        </w:rPr>
      </w:pPr>
      <w:r>
        <w:rPr>
          <w:rFonts w:ascii="Arial" w:cs="Arial" w:eastAsia="Arial" w:hAnsi="Arial"/>
          <w:sz w:val="21"/>
          <w:szCs w:val="21"/>
          <w:color w:val="auto"/>
        </w:rPr>
        <w:t>No disbursement or payment may be made from the Master Trust for activities subject to NRC-jurisdiction under section 50.75 until written notice of the intention to make disbursement or payment has been made in accordance with 10 CFR 50.75(h)(1)(iv), or any subsequent NRC requirement.</w:t>
      </w:r>
    </w:p>
    <w:p>
      <w:pPr>
        <w:spacing w:after="0" w:line="141" w:lineRule="exact"/>
        <w:rPr>
          <w:sz w:val="20"/>
          <w:szCs w:val="20"/>
          <w:color w:val="auto"/>
        </w:rPr>
      </w:pPr>
    </w:p>
    <w:p>
      <w:pPr>
        <w:ind w:left="640" w:right="120" w:hanging="315"/>
        <w:spacing w:after="0" w:line="268" w:lineRule="auto"/>
        <w:tabs>
          <w:tab w:leader="none" w:pos="64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Each Party hereby represents and warrants to the others that it has full authority to enter into this Amendment No. 10 upon the terms and conditions hereof and that the individual executing this Amendment No. 10 on its behalf has the requisite authority to bind that Party.</w:t>
      </w:r>
    </w:p>
    <w:p>
      <w:pPr>
        <w:spacing w:after="0" w:line="360" w:lineRule="exact"/>
        <w:rPr>
          <w:sz w:val="20"/>
          <w:szCs w:val="20"/>
          <w:color w:val="auto"/>
        </w:rPr>
      </w:pPr>
    </w:p>
    <w:p>
      <w:pPr>
        <w:ind w:right="160"/>
        <w:spacing w:after="0" w:line="268" w:lineRule="auto"/>
        <w:rPr>
          <w:sz w:val="20"/>
          <w:szCs w:val="20"/>
          <w:color w:val="auto"/>
        </w:rPr>
      </w:pPr>
      <w:r>
        <w:rPr>
          <w:rFonts w:ascii="Arial" w:cs="Arial" w:eastAsia="Arial" w:hAnsi="Arial"/>
          <w:sz w:val="16"/>
          <w:szCs w:val="16"/>
          <w:color w:val="auto"/>
        </w:rPr>
        <w:t>IN WITNESS WHEREOF, the Company, the Trustee, and the California Public Utilities Commission have set their hands and seals in agreement to these amendments effective as provided above.</w:t>
      </w:r>
    </w:p>
    <w:p>
      <w:pPr>
        <w:spacing w:after="0" w:line="200" w:lineRule="exact"/>
        <w:rPr>
          <w:sz w:val="20"/>
          <w:szCs w:val="20"/>
          <w:color w:val="auto"/>
        </w:rPr>
      </w:pPr>
    </w:p>
    <w:p>
      <w:pPr>
        <w:spacing w:after="0" w:line="26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SAN DIEGO GAS &amp; ELECTRIC COMPANY</w:t>
      </w:r>
    </w:p>
    <w:p>
      <w:pPr>
        <w:spacing w:after="0" w:line="215" w:lineRule="exact"/>
        <w:rPr>
          <w:sz w:val="20"/>
          <w:szCs w:val="20"/>
          <w:color w:val="auto"/>
        </w:rPr>
      </w:pPr>
    </w:p>
    <w:tbl>
      <w:tblPr>
        <w:tblLayout w:type="fixed"/>
        <w:tblInd w:w="140" w:type="dxa"/>
        <w:tblCellMar>
          <w:top w:w="0" w:type="dxa"/>
          <w:left w:w="0" w:type="dxa"/>
          <w:bottom w:w="0" w:type="dxa"/>
          <w:right w:w="0" w:type="dxa"/>
        </w:tblCellMar>
      </w:tblPr>
      <w:tr>
        <w:trPr>
          <w:trHeight w:val="196"/>
        </w:trPr>
        <w:tc>
          <w:tcPr>
            <w:tcW w:w="740" w:type="dxa"/>
            <w:vAlign w:val="bottom"/>
          </w:tcPr>
          <w:p>
            <w:pPr>
              <w:spacing w:after="0"/>
              <w:rPr>
                <w:sz w:val="20"/>
                <w:szCs w:val="20"/>
                <w:color w:val="auto"/>
              </w:rPr>
            </w:pPr>
            <w:r>
              <w:rPr>
                <w:rFonts w:ascii="Arial" w:cs="Arial" w:eastAsia="Arial" w:hAnsi="Arial"/>
                <w:sz w:val="16"/>
                <w:szCs w:val="16"/>
                <w:color w:val="auto"/>
              </w:rPr>
              <w:t>By:</w:t>
            </w:r>
          </w:p>
        </w:tc>
        <w:tc>
          <w:tcPr>
            <w:tcW w:w="33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/s/ Robert Schlax</w:t>
            </w:r>
          </w:p>
        </w:tc>
      </w:tr>
      <w:tr>
        <w:trPr>
          <w:trHeight w:val="179"/>
        </w:trPr>
        <w:tc>
          <w:tcPr>
            <w:tcW w:w="740" w:type="dxa"/>
            <w:vAlign w:val="bottom"/>
          </w:tcPr>
          <w:p>
            <w:pPr>
              <w:spacing w:after="0" w:line="179" w:lineRule="exact"/>
              <w:rPr>
                <w:sz w:val="20"/>
                <w:szCs w:val="20"/>
                <w:color w:val="auto"/>
              </w:rPr>
            </w:pPr>
            <w:r>
              <w:rPr>
                <w:rFonts w:ascii="Arial" w:cs="Arial" w:eastAsia="Arial" w:hAnsi="Arial"/>
                <w:sz w:val="16"/>
                <w:szCs w:val="16"/>
                <w:color w:val="auto"/>
              </w:rPr>
              <w:t>Date:</w:t>
            </w:r>
          </w:p>
        </w:tc>
        <w:tc>
          <w:tcPr>
            <w:tcW w:w="3320" w:type="dxa"/>
            <w:vAlign w:val="bottom"/>
            <w:tcBorders>
              <w:bottom w:val="single" w:sz="8" w:color="auto"/>
            </w:tcBorders>
          </w:tcPr>
          <w:p>
            <w:pPr>
              <w:ind w:left="120"/>
              <w:spacing w:after="0" w:line="179" w:lineRule="exact"/>
              <w:rPr>
                <w:sz w:val="20"/>
                <w:szCs w:val="20"/>
                <w:color w:val="auto"/>
              </w:rPr>
            </w:pPr>
            <w:r>
              <w:rPr>
                <w:rFonts w:ascii="Arial" w:cs="Arial" w:eastAsia="Arial" w:hAnsi="Arial"/>
                <w:sz w:val="16"/>
                <w:szCs w:val="16"/>
                <w:color w:val="auto"/>
              </w:rPr>
              <w:t>7/31/14</w:t>
            </w:r>
          </w:p>
        </w:tc>
      </w:tr>
      <w:tr>
        <w:trPr>
          <w:trHeight w:val="179"/>
        </w:trPr>
        <w:tc>
          <w:tcPr>
            <w:tcW w:w="740" w:type="dxa"/>
            <w:vAlign w:val="bottom"/>
          </w:tcPr>
          <w:p>
            <w:pPr>
              <w:spacing w:after="0" w:line="179" w:lineRule="exact"/>
              <w:rPr>
                <w:sz w:val="20"/>
                <w:szCs w:val="20"/>
                <w:color w:val="auto"/>
              </w:rPr>
            </w:pPr>
            <w:r>
              <w:rPr>
                <w:rFonts w:ascii="Arial" w:cs="Arial" w:eastAsia="Arial" w:hAnsi="Arial"/>
                <w:sz w:val="16"/>
                <w:szCs w:val="16"/>
                <w:color w:val="auto"/>
              </w:rPr>
              <w:t>Attest:</w:t>
            </w:r>
          </w:p>
        </w:tc>
        <w:tc>
          <w:tcPr>
            <w:tcW w:w="3320" w:type="dxa"/>
            <w:vAlign w:val="bottom"/>
            <w:tcBorders>
              <w:bottom w:val="single" w:sz="8" w:color="auto"/>
            </w:tcBorders>
          </w:tcPr>
          <w:p>
            <w:pPr>
              <w:ind w:left="120"/>
              <w:spacing w:after="0" w:line="179" w:lineRule="exact"/>
              <w:rPr>
                <w:sz w:val="20"/>
                <w:szCs w:val="20"/>
                <w:color w:val="auto"/>
              </w:rPr>
            </w:pPr>
            <w:r>
              <w:rPr>
                <w:rFonts w:ascii="Arial" w:cs="Arial" w:eastAsia="Arial" w:hAnsi="Arial"/>
                <w:sz w:val="16"/>
                <w:szCs w:val="16"/>
                <w:color w:val="auto"/>
              </w:rPr>
              <w:t>/s/ Sylvia Jimenez</w:t>
            </w: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BANK OF NEW YORK MELLON</w:t>
      </w:r>
    </w:p>
    <w:p>
      <w:pPr>
        <w:spacing w:after="0" w:line="215" w:lineRule="exact"/>
        <w:rPr>
          <w:sz w:val="20"/>
          <w:szCs w:val="20"/>
          <w:color w:val="auto"/>
        </w:rPr>
      </w:pPr>
    </w:p>
    <w:tbl>
      <w:tblPr>
        <w:tblLayout w:type="fixed"/>
        <w:tblInd w:w="140" w:type="dxa"/>
        <w:tblCellMar>
          <w:top w:w="0" w:type="dxa"/>
          <w:left w:w="0" w:type="dxa"/>
          <w:bottom w:w="0" w:type="dxa"/>
          <w:right w:w="0" w:type="dxa"/>
        </w:tblCellMar>
      </w:tblPr>
      <w:tr>
        <w:trPr>
          <w:trHeight w:val="196"/>
        </w:trPr>
        <w:tc>
          <w:tcPr>
            <w:tcW w:w="740" w:type="dxa"/>
            <w:vAlign w:val="bottom"/>
          </w:tcPr>
          <w:p>
            <w:pPr>
              <w:spacing w:after="0"/>
              <w:rPr>
                <w:sz w:val="20"/>
                <w:szCs w:val="20"/>
                <w:color w:val="auto"/>
              </w:rPr>
            </w:pPr>
            <w:r>
              <w:rPr>
                <w:rFonts w:ascii="Arial" w:cs="Arial" w:eastAsia="Arial" w:hAnsi="Arial"/>
                <w:sz w:val="16"/>
                <w:szCs w:val="16"/>
                <w:color w:val="auto"/>
              </w:rPr>
              <w:t>By:</w:t>
            </w:r>
          </w:p>
        </w:tc>
        <w:tc>
          <w:tcPr>
            <w:tcW w:w="33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/s/ Joseph G. Kirchmeier</w:t>
            </w:r>
          </w:p>
        </w:tc>
      </w:tr>
      <w:tr>
        <w:trPr>
          <w:trHeight w:val="179"/>
        </w:trPr>
        <w:tc>
          <w:tcPr>
            <w:tcW w:w="740" w:type="dxa"/>
            <w:vAlign w:val="bottom"/>
          </w:tcPr>
          <w:p>
            <w:pPr>
              <w:spacing w:after="0" w:line="179" w:lineRule="exact"/>
              <w:rPr>
                <w:sz w:val="20"/>
                <w:szCs w:val="20"/>
                <w:color w:val="auto"/>
              </w:rPr>
            </w:pPr>
            <w:r>
              <w:rPr>
                <w:rFonts w:ascii="Arial" w:cs="Arial" w:eastAsia="Arial" w:hAnsi="Arial"/>
                <w:sz w:val="16"/>
                <w:szCs w:val="16"/>
                <w:color w:val="auto"/>
              </w:rPr>
              <w:t>Date:</w:t>
            </w:r>
          </w:p>
        </w:tc>
        <w:tc>
          <w:tcPr>
            <w:tcW w:w="3320" w:type="dxa"/>
            <w:vAlign w:val="bottom"/>
            <w:tcBorders>
              <w:bottom w:val="single" w:sz="8" w:color="auto"/>
            </w:tcBorders>
          </w:tcPr>
          <w:p>
            <w:pPr>
              <w:ind w:left="120"/>
              <w:spacing w:after="0" w:line="179" w:lineRule="exact"/>
              <w:rPr>
                <w:sz w:val="20"/>
                <w:szCs w:val="20"/>
                <w:color w:val="auto"/>
              </w:rPr>
            </w:pPr>
            <w:r>
              <w:rPr>
                <w:rFonts w:ascii="Arial" w:cs="Arial" w:eastAsia="Arial" w:hAnsi="Arial"/>
                <w:sz w:val="16"/>
                <w:szCs w:val="16"/>
                <w:color w:val="auto"/>
              </w:rPr>
              <w:t>7/29/14</w:t>
            </w:r>
          </w:p>
        </w:tc>
      </w:tr>
      <w:tr>
        <w:trPr>
          <w:trHeight w:val="179"/>
        </w:trPr>
        <w:tc>
          <w:tcPr>
            <w:tcW w:w="740" w:type="dxa"/>
            <w:vAlign w:val="bottom"/>
          </w:tcPr>
          <w:p>
            <w:pPr>
              <w:spacing w:after="0" w:line="179" w:lineRule="exact"/>
              <w:rPr>
                <w:sz w:val="20"/>
                <w:szCs w:val="20"/>
                <w:color w:val="auto"/>
              </w:rPr>
            </w:pPr>
            <w:r>
              <w:rPr>
                <w:rFonts w:ascii="Arial" w:cs="Arial" w:eastAsia="Arial" w:hAnsi="Arial"/>
                <w:sz w:val="16"/>
                <w:szCs w:val="16"/>
                <w:color w:val="auto"/>
              </w:rPr>
              <w:t>Attest:</w:t>
            </w:r>
          </w:p>
        </w:tc>
        <w:tc>
          <w:tcPr>
            <w:tcW w:w="3320" w:type="dxa"/>
            <w:vAlign w:val="bottom"/>
            <w:tcBorders>
              <w:bottom w:val="single" w:sz="8" w:color="auto"/>
            </w:tcBorders>
          </w:tcPr>
          <w:p>
            <w:pPr>
              <w:ind w:left="120"/>
              <w:spacing w:after="0" w:line="179" w:lineRule="exact"/>
              <w:rPr>
                <w:sz w:val="20"/>
                <w:szCs w:val="20"/>
                <w:color w:val="auto"/>
              </w:rPr>
            </w:pPr>
            <w:r>
              <w:rPr>
                <w:rFonts w:ascii="Arial" w:cs="Arial" w:eastAsia="Arial" w:hAnsi="Arial"/>
                <w:sz w:val="16"/>
                <w:szCs w:val="16"/>
                <w:color w:val="auto"/>
              </w:rPr>
              <w:t>/s/ James Mahoney</w:t>
            </w: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CALIFORNIA PUBLIC UTILITIES COMMISSION</w:t>
      </w:r>
    </w:p>
    <w:p>
      <w:pPr>
        <w:spacing w:after="0" w:line="215" w:lineRule="exact"/>
        <w:rPr>
          <w:sz w:val="20"/>
          <w:szCs w:val="20"/>
          <w:color w:val="auto"/>
        </w:rPr>
      </w:pPr>
    </w:p>
    <w:tbl>
      <w:tblPr>
        <w:tblLayout w:type="fixed"/>
        <w:tblInd w:w="140" w:type="dxa"/>
        <w:tblCellMar>
          <w:top w:w="0" w:type="dxa"/>
          <w:left w:w="0" w:type="dxa"/>
          <w:bottom w:w="0" w:type="dxa"/>
          <w:right w:w="0" w:type="dxa"/>
        </w:tblCellMar>
      </w:tblPr>
      <w:tr>
        <w:trPr>
          <w:trHeight w:val="196"/>
        </w:trPr>
        <w:tc>
          <w:tcPr>
            <w:tcW w:w="740" w:type="dxa"/>
            <w:vAlign w:val="bottom"/>
          </w:tcPr>
          <w:p>
            <w:pPr>
              <w:spacing w:after="0"/>
              <w:rPr>
                <w:sz w:val="20"/>
                <w:szCs w:val="20"/>
                <w:color w:val="auto"/>
              </w:rPr>
            </w:pPr>
            <w:r>
              <w:rPr>
                <w:rFonts w:ascii="Arial" w:cs="Arial" w:eastAsia="Arial" w:hAnsi="Arial"/>
                <w:sz w:val="16"/>
                <w:szCs w:val="16"/>
                <w:color w:val="auto"/>
              </w:rPr>
              <w:t>By:</w:t>
            </w:r>
          </w:p>
        </w:tc>
        <w:tc>
          <w:tcPr>
            <w:tcW w:w="33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/s/ Michelle Cooke for PAC</w:t>
            </w:r>
          </w:p>
        </w:tc>
      </w:tr>
      <w:tr>
        <w:trPr>
          <w:trHeight w:val="179"/>
        </w:trPr>
        <w:tc>
          <w:tcPr>
            <w:tcW w:w="740" w:type="dxa"/>
            <w:vAlign w:val="bottom"/>
          </w:tcPr>
          <w:p>
            <w:pPr>
              <w:spacing w:after="0" w:line="179" w:lineRule="exact"/>
              <w:rPr>
                <w:sz w:val="20"/>
                <w:szCs w:val="20"/>
                <w:color w:val="auto"/>
              </w:rPr>
            </w:pPr>
            <w:r>
              <w:rPr>
                <w:rFonts w:ascii="Arial" w:cs="Arial" w:eastAsia="Arial" w:hAnsi="Arial"/>
                <w:sz w:val="16"/>
                <w:szCs w:val="16"/>
                <w:color w:val="auto"/>
              </w:rPr>
              <w:t>Date:</w:t>
            </w:r>
          </w:p>
        </w:tc>
        <w:tc>
          <w:tcPr>
            <w:tcW w:w="3320" w:type="dxa"/>
            <w:vAlign w:val="bottom"/>
            <w:tcBorders>
              <w:bottom w:val="single" w:sz="8" w:color="auto"/>
            </w:tcBorders>
          </w:tcPr>
          <w:p>
            <w:pPr>
              <w:ind w:left="120"/>
              <w:spacing w:after="0" w:line="179" w:lineRule="exact"/>
              <w:rPr>
                <w:sz w:val="20"/>
                <w:szCs w:val="20"/>
                <w:color w:val="auto"/>
              </w:rPr>
            </w:pPr>
            <w:r>
              <w:rPr>
                <w:rFonts w:ascii="Arial" w:cs="Arial" w:eastAsia="Arial" w:hAnsi="Arial"/>
                <w:sz w:val="16"/>
                <w:szCs w:val="16"/>
                <w:color w:val="auto"/>
              </w:rPr>
              <w:t>8/27/14</w:t>
            </w:r>
          </w:p>
        </w:tc>
      </w:tr>
      <w:tr>
        <w:trPr>
          <w:trHeight w:val="179"/>
        </w:trPr>
        <w:tc>
          <w:tcPr>
            <w:tcW w:w="740" w:type="dxa"/>
            <w:vAlign w:val="bottom"/>
          </w:tcPr>
          <w:p>
            <w:pPr>
              <w:spacing w:after="0" w:line="179" w:lineRule="exact"/>
              <w:rPr>
                <w:sz w:val="20"/>
                <w:szCs w:val="20"/>
                <w:color w:val="auto"/>
              </w:rPr>
            </w:pPr>
            <w:r>
              <w:rPr>
                <w:rFonts w:ascii="Arial" w:cs="Arial" w:eastAsia="Arial" w:hAnsi="Arial"/>
                <w:sz w:val="16"/>
                <w:szCs w:val="16"/>
                <w:color w:val="auto"/>
              </w:rPr>
              <w:t>Attest:</w:t>
            </w:r>
          </w:p>
        </w:tc>
        <w:tc>
          <w:tcPr>
            <w:tcW w:w="3320" w:type="dxa"/>
            <w:vAlign w:val="bottom"/>
            <w:tcBorders>
              <w:bottom w:val="single" w:sz="8" w:color="auto"/>
            </w:tcBorders>
          </w:tcPr>
          <w:p>
            <w:pPr>
              <w:ind w:left="120"/>
              <w:spacing w:after="0" w:line="179" w:lineRule="exact"/>
              <w:rPr>
                <w:sz w:val="20"/>
                <w:szCs w:val="20"/>
                <w:color w:val="auto"/>
              </w:rPr>
            </w:pPr>
            <w:r>
              <w:rPr>
                <w:rFonts w:ascii="Arial" w:cs="Arial" w:eastAsia="Arial" w:hAnsi="Arial"/>
                <w:sz w:val="16"/>
                <w:szCs w:val="16"/>
                <w:color w:val="auto"/>
              </w:rPr>
              <w:t>/s/ Carol Mendiola</w:t>
            </w:r>
          </w:p>
        </w:tc>
      </w:tr>
    </w:tbl>
    <w:p>
      <w:pPr>
        <w:sectPr>
          <w:pgSz w:w="11900" w:h="16838" w:orient="portrait"/>
          <w:cols w:equalWidth="0" w:num="1">
            <w:col w:w="11420"/>
          </w:cols>
          <w:pgMar w:left="240" w:top="117"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25"/>
          <w:szCs w:val="25"/>
          <w:b w:val="1"/>
          <w:bCs w:val="1"/>
          <w:color w:val="auto"/>
        </w:rPr>
        <w:t>Exhibit 10.2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AMENDMENT NO. 11</w:t>
      </w:r>
    </w:p>
    <w:p>
      <w:pPr>
        <w:jc w:val="center"/>
        <w:spacing w:after="0" w:line="237" w:lineRule="auto"/>
        <w:rPr>
          <w:sz w:val="20"/>
          <w:szCs w:val="20"/>
          <w:color w:val="auto"/>
        </w:rPr>
      </w:pPr>
      <w:r>
        <w:rPr>
          <w:rFonts w:ascii="Arial" w:cs="Arial" w:eastAsia="Arial" w:hAnsi="Arial"/>
          <w:sz w:val="21"/>
          <w:szCs w:val="21"/>
          <w:color w:val="auto"/>
        </w:rPr>
        <w:t>TO THE</w:t>
      </w:r>
    </w:p>
    <w:p>
      <w:pPr>
        <w:jc w:val="center"/>
        <w:spacing w:after="0" w:line="238" w:lineRule="auto"/>
        <w:rPr>
          <w:sz w:val="20"/>
          <w:szCs w:val="20"/>
          <w:color w:val="auto"/>
        </w:rPr>
      </w:pPr>
      <w:r>
        <w:rPr>
          <w:rFonts w:ascii="Arial" w:cs="Arial" w:eastAsia="Arial" w:hAnsi="Arial"/>
          <w:sz w:val="21"/>
          <w:szCs w:val="21"/>
          <w:color w:val="auto"/>
        </w:rPr>
        <w:t>SAN DIEGO GAS &amp; ELECTRIC COMPANY</w:t>
      </w:r>
    </w:p>
    <w:p>
      <w:pPr>
        <w:jc w:val="center"/>
        <w:spacing w:after="0" w:line="238" w:lineRule="auto"/>
        <w:rPr>
          <w:sz w:val="20"/>
          <w:szCs w:val="20"/>
          <w:color w:val="auto"/>
        </w:rPr>
      </w:pPr>
      <w:r>
        <w:rPr>
          <w:rFonts w:ascii="Arial" w:cs="Arial" w:eastAsia="Arial" w:hAnsi="Arial"/>
          <w:sz w:val="21"/>
          <w:szCs w:val="21"/>
          <w:color w:val="auto"/>
        </w:rPr>
        <w:t>NUCLEAR FACILITIES QUALIFIED CPUC DECOMMISSIONING</w:t>
      </w:r>
    </w:p>
    <w:p>
      <w:pPr>
        <w:jc w:val="center"/>
        <w:spacing w:after="0" w:line="237" w:lineRule="auto"/>
        <w:rPr>
          <w:sz w:val="20"/>
          <w:szCs w:val="20"/>
          <w:color w:val="auto"/>
        </w:rPr>
      </w:pPr>
      <w:r>
        <w:rPr>
          <w:rFonts w:ascii="Arial" w:cs="Arial" w:eastAsia="Arial" w:hAnsi="Arial"/>
          <w:sz w:val="21"/>
          <w:szCs w:val="21"/>
          <w:color w:val="auto"/>
        </w:rPr>
        <w:t>MASTER TRUST AGREEMENT</w:t>
      </w:r>
    </w:p>
    <w:p>
      <w:pPr>
        <w:jc w:val="center"/>
        <w:spacing w:after="0" w:line="238" w:lineRule="auto"/>
        <w:rPr>
          <w:sz w:val="20"/>
          <w:szCs w:val="20"/>
          <w:color w:val="auto"/>
        </w:rPr>
      </w:pPr>
      <w:r>
        <w:rPr>
          <w:rFonts w:ascii="Arial" w:cs="Arial" w:eastAsia="Arial" w:hAnsi="Arial"/>
          <w:sz w:val="21"/>
          <w:szCs w:val="21"/>
          <w:color w:val="auto"/>
        </w:rPr>
        <w:t>FOR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SAN ONOFRE NUCLEAR GENERATING STATIONS</w:t>
      </w:r>
    </w:p>
    <w:p>
      <w:pPr>
        <w:spacing w:after="0" w:line="200" w:lineRule="exact"/>
        <w:rPr>
          <w:sz w:val="20"/>
          <w:szCs w:val="20"/>
          <w:color w:val="auto"/>
        </w:rPr>
      </w:pPr>
    </w:p>
    <w:p>
      <w:pPr>
        <w:spacing w:after="0" w:line="351" w:lineRule="exact"/>
        <w:rPr>
          <w:sz w:val="20"/>
          <w:szCs w:val="20"/>
          <w:color w:val="auto"/>
        </w:rPr>
      </w:pPr>
    </w:p>
    <w:p>
      <w:pPr>
        <w:ind w:right="40"/>
        <w:spacing w:after="0" w:line="236" w:lineRule="auto"/>
        <w:rPr>
          <w:sz w:val="20"/>
          <w:szCs w:val="20"/>
          <w:color w:val="auto"/>
        </w:rPr>
      </w:pPr>
      <w:r>
        <w:rPr>
          <w:rFonts w:ascii="Arial" w:cs="Arial" w:eastAsia="Arial" w:hAnsi="Arial"/>
          <w:sz w:val="20"/>
          <w:szCs w:val="20"/>
          <w:color w:val="auto"/>
        </w:rPr>
        <w:t xml:space="preserve">This Amendment No. 11 made this </w:t>
      </w:r>
      <w:r>
        <w:rPr>
          <w:rFonts w:ascii="Arial" w:cs="Arial" w:eastAsia="Arial" w:hAnsi="Arial"/>
          <w:sz w:val="15"/>
          <w:szCs w:val="15"/>
          <w:color w:val="auto"/>
        </w:rPr>
        <w:t>27</w:t>
      </w:r>
      <w:r>
        <w:rPr>
          <w:rFonts w:ascii="Arial" w:cs="Arial" w:eastAsia="Arial" w:hAnsi="Arial"/>
          <w:sz w:val="25"/>
          <w:szCs w:val="25"/>
          <w:u w:val="single" w:color="auto"/>
          <w:color w:val="auto"/>
          <w:vertAlign w:val="superscript"/>
        </w:rPr>
        <w:t>th</w:t>
      </w:r>
      <w:r>
        <w:rPr>
          <w:rFonts w:ascii="Arial" w:cs="Arial" w:eastAsia="Arial" w:hAnsi="Arial"/>
          <w:sz w:val="20"/>
          <w:szCs w:val="20"/>
          <w:color w:val="auto"/>
        </w:rPr>
        <w:t xml:space="preserve"> day of </w:t>
      </w:r>
      <w:r>
        <w:rPr>
          <w:rFonts w:ascii="Arial" w:cs="Arial" w:eastAsia="Arial" w:hAnsi="Arial"/>
          <w:sz w:val="15"/>
          <w:szCs w:val="15"/>
          <w:color w:val="auto"/>
        </w:rPr>
        <w:t>August</w:t>
      </w:r>
      <w:r>
        <w:rPr>
          <w:rFonts w:ascii="Arial" w:cs="Arial" w:eastAsia="Arial" w:hAnsi="Arial"/>
          <w:sz w:val="20"/>
          <w:szCs w:val="20"/>
          <w:color w:val="auto"/>
        </w:rPr>
        <w:t xml:space="preserve"> , 2014, by and between San Diego Gas &amp; Electric Company (“Company”) and The Bank of New York Mellon, a New York state bank, successor by operation of law to Mellon Bank, N.A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1930400</wp:posOffset>
            </wp:positionH>
            <wp:positionV relativeFrom="paragraph">
              <wp:posOffset>-182245</wp:posOffset>
            </wp:positionV>
            <wp:extent cx="3441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4170" cy="8255"/>
                    </a:xfrm>
                    <a:prstGeom prst="rect">
                      <a:avLst/>
                    </a:prstGeom>
                    <a:noFill/>
                  </pic:spPr>
                </pic:pic>
              </a:graphicData>
            </a:graphic>
          </wp:anchor>
        </w:drawing>
        <w:drawing>
          <wp:anchor simplePos="0" relativeHeight="251657728" behindDoc="1" locked="0" layoutInCell="0" allowOverlap="1">
            <wp:simplePos x="0" y="0"/>
            <wp:positionH relativeFrom="column">
              <wp:posOffset>2640965</wp:posOffset>
            </wp:positionH>
            <wp:positionV relativeFrom="paragraph">
              <wp:posOffset>-182245</wp:posOffset>
            </wp:positionV>
            <wp:extent cx="56515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65150" cy="8255"/>
                    </a:xfrm>
                    <a:prstGeom prst="rect">
                      <a:avLst/>
                    </a:prstGeom>
                    <a:noFill/>
                  </pic:spPr>
                </pic:pic>
              </a:graphicData>
            </a:graphic>
          </wp:anchor>
        </w:drawing>
      </w:r>
    </w:p>
    <w:p>
      <w:pPr>
        <w:spacing w:after="0" w:line="122" w:lineRule="exact"/>
        <w:rPr>
          <w:sz w:val="20"/>
          <w:szCs w:val="20"/>
          <w:color w:val="auto"/>
        </w:rPr>
      </w:pPr>
    </w:p>
    <w:p>
      <w:pPr>
        <w:ind w:right="460"/>
        <w:spacing w:after="0" w:line="252" w:lineRule="auto"/>
        <w:rPr>
          <w:sz w:val="20"/>
          <w:szCs w:val="20"/>
          <w:color w:val="auto"/>
        </w:rPr>
      </w:pPr>
      <w:r>
        <w:rPr>
          <w:rFonts w:ascii="Arial" w:cs="Arial" w:eastAsia="Arial" w:hAnsi="Arial"/>
          <w:sz w:val="21"/>
          <w:szCs w:val="21"/>
          <w:color w:val="auto"/>
        </w:rPr>
        <w:t>WHEREAS, pursuant to Section 2.12 of the Nuclear Facilities Qualified Decommissioning Master Trust for San Onofre Nuclear Generating Stations dated as of June 29, 1992, as amended (“Agreement”) between the Company and the Trustee, the parties specifically reserve the right to amend the Agreement;</w:t>
      </w:r>
    </w:p>
    <w:p>
      <w:pPr>
        <w:spacing w:after="0" w:line="130" w:lineRule="exact"/>
        <w:rPr>
          <w:sz w:val="20"/>
          <w:szCs w:val="20"/>
          <w:color w:val="auto"/>
        </w:rPr>
      </w:pPr>
    </w:p>
    <w:p>
      <w:pPr>
        <w:spacing w:after="0"/>
        <w:rPr>
          <w:sz w:val="20"/>
          <w:szCs w:val="20"/>
          <w:color w:val="auto"/>
        </w:rPr>
      </w:pPr>
      <w:r>
        <w:rPr>
          <w:rFonts w:ascii="Arial" w:cs="Arial" w:eastAsia="Arial" w:hAnsi="Arial"/>
          <w:sz w:val="21"/>
          <w:szCs w:val="21"/>
          <w:color w:val="auto"/>
        </w:rPr>
        <w:t>NOW, THEREFORE, the Company and the Trustee agree as follows:</w:t>
      </w:r>
    </w:p>
    <w:p>
      <w:pPr>
        <w:spacing w:after="0" w:line="210" w:lineRule="exact"/>
        <w:rPr>
          <w:sz w:val="20"/>
          <w:szCs w:val="20"/>
          <w:color w:val="auto"/>
        </w:rPr>
      </w:pPr>
    </w:p>
    <w:p>
      <w:pPr>
        <w:ind w:left="640" w:hanging="315"/>
        <w:spacing w:after="0"/>
        <w:tabs>
          <w:tab w:leader="none" w:pos="640" w:val="left"/>
        </w:tabs>
        <w:numPr>
          <w:ilvl w:val="0"/>
          <w:numId w:val="154"/>
        </w:numPr>
        <w:rPr>
          <w:rFonts w:ascii="Arial" w:cs="Arial" w:eastAsia="Arial" w:hAnsi="Arial"/>
          <w:sz w:val="21"/>
          <w:szCs w:val="21"/>
          <w:color w:val="auto"/>
        </w:rPr>
      </w:pPr>
      <w:r>
        <w:rPr>
          <w:rFonts w:ascii="Arial" w:cs="Arial" w:eastAsia="Arial" w:hAnsi="Arial"/>
          <w:sz w:val="21"/>
          <w:szCs w:val="21"/>
          <w:color w:val="auto"/>
        </w:rPr>
        <w:t>The last sentence of Section 3.02 shall be restated as follows:</w:t>
      </w:r>
    </w:p>
    <w:p>
      <w:pPr>
        <w:spacing w:after="0" w:line="170" w:lineRule="exact"/>
        <w:rPr>
          <w:rFonts w:ascii="Arial" w:cs="Arial" w:eastAsia="Arial" w:hAnsi="Arial"/>
          <w:sz w:val="21"/>
          <w:szCs w:val="21"/>
          <w:color w:val="auto"/>
        </w:rPr>
      </w:pPr>
    </w:p>
    <w:p>
      <w:pPr>
        <w:ind w:left="640" w:right="1640"/>
        <w:spacing w:after="0" w:line="267" w:lineRule="auto"/>
        <w:rPr>
          <w:rFonts w:ascii="Arial" w:cs="Arial" w:eastAsia="Arial" w:hAnsi="Arial"/>
          <w:sz w:val="21"/>
          <w:szCs w:val="21"/>
          <w:color w:val="auto"/>
        </w:rPr>
      </w:pPr>
      <w:r>
        <w:rPr>
          <w:rFonts w:ascii="Arial" w:cs="Arial" w:eastAsia="Arial" w:hAnsi="Arial"/>
          <w:sz w:val="21"/>
          <w:szCs w:val="21"/>
          <w:color w:val="auto"/>
        </w:rPr>
        <w:t>“Appointments of Committee members may be for less than a five-year term in order to establish staggered membership terms among the members of the Committee.”</w:t>
      </w:r>
    </w:p>
    <w:p>
      <w:pPr>
        <w:spacing w:after="0" w:line="140" w:lineRule="exact"/>
        <w:rPr>
          <w:rFonts w:ascii="Arial" w:cs="Arial" w:eastAsia="Arial" w:hAnsi="Arial"/>
          <w:sz w:val="21"/>
          <w:szCs w:val="21"/>
          <w:color w:val="auto"/>
        </w:rPr>
      </w:pPr>
    </w:p>
    <w:p>
      <w:pPr>
        <w:ind w:left="640" w:right="40" w:hanging="315"/>
        <w:spacing w:after="0" w:line="252" w:lineRule="auto"/>
        <w:tabs>
          <w:tab w:leader="none" w:pos="640" w:val="left"/>
        </w:tabs>
        <w:numPr>
          <w:ilvl w:val="0"/>
          <w:numId w:val="154"/>
        </w:numPr>
        <w:rPr>
          <w:rFonts w:ascii="Arial" w:cs="Arial" w:eastAsia="Arial" w:hAnsi="Arial"/>
          <w:sz w:val="21"/>
          <w:szCs w:val="21"/>
          <w:color w:val="auto"/>
        </w:rPr>
      </w:pPr>
      <w:r>
        <w:rPr>
          <w:rFonts w:ascii="Arial" w:cs="Arial" w:eastAsia="Arial" w:hAnsi="Arial"/>
          <w:sz w:val="21"/>
          <w:szCs w:val="21"/>
          <w:color w:val="auto"/>
        </w:rPr>
        <w:t>Each Party hereby represents and warrants to the others that it has full authority to enter into this Amendment No. 11 upon the terms and conditions hereof and that the individual executing this Amendment No. 11 on its behalf has the requisite authority to bind that Party.</w:t>
      </w:r>
    </w:p>
    <w:p>
      <w:pPr>
        <w:spacing w:after="0" w:line="382" w:lineRule="exact"/>
        <w:rPr>
          <w:sz w:val="20"/>
          <w:szCs w:val="20"/>
          <w:color w:val="auto"/>
        </w:rPr>
      </w:pPr>
    </w:p>
    <w:p>
      <w:pPr>
        <w:ind w:right="200"/>
        <w:spacing w:after="0" w:line="267" w:lineRule="auto"/>
        <w:rPr>
          <w:sz w:val="20"/>
          <w:szCs w:val="20"/>
          <w:color w:val="auto"/>
        </w:rPr>
      </w:pPr>
      <w:r>
        <w:rPr>
          <w:rFonts w:ascii="Arial" w:cs="Arial" w:eastAsia="Arial" w:hAnsi="Arial"/>
          <w:sz w:val="21"/>
          <w:szCs w:val="21"/>
          <w:color w:val="auto"/>
        </w:rPr>
        <w:t>IN WITNESS WHEREOF, the Company, the Trustee, and the California Public Utilities Commission have set their hands and seals in agreement to these amendments effective as provided above.</w:t>
      </w:r>
    </w:p>
    <w:p>
      <w:pPr>
        <w:spacing w:after="0" w:line="200" w:lineRule="exact"/>
        <w:rPr>
          <w:sz w:val="20"/>
          <w:szCs w:val="20"/>
          <w:color w:val="auto"/>
        </w:rPr>
      </w:pPr>
    </w:p>
    <w:p>
      <w:pPr>
        <w:spacing w:after="0" w:line="258"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SAN DIEGO GAS &amp; ELECTRIC COMPANY</w:t>
      </w:r>
    </w:p>
    <w:p>
      <w:pPr>
        <w:spacing w:after="0" w:line="215" w:lineRule="exact"/>
        <w:rPr>
          <w:sz w:val="20"/>
          <w:szCs w:val="20"/>
          <w:color w:val="auto"/>
        </w:rPr>
      </w:pPr>
    </w:p>
    <w:tbl>
      <w:tblPr>
        <w:tblLayout w:type="fixed"/>
        <w:tblInd w:w="140" w:type="dxa"/>
        <w:tblCellMar>
          <w:top w:w="0" w:type="dxa"/>
          <w:left w:w="0" w:type="dxa"/>
          <w:bottom w:w="0" w:type="dxa"/>
          <w:right w:w="0" w:type="dxa"/>
        </w:tblCellMar>
      </w:tblPr>
      <w:tr>
        <w:trPr>
          <w:trHeight w:val="196"/>
        </w:trPr>
        <w:tc>
          <w:tcPr>
            <w:tcW w:w="740" w:type="dxa"/>
            <w:vAlign w:val="bottom"/>
          </w:tcPr>
          <w:p>
            <w:pPr>
              <w:spacing w:after="0"/>
              <w:rPr>
                <w:sz w:val="20"/>
                <w:szCs w:val="20"/>
                <w:color w:val="auto"/>
              </w:rPr>
            </w:pPr>
            <w:r>
              <w:rPr>
                <w:rFonts w:ascii="Arial" w:cs="Arial" w:eastAsia="Arial" w:hAnsi="Arial"/>
                <w:sz w:val="16"/>
                <w:szCs w:val="16"/>
                <w:color w:val="auto"/>
              </w:rPr>
              <w:t>By:</w:t>
            </w:r>
          </w:p>
        </w:tc>
        <w:tc>
          <w:tcPr>
            <w:tcW w:w="33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/s/ Robert Schlax</w:t>
            </w:r>
          </w:p>
        </w:tc>
      </w:tr>
      <w:tr>
        <w:trPr>
          <w:trHeight w:val="179"/>
        </w:trPr>
        <w:tc>
          <w:tcPr>
            <w:tcW w:w="740" w:type="dxa"/>
            <w:vAlign w:val="bottom"/>
          </w:tcPr>
          <w:p>
            <w:pPr>
              <w:spacing w:after="0" w:line="179" w:lineRule="exact"/>
              <w:rPr>
                <w:sz w:val="20"/>
                <w:szCs w:val="20"/>
                <w:color w:val="auto"/>
              </w:rPr>
            </w:pPr>
            <w:r>
              <w:rPr>
                <w:rFonts w:ascii="Arial" w:cs="Arial" w:eastAsia="Arial" w:hAnsi="Arial"/>
                <w:sz w:val="16"/>
                <w:szCs w:val="16"/>
                <w:color w:val="auto"/>
              </w:rPr>
              <w:t>Date:</w:t>
            </w:r>
          </w:p>
        </w:tc>
        <w:tc>
          <w:tcPr>
            <w:tcW w:w="3320" w:type="dxa"/>
            <w:vAlign w:val="bottom"/>
            <w:tcBorders>
              <w:bottom w:val="single" w:sz="8" w:color="auto"/>
            </w:tcBorders>
          </w:tcPr>
          <w:p>
            <w:pPr>
              <w:ind w:left="120"/>
              <w:spacing w:after="0" w:line="179" w:lineRule="exact"/>
              <w:rPr>
                <w:sz w:val="20"/>
                <w:szCs w:val="20"/>
                <w:color w:val="auto"/>
              </w:rPr>
            </w:pPr>
            <w:r>
              <w:rPr>
                <w:rFonts w:ascii="Arial" w:cs="Arial" w:eastAsia="Arial" w:hAnsi="Arial"/>
                <w:sz w:val="16"/>
                <w:szCs w:val="16"/>
                <w:color w:val="auto"/>
              </w:rPr>
              <w:t>7/31/14</w:t>
            </w:r>
          </w:p>
        </w:tc>
      </w:tr>
      <w:tr>
        <w:trPr>
          <w:trHeight w:val="179"/>
        </w:trPr>
        <w:tc>
          <w:tcPr>
            <w:tcW w:w="740" w:type="dxa"/>
            <w:vAlign w:val="bottom"/>
          </w:tcPr>
          <w:p>
            <w:pPr>
              <w:spacing w:after="0" w:line="179" w:lineRule="exact"/>
              <w:rPr>
                <w:sz w:val="20"/>
                <w:szCs w:val="20"/>
                <w:color w:val="auto"/>
              </w:rPr>
            </w:pPr>
            <w:r>
              <w:rPr>
                <w:rFonts w:ascii="Arial" w:cs="Arial" w:eastAsia="Arial" w:hAnsi="Arial"/>
                <w:sz w:val="16"/>
                <w:szCs w:val="16"/>
                <w:color w:val="auto"/>
              </w:rPr>
              <w:t>Attest:</w:t>
            </w:r>
          </w:p>
        </w:tc>
        <w:tc>
          <w:tcPr>
            <w:tcW w:w="3320" w:type="dxa"/>
            <w:vAlign w:val="bottom"/>
            <w:tcBorders>
              <w:bottom w:val="single" w:sz="8" w:color="auto"/>
            </w:tcBorders>
          </w:tcPr>
          <w:p>
            <w:pPr>
              <w:ind w:left="120"/>
              <w:spacing w:after="0" w:line="179" w:lineRule="exact"/>
              <w:rPr>
                <w:sz w:val="20"/>
                <w:szCs w:val="20"/>
                <w:color w:val="auto"/>
              </w:rPr>
            </w:pPr>
            <w:r>
              <w:rPr>
                <w:rFonts w:ascii="Arial" w:cs="Arial" w:eastAsia="Arial" w:hAnsi="Arial"/>
                <w:sz w:val="16"/>
                <w:szCs w:val="16"/>
                <w:color w:val="auto"/>
              </w:rPr>
              <w:t>/s/ Sylvia Jimenez</w:t>
            </w: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BANK OF NEW YORK MELLON</w:t>
      </w:r>
    </w:p>
    <w:p>
      <w:pPr>
        <w:spacing w:after="0" w:line="215" w:lineRule="exact"/>
        <w:rPr>
          <w:sz w:val="20"/>
          <w:szCs w:val="20"/>
          <w:color w:val="auto"/>
        </w:rPr>
      </w:pPr>
    </w:p>
    <w:tbl>
      <w:tblPr>
        <w:tblLayout w:type="fixed"/>
        <w:tblInd w:w="140" w:type="dxa"/>
        <w:tblCellMar>
          <w:top w:w="0" w:type="dxa"/>
          <w:left w:w="0" w:type="dxa"/>
          <w:bottom w:w="0" w:type="dxa"/>
          <w:right w:w="0" w:type="dxa"/>
        </w:tblCellMar>
      </w:tblPr>
      <w:tr>
        <w:trPr>
          <w:trHeight w:val="196"/>
        </w:trPr>
        <w:tc>
          <w:tcPr>
            <w:tcW w:w="740" w:type="dxa"/>
            <w:vAlign w:val="bottom"/>
          </w:tcPr>
          <w:p>
            <w:pPr>
              <w:spacing w:after="0"/>
              <w:rPr>
                <w:sz w:val="20"/>
                <w:szCs w:val="20"/>
                <w:color w:val="auto"/>
              </w:rPr>
            </w:pPr>
            <w:r>
              <w:rPr>
                <w:rFonts w:ascii="Arial" w:cs="Arial" w:eastAsia="Arial" w:hAnsi="Arial"/>
                <w:sz w:val="16"/>
                <w:szCs w:val="16"/>
                <w:color w:val="auto"/>
              </w:rPr>
              <w:t>By:</w:t>
            </w:r>
          </w:p>
        </w:tc>
        <w:tc>
          <w:tcPr>
            <w:tcW w:w="33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/s/ Joseph G. Kirchmeier</w:t>
            </w:r>
          </w:p>
        </w:tc>
      </w:tr>
      <w:tr>
        <w:trPr>
          <w:trHeight w:val="179"/>
        </w:trPr>
        <w:tc>
          <w:tcPr>
            <w:tcW w:w="740" w:type="dxa"/>
            <w:vAlign w:val="bottom"/>
          </w:tcPr>
          <w:p>
            <w:pPr>
              <w:spacing w:after="0" w:line="179" w:lineRule="exact"/>
              <w:rPr>
                <w:sz w:val="20"/>
                <w:szCs w:val="20"/>
                <w:color w:val="auto"/>
              </w:rPr>
            </w:pPr>
            <w:r>
              <w:rPr>
                <w:rFonts w:ascii="Arial" w:cs="Arial" w:eastAsia="Arial" w:hAnsi="Arial"/>
                <w:sz w:val="16"/>
                <w:szCs w:val="16"/>
                <w:color w:val="auto"/>
              </w:rPr>
              <w:t>Date:</w:t>
            </w:r>
          </w:p>
        </w:tc>
        <w:tc>
          <w:tcPr>
            <w:tcW w:w="3320" w:type="dxa"/>
            <w:vAlign w:val="bottom"/>
            <w:tcBorders>
              <w:bottom w:val="single" w:sz="8" w:color="auto"/>
            </w:tcBorders>
          </w:tcPr>
          <w:p>
            <w:pPr>
              <w:ind w:left="120"/>
              <w:spacing w:after="0" w:line="179" w:lineRule="exact"/>
              <w:rPr>
                <w:sz w:val="20"/>
                <w:szCs w:val="20"/>
                <w:color w:val="auto"/>
              </w:rPr>
            </w:pPr>
            <w:r>
              <w:rPr>
                <w:rFonts w:ascii="Arial" w:cs="Arial" w:eastAsia="Arial" w:hAnsi="Arial"/>
                <w:sz w:val="16"/>
                <w:szCs w:val="16"/>
                <w:color w:val="auto"/>
              </w:rPr>
              <w:t>7/29/14</w:t>
            </w:r>
          </w:p>
        </w:tc>
      </w:tr>
      <w:tr>
        <w:trPr>
          <w:trHeight w:val="179"/>
        </w:trPr>
        <w:tc>
          <w:tcPr>
            <w:tcW w:w="740" w:type="dxa"/>
            <w:vAlign w:val="bottom"/>
          </w:tcPr>
          <w:p>
            <w:pPr>
              <w:spacing w:after="0" w:line="179" w:lineRule="exact"/>
              <w:rPr>
                <w:sz w:val="20"/>
                <w:szCs w:val="20"/>
                <w:color w:val="auto"/>
              </w:rPr>
            </w:pPr>
            <w:r>
              <w:rPr>
                <w:rFonts w:ascii="Arial" w:cs="Arial" w:eastAsia="Arial" w:hAnsi="Arial"/>
                <w:sz w:val="16"/>
                <w:szCs w:val="16"/>
                <w:color w:val="auto"/>
              </w:rPr>
              <w:t>Attest:</w:t>
            </w:r>
          </w:p>
        </w:tc>
        <w:tc>
          <w:tcPr>
            <w:tcW w:w="3320" w:type="dxa"/>
            <w:vAlign w:val="bottom"/>
            <w:tcBorders>
              <w:bottom w:val="single" w:sz="8" w:color="auto"/>
            </w:tcBorders>
          </w:tcPr>
          <w:p>
            <w:pPr>
              <w:ind w:left="120"/>
              <w:spacing w:after="0" w:line="179" w:lineRule="exact"/>
              <w:rPr>
                <w:sz w:val="20"/>
                <w:szCs w:val="20"/>
                <w:color w:val="auto"/>
              </w:rPr>
            </w:pPr>
            <w:r>
              <w:rPr>
                <w:rFonts w:ascii="Arial" w:cs="Arial" w:eastAsia="Arial" w:hAnsi="Arial"/>
                <w:sz w:val="16"/>
                <w:szCs w:val="16"/>
                <w:color w:val="auto"/>
              </w:rPr>
              <w:t>/s/ James Mahoney</w:t>
            </w: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CALIFORNIA PUBLIC UTILITIES COMMISSION</w:t>
      </w:r>
    </w:p>
    <w:p>
      <w:pPr>
        <w:spacing w:after="0" w:line="215" w:lineRule="exact"/>
        <w:rPr>
          <w:sz w:val="20"/>
          <w:szCs w:val="20"/>
          <w:color w:val="auto"/>
        </w:rPr>
      </w:pPr>
    </w:p>
    <w:tbl>
      <w:tblPr>
        <w:tblLayout w:type="fixed"/>
        <w:tblInd w:w="140" w:type="dxa"/>
        <w:tblCellMar>
          <w:top w:w="0" w:type="dxa"/>
          <w:left w:w="0" w:type="dxa"/>
          <w:bottom w:w="0" w:type="dxa"/>
          <w:right w:w="0" w:type="dxa"/>
        </w:tblCellMar>
      </w:tblPr>
      <w:tr>
        <w:trPr>
          <w:trHeight w:val="196"/>
        </w:trPr>
        <w:tc>
          <w:tcPr>
            <w:tcW w:w="740" w:type="dxa"/>
            <w:vAlign w:val="bottom"/>
          </w:tcPr>
          <w:p>
            <w:pPr>
              <w:spacing w:after="0"/>
              <w:rPr>
                <w:sz w:val="20"/>
                <w:szCs w:val="20"/>
                <w:color w:val="auto"/>
              </w:rPr>
            </w:pPr>
            <w:r>
              <w:rPr>
                <w:rFonts w:ascii="Arial" w:cs="Arial" w:eastAsia="Arial" w:hAnsi="Arial"/>
                <w:sz w:val="16"/>
                <w:szCs w:val="16"/>
                <w:color w:val="auto"/>
              </w:rPr>
              <w:t>By:</w:t>
            </w:r>
          </w:p>
        </w:tc>
        <w:tc>
          <w:tcPr>
            <w:tcW w:w="33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/s/ Michelle Cooke for PAC</w:t>
            </w:r>
          </w:p>
        </w:tc>
      </w:tr>
      <w:tr>
        <w:trPr>
          <w:trHeight w:val="179"/>
        </w:trPr>
        <w:tc>
          <w:tcPr>
            <w:tcW w:w="740" w:type="dxa"/>
            <w:vAlign w:val="bottom"/>
          </w:tcPr>
          <w:p>
            <w:pPr>
              <w:spacing w:after="0" w:line="179" w:lineRule="exact"/>
              <w:rPr>
                <w:sz w:val="20"/>
                <w:szCs w:val="20"/>
                <w:color w:val="auto"/>
              </w:rPr>
            </w:pPr>
            <w:r>
              <w:rPr>
                <w:rFonts w:ascii="Arial" w:cs="Arial" w:eastAsia="Arial" w:hAnsi="Arial"/>
                <w:sz w:val="16"/>
                <w:szCs w:val="16"/>
                <w:color w:val="auto"/>
              </w:rPr>
              <w:t>Date:</w:t>
            </w:r>
          </w:p>
        </w:tc>
        <w:tc>
          <w:tcPr>
            <w:tcW w:w="3320" w:type="dxa"/>
            <w:vAlign w:val="bottom"/>
            <w:tcBorders>
              <w:bottom w:val="single" w:sz="8" w:color="auto"/>
            </w:tcBorders>
          </w:tcPr>
          <w:p>
            <w:pPr>
              <w:ind w:left="120"/>
              <w:spacing w:after="0" w:line="179" w:lineRule="exact"/>
              <w:rPr>
                <w:sz w:val="20"/>
                <w:szCs w:val="20"/>
                <w:color w:val="auto"/>
              </w:rPr>
            </w:pPr>
            <w:r>
              <w:rPr>
                <w:rFonts w:ascii="Arial" w:cs="Arial" w:eastAsia="Arial" w:hAnsi="Arial"/>
                <w:sz w:val="16"/>
                <w:szCs w:val="16"/>
                <w:color w:val="auto"/>
              </w:rPr>
              <w:t>8/27/14</w:t>
            </w:r>
          </w:p>
        </w:tc>
      </w:tr>
      <w:tr>
        <w:trPr>
          <w:trHeight w:val="179"/>
        </w:trPr>
        <w:tc>
          <w:tcPr>
            <w:tcW w:w="740" w:type="dxa"/>
            <w:vAlign w:val="bottom"/>
          </w:tcPr>
          <w:p>
            <w:pPr>
              <w:spacing w:after="0" w:line="179" w:lineRule="exact"/>
              <w:rPr>
                <w:sz w:val="20"/>
                <w:szCs w:val="20"/>
                <w:color w:val="auto"/>
              </w:rPr>
            </w:pPr>
            <w:r>
              <w:rPr>
                <w:rFonts w:ascii="Arial" w:cs="Arial" w:eastAsia="Arial" w:hAnsi="Arial"/>
                <w:sz w:val="16"/>
                <w:szCs w:val="16"/>
                <w:color w:val="auto"/>
              </w:rPr>
              <w:t>Attest:</w:t>
            </w:r>
          </w:p>
        </w:tc>
        <w:tc>
          <w:tcPr>
            <w:tcW w:w="3320" w:type="dxa"/>
            <w:vAlign w:val="bottom"/>
            <w:tcBorders>
              <w:bottom w:val="single" w:sz="8" w:color="auto"/>
            </w:tcBorders>
          </w:tcPr>
          <w:p>
            <w:pPr>
              <w:ind w:left="120"/>
              <w:spacing w:after="0" w:line="179" w:lineRule="exact"/>
              <w:rPr>
                <w:sz w:val="20"/>
                <w:szCs w:val="20"/>
                <w:color w:val="auto"/>
              </w:rPr>
            </w:pPr>
            <w:r>
              <w:rPr>
                <w:rFonts w:ascii="Arial" w:cs="Arial" w:eastAsia="Arial" w:hAnsi="Arial"/>
                <w:sz w:val="16"/>
                <w:szCs w:val="16"/>
                <w:color w:val="auto"/>
              </w:rPr>
              <w:t>/s/ Carol Mendiola</w:t>
            </w:r>
          </w:p>
        </w:tc>
      </w:tr>
    </w:tbl>
    <w:p>
      <w:pPr>
        <w:sectPr>
          <w:pgSz w:w="11900" w:h="16838" w:orient="portrait"/>
          <w:cols w:equalWidth="0" w:num="1">
            <w:col w:w="11420"/>
          </w:cols>
          <w:pgMar w:left="240" w:top="117"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25"/>
          <w:szCs w:val="25"/>
          <w:b w:val="1"/>
          <w:bCs w:val="1"/>
          <w:color w:val="auto"/>
        </w:rPr>
        <w:t>Exhibit 10.3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AMENDMENT NO. 12</w:t>
      </w:r>
    </w:p>
    <w:p>
      <w:pPr>
        <w:jc w:val="center"/>
        <w:spacing w:after="0" w:line="237" w:lineRule="auto"/>
        <w:rPr>
          <w:sz w:val="20"/>
          <w:szCs w:val="20"/>
          <w:color w:val="auto"/>
        </w:rPr>
      </w:pPr>
      <w:r>
        <w:rPr>
          <w:rFonts w:ascii="Arial" w:cs="Arial" w:eastAsia="Arial" w:hAnsi="Arial"/>
          <w:sz w:val="21"/>
          <w:szCs w:val="21"/>
          <w:color w:val="auto"/>
        </w:rPr>
        <w:t>TO THE</w:t>
      </w:r>
    </w:p>
    <w:p>
      <w:pPr>
        <w:jc w:val="center"/>
        <w:spacing w:after="0" w:line="238" w:lineRule="auto"/>
        <w:rPr>
          <w:sz w:val="20"/>
          <w:szCs w:val="20"/>
          <w:color w:val="auto"/>
        </w:rPr>
      </w:pPr>
      <w:r>
        <w:rPr>
          <w:rFonts w:ascii="Arial" w:cs="Arial" w:eastAsia="Arial" w:hAnsi="Arial"/>
          <w:sz w:val="21"/>
          <w:szCs w:val="21"/>
          <w:color w:val="auto"/>
        </w:rPr>
        <w:t>SAN DIEGO GAS &amp; ELECTRIC COMPANY</w:t>
      </w:r>
    </w:p>
    <w:p>
      <w:pPr>
        <w:jc w:val="center"/>
        <w:spacing w:after="0" w:line="238" w:lineRule="auto"/>
        <w:rPr>
          <w:sz w:val="20"/>
          <w:szCs w:val="20"/>
          <w:color w:val="auto"/>
        </w:rPr>
      </w:pPr>
      <w:r>
        <w:rPr>
          <w:rFonts w:ascii="Arial" w:cs="Arial" w:eastAsia="Arial" w:hAnsi="Arial"/>
          <w:sz w:val="21"/>
          <w:szCs w:val="21"/>
          <w:color w:val="auto"/>
        </w:rPr>
        <w:t>NUCLEAR FACILITIES QUALIFIED CPUC DECOMMISSIONING</w:t>
      </w:r>
    </w:p>
    <w:p>
      <w:pPr>
        <w:jc w:val="center"/>
        <w:spacing w:after="0" w:line="237" w:lineRule="auto"/>
        <w:rPr>
          <w:sz w:val="20"/>
          <w:szCs w:val="20"/>
          <w:color w:val="auto"/>
        </w:rPr>
      </w:pPr>
      <w:r>
        <w:rPr>
          <w:rFonts w:ascii="Arial" w:cs="Arial" w:eastAsia="Arial" w:hAnsi="Arial"/>
          <w:sz w:val="21"/>
          <w:szCs w:val="21"/>
          <w:color w:val="auto"/>
        </w:rPr>
        <w:t>MASTER TRUST AGREEMENT</w:t>
      </w:r>
    </w:p>
    <w:p>
      <w:pPr>
        <w:jc w:val="center"/>
        <w:spacing w:after="0" w:line="238" w:lineRule="auto"/>
        <w:rPr>
          <w:sz w:val="20"/>
          <w:szCs w:val="20"/>
          <w:color w:val="auto"/>
        </w:rPr>
      </w:pPr>
      <w:r>
        <w:rPr>
          <w:rFonts w:ascii="Arial" w:cs="Arial" w:eastAsia="Arial" w:hAnsi="Arial"/>
          <w:sz w:val="21"/>
          <w:szCs w:val="21"/>
          <w:color w:val="auto"/>
        </w:rPr>
        <w:t>FOR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SAN ONOFRE NUCLEAR GENERATING STATIONS</w:t>
      </w:r>
    </w:p>
    <w:p>
      <w:pPr>
        <w:spacing w:after="0" w:line="200" w:lineRule="exact"/>
        <w:rPr>
          <w:sz w:val="20"/>
          <w:szCs w:val="20"/>
          <w:color w:val="auto"/>
        </w:rPr>
      </w:pPr>
    </w:p>
    <w:p>
      <w:pPr>
        <w:spacing w:after="0" w:line="351" w:lineRule="exact"/>
        <w:rPr>
          <w:sz w:val="20"/>
          <w:szCs w:val="20"/>
          <w:color w:val="auto"/>
        </w:rPr>
      </w:pPr>
    </w:p>
    <w:p>
      <w:pPr>
        <w:ind w:right="40"/>
        <w:spacing w:after="0" w:line="236" w:lineRule="auto"/>
        <w:rPr>
          <w:sz w:val="20"/>
          <w:szCs w:val="20"/>
          <w:color w:val="auto"/>
        </w:rPr>
      </w:pPr>
      <w:r>
        <w:rPr>
          <w:rFonts w:ascii="Arial" w:cs="Arial" w:eastAsia="Arial" w:hAnsi="Arial"/>
          <w:sz w:val="20"/>
          <w:szCs w:val="20"/>
          <w:color w:val="auto"/>
        </w:rPr>
        <w:t xml:space="preserve">This Amendment No. 12 made this </w:t>
      </w:r>
      <w:r>
        <w:rPr>
          <w:rFonts w:ascii="Arial" w:cs="Arial" w:eastAsia="Arial" w:hAnsi="Arial"/>
          <w:sz w:val="15"/>
          <w:szCs w:val="15"/>
          <w:color w:val="auto"/>
        </w:rPr>
        <w:t>27</w:t>
      </w:r>
      <w:r>
        <w:rPr>
          <w:rFonts w:ascii="Arial" w:cs="Arial" w:eastAsia="Arial" w:hAnsi="Arial"/>
          <w:sz w:val="25"/>
          <w:szCs w:val="25"/>
          <w:u w:val="single" w:color="auto"/>
          <w:color w:val="auto"/>
          <w:vertAlign w:val="superscript"/>
        </w:rPr>
        <w:t>th</w:t>
      </w:r>
      <w:r>
        <w:rPr>
          <w:rFonts w:ascii="Arial" w:cs="Arial" w:eastAsia="Arial" w:hAnsi="Arial"/>
          <w:sz w:val="20"/>
          <w:szCs w:val="20"/>
          <w:color w:val="auto"/>
        </w:rPr>
        <w:t xml:space="preserve"> day of </w:t>
      </w:r>
      <w:r>
        <w:rPr>
          <w:rFonts w:ascii="Arial" w:cs="Arial" w:eastAsia="Arial" w:hAnsi="Arial"/>
          <w:sz w:val="15"/>
          <w:szCs w:val="15"/>
          <w:color w:val="auto"/>
        </w:rPr>
        <w:t>August</w:t>
      </w:r>
      <w:r>
        <w:rPr>
          <w:rFonts w:ascii="Arial" w:cs="Arial" w:eastAsia="Arial" w:hAnsi="Arial"/>
          <w:sz w:val="20"/>
          <w:szCs w:val="20"/>
          <w:color w:val="auto"/>
        </w:rPr>
        <w:t xml:space="preserve"> , 2014, by and between San Diego Gas &amp; Electric Company (“Company”) and The Bank of New York Mellon, a New York state bank, successor by operation of law to Mellon Bank, N.A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1935480</wp:posOffset>
            </wp:positionH>
            <wp:positionV relativeFrom="paragraph">
              <wp:posOffset>-182245</wp:posOffset>
            </wp:positionV>
            <wp:extent cx="3441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417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-182245</wp:posOffset>
            </wp:positionV>
            <wp:extent cx="56515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65150" cy="8255"/>
                    </a:xfrm>
                    <a:prstGeom prst="rect">
                      <a:avLst/>
                    </a:prstGeom>
                    <a:noFill/>
                  </pic:spPr>
                </pic:pic>
              </a:graphicData>
            </a:graphic>
          </wp:anchor>
        </w:drawing>
      </w:r>
    </w:p>
    <w:p>
      <w:pPr>
        <w:spacing w:after="0" w:line="122" w:lineRule="exact"/>
        <w:rPr>
          <w:sz w:val="20"/>
          <w:szCs w:val="20"/>
          <w:color w:val="auto"/>
        </w:rPr>
      </w:pPr>
    </w:p>
    <w:p>
      <w:pPr>
        <w:ind w:right="460"/>
        <w:spacing w:after="0" w:line="252" w:lineRule="auto"/>
        <w:rPr>
          <w:sz w:val="20"/>
          <w:szCs w:val="20"/>
          <w:color w:val="auto"/>
        </w:rPr>
      </w:pPr>
      <w:r>
        <w:rPr>
          <w:rFonts w:ascii="Arial" w:cs="Arial" w:eastAsia="Arial" w:hAnsi="Arial"/>
          <w:sz w:val="21"/>
          <w:szCs w:val="21"/>
          <w:color w:val="auto"/>
        </w:rPr>
        <w:t>WHEREAS, pursuant to Section 2.12 of the Nuclear Facilities Qualified Decommissioning Master Trust for San Onofre Nuclear Generating Stations dated as of June 29, 1992, as amended (“Agreement”) between the Company and the Trustee, the parties specifically reserve the right to amend the Agreement;</w:t>
      </w:r>
    </w:p>
    <w:p>
      <w:pPr>
        <w:spacing w:after="0" w:line="130" w:lineRule="exact"/>
        <w:rPr>
          <w:sz w:val="20"/>
          <w:szCs w:val="20"/>
          <w:color w:val="auto"/>
        </w:rPr>
      </w:pPr>
    </w:p>
    <w:p>
      <w:pPr>
        <w:spacing w:after="0"/>
        <w:rPr>
          <w:sz w:val="20"/>
          <w:szCs w:val="20"/>
          <w:color w:val="auto"/>
        </w:rPr>
      </w:pPr>
      <w:r>
        <w:rPr>
          <w:rFonts w:ascii="Arial" w:cs="Arial" w:eastAsia="Arial" w:hAnsi="Arial"/>
          <w:sz w:val="21"/>
          <w:szCs w:val="21"/>
          <w:color w:val="auto"/>
        </w:rPr>
        <w:t>NOW, THEREFORE, the Company and the Trustee agree as follows:</w:t>
      </w:r>
    </w:p>
    <w:p>
      <w:pPr>
        <w:spacing w:after="0" w:line="210" w:lineRule="exact"/>
        <w:rPr>
          <w:sz w:val="20"/>
          <w:szCs w:val="20"/>
          <w:color w:val="auto"/>
        </w:rPr>
      </w:pPr>
    </w:p>
    <w:p>
      <w:pPr>
        <w:ind w:left="640" w:hanging="315"/>
        <w:spacing w:after="0"/>
        <w:tabs>
          <w:tab w:leader="none" w:pos="640" w:val="left"/>
        </w:tabs>
        <w:numPr>
          <w:ilvl w:val="0"/>
          <w:numId w:val="155"/>
        </w:numPr>
        <w:rPr>
          <w:rFonts w:ascii="Arial" w:cs="Arial" w:eastAsia="Arial" w:hAnsi="Arial"/>
          <w:sz w:val="21"/>
          <w:szCs w:val="21"/>
          <w:color w:val="auto"/>
        </w:rPr>
      </w:pPr>
      <w:r>
        <w:rPr>
          <w:rFonts w:ascii="Arial" w:cs="Arial" w:eastAsia="Arial" w:hAnsi="Arial"/>
          <w:sz w:val="21"/>
          <w:szCs w:val="21"/>
          <w:color w:val="auto"/>
        </w:rPr>
        <w:t>Section 1.01, Definitions shall be amended by inserting the following language as section (1.1) after section (1):</w:t>
      </w:r>
    </w:p>
    <w:p>
      <w:pPr>
        <w:spacing w:after="0" w:line="170" w:lineRule="exact"/>
        <w:rPr>
          <w:rFonts w:ascii="Arial" w:cs="Arial" w:eastAsia="Arial" w:hAnsi="Arial"/>
          <w:sz w:val="21"/>
          <w:szCs w:val="21"/>
          <w:color w:val="auto"/>
        </w:rPr>
      </w:pPr>
    </w:p>
    <w:p>
      <w:pPr>
        <w:ind w:left="1280" w:right="660" w:hanging="638"/>
        <w:spacing w:after="0" w:line="293" w:lineRule="auto"/>
        <w:rPr>
          <w:rFonts w:ascii="Arial" w:cs="Arial" w:eastAsia="Arial" w:hAnsi="Arial"/>
          <w:sz w:val="21"/>
          <w:szCs w:val="21"/>
          <w:color w:val="auto"/>
        </w:rPr>
      </w:pPr>
      <w:r>
        <w:rPr>
          <w:rFonts w:ascii="Arial" w:cs="Arial" w:eastAsia="Arial" w:hAnsi="Arial"/>
          <w:sz w:val="21"/>
          <w:szCs w:val="21"/>
          <w:color w:val="auto"/>
        </w:rPr>
        <w:t>“(1.1) “Advance Withdrawal Certificate” shall mean a document properly completed and executed by one Authorized Representative of the Company and substantially in the form of Exhibit C-1 hereto.</w:t>
      </w:r>
    </w:p>
    <w:p>
      <w:pPr>
        <w:spacing w:after="0" w:line="114" w:lineRule="exact"/>
        <w:rPr>
          <w:rFonts w:ascii="Arial" w:cs="Arial" w:eastAsia="Arial" w:hAnsi="Arial"/>
          <w:sz w:val="21"/>
          <w:szCs w:val="21"/>
          <w:color w:val="auto"/>
        </w:rPr>
      </w:pPr>
    </w:p>
    <w:p>
      <w:pPr>
        <w:ind w:left="640" w:right="60" w:hanging="315"/>
        <w:spacing w:after="0" w:line="267" w:lineRule="auto"/>
        <w:tabs>
          <w:tab w:leader="none" w:pos="640" w:val="left"/>
        </w:tabs>
        <w:numPr>
          <w:ilvl w:val="0"/>
          <w:numId w:val="155"/>
        </w:numPr>
        <w:rPr>
          <w:rFonts w:ascii="Arial" w:cs="Arial" w:eastAsia="Arial" w:hAnsi="Arial"/>
          <w:sz w:val="21"/>
          <w:szCs w:val="21"/>
          <w:color w:val="auto"/>
        </w:rPr>
      </w:pPr>
      <w:r>
        <w:rPr>
          <w:rFonts w:ascii="Arial" w:cs="Arial" w:eastAsia="Arial" w:hAnsi="Arial"/>
          <w:sz w:val="21"/>
          <w:szCs w:val="21"/>
          <w:color w:val="auto"/>
        </w:rPr>
        <w:t>Section 2.01, Payment of Nuclear Decommissioning Costs, of Article II shall be amended by inserting the following language as sections (4.1) and (4.2):</w:t>
      </w:r>
    </w:p>
    <w:p>
      <w:pPr>
        <w:sectPr>
          <w:pgSz w:w="11900" w:h="16838" w:orient="portrait"/>
          <w:cols w:equalWidth="0" w:num="1">
            <w:col w:w="11420"/>
          </w:cols>
          <w:pgMar w:left="240" w:top="116" w:right="239" w:bottom="1440" w:gutter="0" w:footer="0" w:header="0"/>
        </w:sectPr>
      </w:pPr>
    </w:p>
    <w:p>
      <w:pPr>
        <w:spacing w:after="0" w:line="127" w:lineRule="exact"/>
        <w:rPr>
          <w:sz w:val="20"/>
          <w:szCs w:val="20"/>
          <w:color w:val="auto"/>
        </w:rPr>
      </w:pPr>
    </w:p>
    <w:p>
      <w:pPr>
        <w:ind w:left="640"/>
        <w:spacing w:after="0"/>
        <w:rPr>
          <w:sz w:val="20"/>
          <w:szCs w:val="20"/>
          <w:color w:val="auto"/>
        </w:rPr>
      </w:pPr>
      <w:r>
        <w:rPr>
          <w:rFonts w:ascii="Arial" w:cs="Arial" w:eastAsia="Arial" w:hAnsi="Arial"/>
          <w:sz w:val="20"/>
          <w:szCs w:val="20"/>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“(4.2)</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right="780"/>
        <w:spacing w:after="0" w:line="271" w:lineRule="auto"/>
        <w:rPr>
          <w:sz w:val="20"/>
          <w:szCs w:val="20"/>
          <w:color w:val="auto"/>
        </w:rPr>
      </w:pPr>
      <w:r>
        <w:rPr>
          <w:rFonts w:ascii="Arial" w:cs="Arial" w:eastAsia="Arial" w:hAnsi="Arial"/>
          <w:sz w:val="19"/>
          <w:szCs w:val="19"/>
          <w:u w:val="single" w:color="auto"/>
          <w:color w:val="auto"/>
        </w:rPr>
        <w:t>Advance Withdrawals for Payment of Decommissioning Costs</w:t>
      </w:r>
      <w:r>
        <w:rPr>
          <w:rFonts w:ascii="Arial" w:cs="Arial" w:eastAsia="Arial" w:hAnsi="Arial"/>
          <w:sz w:val="19"/>
          <w:szCs w:val="19"/>
          <w:color w:val="auto"/>
        </w:rPr>
        <w:t>. An Authorized Representative may request disbursement of funds to pay expected Decommissioning Costs by submitting an Advance Withdrawal Certificate to the Trustee. Requests for advance withdrawals may be made up to one month before expected payments are made. Amounts withdrawn shall be deposited in an interest-bearing account. Interest earned in such account shall be used for paying Decommissioning Costs, and shall not benefit the Company. Any request for withdrawal of funds shall be accompanied by documentation supporting the amount of advance withdrawal, and shall take into account any unexpended, balance of funds previously disbursed. Any funds remaining in such account upon termination of the Master Trust shall be distributed pursuant to Section 2.11.”</w:t>
      </w:r>
    </w:p>
    <w:p>
      <w:pPr>
        <w:spacing w:after="0" w:line="139" w:lineRule="exact"/>
        <w:rPr>
          <w:sz w:val="20"/>
          <w:szCs w:val="20"/>
          <w:color w:val="auto"/>
        </w:rPr>
      </w:pPr>
    </w:p>
    <w:p>
      <w:pPr>
        <w:ind w:right="660"/>
        <w:spacing w:after="0" w:line="320" w:lineRule="auto"/>
        <w:rPr>
          <w:sz w:val="20"/>
          <w:szCs w:val="20"/>
          <w:color w:val="auto"/>
        </w:rPr>
      </w:pPr>
      <w:r>
        <w:rPr>
          <w:rFonts w:ascii="Arial" w:cs="Arial" w:eastAsia="Arial" w:hAnsi="Arial"/>
          <w:sz w:val="19"/>
          <w:szCs w:val="19"/>
          <w:u w:val="single" w:color="auto"/>
          <w:color w:val="auto"/>
        </w:rPr>
        <w:t>Documentation of Payment of Decommissioning Costs.</w:t>
      </w:r>
      <w:r>
        <w:rPr>
          <w:rFonts w:ascii="Arial" w:cs="Arial" w:eastAsia="Arial" w:hAnsi="Arial"/>
          <w:sz w:val="19"/>
          <w:szCs w:val="19"/>
          <w:color w:val="auto"/>
        </w:rPr>
        <w:t xml:space="preserve"> Actual expenditures for Decommissioning Costs and a reconciliation of advance withdrawals with actual expenditures will be submitted to the CPUC quarterly.”</w:t>
      </w:r>
    </w:p>
    <w:p>
      <w:pPr>
        <w:spacing w:after="0" w:line="95" w:lineRule="exact"/>
        <w:rPr>
          <w:sz w:val="20"/>
          <w:szCs w:val="20"/>
          <w:color w:val="auto"/>
        </w:rPr>
      </w:pPr>
    </w:p>
    <w:p>
      <w:pPr>
        <w:sectPr>
          <w:pgSz w:w="11900" w:h="16838" w:orient="portrait"/>
          <w:cols w:equalWidth="0" w:num="2">
            <w:col w:w="1140" w:space="140"/>
            <w:col w:w="10140"/>
          </w:cols>
          <w:pgMar w:left="240" w:top="116" w:right="239" w:bottom="1440" w:gutter="0" w:footer="0" w:header="0"/>
          <w:type w:val="continuous"/>
        </w:sectPr>
      </w:pPr>
    </w:p>
    <w:p>
      <w:pPr>
        <w:ind w:left="640" w:right="40" w:hanging="315"/>
        <w:spacing w:after="0" w:line="252" w:lineRule="auto"/>
        <w:tabs>
          <w:tab w:leader="none" w:pos="640" w:val="left"/>
        </w:tabs>
        <w:numPr>
          <w:ilvl w:val="0"/>
          <w:numId w:val="156"/>
        </w:numPr>
        <w:rPr>
          <w:rFonts w:ascii="Arial" w:cs="Arial" w:eastAsia="Arial" w:hAnsi="Arial"/>
          <w:sz w:val="21"/>
          <w:szCs w:val="21"/>
          <w:color w:val="auto"/>
        </w:rPr>
      </w:pPr>
      <w:r>
        <w:rPr>
          <w:rFonts w:ascii="Arial" w:cs="Arial" w:eastAsia="Arial" w:hAnsi="Arial"/>
          <w:sz w:val="21"/>
          <w:szCs w:val="21"/>
          <w:color w:val="auto"/>
        </w:rPr>
        <w:t>Each Party hereby represents and warrants to the others that it has full authority to enter into this Amendment No. 12 upon the terms and conditions hereof and that the individual executing this Amendment No. 12 on its behalf has the requisite authority to bind that Party.</w:t>
      </w:r>
    </w:p>
    <w:p>
      <w:pPr>
        <w:sectPr>
          <w:pgSz w:w="11900" w:h="16838" w:orient="portrait"/>
          <w:cols w:equalWidth="0" w:num="1">
            <w:col w:w="11420"/>
          </w:cols>
          <w:pgMar w:left="240" w:top="116" w:right="239" w:bottom="1440" w:gutter="0" w:footer="0" w:header="0"/>
          <w:type w:val="continuous"/>
        </w:sectPr>
      </w:pPr>
    </w:p>
    <w:bookmarkStart w:id="93" w:name="page94"/>
    <w:bookmarkEnd w:id="93"/>
    <w:p>
      <w:pPr>
        <w:spacing w:after="0" w:line="267" w:lineRule="auto"/>
        <w:rPr>
          <w:sz w:val="20"/>
          <w:szCs w:val="20"/>
          <w:color w:val="auto"/>
        </w:rPr>
      </w:pPr>
      <w:r>
        <w:rPr>
          <w:rFonts w:ascii="Arial" w:cs="Arial" w:eastAsia="Arial" w:hAnsi="Arial"/>
          <w:sz w:val="21"/>
          <w:szCs w:val="21"/>
          <w:color w:val="auto"/>
        </w:rPr>
        <w:t>IN WITNESS WHEREOF, the Company, the Trustee, and the California Public Utilities Commission have set their hands and seals in agreement to these amendments effective as provided above.</w:t>
      </w:r>
    </w:p>
    <w:p>
      <w:pPr>
        <w:spacing w:after="0" w:line="200" w:lineRule="exact"/>
        <w:rPr>
          <w:sz w:val="20"/>
          <w:szCs w:val="20"/>
          <w:color w:val="auto"/>
        </w:rPr>
      </w:pPr>
    </w:p>
    <w:p>
      <w:pPr>
        <w:spacing w:after="0" w:line="258"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SAN DIEGO GAS &amp; ELECTRIC COMPANY</w:t>
      </w:r>
    </w:p>
    <w:p>
      <w:pPr>
        <w:spacing w:after="0" w:line="215" w:lineRule="exact"/>
        <w:rPr>
          <w:sz w:val="20"/>
          <w:szCs w:val="20"/>
          <w:color w:val="auto"/>
        </w:rPr>
      </w:pPr>
    </w:p>
    <w:tbl>
      <w:tblPr>
        <w:tblLayout w:type="fixed"/>
        <w:tblInd w:w="140" w:type="dxa"/>
        <w:tblCellMar>
          <w:top w:w="0" w:type="dxa"/>
          <w:left w:w="0" w:type="dxa"/>
          <w:bottom w:w="0" w:type="dxa"/>
          <w:right w:w="0" w:type="dxa"/>
        </w:tblCellMar>
      </w:tblPr>
      <w:tr>
        <w:trPr>
          <w:trHeight w:val="196"/>
        </w:trPr>
        <w:tc>
          <w:tcPr>
            <w:tcW w:w="740" w:type="dxa"/>
            <w:vAlign w:val="bottom"/>
          </w:tcPr>
          <w:p>
            <w:pPr>
              <w:spacing w:after="0"/>
              <w:rPr>
                <w:sz w:val="20"/>
                <w:szCs w:val="20"/>
                <w:color w:val="auto"/>
              </w:rPr>
            </w:pPr>
            <w:r>
              <w:rPr>
                <w:rFonts w:ascii="Arial" w:cs="Arial" w:eastAsia="Arial" w:hAnsi="Arial"/>
                <w:sz w:val="16"/>
                <w:szCs w:val="16"/>
                <w:color w:val="auto"/>
              </w:rPr>
              <w:t>By:</w:t>
            </w:r>
          </w:p>
        </w:tc>
        <w:tc>
          <w:tcPr>
            <w:tcW w:w="33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/s/ Robert Schlax</w:t>
            </w:r>
          </w:p>
        </w:tc>
      </w:tr>
      <w:tr>
        <w:trPr>
          <w:trHeight w:val="179"/>
        </w:trPr>
        <w:tc>
          <w:tcPr>
            <w:tcW w:w="740" w:type="dxa"/>
            <w:vAlign w:val="bottom"/>
          </w:tcPr>
          <w:p>
            <w:pPr>
              <w:spacing w:after="0" w:line="179" w:lineRule="exact"/>
              <w:rPr>
                <w:sz w:val="20"/>
                <w:szCs w:val="20"/>
                <w:color w:val="auto"/>
              </w:rPr>
            </w:pPr>
            <w:r>
              <w:rPr>
                <w:rFonts w:ascii="Arial" w:cs="Arial" w:eastAsia="Arial" w:hAnsi="Arial"/>
                <w:sz w:val="16"/>
                <w:szCs w:val="16"/>
                <w:color w:val="auto"/>
              </w:rPr>
              <w:t>Date:</w:t>
            </w:r>
          </w:p>
        </w:tc>
        <w:tc>
          <w:tcPr>
            <w:tcW w:w="3320" w:type="dxa"/>
            <w:vAlign w:val="bottom"/>
            <w:tcBorders>
              <w:bottom w:val="single" w:sz="8" w:color="auto"/>
            </w:tcBorders>
          </w:tcPr>
          <w:p>
            <w:pPr>
              <w:ind w:left="120"/>
              <w:spacing w:after="0" w:line="179" w:lineRule="exact"/>
              <w:rPr>
                <w:sz w:val="20"/>
                <w:szCs w:val="20"/>
                <w:color w:val="auto"/>
              </w:rPr>
            </w:pPr>
            <w:r>
              <w:rPr>
                <w:rFonts w:ascii="Arial" w:cs="Arial" w:eastAsia="Arial" w:hAnsi="Arial"/>
                <w:sz w:val="16"/>
                <w:szCs w:val="16"/>
                <w:color w:val="auto"/>
              </w:rPr>
              <w:t>7/31/14</w:t>
            </w:r>
          </w:p>
        </w:tc>
      </w:tr>
      <w:tr>
        <w:trPr>
          <w:trHeight w:val="179"/>
        </w:trPr>
        <w:tc>
          <w:tcPr>
            <w:tcW w:w="740" w:type="dxa"/>
            <w:vAlign w:val="bottom"/>
          </w:tcPr>
          <w:p>
            <w:pPr>
              <w:spacing w:after="0" w:line="179" w:lineRule="exact"/>
              <w:rPr>
                <w:sz w:val="20"/>
                <w:szCs w:val="20"/>
                <w:color w:val="auto"/>
              </w:rPr>
            </w:pPr>
            <w:r>
              <w:rPr>
                <w:rFonts w:ascii="Arial" w:cs="Arial" w:eastAsia="Arial" w:hAnsi="Arial"/>
                <w:sz w:val="16"/>
                <w:szCs w:val="16"/>
                <w:color w:val="auto"/>
              </w:rPr>
              <w:t>Attest:</w:t>
            </w:r>
          </w:p>
        </w:tc>
        <w:tc>
          <w:tcPr>
            <w:tcW w:w="3320" w:type="dxa"/>
            <w:vAlign w:val="bottom"/>
            <w:tcBorders>
              <w:bottom w:val="single" w:sz="8" w:color="auto"/>
            </w:tcBorders>
          </w:tcPr>
          <w:p>
            <w:pPr>
              <w:ind w:left="120"/>
              <w:spacing w:after="0" w:line="179" w:lineRule="exact"/>
              <w:rPr>
                <w:sz w:val="20"/>
                <w:szCs w:val="20"/>
                <w:color w:val="auto"/>
              </w:rPr>
            </w:pPr>
            <w:r>
              <w:rPr>
                <w:rFonts w:ascii="Arial" w:cs="Arial" w:eastAsia="Arial" w:hAnsi="Arial"/>
                <w:sz w:val="16"/>
                <w:szCs w:val="16"/>
                <w:color w:val="auto"/>
              </w:rPr>
              <w:t>/s/ Sylvia Jimenez</w:t>
            </w: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BANK OF NEW YORK MELLON</w:t>
      </w:r>
    </w:p>
    <w:p>
      <w:pPr>
        <w:spacing w:after="0" w:line="215" w:lineRule="exact"/>
        <w:rPr>
          <w:sz w:val="20"/>
          <w:szCs w:val="20"/>
          <w:color w:val="auto"/>
        </w:rPr>
      </w:pPr>
    </w:p>
    <w:tbl>
      <w:tblPr>
        <w:tblLayout w:type="fixed"/>
        <w:tblInd w:w="140" w:type="dxa"/>
        <w:tblCellMar>
          <w:top w:w="0" w:type="dxa"/>
          <w:left w:w="0" w:type="dxa"/>
          <w:bottom w:w="0" w:type="dxa"/>
          <w:right w:w="0" w:type="dxa"/>
        </w:tblCellMar>
      </w:tblPr>
      <w:tr>
        <w:trPr>
          <w:trHeight w:val="196"/>
        </w:trPr>
        <w:tc>
          <w:tcPr>
            <w:tcW w:w="740" w:type="dxa"/>
            <w:vAlign w:val="bottom"/>
          </w:tcPr>
          <w:p>
            <w:pPr>
              <w:spacing w:after="0"/>
              <w:rPr>
                <w:sz w:val="20"/>
                <w:szCs w:val="20"/>
                <w:color w:val="auto"/>
              </w:rPr>
            </w:pPr>
            <w:r>
              <w:rPr>
                <w:rFonts w:ascii="Arial" w:cs="Arial" w:eastAsia="Arial" w:hAnsi="Arial"/>
                <w:sz w:val="16"/>
                <w:szCs w:val="16"/>
                <w:color w:val="auto"/>
              </w:rPr>
              <w:t>By:</w:t>
            </w:r>
          </w:p>
        </w:tc>
        <w:tc>
          <w:tcPr>
            <w:tcW w:w="33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/s/ Joseph G. Kirchmeier</w:t>
            </w:r>
          </w:p>
        </w:tc>
      </w:tr>
      <w:tr>
        <w:trPr>
          <w:trHeight w:val="179"/>
        </w:trPr>
        <w:tc>
          <w:tcPr>
            <w:tcW w:w="740" w:type="dxa"/>
            <w:vAlign w:val="bottom"/>
          </w:tcPr>
          <w:p>
            <w:pPr>
              <w:spacing w:after="0" w:line="179" w:lineRule="exact"/>
              <w:rPr>
                <w:sz w:val="20"/>
                <w:szCs w:val="20"/>
                <w:color w:val="auto"/>
              </w:rPr>
            </w:pPr>
            <w:r>
              <w:rPr>
                <w:rFonts w:ascii="Arial" w:cs="Arial" w:eastAsia="Arial" w:hAnsi="Arial"/>
                <w:sz w:val="16"/>
                <w:szCs w:val="16"/>
                <w:color w:val="auto"/>
              </w:rPr>
              <w:t>Date:</w:t>
            </w:r>
          </w:p>
        </w:tc>
        <w:tc>
          <w:tcPr>
            <w:tcW w:w="3320" w:type="dxa"/>
            <w:vAlign w:val="bottom"/>
            <w:tcBorders>
              <w:bottom w:val="single" w:sz="8" w:color="auto"/>
            </w:tcBorders>
          </w:tcPr>
          <w:p>
            <w:pPr>
              <w:ind w:left="120"/>
              <w:spacing w:after="0" w:line="179" w:lineRule="exact"/>
              <w:rPr>
                <w:sz w:val="20"/>
                <w:szCs w:val="20"/>
                <w:color w:val="auto"/>
              </w:rPr>
            </w:pPr>
            <w:r>
              <w:rPr>
                <w:rFonts w:ascii="Arial" w:cs="Arial" w:eastAsia="Arial" w:hAnsi="Arial"/>
                <w:sz w:val="16"/>
                <w:szCs w:val="16"/>
                <w:color w:val="auto"/>
              </w:rPr>
              <w:t>7/29/14</w:t>
            </w:r>
          </w:p>
        </w:tc>
      </w:tr>
      <w:tr>
        <w:trPr>
          <w:trHeight w:val="179"/>
        </w:trPr>
        <w:tc>
          <w:tcPr>
            <w:tcW w:w="740" w:type="dxa"/>
            <w:vAlign w:val="bottom"/>
          </w:tcPr>
          <w:p>
            <w:pPr>
              <w:spacing w:after="0" w:line="179" w:lineRule="exact"/>
              <w:rPr>
                <w:sz w:val="20"/>
                <w:szCs w:val="20"/>
                <w:color w:val="auto"/>
              </w:rPr>
            </w:pPr>
            <w:r>
              <w:rPr>
                <w:rFonts w:ascii="Arial" w:cs="Arial" w:eastAsia="Arial" w:hAnsi="Arial"/>
                <w:sz w:val="16"/>
                <w:szCs w:val="16"/>
                <w:color w:val="auto"/>
              </w:rPr>
              <w:t>Attest:</w:t>
            </w:r>
          </w:p>
        </w:tc>
        <w:tc>
          <w:tcPr>
            <w:tcW w:w="3320" w:type="dxa"/>
            <w:vAlign w:val="bottom"/>
            <w:tcBorders>
              <w:bottom w:val="single" w:sz="8" w:color="auto"/>
            </w:tcBorders>
          </w:tcPr>
          <w:p>
            <w:pPr>
              <w:ind w:left="120"/>
              <w:spacing w:after="0" w:line="179" w:lineRule="exact"/>
              <w:rPr>
                <w:sz w:val="20"/>
                <w:szCs w:val="20"/>
                <w:color w:val="auto"/>
              </w:rPr>
            </w:pPr>
            <w:r>
              <w:rPr>
                <w:rFonts w:ascii="Arial" w:cs="Arial" w:eastAsia="Arial" w:hAnsi="Arial"/>
                <w:sz w:val="16"/>
                <w:szCs w:val="16"/>
                <w:color w:val="auto"/>
              </w:rPr>
              <w:t>/s/ James Mahoney</w:t>
            </w: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CALIFORNIA PUBLIC UTILITIES COMMISSION</w:t>
      </w:r>
    </w:p>
    <w:p>
      <w:pPr>
        <w:spacing w:after="0" w:line="215" w:lineRule="exact"/>
        <w:rPr>
          <w:sz w:val="20"/>
          <w:szCs w:val="20"/>
          <w:color w:val="auto"/>
        </w:rPr>
      </w:pPr>
    </w:p>
    <w:tbl>
      <w:tblPr>
        <w:tblLayout w:type="fixed"/>
        <w:tblInd w:w="140" w:type="dxa"/>
        <w:tblCellMar>
          <w:top w:w="0" w:type="dxa"/>
          <w:left w:w="0" w:type="dxa"/>
          <w:bottom w:w="0" w:type="dxa"/>
          <w:right w:w="0" w:type="dxa"/>
        </w:tblCellMar>
      </w:tblPr>
      <w:tr>
        <w:trPr>
          <w:trHeight w:val="196"/>
        </w:trPr>
        <w:tc>
          <w:tcPr>
            <w:tcW w:w="740" w:type="dxa"/>
            <w:vAlign w:val="bottom"/>
          </w:tcPr>
          <w:p>
            <w:pPr>
              <w:spacing w:after="0"/>
              <w:rPr>
                <w:sz w:val="20"/>
                <w:szCs w:val="20"/>
                <w:color w:val="auto"/>
              </w:rPr>
            </w:pPr>
            <w:r>
              <w:rPr>
                <w:rFonts w:ascii="Arial" w:cs="Arial" w:eastAsia="Arial" w:hAnsi="Arial"/>
                <w:sz w:val="16"/>
                <w:szCs w:val="16"/>
                <w:color w:val="auto"/>
              </w:rPr>
              <w:t>By:</w:t>
            </w:r>
          </w:p>
        </w:tc>
        <w:tc>
          <w:tcPr>
            <w:tcW w:w="33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/s/ Michelle Cooke for PAC</w:t>
            </w:r>
          </w:p>
        </w:tc>
      </w:tr>
      <w:tr>
        <w:trPr>
          <w:trHeight w:val="179"/>
        </w:trPr>
        <w:tc>
          <w:tcPr>
            <w:tcW w:w="740" w:type="dxa"/>
            <w:vAlign w:val="bottom"/>
          </w:tcPr>
          <w:p>
            <w:pPr>
              <w:spacing w:after="0" w:line="179" w:lineRule="exact"/>
              <w:rPr>
                <w:sz w:val="20"/>
                <w:szCs w:val="20"/>
                <w:color w:val="auto"/>
              </w:rPr>
            </w:pPr>
            <w:r>
              <w:rPr>
                <w:rFonts w:ascii="Arial" w:cs="Arial" w:eastAsia="Arial" w:hAnsi="Arial"/>
                <w:sz w:val="16"/>
                <w:szCs w:val="16"/>
                <w:color w:val="auto"/>
              </w:rPr>
              <w:t>Date:</w:t>
            </w:r>
          </w:p>
        </w:tc>
        <w:tc>
          <w:tcPr>
            <w:tcW w:w="3320" w:type="dxa"/>
            <w:vAlign w:val="bottom"/>
            <w:tcBorders>
              <w:bottom w:val="single" w:sz="8" w:color="auto"/>
            </w:tcBorders>
          </w:tcPr>
          <w:p>
            <w:pPr>
              <w:ind w:left="120"/>
              <w:spacing w:after="0" w:line="179" w:lineRule="exact"/>
              <w:rPr>
                <w:sz w:val="20"/>
                <w:szCs w:val="20"/>
                <w:color w:val="auto"/>
              </w:rPr>
            </w:pPr>
            <w:r>
              <w:rPr>
                <w:rFonts w:ascii="Arial" w:cs="Arial" w:eastAsia="Arial" w:hAnsi="Arial"/>
                <w:sz w:val="16"/>
                <w:szCs w:val="16"/>
                <w:color w:val="auto"/>
              </w:rPr>
              <w:t>8/27/14</w:t>
            </w:r>
          </w:p>
        </w:tc>
      </w:tr>
      <w:tr>
        <w:trPr>
          <w:trHeight w:val="179"/>
        </w:trPr>
        <w:tc>
          <w:tcPr>
            <w:tcW w:w="740" w:type="dxa"/>
            <w:vAlign w:val="bottom"/>
          </w:tcPr>
          <w:p>
            <w:pPr>
              <w:spacing w:after="0" w:line="179" w:lineRule="exact"/>
              <w:rPr>
                <w:sz w:val="20"/>
                <w:szCs w:val="20"/>
                <w:color w:val="auto"/>
              </w:rPr>
            </w:pPr>
            <w:r>
              <w:rPr>
                <w:rFonts w:ascii="Arial" w:cs="Arial" w:eastAsia="Arial" w:hAnsi="Arial"/>
                <w:sz w:val="16"/>
                <w:szCs w:val="16"/>
                <w:color w:val="auto"/>
              </w:rPr>
              <w:t>Attest:</w:t>
            </w:r>
          </w:p>
        </w:tc>
        <w:tc>
          <w:tcPr>
            <w:tcW w:w="3320" w:type="dxa"/>
            <w:vAlign w:val="bottom"/>
            <w:tcBorders>
              <w:bottom w:val="single" w:sz="8" w:color="auto"/>
            </w:tcBorders>
          </w:tcPr>
          <w:p>
            <w:pPr>
              <w:ind w:left="120"/>
              <w:spacing w:after="0" w:line="179" w:lineRule="exact"/>
              <w:rPr>
                <w:sz w:val="20"/>
                <w:szCs w:val="20"/>
                <w:color w:val="auto"/>
              </w:rPr>
            </w:pPr>
            <w:r>
              <w:rPr>
                <w:rFonts w:ascii="Arial" w:cs="Arial" w:eastAsia="Arial" w:hAnsi="Arial"/>
                <w:sz w:val="16"/>
                <w:szCs w:val="16"/>
                <w:color w:val="auto"/>
              </w:rPr>
              <w:t>/s/ Carol Mendiola</w:t>
            </w:r>
          </w:p>
        </w:tc>
      </w:tr>
    </w:tbl>
    <w:p>
      <w:pPr>
        <w:sectPr>
          <w:pgSz w:w="11900" w:h="16838" w:orient="portrait"/>
          <w:cols w:equalWidth="0" w:num="1">
            <w:col w:w="11220"/>
          </w:cols>
          <w:pgMar w:left="240" w:top="357" w:right="439" w:bottom="1440" w:gutter="0" w:footer="0" w:header="0"/>
        </w:sectPr>
      </w:pPr>
    </w:p>
    <w:bookmarkStart w:id="94" w:name="page95"/>
    <w:bookmarkEnd w:id="94"/>
    <w:p>
      <w:pPr>
        <w:jc w:val="center"/>
        <w:ind w:right="-19"/>
        <w:spacing w:after="0"/>
        <w:rPr>
          <w:sz w:val="20"/>
          <w:szCs w:val="20"/>
          <w:color w:val="auto"/>
        </w:rPr>
      </w:pPr>
      <w:r>
        <w:rPr>
          <w:rFonts w:ascii="Arial" w:cs="Arial" w:eastAsia="Arial" w:hAnsi="Arial"/>
          <w:sz w:val="16"/>
          <w:szCs w:val="16"/>
          <w:color w:val="auto"/>
        </w:rPr>
        <w:t>QUALIFIED MASTER TRUST AGREEMENT</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EXHIBIT C-1</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ADVANCE WITHDRAWAL CERTIFICATE</w:t>
      </w:r>
    </w:p>
    <w:p>
      <w:pPr>
        <w:spacing w:after="0" w:line="241" w:lineRule="exact"/>
        <w:rPr>
          <w:sz w:val="20"/>
          <w:szCs w:val="20"/>
          <w:color w:val="auto"/>
        </w:rPr>
      </w:pPr>
    </w:p>
    <w:p>
      <w:pPr>
        <w:ind w:right="80"/>
        <w:spacing w:after="0" w:line="280" w:lineRule="auto"/>
        <w:rPr>
          <w:sz w:val="20"/>
          <w:szCs w:val="20"/>
          <w:color w:val="auto"/>
        </w:rPr>
      </w:pPr>
      <w:r>
        <w:rPr>
          <w:rFonts w:ascii="Arial" w:cs="Arial" w:eastAsia="Arial" w:hAnsi="Arial"/>
          <w:sz w:val="15"/>
          <w:szCs w:val="15"/>
          <w:color w:val="auto"/>
        </w:rPr>
        <w:t>The undersigned, Authorized Representative of Southern California Edison Company (Company), a California corporation, being duly authorized and empowered to execute and deliver this certificate, hereby certifies to the Trustee of the Southern California Edison Company Nuclear Facilities Qualified CPUC Decommissioning Master Trust for San Onofre and Palo Verde Nuclear Generating Stations, pursuant to Section 2.01 of that certain Master Trust Agreement, dated _______________, as follows:</w:t>
      </w:r>
    </w:p>
    <w:p>
      <w:pPr>
        <w:spacing w:after="0" w:line="194" w:lineRule="exact"/>
        <w:rPr>
          <w:sz w:val="20"/>
          <w:szCs w:val="20"/>
          <w:color w:val="auto"/>
        </w:rPr>
      </w:pPr>
    </w:p>
    <w:p>
      <w:pPr>
        <w:ind w:left="640" w:hanging="315"/>
        <w:spacing w:after="0" w:line="303" w:lineRule="auto"/>
        <w:tabs>
          <w:tab w:leader="none" w:pos="64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Within 30 days of the date of this certificate, there will be due and owing to the Company [all] or [a portion of] the cost of goods or services provided in connection with the decommissioning of [SONGS/Palo Verde] as evidenced by the Schedule with supporting exhibits attached as Exhibit 1 hereto;</w:t>
      </w:r>
    </w:p>
    <w:p>
      <w:pPr>
        <w:spacing w:after="0" w:line="200" w:lineRule="exact"/>
        <w:rPr>
          <w:rFonts w:ascii="Arial" w:cs="Arial" w:eastAsia="Arial" w:hAnsi="Arial"/>
          <w:sz w:val="16"/>
          <w:szCs w:val="16"/>
          <w:color w:val="auto"/>
        </w:rPr>
      </w:pPr>
    </w:p>
    <w:p>
      <w:pPr>
        <w:spacing w:after="0" w:line="265" w:lineRule="exact"/>
        <w:rPr>
          <w:rFonts w:ascii="Arial" w:cs="Arial" w:eastAsia="Arial" w:hAnsi="Arial"/>
          <w:sz w:val="16"/>
          <w:szCs w:val="16"/>
          <w:color w:val="auto"/>
        </w:rPr>
      </w:pPr>
    </w:p>
    <w:p>
      <w:pPr>
        <w:ind w:left="640" w:hanging="315"/>
        <w:spacing w:after="0"/>
        <w:tabs>
          <w:tab w:leader="none" w:pos="64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All such amounts will constitute Decommissioning Costs; and</w:t>
      </w:r>
    </w:p>
    <w:p>
      <w:pPr>
        <w:spacing w:after="0" w:line="200" w:lineRule="exact"/>
        <w:rPr>
          <w:rFonts w:ascii="Arial" w:cs="Arial" w:eastAsia="Arial" w:hAnsi="Arial"/>
          <w:sz w:val="16"/>
          <w:szCs w:val="16"/>
          <w:color w:val="auto"/>
        </w:rPr>
      </w:pPr>
    </w:p>
    <w:p>
      <w:pPr>
        <w:spacing w:after="0" w:line="320" w:lineRule="exact"/>
        <w:rPr>
          <w:rFonts w:ascii="Arial" w:cs="Arial" w:eastAsia="Arial" w:hAnsi="Arial"/>
          <w:sz w:val="16"/>
          <w:szCs w:val="16"/>
          <w:color w:val="auto"/>
        </w:rPr>
      </w:pPr>
    </w:p>
    <w:p>
      <w:pPr>
        <w:ind w:left="640" w:right="60" w:hanging="315"/>
        <w:spacing w:after="0" w:line="303" w:lineRule="auto"/>
        <w:tabs>
          <w:tab w:leader="none" w:pos="64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All conditions precedent to the making of this withdrawal and disbursement and the payment of the Company of the Decommissioning Costs set forth in any agreement between any third-party provider and the company have been fulfilled.</w:t>
      </w:r>
    </w:p>
    <w:p>
      <w:pPr>
        <w:spacing w:after="0" w:line="200" w:lineRule="exact"/>
        <w:rPr>
          <w:sz w:val="20"/>
          <w:szCs w:val="20"/>
          <w:color w:val="auto"/>
        </w:rPr>
      </w:pPr>
    </w:p>
    <w:p>
      <w:pPr>
        <w:spacing w:after="0" w:line="266"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Accordingly, you are hereby authorized to withdraw $_______from the [SONGS Unit No. 1/SONGS Unit No. 2/SONGS Unit No. 3/Palo Verde Unit No. 1, Palo Verde Unit</w:t>
      </w:r>
    </w:p>
    <w:p>
      <w:pPr>
        <w:spacing w:after="0" w:line="52" w:lineRule="exact"/>
        <w:rPr>
          <w:sz w:val="20"/>
          <w:szCs w:val="20"/>
          <w:color w:val="auto"/>
        </w:rPr>
      </w:pPr>
    </w:p>
    <w:p>
      <w:pPr>
        <w:ind w:left="320" w:right="380"/>
        <w:spacing w:after="0" w:line="316" w:lineRule="auto"/>
        <w:rPr>
          <w:sz w:val="20"/>
          <w:szCs w:val="20"/>
          <w:color w:val="auto"/>
        </w:rPr>
      </w:pPr>
      <w:r>
        <w:rPr>
          <w:rFonts w:ascii="Arial" w:cs="Arial" w:eastAsia="Arial" w:hAnsi="Arial"/>
          <w:sz w:val="14"/>
          <w:szCs w:val="14"/>
          <w:color w:val="auto"/>
        </w:rPr>
        <w:t>No. 2/Palo Verde Unit No. 3] Qualified Fund of the Master Trust in order to permit payment of such sum to be made to the Company for such purpose. You are further authorized to disburse such sum, once withdrawn, directly to the Company in the following manner: [DESCRIBE: CHECK, WIRE TRANSFER, ETC.] on or before</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__________________.  Executed this _____ day of ______________.</w:t>
      </w:r>
    </w:p>
    <w:p>
      <w:pPr>
        <w:spacing w:after="0" w:line="200" w:lineRule="exact"/>
        <w:rPr>
          <w:sz w:val="20"/>
          <w:szCs w:val="20"/>
          <w:color w:val="auto"/>
        </w:rPr>
      </w:pPr>
    </w:p>
    <w:p>
      <w:pPr>
        <w:spacing w:after="0" w:line="33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SOUTHERN CALIFORNIA EDISON COMPANY</w:t>
      </w:r>
    </w:p>
    <w:p>
      <w:pPr>
        <w:spacing w:after="0" w:line="200" w:lineRule="exact"/>
        <w:rPr>
          <w:sz w:val="20"/>
          <w:szCs w:val="20"/>
          <w:color w:val="auto"/>
        </w:rPr>
      </w:pPr>
    </w:p>
    <w:p>
      <w:pPr>
        <w:spacing w:after="0" w:line="33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By____________________________________</w:t>
      </w:r>
    </w:p>
    <w:p>
      <w:pPr>
        <w:spacing w:after="0" w:line="16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Authorized Representative</w:t>
      </w:r>
    </w:p>
    <w:p>
      <w:pPr>
        <w:spacing w:after="0" w:line="200" w:lineRule="exact"/>
        <w:rPr>
          <w:sz w:val="20"/>
          <w:szCs w:val="20"/>
          <w:color w:val="auto"/>
        </w:rPr>
      </w:pPr>
    </w:p>
    <w:p>
      <w:pPr>
        <w:spacing w:after="0" w:line="33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By_____________________________________</w:t>
      </w:r>
    </w:p>
    <w:p>
      <w:pPr>
        <w:spacing w:after="0" w:line="16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Attest</w:t>
      </w:r>
    </w:p>
    <w:p>
      <w:pPr>
        <w:sectPr>
          <w:pgSz w:w="11900" w:h="16838" w:orient="portrait"/>
          <w:cols w:equalWidth="0" w:num="1">
            <w:col w:w="11420"/>
          </w:cols>
          <w:pgMar w:left="240" w:top="130"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25"/>
          <w:szCs w:val="25"/>
          <w:b w:val="1"/>
          <w:bCs w:val="1"/>
          <w:color w:val="auto"/>
        </w:rPr>
        <w:t>Exhibit 10.4</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AMENDMENT NO. 8</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TO THE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SAN DIEGO GAS &amp; ELECTRIC COMPANY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NUCLEAR FACILITIES NON-QUALIFIED CPUC DECOMMISSIONING</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MASTER TRUST AGREEMENT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SAN ONOFRE NUCLEAR GENERATING STATIONS</w:t>
      </w:r>
    </w:p>
    <w:p>
      <w:pPr>
        <w:spacing w:after="0" w:line="200" w:lineRule="exact"/>
        <w:rPr>
          <w:sz w:val="20"/>
          <w:szCs w:val="20"/>
          <w:color w:val="auto"/>
        </w:rPr>
      </w:pPr>
    </w:p>
    <w:p>
      <w:pPr>
        <w:spacing w:after="0" w:line="361" w:lineRule="exact"/>
        <w:rPr>
          <w:sz w:val="20"/>
          <w:szCs w:val="20"/>
          <w:color w:val="auto"/>
        </w:rPr>
      </w:pPr>
    </w:p>
    <w:p>
      <w:pPr>
        <w:ind w:right="140"/>
        <w:spacing w:after="0" w:line="213" w:lineRule="auto"/>
        <w:rPr>
          <w:sz w:val="20"/>
          <w:szCs w:val="20"/>
          <w:color w:val="auto"/>
        </w:rPr>
      </w:pPr>
      <w:r>
        <w:rPr>
          <w:rFonts w:ascii="Arial" w:cs="Arial" w:eastAsia="Arial" w:hAnsi="Arial"/>
          <w:sz w:val="16"/>
          <w:szCs w:val="16"/>
          <w:color w:val="auto"/>
        </w:rPr>
        <w:t>This Amendment No. 8 made this 27</w:t>
      </w:r>
      <w:r>
        <w:rPr>
          <w:rFonts w:ascii="Arial" w:cs="Arial" w:eastAsia="Arial" w:hAnsi="Arial"/>
          <w:sz w:val="26"/>
          <w:szCs w:val="26"/>
          <w:u w:val="single" w:color="auto"/>
          <w:color w:val="auto"/>
          <w:vertAlign w:val="superscript"/>
        </w:rPr>
        <w:t>th</w:t>
      </w:r>
      <w:r>
        <w:rPr>
          <w:rFonts w:ascii="Arial" w:cs="Arial" w:eastAsia="Arial" w:hAnsi="Arial"/>
          <w:sz w:val="16"/>
          <w:szCs w:val="16"/>
          <w:color w:val="auto"/>
        </w:rPr>
        <w:t xml:space="preserve"> day of August , 2014, by and between San Diego Gas &amp; Electric Company (“Company”) and The Bank of New York Mellon, a New York state bank, successor by operation of law to Mellon Bank, N.A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1402080</wp:posOffset>
            </wp:positionH>
            <wp:positionV relativeFrom="paragraph">
              <wp:posOffset>-139065</wp:posOffset>
            </wp:positionV>
            <wp:extent cx="11906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190625" cy="8255"/>
                    </a:xfrm>
                    <a:prstGeom prst="rect">
                      <a:avLst/>
                    </a:prstGeom>
                    <a:noFill/>
                  </pic:spPr>
                </pic:pic>
              </a:graphicData>
            </a:graphic>
          </wp:anchor>
        </w:drawing>
      </w:r>
    </w:p>
    <w:p>
      <w:pPr>
        <w:spacing w:after="0" w:line="122" w:lineRule="exact"/>
        <w:rPr>
          <w:sz w:val="20"/>
          <w:szCs w:val="20"/>
          <w:color w:val="auto"/>
        </w:rPr>
      </w:pPr>
    </w:p>
    <w:p>
      <w:pPr>
        <w:ind w:right="260"/>
        <w:spacing w:after="0" w:line="302" w:lineRule="auto"/>
        <w:rPr>
          <w:sz w:val="20"/>
          <w:szCs w:val="20"/>
          <w:color w:val="auto"/>
        </w:rPr>
      </w:pPr>
      <w:r>
        <w:rPr>
          <w:rFonts w:ascii="Arial" w:cs="Arial" w:eastAsia="Arial" w:hAnsi="Arial"/>
          <w:sz w:val="15"/>
          <w:szCs w:val="15"/>
          <w:color w:val="auto"/>
        </w:rPr>
        <w:t>WHEREAS, pursuant to Section 2.10 of the Nuclear Facilities Non-Qualified Decommissioning Master Trust for San Onofre Nuclear Generating Stations dated as of June 29, 1992, as amended (“Agreement”) between the Company and the Trustee, the parties specifically reserve the right to amend the Agreement;</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NOW, THEREFORE, the Company and the Trustee agree as follows:</w:t>
      </w:r>
    </w:p>
    <w:p>
      <w:pPr>
        <w:spacing w:after="0" w:line="148" w:lineRule="exact"/>
        <w:rPr>
          <w:sz w:val="20"/>
          <w:szCs w:val="20"/>
          <w:color w:val="auto"/>
        </w:rPr>
      </w:pPr>
    </w:p>
    <w:p>
      <w:pPr>
        <w:ind w:left="640" w:hanging="315"/>
        <w:spacing w:after="0"/>
        <w:tabs>
          <w:tab w:leader="none" w:pos="64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The third and fourth sentences of Section 4.05 shall be restated as follows:</w:t>
      </w:r>
    </w:p>
    <w:p>
      <w:pPr>
        <w:spacing w:after="0" w:line="150" w:lineRule="exact"/>
        <w:rPr>
          <w:sz w:val="20"/>
          <w:szCs w:val="20"/>
          <w:color w:val="auto"/>
        </w:rPr>
      </w:pPr>
    </w:p>
    <w:p>
      <w:pPr>
        <w:jc w:val="both"/>
        <w:ind w:left="320" w:right="560"/>
        <w:spacing w:after="0" w:line="291" w:lineRule="auto"/>
        <w:rPr>
          <w:sz w:val="20"/>
          <w:szCs w:val="20"/>
          <w:color w:val="auto"/>
        </w:rPr>
      </w:pPr>
      <w:r>
        <w:rPr>
          <w:rFonts w:ascii="Arial" w:cs="Arial" w:eastAsia="Arial" w:hAnsi="Arial"/>
          <w:sz w:val="19"/>
          <w:szCs w:val="19"/>
          <w:color w:val="auto"/>
        </w:rPr>
        <w:t>The Committee, or upon written notice thereof, the Trustee, shall assume responsibility for employing independent certified public accountants to audit the financial statements not less frequently than annually, subject to the provisions contained in Section 6.05. The Company and the Committee shall have the right to object to any of the audited financial statements.</w:t>
      </w:r>
    </w:p>
    <w:p>
      <w:pPr>
        <w:spacing w:after="0" w:line="107" w:lineRule="exact"/>
        <w:rPr>
          <w:sz w:val="20"/>
          <w:szCs w:val="20"/>
          <w:color w:val="auto"/>
        </w:rPr>
      </w:pPr>
    </w:p>
    <w:p>
      <w:pPr>
        <w:ind w:left="640" w:hanging="315"/>
        <w:spacing w:after="0"/>
        <w:tabs>
          <w:tab w:leader="none" w:pos="64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The second sentence of the introductory text of Article II shall be restated as follows:</w:t>
      </w:r>
    </w:p>
    <w:p>
      <w:pPr>
        <w:spacing w:after="0" w:line="150" w:lineRule="exact"/>
        <w:rPr>
          <w:sz w:val="20"/>
          <w:szCs w:val="20"/>
          <w:color w:val="auto"/>
        </w:rPr>
      </w:pPr>
    </w:p>
    <w:p>
      <w:pPr>
        <w:ind w:left="320" w:right="120"/>
        <w:spacing w:after="0" w:line="252" w:lineRule="auto"/>
        <w:rPr>
          <w:sz w:val="20"/>
          <w:szCs w:val="20"/>
          <w:color w:val="auto"/>
        </w:rPr>
      </w:pPr>
      <w:r>
        <w:rPr>
          <w:rFonts w:ascii="Arial" w:cs="Arial" w:eastAsia="Arial" w:hAnsi="Arial"/>
          <w:sz w:val="21"/>
          <w:szCs w:val="21"/>
          <w:color w:val="auto"/>
        </w:rPr>
        <w:t>No disbursement or payment may be made from the Master Trust for activities subject to NRC-jurisdiction under section 50.75 until written notice of the intention to make disbursement or payment has been made in accordance with 10 CFR 50.75(h)(1)(iv), or any subsequent NRC requirement.</w:t>
      </w:r>
    </w:p>
    <w:p>
      <w:pPr>
        <w:spacing w:after="0" w:line="141" w:lineRule="exact"/>
        <w:rPr>
          <w:sz w:val="20"/>
          <w:szCs w:val="20"/>
          <w:color w:val="auto"/>
        </w:rPr>
      </w:pPr>
    </w:p>
    <w:p>
      <w:pPr>
        <w:ind w:left="640" w:right="200" w:hanging="315"/>
        <w:spacing w:after="0" w:line="268" w:lineRule="auto"/>
        <w:tabs>
          <w:tab w:leader="none" w:pos="64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Each Party hereby represents and warrants to the others that it has full authority to enter into this Amendment No. 8 upon the terms and conditions hereof and that the individual executing this Amendment No. 8 on its behalf has the requisite authority to bind that Party.</w:t>
      </w:r>
    </w:p>
    <w:p>
      <w:pPr>
        <w:spacing w:after="0" w:line="121" w:lineRule="exact"/>
        <w:rPr>
          <w:sz w:val="20"/>
          <w:szCs w:val="20"/>
          <w:color w:val="auto"/>
        </w:rPr>
      </w:pPr>
    </w:p>
    <w:p>
      <w:pPr>
        <w:ind w:right="160"/>
        <w:spacing w:after="0" w:line="268" w:lineRule="auto"/>
        <w:rPr>
          <w:sz w:val="20"/>
          <w:szCs w:val="20"/>
          <w:color w:val="auto"/>
        </w:rPr>
      </w:pPr>
      <w:r>
        <w:rPr>
          <w:rFonts w:ascii="Arial" w:cs="Arial" w:eastAsia="Arial" w:hAnsi="Arial"/>
          <w:sz w:val="16"/>
          <w:szCs w:val="16"/>
          <w:color w:val="auto"/>
        </w:rPr>
        <w:t>IN WITNESS WHEREOF, the Company, the Trustee, and the California Public Utilities Commission have set their hands and seals in agreement to these amendments effective as provided above.</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SAN DIEGO GAS &amp; ELECTRIC COMPANY</w:t>
      </w:r>
    </w:p>
    <w:p>
      <w:pPr>
        <w:spacing w:after="0" w:line="215" w:lineRule="exact"/>
        <w:rPr>
          <w:sz w:val="20"/>
          <w:szCs w:val="20"/>
          <w:color w:val="auto"/>
        </w:rPr>
      </w:pPr>
    </w:p>
    <w:tbl>
      <w:tblPr>
        <w:tblLayout w:type="fixed"/>
        <w:tblInd w:w="140" w:type="dxa"/>
        <w:tblCellMar>
          <w:top w:w="0" w:type="dxa"/>
          <w:left w:w="0" w:type="dxa"/>
          <w:bottom w:w="0" w:type="dxa"/>
          <w:right w:w="0" w:type="dxa"/>
        </w:tblCellMar>
      </w:tblPr>
      <w:tr>
        <w:trPr>
          <w:trHeight w:val="196"/>
        </w:trPr>
        <w:tc>
          <w:tcPr>
            <w:tcW w:w="740" w:type="dxa"/>
            <w:vAlign w:val="bottom"/>
          </w:tcPr>
          <w:p>
            <w:pPr>
              <w:spacing w:after="0"/>
              <w:rPr>
                <w:sz w:val="20"/>
                <w:szCs w:val="20"/>
                <w:color w:val="auto"/>
              </w:rPr>
            </w:pPr>
            <w:r>
              <w:rPr>
                <w:rFonts w:ascii="Arial" w:cs="Arial" w:eastAsia="Arial" w:hAnsi="Arial"/>
                <w:sz w:val="16"/>
                <w:szCs w:val="16"/>
                <w:color w:val="auto"/>
              </w:rPr>
              <w:t>By:</w:t>
            </w:r>
          </w:p>
        </w:tc>
        <w:tc>
          <w:tcPr>
            <w:tcW w:w="33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/s/ Robert Schlax</w:t>
            </w:r>
          </w:p>
        </w:tc>
      </w:tr>
      <w:tr>
        <w:trPr>
          <w:trHeight w:val="179"/>
        </w:trPr>
        <w:tc>
          <w:tcPr>
            <w:tcW w:w="740" w:type="dxa"/>
            <w:vAlign w:val="bottom"/>
          </w:tcPr>
          <w:p>
            <w:pPr>
              <w:spacing w:after="0" w:line="179" w:lineRule="exact"/>
              <w:rPr>
                <w:sz w:val="20"/>
                <w:szCs w:val="20"/>
                <w:color w:val="auto"/>
              </w:rPr>
            </w:pPr>
            <w:r>
              <w:rPr>
                <w:rFonts w:ascii="Arial" w:cs="Arial" w:eastAsia="Arial" w:hAnsi="Arial"/>
                <w:sz w:val="16"/>
                <w:szCs w:val="16"/>
                <w:color w:val="auto"/>
              </w:rPr>
              <w:t>Date:</w:t>
            </w:r>
          </w:p>
        </w:tc>
        <w:tc>
          <w:tcPr>
            <w:tcW w:w="3320" w:type="dxa"/>
            <w:vAlign w:val="bottom"/>
            <w:tcBorders>
              <w:bottom w:val="single" w:sz="8" w:color="auto"/>
            </w:tcBorders>
          </w:tcPr>
          <w:p>
            <w:pPr>
              <w:ind w:left="120"/>
              <w:spacing w:after="0" w:line="179" w:lineRule="exact"/>
              <w:rPr>
                <w:sz w:val="20"/>
                <w:szCs w:val="20"/>
                <w:color w:val="auto"/>
              </w:rPr>
            </w:pPr>
            <w:r>
              <w:rPr>
                <w:rFonts w:ascii="Arial" w:cs="Arial" w:eastAsia="Arial" w:hAnsi="Arial"/>
                <w:sz w:val="16"/>
                <w:szCs w:val="16"/>
                <w:color w:val="auto"/>
              </w:rPr>
              <w:t>7/31/14</w:t>
            </w:r>
          </w:p>
        </w:tc>
      </w:tr>
      <w:tr>
        <w:trPr>
          <w:trHeight w:val="179"/>
        </w:trPr>
        <w:tc>
          <w:tcPr>
            <w:tcW w:w="740" w:type="dxa"/>
            <w:vAlign w:val="bottom"/>
          </w:tcPr>
          <w:p>
            <w:pPr>
              <w:spacing w:after="0" w:line="179" w:lineRule="exact"/>
              <w:rPr>
                <w:sz w:val="20"/>
                <w:szCs w:val="20"/>
                <w:color w:val="auto"/>
              </w:rPr>
            </w:pPr>
            <w:r>
              <w:rPr>
                <w:rFonts w:ascii="Arial" w:cs="Arial" w:eastAsia="Arial" w:hAnsi="Arial"/>
                <w:sz w:val="16"/>
                <w:szCs w:val="16"/>
                <w:color w:val="auto"/>
              </w:rPr>
              <w:t>Attest:</w:t>
            </w:r>
          </w:p>
        </w:tc>
        <w:tc>
          <w:tcPr>
            <w:tcW w:w="3320" w:type="dxa"/>
            <w:vAlign w:val="bottom"/>
            <w:tcBorders>
              <w:bottom w:val="single" w:sz="8" w:color="auto"/>
            </w:tcBorders>
          </w:tcPr>
          <w:p>
            <w:pPr>
              <w:ind w:left="120"/>
              <w:spacing w:after="0" w:line="179" w:lineRule="exact"/>
              <w:rPr>
                <w:sz w:val="20"/>
                <w:szCs w:val="20"/>
                <w:color w:val="auto"/>
              </w:rPr>
            </w:pPr>
            <w:r>
              <w:rPr>
                <w:rFonts w:ascii="Arial" w:cs="Arial" w:eastAsia="Arial" w:hAnsi="Arial"/>
                <w:sz w:val="16"/>
                <w:szCs w:val="16"/>
                <w:color w:val="auto"/>
              </w:rPr>
              <w:t>/s/ Sylvia Jimenez</w:t>
            </w: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BANK OF NEW YORK MELLON</w:t>
      </w:r>
    </w:p>
    <w:p>
      <w:pPr>
        <w:spacing w:after="0" w:line="215" w:lineRule="exact"/>
        <w:rPr>
          <w:sz w:val="20"/>
          <w:szCs w:val="20"/>
          <w:color w:val="auto"/>
        </w:rPr>
      </w:pPr>
    </w:p>
    <w:tbl>
      <w:tblPr>
        <w:tblLayout w:type="fixed"/>
        <w:tblInd w:w="140" w:type="dxa"/>
        <w:tblCellMar>
          <w:top w:w="0" w:type="dxa"/>
          <w:left w:w="0" w:type="dxa"/>
          <w:bottom w:w="0" w:type="dxa"/>
          <w:right w:w="0" w:type="dxa"/>
        </w:tblCellMar>
      </w:tblPr>
      <w:tr>
        <w:trPr>
          <w:trHeight w:val="196"/>
        </w:trPr>
        <w:tc>
          <w:tcPr>
            <w:tcW w:w="740" w:type="dxa"/>
            <w:vAlign w:val="bottom"/>
          </w:tcPr>
          <w:p>
            <w:pPr>
              <w:spacing w:after="0"/>
              <w:rPr>
                <w:sz w:val="20"/>
                <w:szCs w:val="20"/>
                <w:color w:val="auto"/>
              </w:rPr>
            </w:pPr>
            <w:r>
              <w:rPr>
                <w:rFonts w:ascii="Arial" w:cs="Arial" w:eastAsia="Arial" w:hAnsi="Arial"/>
                <w:sz w:val="16"/>
                <w:szCs w:val="16"/>
                <w:color w:val="auto"/>
              </w:rPr>
              <w:t>By:</w:t>
            </w:r>
          </w:p>
        </w:tc>
        <w:tc>
          <w:tcPr>
            <w:tcW w:w="33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/s/ Joseph G. Kirchmeier</w:t>
            </w:r>
          </w:p>
        </w:tc>
      </w:tr>
      <w:tr>
        <w:trPr>
          <w:trHeight w:val="179"/>
        </w:trPr>
        <w:tc>
          <w:tcPr>
            <w:tcW w:w="740" w:type="dxa"/>
            <w:vAlign w:val="bottom"/>
          </w:tcPr>
          <w:p>
            <w:pPr>
              <w:spacing w:after="0" w:line="179" w:lineRule="exact"/>
              <w:rPr>
                <w:sz w:val="20"/>
                <w:szCs w:val="20"/>
                <w:color w:val="auto"/>
              </w:rPr>
            </w:pPr>
            <w:r>
              <w:rPr>
                <w:rFonts w:ascii="Arial" w:cs="Arial" w:eastAsia="Arial" w:hAnsi="Arial"/>
                <w:sz w:val="16"/>
                <w:szCs w:val="16"/>
                <w:color w:val="auto"/>
              </w:rPr>
              <w:t>Date:</w:t>
            </w:r>
          </w:p>
        </w:tc>
        <w:tc>
          <w:tcPr>
            <w:tcW w:w="3320" w:type="dxa"/>
            <w:vAlign w:val="bottom"/>
            <w:tcBorders>
              <w:bottom w:val="single" w:sz="8" w:color="auto"/>
            </w:tcBorders>
          </w:tcPr>
          <w:p>
            <w:pPr>
              <w:ind w:left="120"/>
              <w:spacing w:after="0" w:line="179" w:lineRule="exact"/>
              <w:rPr>
                <w:sz w:val="20"/>
                <w:szCs w:val="20"/>
                <w:color w:val="auto"/>
              </w:rPr>
            </w:pPr>
            <w:r>
              <w:rPr>
                <w:rFonts w:ascii="Arial" w:cs="Arial" w:eastAsia="Arial" w:hAnsi="Arial"/>
                <w:sz w:val="16"/>
                <w:szCs w:val="16"/>
                <w:color w:val="auto"/>
              </w:rPr>
              <w:t>7/29/14</w:t>
            </w:r>
          </w:p>
        </w:tc>
      </w:tr>
      <w:tr>
        <w:trPr>
          <w:trHeight w:val="179"/>
        </w:trPr>
        <w:tc>
          <w:tcPr>
            <w:tcW w:w="740" w:type="dxa"/>
            <w:vAlign w:val="bottom"/>
          </w:tcPr>
          <w:p>
            <w:pPr>
              <w:spacing w:after="0" w:line="179" w:lineRule="exact"/>
              <w:rPr>
                <w:sz w:val="20"/>
                <w:szCs w:val="20"/>
                <w:color w:val="auto"/>
              </w:rPr>
            </w:pPr>
            <w:r>
              <w:rPr>
                <w:rFonts w:ascii="Arial" w:cs="Arial" w:eastAsia="Arial" w:hAnsi="Arial"/>
                <w:sz w:val="16"/>
                <w:szCs w:val="16"/>
                <w:color w:val="auto"/>
              </w:rPr>
              <w:t>Attest:</w:t>
            </w:r>
          </w:p>
        </w:tc>
        <w:tc>
          <w:tcPr>
            <w:tcW w:w="3320" w:type="dxa"/>
            <w:vAlign w:val="bottom"/>
            <w:tcBorders>
              <w:bottom w:val="single" w:sz="8" w:color="auto"/>
            </w:tcBorders>
          </w:tcPr>
          <w:p>
            <w:pPr>
              <w:ind w:left="120"/>
              <w:spacing w:after="0" w:line="179" w:lineRule="exact"/>
              <w:rPr>
                <w:sz w:val="20"/>
                <w:szCs w:val="20"/>
                <w:color w:val="auto"/>
              </w:rPr>
            </w:pPr>
            <w:r>
              <w:rPr>
                <w:rFonts w:ascii="Arial" w:cs="Arial" w:eastAsia="Arial" w:hAnsi="Arial"/>
                <w:sz w:val="16"/>
                <w:szCs w:val="16"/>
                <w:color w:val="auto"/>
              </w:rPr>
              <w:t>/s/ James Mahoney</w:t>
            </w: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CALIFORNIA PUBLIC UTILITIES COMMISSION</w:t>
      </w:r>
    </w:p>
    <w:p>
      <w:pPr>
        <w:spacing w:after="0" w:line="215" w:lineRule="exact"/>
        <w:rPr>
          <w:sz w:val="20"/>
          <w:szCs w:val="20"/>
          <w:color w:val="auto"/>
        </w:rPr>
      </w:pPr>
    </w:p>
    <w:tbl>
      <w:tblPr>
        <w:tblLayout w:type="fixed"/>
        <w:tblInd w:w="140" w:type="dxa"/>
        <w:tblCellMar>
          <w:top w:w="0" w:type="dxa"/>
          <w:left w:w="0" w:type="dxa"/>
          <w:bottom w:w="0" w:type="dxa"/>
          <w:right w:w="0" w:type="dxa"/>
        </w:tblCellMar>
      </w:tblPr>
      <w:tr>
        <w:trPr>
          <w:trHeight w:val="196"/>
        </w:trPr>
        <w:tc>
          <w:tcPr>
            <w:tcW w:w="740" w:type="dxa"/>
            <w:vAlign w:val="bottom"/>
          </w:tcPr>
          <w:p>
            <w:pPr>
              <w:spacing w:after="0"/>
              <w:rPr>
                <w:sz w:val="20"/>
                <w:szCs w:val="20"/>
                <w:color w:val="auto"/>
              </w:rPr>
            </w:pPr>
            <w:r>
              <w:rPr>
                <w:rFonts w:ascii="Arial" w:cs="Arial" w:eastAsia="Arial" w:hAnsi="Arial"/>
                <w:sz w:val="16"/>
                <w:szCs w:val="16"/>
                <w:color w:val="auto"/>
              </w:rPr>
              <w:t>By:</w:t>
            </w:r>
          </w:p>
        </w:tc>
        <w:tc>
          <w:tcPr>
            <w:tcW w:w="33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/s/ Michelle Cooke for PAC</w:t>
            </w:r>
          </w:p>
        </w:tc>
      </w:tr>
      <w:tr>
        <w:trPr>
          <w:trHeight w:val="179"/>
        </w:trPr>
        <w:tc>
          <w:tcPr>
            <w:tcW w:w="740" w:type="dxa"/>
            <w:vAlign w:val="bottom"/>
          </w:tcPr>
          <w:p>
            <w:pPr>
              <w:spacing w:after="0" w:line="179" w:lineRule="exact"/>
              <w:rPr>
                <w:sz w:val="20"/>
                <w:szCs w:val="20"/>
                <w:color w:val="auto"/>
              </w:rPr>
            </w:pPr>
            <w:r>
              <w:rPr>
                <w:rFonts w:ascii="Arial" w:cs="Arial" w:eastAsia="Arial" w:hAnsi="Arial"/>
                <w:sz w:val="16"/>
                <w:szCs w:val="16"/>
                <w:color w:val="auto"/>
              </w:rPr>
              <w:t>Date:</w:t>
            </w:r>
          </w:p>
        </w:tc>
        <w:tc>
          <w:tcPr>
            <w:tcW w:w="3320" w:type="dxa"/>
            <w:vAlign w:val="bottom"/>
            <w:tcBorders>
              <w:bottom w:val="single" w:sz="8" w:color="auto"/>
            </w:tcBorders>
          </w:tcPr>
          <w:p>
            <w:pPr>
              <w:ind w:left="120"/>
              <w:spacing w:after="0" w:line="179" w:lineRule="exact"/>
              <w:rPr>
                <w:sz w:val="20"/>
                <w:szCs w:val="20"/>
                <w:color w:val="auto"/>
              </w:rPr>
            </w:pPr>
            <w:r>
              <w:rPr>
                <w:rFonts w:ascii="Arial" w:cs="Arial" w:eastAsia="Arial" w:hAnsi="Arial"/>
                <w:sz w:val="16"/>
                <w:szCs w:val="16"/>
                <w:color w:val="auto"/>
              </w:rPr>
              <w:t>8/27/14</w:t>
            </w:r>
          </w:p>
        </w:tc>
      </w:tr>
      <w:tr>
        <w:trPr>
          <w:trHeight w:val="179"/>
        </w:trPr>
        <w:tc>
          <w:tcPr>
            <w:tcW w:w="740" w:type="dxa"/>
            <w:vAlign w:val="bottom"/>
          </w:tcPr>
          <w:p>
            <w:pPr>
              <w:spacing w:after="0" w:line="179" w:lineRule="exact"/>
              <w:rPr>
                <w:sz w:val="20"/>
                <w:szCs w:val="20"/>
                <w:color w:val="auto"/>
              </w:rPr>
            </w:pPr>
            <w:r>
              <w:rPr>
                <w:rFonts w:ascii="Arial" w:cs="Arial" w:eastAsia="Arial" w:hAnsi="Arial"/>
                <w:sz w:val="16"/>
                <w:szCs w:val="16"/>
                <w:color w:val="auto"/>
              </w:rPr>
              <w:t>Attest:</w:t>
            </w:r>
          </w:p>
        </w:tc>
        <w:tc>
          <w:tcPr>
            <w:tcW w:w="3320" w:type="dxa"/>
            <w:vAlign w:val="bottom"/>
            <w:tcBorders>
              <w:bottom w:val="single" w:sz="8" w:color="auto"/>
            </w:tcBorders>
          </w:tcPr>
          <w:p>
            <w:pPr>
              <w:ind w:left="120"/>
              <w:spacing w:after="0" w:line="179" w:lineRule="exact"/>
              <w:rPr>
                <w:sz w:val="20"/>
                <w:szCs w:val="20"/>
                <w:color w:val="auto"/>
              </w:rPr>
            </w:pPr>
            <w:r>
              <w:rPr>
                <w:rFonts w:ascii="Arial" w:cs="Arial" w:eastAsia="Arial" w:hAnsi="Arial"/>
                <w:sz w:val="16"/>
                <w:szCs w:val="16"/>
                <w:color w:val="auto"/>
              </w:rPr>
              <w:t>/s/ Carol Mendiola</w:t>
            </w:r>
          </w:p>
        </w:tc>
      </w:tr>
    </w:tbl>
    <w:p>
      <w:pPr>
        <w:sectPr>
          <w:pgSz w:w="11900" w:h="16838" w:orient="portrait"/>
          <w:cols w:equalWidth="0" w:num="1">
            <w:col w:w="11420"/>
          </w:cols>
          <w:pgMar w:left="240" w:top="117"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25"/>
          <w:szCs w:val="25"/>
          <w:b w:val="1"/>
          <w:bCs w:val="1"/>
          <w:color w:val="auto"/>
        </w:rPr>
        <w:t>Exhibit 10.5</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AMENDMENT NO. 9</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TO THE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SAN DIEGO GAS &amp; ELECTRIC COMPANY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NUCLEAR FACILITIES NON-QUALIFIED CPUC DECOMMISSIONING</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MASTER TRUST AGREEMENT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SAN ONOFRE NUCLEAR GENERATING STATIONS</w:t>
      </w:r>
    </w:p>
    <w:p>
      <w:pPr>
        <w:spacing w:after="0" w:line="200" w:lineRule="exact"/>
        <w:rPr>
          <w:sz w:val="20"/>
          <w:szCs w:val="20"/>
          <w:color w:val="auto"/>
        </w:rPr>
      </w:pPr>
    </w:p>
    <w:p>
      <w:pPr>
        <w:spacing w:after="0" w:line="361" w:lineRule="exact"/>
        <w:rPr>
          <w:sz w:val="20"/>
          <w:szCs w:val="20"/>
          <w:color w:val="auto"/>
        </w:rPr>
      </w:pPr>
    </w:p>
    <w:p>
      <w:pPr>
        <w:ind w:right="140"/>
        <w:spacing w:after="0" w:line="213" w:lineRule="auto"/>
        <w:rPr>
          <w:sz w:val="20"/>
          <w:szCs w:val="20"/>
          <w:color w:val="auto"/>
        </w:rPr>
      </w:pPr>
      <w:r>
        <w:rPr>
          <w:rFonts w:ascii="Arial" w:cs="Arial" w:eastAsia="Arial" w:hAnsi="Arial"/>
          <w:sz w:val="16"/>
          <w:szCs w:val="16"/>
          <w:color w:val="auto"/>
        </w:rPr>
        <w:t>This Amendment No. 9 made this 27</w:t>
      </w:r>
      <w:r>
        <w:rPr>
          <w:rFonts w:ascii="Arial" w:cs="Arial" w:eastAsia="Arial" w:hAnsi="Arial"/>
          <w:sz w:val="26"/>
          <w:szCs w:val="26"/>
          <w:u w:val="single" w:color="auto"/>
          <w:color w:val="auto"/>
          <w:vertAlign w:val="superscript"/>
        </w:rPr>
        <w:t>th</w:t>
      </w:r>
      <w:r>
        <w:rPr>
          <w:rFonts w:ascii="Arial" w:cs="Arial" w:eastAsia="Arial" w:hAnsi="Arial"/>
          <w:sz w:val="16"/>
          <w:szCs w:val="16"/>
          <w:color w:val="auto"/>
        </w:rPr>
        <w:t xml:space="preserve"> day of August , 2014, by and between San Diego Gas &amp; Electric Company (“Company”) and The Bank of New York Mellon, a New York state bank, successor by operation of law to Mellon Bank, N.A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1402080</wp:posOffset>
            </wp:positionH>
            <wp:positionV relativeFrom="paragraph">
              <wp:posOffset>-139065</wp:posOffset>
            </wp:positionV>
            <wp:extent cx="11906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190625" cy="8255"/>
                    </a:xfrm>
                    <a:prstGeom prst="rect">
                      <a:avLst/>
                    </a:prstGeom>
                    <a:noFill/>
                  </pic:spPr>
                </pic:pic>
              </a:graphicData>
            </a:graphic>
          </wp:anchor>
        </w:drawing>
      </w:r>
    </w:p>
    <w:p>
      <w:pPr>
        <w:spacing w:after="0" w:line="122" w:lineRule="exact"/>
        <w:rPr>
          <w:sz w:val="20"/>
          <w:szCs w:val="20"/>
          <w:color w:val="auto"/>
        </w:rPr>
      </w:pPr>
    </w:p>
    <w:p>
      <w:pPr>
        <w:ind w:right="260"/>
        <w:spacing w:after="0" w:line="302" w:lineRule="auto"/>
        <w:rPr>
          <w:sz w:val="20"/>
          <w:szCs w:val="20"/>
          <w:color w:val="auto"/>
        </w:rPr>
      </w:pPr>
      <w:r>
        <w:rPr>
          <w:rFonts w:ascii="Arial" w:cs="Arial" w:eastAsia="Arial" w:hAnsi="Arial"/>
          <w:sz w:val="15"/>
          <w:szCs w:val="15"/>
          <w:color w:val="auto"/>
        </w:rPr>
        <w:t>WHEREAS, pursuant to Section 2.10 of the Nuclear Facilities Non-Qualified Decommissioning Master Trust for San Onofre Nuclear Generating Stations dated as of June 29, 1992, as amended (“Agreement”) between the Company and the Trustee, the parties specifically reserve the right to amend the Agreement;</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NOW, THEREFORE, the Company and the Trustee agree as follows:</w:t>
      </w:r>
    </w:p>
    <w:p>
      <w:pPr>
        <w:spacing w:after="0" w:line="177" w:lineRule="exact"/>
        <w:rPr>
          <w:sz w:val="20"/>
          <w:szCs w:val="20"/>
          <w:color w:val="auto"/>
        </w:rPr>
      </w:pPr>
    </w:p>
    <w:p>
      <w:pPr>
        <w:ind w:left="640" w:hanging="315"/>
        <w:spacing w:after="0"/>
        <w:tabs>
          <w:tab w:leader="none" w:pos="640" w:val="left"/>
        </w:tabs>
        <w:numPr>
          <w:ilvl w:val="0"/>
          <w:numId w:val="161"/>
        </w:numPr>
        <w:rPr>
          <w:rFonts w:ascii="Arial" w:cs="Arial" w:eastAsia="Arial" w:hAnsi="Arial"/>
          <w:sz w:val="21"/>
          <w:szCs w:val="21"/>
          <w:color w:val="auto"/>
        </w:rPr>
      </w:pPr>
      <w:r>
        <w:rPr>
          <w:rFonts w:ascii="Arial" w:cs="Arial" w:eastAsia="Arial" w:hAnsi="Arial"/>
          <w:sz w:val="21"/>
          <w:szCs w:val="21"/>
          <w:color w:val="auto"/>
        </w:rPr>
        <w:t>The last sentence of Section 3.02 shall be restated as follows:</w:t>
      </w:r>
    </w:p>
    <w:p>
      <w:pPr>
        <w:spacing w:after="0" w:line="170" w:lineRule="exact"/>
        <w:rPr>
          <w:rFonts w:ascii="Arial" w:cs="Arial" w:eastAsia="Arial" w:hAnsi="Arial"/>
          <w:sz w:val="21"/>
          <w:szCs w:val="21"/>
          <w:color w:val="auto"/>
        </w:rPr>
      </w:pPr>
    </w:p>
    <w:p>
      <w:pPr>
        <w:ind w:left="640" w:right="1640"/>
        <w:spacing w:after="0" w:line="267" w:lineRule="auto"/>
        <w:rPr>
          <w:rFonts w:ascii="Arial" w:cs="Arial" w:eastAsia="Arial" w:hAnsi="Arial"/>
          <w:sz w:val="21"/>
          <w:szCs w:val="21"/>
          <w:color w:val="auto"/>
        </w:rPr>
      </w:pPr>
      <w:r>
        <w:rPr>
          <w:rFonts w:ascii="Arial" w:cs="Arial" w:eastAsia="Arial" w:hAnsi="Arial"/>
          <w:sz w:val="21"/>
          <w:szCs w:val="21"/>
          <w:color w:val="auto"/>
        </w:rPr>
        <w:t>“Appointments of Committee members may be for less than a five-year term in order to establish staggered membership terms among the members of the Committee.”</w:t>
      </w:r>
    </w:p>
    <w:p>
      <w:pPr>
        <w:spacing w:after="0" w:line="125" w:lineRule="exact"/>
        <w:rPr>
          <w:rFonts w:ascii="Arial" w:cs="Arial" w:eastAsia="Arial" w:hAnsi="Arial"/>
          <w:sz w:val="21"/>
          <w:szCs w:val="21"/>
          <w:color w:val="auto"/>
        </w:rPr>
      </w:pPr>
    </w:p>
    <w:p>
      <w:pPr>
        <w:ind w:left="640" w:hanging="315"/>
        <w:spacing w:after="0"/>
        <w:tabs>
          <w:tab w:leader="none" w:pos="640" w:val="left"/>
        </w:tabs>
        <w:numPr>
          <w:ilvl w:val="0"/>
          <w:numId w:val="161"/>
        </w:numPr>
        <w:rPr>
          <w:rFonts w:ascii="Arial" w:cs="Arial" w:eastAsia="Arial" w:hAnsi="Arial"/>
          <w:sz w:val="14"/>
          <w:szCs w:val="14"/>
          <w:color w:val="auto"/>
        </w:rPr>
      </w:pPr>
      <w:r>
        <w:rPr>
          <w:rFonts w:ascii="Arial" w:cs="Arial" w:eastAsia="Arial" w:hAnsi="Arial"/>
          <w:sz w:val="14"/>
          <w:szCs w:val="14"/>
          <w:color w:val="auto"/>
        </w:rPr>
        <w:t>Each Party hereby represents and warrants to the others that it has full authority to enter into this Amendment No. 9 upon the terms and conditions hereof and that the</w:t>
      </w:r>
    </w:p>
    <w:p>
      <w:pPr>
        <w:spacing w:after="0" w:line="3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individual executing this Amendment No. 9 on its behalf has the requisite authority to bind that Party.</w:t>
      </w:r>
    </w:p>
    <w:p>
      <w:pPr>
        <w:spacing w:after="0" w:line="148" w:lineRule="exact"/>
        <w:rPr>
          <w:sz w:val="20"/>
          <w:szCs w:val="20"/>
          <w:color w:val="auto"/>
        </w:rPr>
      </w:pPr>
    </w:p>
    <w:p>
      <w:pPr>
        <w:ind w:right="160"/>
        <w:spacing w:after="0" w:line="268" w:lineRule="auto"/>
        <w:rPr>
          <w:sz w:val="20"/>
          <w:szCs w:val="20"/>
          <w:color w:val="auto"/>
        </w:rPr>
      </w:pPr>
      <w:r>
        <w:rPr>
          <w:rFonts w:ascii="Arial" w:cs="Arial" w:eastAsia="Arial" w:hAnsi="Arial"/>
          <w:sz w:val="16"/>
          <w:szCs w:val="16"/>
          <w:color w:val="auto"/>
        </w:rPr>
        <w:t>IN WITNESS WHEREOF, the Company, the Trustee, and the California Public Utilities Commission have set their hands and seals in agreement to these amendments effective as provided above.</w:t>
      </w:r>
    </w:p>
    <w:p>
      <w:pPr>
        <w:spacing w:after="0" w:line="200" w:lineRule="exact"/>
        <w:rPr>
          <w:sz w:val="20"/>
          <w:szCs w:val="20"/>
          <w:color w:val="auto"/>
        </w:rPr>
      </w:pPr>
    </w:p>
    <w:p>
      <w:pPr>
        <w:spacing w:after="0" w:line="26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SAN DIEGO GAS &amp; ELECTRIC COMPANY</w:t>
      </w:r>
    </w:p>
    <w:p>
      <w:pPr>
        <w:spacing w:after="0" w:line="215" w:lineRule="exact"/>
        <w:rPr>
          <w:sz w:val="20"/>
          <w:szCs w:val="20"/>
          <w:color w:val="auto"/>
        </w:rPr>
      </w:pPr>
    </w:p>
    <w:tbl>
      <w:tblPr>
        <w:tblLayout w:type="fixed"/>
        <w:tblInd w:w="140" w:type="dxa"/>
        <w:tblCellMar>
          <w:top w:w="0" w:type="dxa"/>
          <w:left w:w="0" w:type="dxa"/>
          <w:bottom w:w="0" w:type="dxa"/>
          <w:right w:w="0" w:type="dxa"/>
        </w:tblCellMar>
      </w:tblPr>
      <w:tr>
        <w:trPr>
          <w:trHeight w:val="196"/>
        </w:trPr>
        <w:tc>
          <w:tcPr>
            <w:tcW w:w="740" w:type="dxa"/>
            <w:vAlign w:val="bottom"/>
          </w:tcPr>
          <w:p>
            <w:pPr>
              <w:spacing w:after="0"/>
              <w:rPr>
                <w:sz w:val="20"/>
                <w:szCs w:val="20"/>
                <w:color w:val="auto"/>
              </w:rPr>
            </w:pPr>
            <w:r>
              <w:rPr>
                <w:rFonts w:ascii="Arial" w:cs="Arial" w:eastAsia="Arial" w:hAnsi="Arial"/>
                <w:sz w:val="16"/>
                <w:szCs w:val="16"/>
                <w:color w:val="auto"/>
              </w:rPr>
              <w:t>By:</w:t>
            </w:r>
          </w:p>
        </w:tc>
        <w:tc>
          <w:tcPr>
            <w:tcW w:w="33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/s/ Robert Schlax</w:t>
            </w:r>
          </w:p>
        </w:tc>
      </w:tr>
      <w:tr>
        <w:trPr>
          <w:trHeight w:val="179"/>
        </w:trPr>
        <w:tc>
          <w:tcPr>
            <w:tcW w:w="740" w:type="dxa"/>
            <w:vAlign w:val="bottom"/>
          </w:tcPr>
          <w:p>
            <w:pPr>
              <w:spacing w:after="0" w:line="179" w:lineRule="exact"/>
              <w:rPr>
                <w:sz w:val="20"/>
                <w:szCs w:val="20"/>
                <w:color w:val="auto"/>
              </w:rPr>
            </w:pPr>
            <w:r>
              <w:rPr>
                <w:rFonts w:ascii="Arial" w:cs="Arial" w:eastAsia="Arial" w:hAnsi="Arial"/>
                <w:sz w:val="16"/>
                <w:szCs w:val="16"/>
                <w:color w:val="auto"/>
              </w:rPr>
              <w:t>Date:</w:t>
            </w:r>
          </w:p>
        </w:tc>
        <w:tc>
          <w:tcPr>
            <w:tcW w:w="3320" w:type="dxa"/>
            <w:vAlign w:val="bottom"/>
            <w:tcBorders>
              <w:bottom w:val="single" w:sz="8" w:color="auto"/>
            </w:tcBorders>
          </w:tcPr>
          <w:p>
            <w:pPr>
              <w:ind w:left="120"/>
              <w:spacing w:after="0" w:line="179" w:lineRule="exact"/>
              <w:rPr>
                <w:sz w:val="20"/>
                <w:szCs w:val="20"/>
                <w:color w:val="auto"/>
              </w:rPr>
            </w:pPr>
            <w:r>
              <w:rPr>
                <w:rFonts w:ascii="Arial" w:cs="Arial" w:eastAsia="Arial" w:hAnsi="Arial"/>
                <w:sz w:val="16"/>
                <w:szCs w:val="16"/>
                <w:color w:val="auto"/>
              </w:rPr>
              <w:t>7/31/14</w:t>
            </w:r>
          </w:p>
        </w:tc>
      </w:tr>
      <w:tr>
        <w:trPr>
          <w:trHeight w:val="179"/>
        </w:trPr>
        <w:tc>
          <w:tcPr>
            <w:tcW w:w="740" w:type="dxa"/>
            <w:vAlign w:val="bottom"/>
          </w:tcPr>
          <w:p>
            <w:pPr>
              <w:spacing w:after="0" w:line="179" w:lineRule="exact"/>
              <w:rPr>
                <w:sz w:val="20"/>
                <w:szCs w:val="20"/>
                <w:color w:val="auto"/>
              </w:rPr>
            </w:pPr>
            <w:r>
              <w:rPr>
                <w:rFonts w:ascii="Arial" w:cs="Arial" w:eastAsia="Arial" w:hAnsi="Arial"/>
                <w:sz w:val="16"/>
                <w:szCs w:val="16"/>
                <w:color w:val="auto"/>
              </w:rPr>
              <w:t>Attest:</w:t>
            </w:r>
          </w:p>
        </w:tc>
        <w:tc>
          <w:tcPr>
            <w:tcW w:w="3320" w:type="dxa"/>
            <w:vAlign w:val="bottom"/>
            <w:tcBorders>
              <w:bottom w:val="single" w:sz="8" w:color="auto"/>
            </w:tcBorders>
          </w:tcPr>
          <w:p>
            <w:pPr>
              <w:ind w:left="120"/>
              <w:spacing w:after="0" w:line="179" w:lineRule="exact"/>
              <w:rPr>
                <w:sz w:val="20"/>
                <w:szCs w:val="20"/>
                <w:color w:val="auto"/>
              </w:rPr>
            </w:pPr>
            <w:r>
              <w:rPr>
                <w:rFonts w:ascii="Arial" w:cs="Arial" w:eastAsia="Arial" w:hAnsi="Arial"/>
                <w:sz w:val="16"/>
                <w:szCs w:val="16"/>
                <w:color w:val="auto"/>
              </w:rPr>
              <w:t>/s/ Sylvia Jimenez</w:t>
            </w: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BANK OF NEW YORK MELLON</w:t>
      </w:r>
    </w:p>
    <w:p>
      <w:pPr>
        <w:spacing w:after="0" w:line="215" w:lineRule="exact"/>
        <w:rPr>
          <w:sz w:val="20"/>
          <w:szCs w:val="20"/>
          <w:color w:val="auto"/>
        </w:rPr>
      </w:pPr>
    </w:p>
    <w:tbl>
      <w:tblPr>
        <w:tblLayout w:type="fixed"/>
        <w:tblInd w:w="140" w:type="dxa"/>
        <w:tblCellMar>
          <w:top w:w="0" w:type="dxa"/>
          <w:left w:w="0" w:type="dxa"/>
          <w:bottom w:w="0" w:type="dxa"/>
          <w:right w:w="0" w:type="dxa"/>
        </w:tblCellMar>
      </w:tblPr>
      <w:tr>
        <w:trPr>
          <w:trHeight w:val="196"/>
        </w:trPr>
        <w:tc>
          <w:tcPr>
            <w:tcW w:w="740" w:type="dxa"/>
            <w:vAlign w:val="bottom"/>
          </w:tcPr>
          <w:p>
            <w:pPr>
              <w:spacing w:after="0"/>
              <w:rPr>
                <w:sz w:val="20"/>
                <w:szCs w:val="20"/>
                <w:color w:val="auto"/>
              </w:rPr>
            </w:pPr>
            <w:r>
              <w:rPr>
                <w:rFonts w:ascii="Arial" w:cs="Arial" w:eastAsia="Arial" w:hAnsi="Arial"/>
                <w:sz w:val="16"/>
                <w:szCs w:val="16"/>
                <w:color w:val="auto"/>
              </w:rPr>
              <w:t>By:</w:t>
            </w:r>
          </w:p>
        </w:tc>
        <w:tc>
          <w:tcPr>
            <w:tcW w:w="33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/s/ Joseph G. Kirchmeier</w:t>
            </w:r>
          </w:p>
        </w:tc>
      </w:tr>
      <w:tr>
        <w:trPr>
          <w:trHeight w:val="179"/>
        </w:trPr>
        <w:tc>
          <w:tcPr>
            <w:tcW w:w="740" w:type="dxa"/>
            <w:vAlign w:val="bottom"/>
          </w:tcPr>
          <w:p>
            <w:pPr>
              <w:spacing w:after="0" w:line="179" w:lineRule="exact"/>
              <w:rPr>
                <w:sz w:val="20"/>
                <w:szCs w:val="20"/>
                <w:color w:val="auto"/>
              </w:rPr>
            </w:pPr>
            <w:r>
              <w:rPr>
                <w:rFonts w:ascii="Arial" w:cs="Arial" w:eastAsia="Arial" w:hAnsi="Arial"/>
                <w:sz w:val="16"/>
                <w:szCs w:val="16"/>
                <w:color w:val="auto"/>
              </w:rPr>
              <w:t>Date:</w:t>
            </w:r>
          </w:p>
        </w:tc>
        <w:tc>
          <w:tcPr>
            <w:tcW w:w="3320" w:type="dxa"/>
            <w:vAlign w:val="bottom"/>
            <w:tcBorders>
              <w:bottom w:val="single" w:sz="8" w:color="auto"/>
            </w:tcBorders>
          </w:tcPr>
          <w:p>
            <w:pPr>
              <w:ind w:left="120"/>
              <w:spacing w:after="0" w:line="179" w:lineRule="exact"/>
              <w:rPr>
                <w:sz w:val="20"/>
                <w:szCs w:val="20"/>
                <w:color w:val="auto"/>
              </w:rPr>
            </w:pPr>
            <w:r>
              <w:rPr>
                <w:rFonts w:ascii="Arial" w:cs="Arial" w:eastAsia="Arial" w:hAnsi="Arial"/>
                <w:sz w:val="16"/>
                <w:szCs w:val="16"/>
                <w:color w:val="auto"/>
              </w:rPr>
              <w:t>7/29/14</w:t>
            </w:r>
          </w:p>
        </w:tc>
      </w:tr>
      <w:tr>
        <w:trPr>
          <w:trHeight w:val="179"/>
        </w:trPr>
        <w:tc>
          <w:tcPr>
            <w:tcW w:w="740" w:type="dxa"/>
            <w:vAlign w:val="bottom"/>
          </w:tcPr>
          <w:p>
            <w:pPr>
              <w:spacing w:after="0" w:line="179" w:lineRule="exact"/>
              <w:rPr>
                <w:sz w:val="20"/>
                <w:szCs w:val="20"/>
                <w:color w:val="auto"/>
              </w:rPr>
            </w:pPr>
            <w:r>
              <w:rPr>
                <w:rFonts w:ascii="Arial" w:cs="Arial" w:eastAsia="Arial" w:hAnsi="Arial"/>
                <w:sz w:val="16"/>
                <w:szCs w:val="16"/>
                <w:color w:val="auto"/>
              </w:rPr>
              <w:t>Attest:</w:t>
            </w:r>
          </w:p>
        </w:tc>
        <w:tc>
          <w:tcPr>
            <w:tcW w:w="3320" w:type="dxa"/>
            <w:vAlign w:val="bottom"/>
            <w:tcBorders>
              <w:bottom w:val="single" w:sz="8" w:color="auto"/>
            </w:tcBorders>
          </w:tcPr>
          <w:p>
            <w:pPr>
              <w:ind w:left="120"/>
              <w:spacing w:after="0" w:line="179" w:lineRule="exact"/>
              <w:rPr>
                <w:sz w:val="20"/>
                <w:szCs w:val="20"/>
                <w:color w:val="auto"/>
              </w:rPr>
            </w:pPr>
            <w:r>
              <w:rPr>
                <w:rFonts w:ascii="Arial" w:cs="Arial" w:eastAsia="Arial" w:hAnsi="Arial"/>
                <w:sz w:val="16"/>
                <w:szCs w:val="16"/>
                <w:color w:val="auto"/>
              </w:rPr>
              <w:t>/s/ James Mahoney</w:t>
            </w: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CALIFORNIA PUBLIC UTILITIES COMMISSION</w:t>
      </w:r>
    </w:p>
    <w:p>
      <w:pPr>
        <w:spacing w:after="0" w:line="215" w:lineRule="exact"/>
        <w:rPr>
          <w:sz w:val="20"/>
          <w:szCs w:val="20"/>
          <w:color w:val="auto"/>
        </w:rPr>
      </w:pPr>
    </w:p>
    <w:tbl>
      <w:tblPr>
        <w:tblLayout w:type="fixed"/>
        <w:tblInd w:w="140" w:type="dxa"/>
        <w:tblCellMar>
          <w:top w:w="0" w:type="dxa"/>
          <w:left w:w="0" w:type="dxa"/>
          <w:bottom w:w="0" w:type="dxa"/>
          <w:right w:w="0" w:type="dxa"/>
        </w:tblCellMar>
      </w:tblPr>
      <w:tr>
        <w:trPr>
          <w:trHeight w:val="196"/>
        </w:trPr>
        <w:tc>
          <w:tcPr>
            <w:tcW w:w="740" w:type="dxa"/>
            <w:vAlign w:val="bottom"/>
          </w:tcPr>
          <w:p>
            <w:pPr>
              <w:spacing w:after="0"/>
              <w:rPr>
                <w:sz w:val="20"/>
                <w:szCs w:val="20"/>
                <w:color w:val="auto"/>
              </w:rPr>
            </w:pPr>
            <w:r>
              <w:rPr>
                <w:rFonts w:ascii="Arial" w:cs="Arial" w:eastAsia="Arial" w:hAnsi="Arial"/>
                <w:sz w:val="16"/>
                <w:szCs w:val="16"/>
                <w:color w:val="auto"/>
              </w:rPr>
              <w:t>By:</w:t>
            </w:r>
          </w:p>
        </w:tc>
        <w:tc>
          <w:tcPr>
            <w:tcW w:w="33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/s/ Michelle Cooke for PAC</w:t>
            </w:r>
          </w:p>
        </w:tc>
      </w:tr>
      <w:tr>
        <w:trPr>
          <w:trHeight w:val="179"/>
        </w:trPr>
        <w:tc>
          <w:tcPr>
            <w:tcW w:w="740" w:type="dxa"/>
            <w:vAlign w:val="bottom"/>
          </w:tcPr>
          <w:p>
            <w:pPr>
              <w:spacing w:after="0" w:line="179" w:lineRule="exact"/>
              <w:rPr>
                <w:sz w:val="20"/>
                <w:szCs w:val="20"/>
                <w:color w:val="auto"/>
              </w:rPr>
            </w:pPr>
            <w:r>
              <w:rPr>
                <w:rFonts w:ascii="Arial" w:cs="Arial" w:eastAsia="Arial" w:hAnsi="Arial"/>
                <w:sz w:val="16"/>
                <w:szCs w:val="16"/>
                <w:color w:val="auto"/>
              </w:rPr>
              <w:t>Date:</w:t>
            </w:r>
          </w:p>
        </w:tc>
        <w:tc>
          <w:tcPr>
            <w:tcW w:w="3320" w:type="dxa"/>
            <w:vAlign w:val="bottom"/>
            <w:tcBorders>
              <w:bottom w:val="single" w:sz="8" w:color="auto"/>
            </w:tcBorders>
          </w:tcPr>
          <w:p>
            <w:pPr>
              <w:ind w:left="120"/>
              <w:spacing w:after="0" w:line="179" w:lineRule="exact"/>
              <w:rPr>
                <w:sz w:val="20"/>
                <w:szCs w:val="20"/>
                <w:color w:val="auto"/>
              </w:rPr>
            </w:pPr>
            <w:r>
              <w:rPr>
                <w:rFonts w:ascii="Arial" w:cs="Arial" w:eastAsia="Arial" w:hAnsi="Arial"/>
                <w:sz w:val="16"/>
                <w:szCs w:val="16"/>
                <w:color w:val="auto"/>
              </w:rPr>
              <w:t>8/27/14</w:t>
            </w:r>
          </w:p>
        </w:tc>
      </w:tr>
      <w:tr>
        <w:trPr>
          <w:trHeight w:val="179"/>
        </w:trPr>
        <w:tc>
          <w:tcPr>
            <w:tcW w:w="740" w:type="dxa"/>
            <w:vAlign w:val="bottom"/>
          </w:tcPr>
          <w:p>
            <w:pPr>
              <w:spacing w:after="0" w:line="179" w:lineRule="exact"/>
              <w:rPr>
                <w:sz w:val="20"/>
                <w:szCs w:val="20"/>
                <w:color w:val="auto"/>
              </w:rPr>
            </w:pPr>
            <w:r>
              <w:rPr>
                <w:rFonts w:ascii="Arial" w:cs="Arial" w:eastAsia="Arial" w:hAnsi="Arial"/>
                <w:sz w:val="16"/>
                <w:szCs w:val="16"/>
                <w:color w:val="auto"/>
              </w:rPr>
              <w:t>Attest:</w:t>
            </w:r>
          </w:p>
        </w:tc>
        <w:tc>
          <w:tcPr>
            <w:tcW w:w="3320" w:type="dxa"/>
            <w:vAlign w:val="bottom"/>
            <w:tcBorders>
              <w:bottom w:val="single" w:sz="8" w:color="auto"/>
            </w:tcBorders>
          </w:tcPr>
          <w:p>
            <w:pPr>
              <w:ind w:left="120"/>
              <w:spacing w:after="0" w:line="179" w:lineRule="exact"/>
              <w:rPr>
                <w:sz w:val="20"/>
                <w:szCs w:val="20"/>
                <w:color w:val="auto"/>
              </w:rPr>
            </w:pPr>
            <w:r>
              <w:rPr>
                <w:rFonts w:ascii="Arial" w:cs="Arial" w:eastAsia="Arial" w:hAnsi="Arial"/>
                <w:sz w:val="16"/>
                <w:szCs w:val="16"/>
                <w:color w:val="auto"/>
              </w:rPr>
              <w:t>/s/ Carol Mendiola</w:t>
            </w:r>
          </w:p>
        </w:tc>
      </w:tr>
    </w:tbl>
    <w:p>
      <w:pPr>
        <w:sectPr>
          <w:pgSz w:w="11900" w:h="16838" w:orient="portrait"/>
          <w:cols w:equalWidth="0" w:num="1">
            <w:col w:w="11420"/>
          </w:cols>
          <w:pgMar w:left="240" w:top="117"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25"/>
          <w:szCs w:val="25"/>
          <w:b w:val="1"/>
          <w:bCs w:val="1"/>
          <w:color w:val="auto"/>
        </w:rPr>
        <w:t>Exhibit 10.6</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AMENDMENT NO. 10</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TO THE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SAN DIEGO GAS &amp; ELECTRIC COMPANY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NUCLEAR FACILITIES NON-QUALIFIED CPUC DECOMMISSIONING</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MASTER TRUST AGREEMENT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SAN ONOFRE NUCLEAR GENERATING STATIONS</w:t>
      </w:r>
    </w:p>
    <w:p>
      <w:pPr>
        <w:spacing w:after="0" w:line="200" w:lineRule="exact"/>
        <w:rPr>
          <w:sz w:val="20"/>
          <w:szCs w:val="20"/>
          <w:color w:val="auto"/>
        </w:rPr>
      </w:pPr>
    </w:p>
    <w:p>
      <w:pPr>
        <w:spacing w:after="0" w:line="361" w:lineRule="exact"/>
        <w:rPr>
          <w:sz w:val="20"/>
          <w:szCs w:val="20"/>
          <w:color w:val="auto"/>
        </w:rPr>
      </w:pPr>
    </w:p>
    <w:p>
      <w:pPr>
        <w:ind w:right="60"/>
        <w:spacing w:after="0" w:line="213" w:lineRule="auto"/>
        <w:rPr>
          <w:sz w:val="20"/>
          <w:szCs w:val="20"/>
          <w:color w:val="auto"/>
        </w:rPr>
      </w:pPr>
      <w:r>
        <w:rPr>
          <w:rFonts w:ascii="Arial" w:cs="Arial" w:eastAsia="Arial" w:hAnsi="Arial"/>
          <w:sz w:val="16"/>
          <w:szCs w:val="16"/>
          <w:color w:val="auto"/>
        </w:rPr>
        <w:t>This Amendment No. 10 made this 27</w:t>
      </w:r>
      <w:r>
        <w:rPr>
          <w:rFonts w:ascii="Arial" w:cs="Arial" w:eastAsia="Arial" w:hAnsi="Arial"/>
          <w:sz w:val="26"/>
          <w:szCs w:val="26"/>
          <w:u w:val="single" w:color="auto"/>
          <w:color w:val="auto"/>
          <w:vertAlign w:val="superscript"/>
        </w:rPr>
        <w:t>th</w:t>
      </w:r>
      <w:r>
        <w:rPr>
          <w:rFonts w:ascii="Arial" w:cs="Arial" w:eastAsia="Arial" w:hAnsi="Arial"/>
          <w:sz w:val="16"/>
          <w:szCs w:val="16"/>
          <w:color w:val="auto"/>
        </w:rPr>
        <w:t xml:space="preserve"> day of August , 2014, by and between San Diego Gas &amp; Electric Company (“Company”) and The Bank of New York Mellon, a New York state bank, successor by operation of law to Mellon Bank, N.A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1452245</wp:posOffset>
            </wp:positionH>
            <wp:positionV relativeFrom="paragraph">
              <wp:posOffset>-139065</wp:posOffset>
            </wp:positionV>
            <wp:extent cx="11906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190625" cy="8255"/>
                    </a:xfrm>
                    <a:prstGeom prst="rect">
                      <a:avLst/>
                    </a:prstGeom>
                    <a:noFill/>
                  </pic:spPr>
                </pic:pic>
              </a:graphicData>
            </a:graphic>
          </wp:anchor>
        </w:drawing>
      </w:r>
    </w:p>
    <w:p>
      <w:pPr>
        <w:spacing w:after="0" w:line="122" w:lineRule="exact"/>
        <w:rPr>
          <w:sz w:val="20"/>
          <w:szCs w:val="20"/>
          <w:color w:val="auto"/>
        </w:rPr>
      </w:pPr>
    </w:p>
    <w:p>
      <w:pPr>
        <w:ind w:right="260"/>
        <w:spacing w:after="0" w:line="302" w:lineRule="auto"/>
        <w:rPr>
          <w:sz w:val="20"/>
          <w:szCs w:val="20"/>
          <w:color w:val="auto"/>
        </w:rPr>
      </w:pPr>
      <w:r>
        <w:rPr>
          <w:rFonts w:ascii="Arial" w:cs="Arial" w:eastAsia="Arial" w:hAnsi="Arial"/>
          <w:sz w:val="15"/>
          <w:szCs w:val="15"/>
          <w:color w:val="auto"/>
        </w:rPr>
        <w:t>WHEREAS, pursuant to Section 2.10 of the Nuclear Facilities Non-Qualified Decommissioning Master Trust for San Onofre Nuclear Generating Stations dated as of June 29, 1992, as amended (“Agreement”) between the Company and the Trustee, the parties specifically reserve the right to amend the Agreement;</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NOW, THEREFORE, the Company and the Trustee agree as follows:</w:t>
      </w:r>
    </w:p>
    <w:p>
      <w:pPr>
        <w:spacing w:after="0" w:line="177" w:lineRule="exact"/>
        <w:rPr>
          <w:sz w:val="20"/>
          <w:szCs w:val="20"/>
          <w:color w:val="auto"/>
        </w:rPr>
      </w:pPr>
    </w:p>
    <w:p>
      <w:pPr>
        <w:ind w:left="640" w:hanging="315"/>
        <w:spacing w:after="0"/>
        <w:tabs>
          <w:tab w:leader="none" w:pos="640" w:val="left"/>
        </w:tabs>
        <w:numPr>
          <w:ilvl w:val="0"/>
          <w:numId w:val="162"/>
        </w:numPr>
        <w:rPr>
          <w:rFonts w:ascii="Arial" w:cs="Arial" w:eastAsia="Arial" w:hAnsi="Arial"/>
          <w:sz w:val="21"/>
          <w:szCs w:val="21"/>
          <w:color w:val="auto"/>
        </w:rPr>
      </w:pPr>
      <w:r>
        <w:rPr>
          <w:rFonts w:ascii="Arial" w:cs="Arial" w:eastAsia="Arial" w:hAnsi="Arial"/>
          <w:sz w:val="21"/>
          <w:szCs w:val="21"/>
          <w:color w:val="auto"/>
        </w:rPr>
        <w:t>Section 1.01, Definitions shall be amended by inserting the following language as section (1.1) after section (1):</w:t>
      </w:r>
    </w:p>
    <w:p>
      <w:pPr>
        <w:spacing w:after="0" w:line="170" w:lineRule="exact"/>
        <w:rPr>
          <w:rFonts w:ascii="Arial" w:cs="Arial" w:eastAsia="Arial" w:hAnsi="Arial"/>
          <w:sz w:val="21"/>
          <w:szCs w:val="21"/>
          <w:color w:val="auto"/>
        </w:rPr>
      </w:pPr>
    </w:p>
    <w:p>
      <w:pPr>
        <w:ind w:left="1280" w:right="660" w:hanging="638"/>
        <w:spacing w:after="0" w:line="293" w:lineRule="auto"/>
        <w:rPr>
          <w:rFonts w:ascii="Arial" w:cs="Arial" w:eastAsia="Arial" w:hAnsi="Arial"/>
          <w:sz w:val="21"/>
          <w:szCs w:val="21"/>
          <w:color w:val="auto"/>
        </w:rPr>
      </w:pPr>
      <w:r>
        <w:rPr>
          <w:rFonts w:ascii="Arial" w:cs="Arial" w:eastAsia="Arial" w:hAnsi="Arial"/>
          <w:sz w:val="21"/>
          <w:szCs w:val="21"/>
          <w:color w:val="auto"/>
        </w:rPr>
        <w:t>“(1.1) “Advance Withdrawal Certificate” shall mean a document properly completed and executed by one Authorized Representative of the Company and substantially in the form of Exhibit C-1 hereto.</w:t>
      </w:r>
    </w:p>
    <w:p>
      <w:pPr>
        <w:spacing w:after="0" w:line="127" w:lineRule="exact"/>
        <w:rPr>
          <w:rFonts w:ascii="Arial" w:cs="Arial" w:eastAsia="Arial" w:hAnsi="Arial"/>
          <w:sz w:val="21"/>
          <w:szCs w:val="21"/>
          <w:color w:val="auto"/>
        </w:rPr>
      </w:pPr>
    </w:p>
    <w:p>
      <w:pPr>
        <w:ind w:left="640" w:right="60" w:hanging="315"/>
        <w:spacing w:after="0" w:line="267" w:lineRule="auto"/>
        <w:tabs>
          <w:tab w:leader="none" w:pos="640" w:val="left"/>
        </w:tabs>
        <w:numPr>
          <w:ilvl w:val="0"/>
          <w:numId w:val="162"/>
        </w:numPr>
        <w:rPr>
          <w:rFonts w:ascii="Arial" w:cs="Arial" w:eastAsia="Arial" w:hAnsi="Arial"/>
          <w:sz w:val="21"/>
          <w:szCs w:val="21"/>
          <w:color w:val="auto"/>
        </w:rPr>
      </w:pPr>
      <w:r>
        <w:rPr>
          <w:rFonts w:ascii="Arial" w:cs="Arial" w:eastAsia="Arial" w:hAnsi="Arial"/>
          <w:sz w:val="21"/>
          <w:szCs w:val="21"/>
          <w:color w:val="auto"/>
        </w:rPr>
        <w:t>Section 2.01, Payment of Nuclear Decommissioning Costs, of Article II shall be amended by inserting the following language as sections (4.1) and (4.2):</w:t>
      </w:r>
    </w:p>
    <w:p>
      <w:pPr>
        <w:sectPr>
          <w:pgSz w:w="11900" w:h="16838" w:orient="portrait"/>
          <w:cols w:equalWidth="0" w:num="1">
            <w:col w:w="11420"/>
          </w:cols>
          <w:pgMar w:left="240" w:top="116" w:right="239" w:bottom="1440" w:gutter="0" w:footer="0" w:header="0"/>
        </w:sectPr>
      </w:pPr>
    </w:p>
    <w:p>
      <w:pPr>
        <w:spacing w:after="0" w:line="114" w:lineRule="exact"/>
        <w:rPr>
          <w:sz w:val="20"/>
          <w:szCs w:val="20"/>
          <w:color w:val="auto"/>
        </w:rPr>
      </w:pPr>
    </w:p>
    <w:p>
      <w:pPr>
        <w:ind w:left="640"/>
        <w:spacing w:after="0"/>
        <w:rPr>
          <w:sz w:val="20"/>
          <w:szCs w:val="20"/>
          <w:color w:val="auto"/>
        </w:rPr>
      </w:pPr>
      <w:r>
        <w:rPr>
          <w:rFonts w:ascii="Arial" w:cs="Arial" w:eastAsia="Arial" w:hAnsi="Arial"/>
          <w:sz w:val="20"/>
          <w:szCs w:val="20"/>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“(4.2)</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760"/>
        <w:spacing w:after="0" w:line="271" w:lineRule="auto"/>
        <w:rPr>
          <w:sz w:val="20"/>
          <w:szCs w:val="20"/>
          <w:color w:val="auto"/>
        </w:rPr>
      </w:pPr>
      <w:r>
        <w:rPr>
          <w:rFonts w:ascii="Arial" w:cs="Arial" w:eastAsia="Arial" w:hAnsi="Arial"/>
          <w:sz w:val="19"/>
          <w:szCs w:val="19"/>
          <w:u w:val="single" w:color="auto"/>
          <w:color w:val="auto"/>
        </w:rPr>
        <w:t>Advance Withdrawals for Payment of Decommissioning Costs</w:t>
      </w:r>
      <w:r>
        <w:rPr>
          <w:rFonts w:ascii="Arial" w:cs="Arial" w:eastAsia="Arial" w:hAnsi="Arial"/>
          <w:sz w:val="19"/>
          <w:szCs w:val="19"/>
          <w:color w:val="auto"/>
        </w:rPr>
        <w:t>. An Authorized Representative may request disbursement of funds to pay expected Decommissioning Costs by submitting an Advance Withdrawal Certificate to the Trustee. Requests for advance withdrawals may be made up to one month before expected payments are made. Amounts withdrawn shall be deposited in an interest-bearing account. Interest earned in such account shall be used for paying Decommissioning Costs, and shall not benefit the Company. Any request for withdrawal of funds shall be accompanied by documentation supporting the amount of advance withdrawal, and shall take into account any unexpended, balance of funds previously disbursed. Any funds remaining in such account upon termination of the Master Trust shall be distributed pursuant to Section 2.09.”</w:t>
      </w:r>
    </w:p>
    <w:p>
      <w:pPr>
        <w:spacing w:after="0" w:line="139" w:lineRule="exact"/>
        <w:rPr>
          <w:sz w:val="20"/>
          <w:szCs w:val="20"/>
          <w:color w:val="auto"/>
        </w:rPr>
      </w:pPr>
    </w:p>
    <w:p>
      <w:pPr>
        <w:ind w:right="660"/>
        <w:spacing w:after="0" w:line="320" w:lineRule="auto"/>
        <w:rPr>
          <w:sz w:val="20"/>
          <w:szCs w:val="20"/>
          <w:color w:val="auto"/>
        </w:rPr>
      </w:pPr>
      <w:r>
        <w:rPr>
          <w:rFonts w:ascii="Arial" w:cs="Arial" w:eastAsia="Arial" w:hAnsi="Arial"/>
          <w:sz w:val="19"/>
          <w:szCs w:val="19"/>
          <w:u w:val="single" w:color="auto"/>
          <w:color w:val="auto"/>
        </w:rPr>
        <w:t>Documentation of Payment of Decommissioning Costs</w:t>
      </w:r>
      <w:r>
        <w:rPr>
          <w:rFonts w:ascii="Arial" w:cs="Arial" w:eastAsia="Arial" w:hAnsi="Arial"/>
          <w:sz w:val="19"/>
          <w:szCs w:val="19"/>
          <w:color w:val="auto"/>
        </w:rPr>
        <w:t>. Actual expenditures for Decommissioning Costs and a reconciliation of advance withdrawals with actual expenditures will be submitted to the CPUC quarterly.”</w:t>
      </w:r>
    </w:p>
    <w:p>
      <w:pPr>
        <w:spacing w:after="0" w:line="80" w:lineRule="exact"/>
        <w:rPr>
          <w:sz w:val="20"/>
          <w:szCs w:val="20"/>
          <w:color w:val="auto"/>
        </w:rPr>
      </w:pPr>
    </w:p>
    <w:p>
      <w:pPr>
        <w:sectPr>
          <w:pgSz w:w="11900" w:h="16838" w:orient="portrait"/>
          <w:cols w:equalWidth="0" w:num="2">
            <w:col w:w="1140" w:space="140"/>
            <w:col w:w="10140"/>
          </w:cols>
          <w:pgMar w:left="240" w:top="116" w:right="239" w:bottom="1440" w:gutter="0" w:footer="0" w:header="0"/>
          <w:type w:val="continuous"/>
        </w:sectPr>
      </w:pPr>
    </w:p>
    <w:p>
      <w:pPr>
        <w:ind w:left="640" w:right="120" w:hanging="315"/>
        <w:spacing w:after="0" w:line="268" w:lineRule="auto"/>
        <w:tabs>
          <w:tab w:leader="none" w:pos="64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Each Party hereby represents and warrants to the others that it has full authority to enter into this Amendment No. 10 upon the terms and conditions hereof and that the individual executing this Amendment No 10 on its behalf has the requisite authority to bind that Party.</w:t>
      </w:r>
    </w:p>
    <w:p>
      <w:pPr>
        <w:sectPr>
          <w:pgSz w:w="11900" w:h="16838" w:orient="portrait"/>
          <w:cols w:equalWidth="0" w:num="1">
            <w:col w:w="11420"/>
          </w:cols>
          <w:pgMar w:left="240" w:top="116" w:right="239" w:bottom="1440" w:gutter="0" w:footer="0" w:header="0"/>
          <w:type w:val="continuous"/>
        </w:sectPr>
      </w:pPr>
    </w:p>
    <w:bookmarkStart w:id="98" w:name="page99"/>
    <w:bookmarkEnd w:id="98"/>
    <w:p>
      <w:pPr>
        <w:spacing w:after="0" w:line="268" w:lineRule="auto"/>
        <w:rPr>
          <w:sz w:val="20"/>
          <w:szCs w:val="20"/>
          <w:color w:val="auto"/>
        </w:rPr>
      </w:pPr>
      <w:r>
        <w:rPr>
          <w:rFonts w:ascii="Arial" w:cs="Arial" w:eastAsia="Arial" w:hAnsi="Arial"/>
          <w:sz w:val="16"/>
          <w:szCs w:val="16"/>
          <w:color w:val="auto"/>
        </w:rPr>
        <w:t>IN WITNESS WHEREOF, the Company, the Trustee, and the California Public Utilities Commission have set their hands and seals in agreement to these amendments effective as provided above.</w:t>
      </w:r>
    </w:p>
    <w:p>
      <w:pPr>
        <w:spacing w:after="0" w:line="200" w:lineRule="exact"/>
        <w:rPr>
          <w:sz w:val="20"/>
          <w:szCs w:val="20"/>
          <w:color w:val="auto"/>
        </w:rPr>
      </w:pPr>
    </w:p>
    <w:p>
      <w:pPr>
        <w:spacing w:after="0" w:line="26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SAN DIEGO GAS &amp; ELECTRIC COMPANY</w:t>
      </w:r>
    </w:p>
    <w:p>
      <w:pPr>
        <w:spacing w:after="0" w:line="215" w:lineRule="exact"/>
        <w:rPr>
          <w:sz w:val="20"/>
          <w:szCs w:val="20"/>
          <w:color w:val="auto"/>
        </w:rPr>
      </w:pPr>
    </w:p>
    <w:tbl>
      <w:tblPr>
        <w:tblLayout w:type="fixed"/>
        <w:tblInd w:w="140" w:type="dxa"/>
        <w:tblCellMar>
          <w:top w:w="0" w:type="dxa"/>
          <w:left w:w="0" w:type="dxa"/>
          <w:bottom w:w="0" w:type="dxa"/>
          <w:right w:w="0" w:type="dxa"/>
        </w:tblCellMar>
      </w:tblPr>
      <w:tr>
        <w:trPr>
          <w:trHeight w:val="196"/>
        </w:trPr>
        <w:tc>
          <w:tcPr>
            <w:tcW w:w="740" w:type="dxa"/>
            <w:vAlign w:val="bottom"/>
          </w:tcPr>
          <w:p>
            <w:pPr>
              <w:spacing w:after="0"/>
              <w:rPr>
                <w:sz w:val="20"/>
                <w:szCs w:val="20"/>
                <w:color w:val="auto"/>
              </w:rPr>
            </w:pPr>
            <w:r>
              <w:rPr>
                <w:rFonts w:ascii="Arial" w:cs="Arial" w:eastAsia="Arial" w:hAnsi="Arial"/>
                <w:sz w:val="16"/>
                <w:szCs w:val="16"/>
                <w:color w:val="auto"/>
              </w:rPr>
              <w:t>By:</w:t>
            </w:r>
          </w:p>
        </w:tc>
        <w:tc>
          <w:tcPr>
            <w:tcW w:w="33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/s/ Robert Schlax</w:t>
            </w:r>
          </w:p>
        </w:tc>
      </w:tr>
      <w:tr>
        <w:trPr>
          <w:trHeight w:val="179"/>
        </w:trPr>
        <w:tc>
          <w:tcPr>
            <w:tcW w:w="740" w:type="dxa"/>
            <w:vAlign w:val="bottom"/>
          </w:tcPr>
          <w:p>
            <w:pPr>
              <w:spacing w:after="0" w:line="179" w:lineRule="exact"/>
              <w:rPr>
                <w:sz w:val="20"/>
                <w:szCs w:val="20"/>
                <w:color w:val="auto"/>
              </w:rPr>
            </w:pPr>
            <w:r>
              <w:rPr>
                <w:rFonts w:ascii="Arial" w:cs="Arial" w:eastAsia="Arial" w:hAnsi="Arial"/>
                <w:sz w:val="16"/>
                <w:szCs w:val="16"/>
                <w:color w:val="auto"/>
              </w:rPr>
              <w:t>Date:</w:t>
            </w:r>
          </w:p>
        </w:tc>
        <w:tc>
          <w:tcPr>
            <w:tcW w:w="3320" w:type="dxa"/>
            <w:vAlign w:val="bottom"/>
            <w:tcBorders>
              <w:bottom w:val="single" w:sz="8" w:color="auto"/>
            </w:tcBorders>
          </w:tcPr>
          <w:p>
            <w:pPr>
              <w:ind w:left="120"/>
              <w:spacing w:after="0" w:line="179" w:lineRule="exact"/>
              <w:rPr>
                <w:sz w:val="20"/>
                <w:szCs w:val="20"/>
                <w:color w:val="auto"/>
              </w:rPr>
            </w:pPr>
            <w:r>
              <w:rPr>
                <w:rFonts w:ascii="Arial" w:cs="Arial" w:eastAsia="Arial" w:hAnsi="Arial"/>
                <w:sz w:val="16"/>
                <w:szCs w:val="16"/>
                <w:color w:val="auto"/>
              </w:rPr>
              <w:t>7/31/14</w:t>
            </w:r>
          </w:p>
        </w:tc>
      </w:tr>
      <w:tr>
        <w:trPr>
          <w:trHeight w:val="179"/>
        </w:trPr>
        <w:tc>
          <w:tcPr>
            <w:tcW w:w="740" w:type="dxa"/>
            <w:vAlign w:val="bottom"/>
          </w:tcPr>
          <w:p>
            <w:pPr>
              <w:spacing w:after="0" w:line="179" w:lineRule="exact"/>
              <w:rPr>
                <w:sz w:val="20"/>
                <w:szCs w:val="20"/>
                <w:color w:val="auto"/>
              </w:rPr>
            </w:pPr>
            <w:r>
              <w:rPr>
                <w:rFonts w:ascii="Arial" w:cs="Arial" w:eastAsia="Arial" w:hAnsi="Arial"/>
                <w:sz w:val="16"/>
                <w:szCs w:val="16"/>
                <w:color w:val="auto"/>
              </w:rPr>
              <w:t>Attest:</w:t>
            </w:r>
          </w:p>
        </w:tc>
        <w:tc>
          <w:tcPr>
            <w:tcW w:w="3320" w:type="dxa"/>
            <w:vAlign w:val="bottom"/>
            <w:tcBorders>
              <w:bottom w:val="single" w:sz="8" w:color="auto"/>
            </w:tcBorders>
          </w:tcPr>
          <w:p>
            <w:pPr>
              <w:ind w:left="120"/>
              <w:spacing w:after="0" w:line="179" w:lineRule="exact"/>
              <w:rPr>
                <w:sz w:val="20"/>
                <w:szCs w:val="20"/>
                <w:color w:val="auto"/>
              </w:rPr>
            </w:pPr>
            <w:r>
              <w:rPr>
                <w:rFonts w:ascii="Arial" w:cs="Arial" w:eastAsia="Arial" w:hAnsi="Arial"/>
                <w:sz w:val="16"/>
                <w:szCs w:val="16"/>
                <w:color w:val="auto"/>
              </w:rPr>
              <w:t>/s/ Sylvia Jimenez</w:t>
            </w: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BANK OF NEW YORK MELLON</w:t>
      </w:r>
    </w:p>
    <w:p>
      <w:pPr>
        <w:spacing w:after="0" w:line="215" w:lineRule="exact"/>
        <w:rPr>
          <w:sz w:val="20"/>
          <w:szCs w:val="20"/>
          <w:color w:val="auto"/>
        </w:rPr>
      </w:pPr>
    </w:p>
    <w:tbl>
      <w:tblPr>
        <w:tblLayout w:type="fixed"/>
        <w:tblInd w:w="140" w:type="dxa"/>
        <w:tblCellMar>
          <w:top w:w="0" w:type="dxa"/>
          <w:left w:w="0" w:type="dxa"/>
          <w:bottom w:w="0" w:type="dxa"/>
          <w:right w:w="0" w:type="dxa"/>
        </w:tblCellMar>
      </w:tblPr>
      <w:tr>
        <w:trPr>
          <w:trHeight w:val="196"/>
        </w:trPr>
        <w:tc>
          <w:tcPr>
            <w:tcW w:w="740" w:type="dxa"/>
            <w:vAlign w:val="bottom"/>
          </w:tcPr>
          <w:p>
            <w:pPr>
              <w:spacing w:after="0"/>
              <w:rPr>
                <w:sz w:val="20"/>
                <w:szCs w:val="20"/>
                <w:color w:val="auto"/>
              </w:rPr>
            </w:pPr>
            <w:r>
              <w:rPr>
                <w:rFonts w:ascii="Arial" w:cs="Arial" w:eastAsia="Arial" w:hAnsi="Arial"/>
                <w:sz w:val="16"/>
                <w:szCs w:val="16"/>
                <w:color w:val="auto"/>
              </w:rPr>
              <w:t>By:</w:t>
            </w:r>
          </w:p>
        </w:tc>
        <w:tc>
          <w:tcPr>
            <w:tcW w:w="33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/s/ Joseph G. Kirchmeier</w:t>
            </w:r>
          </w:p>
        </w:tc>
      </w:tr>
      <w:tr>
        <w:trPr>
          <w:trHeight w:val="179"/>
        </w:trPr>
        <w:tc>
          <w:tcPr>
            <w:tcW w:w="740" w:type="dxa"/>
            <w:vAlign w:val="bottom"/>
          </w:tcPr>
          <w:p>
            <w:pPr>
              <w:spacing w:after="0" w:line="179" w:lineRule="exact"/>
              <w:rPr>
                <w:sz w:val="20"/>
                <w:szCs w:val="20"/>
                <w:color w:val="auto"/>
              </w:rPr>
            </w:pPr>
            <w:r>
              <w:rPr>
                <w:rFonts w:ascii="Arial" w:cs="Arial" w:eastAsia="Arial" w:hAnsi="Arial"/>
                <w:sz w:val="16"/>
                <w:szCs w:val="16"/>
                <w:color w:val="auto"/>
              </w:rPr>
              <w:t>Date:</w:t>
            </w:r>
          </w:p>
        </w:tc>
        <w:tc>
          <w:tcPr>
            <w:tcW w:w="3320" w:type="dxa"/>
            <w:vAlign w:val="bottom"/>
            <w:tcBorders>
              <w:bottom w:val="single" w:sz="8" w:color="auto"/>
            </w:tcBorders>
          </w:tcPr>
          <w:p>
            <w:pPr>
              <w:ind w:left="120"/>
              <w:spacing w:after="0" w:line="179" w:lineRule="exact"/>
              <w:rPr>
                <w:sz w:val="20"/>
                <w:szCs w:val="20"/>
                <w:color w:val="auto"/>
              </w:rPr>
            </w:pPr>
            <w:r>
              <w:rPr>
                <w:rFonts w:ascii="Arial" w:cs="Arial" w:eastAsia="Arial" w:hAnsi="Arial"/>
                <w:sz w:val="16"/>
                <w:szCs w:val="16"/>
                <w:color w:val="auto"/>
              </w:rPr>
              <w:t>7/29/14</w:t>
            </w:r>
          </w:p>
        </w:tc>
      </w:tr>
      <w:tr>
        <w:trPr>
          <w:trHeight w:val="179"/>
        </w:trPr>
        <w:tc>
          <w:tcPr>
            <w:tcW w:w="740" w:type="dxa"/>
            <w:vAlign w:val="bottom"/>
          </w:tcPr>
          <w:p>
            <w:pPr>
              <w:spacing w:after="0" w:line="179" w:lineRule="exact"/>
              <w:rPr>
                <w:sz w:val="20"/>
                <w:szCs w:val="20"/>
                <w:color w:val="auto"/>
              </w:rPr>
            </w:pPr>
            <w:r>
              <w:rPr>
                <w:rFonts w:ascii="Arial" w:cs="Arial" w:eastAsia="Arial" w:hAnsi="Arial"/>
                <w:sz w:val="16"/>
                <w:szCs w:val="16"/>
                <w:color w:val="auto"/>
              </w:rPr>
              <w:t>Attest:</w:t>
            </w:r>
          </w:p>
        </w:tc>
        <w:tc>
          <w:tcPr>
            <w:tcW w:w="3320" w:type="dxa"/>
            <w:vAlign w:val="bottom"/>
            <w:tcBorders>
              <w:bottom w:val="single" w:sz="8" w:color="auto"/>
            </w:tcBorders>
          </w:tcPr>
          <w:p>
            <w:pPr>
              <w:ind w:left="120"/>
              <w:spacing w:after="0" w:line="179" w:lineRule="exact"/>
              <w:rPr>
                <w:sz w:val="20"/>
                <w:szCs w:val="20"/>
                <w:color w:val="auto"/>
              </w:rPr>
            </w:pPr>
            <w:r>
              <w:rPr>
                <w:rFonts w:ascii="Arial" w:cs="Arial" w:eastAsia="Arial" w:hAnsi="Arial"/>
                <w:sz w:val="16"/>
                <w:szCs w:val="16"/>
                <w:color w:val="auto"/>
              </w:rPr>
              <w:t>/s/ James Mahoney</w:t>
            </w: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CALIFORNIA PUBLIC UTILITIES COMMISSION</w:t>
      </w:r>
    </w:p>
    <w:p>
      <w:pPr>
        <w:spacing w:after="0" w:line="215" w:lineRule="exact"/>
        <w:rPr>
          <w:sz w:val="20"/>
          <w:szCs w:val="20"/>
          <w:color w:val="auto"/>
        </w:rPr>
      </w:pPr>
    </w:p>
    <w:tbl>
      <w:tblPr>
        <w:tblLayout w:type="fixed"/>
        <w:tblInd w:w="140" w:type="dxa"/>
        <w:tblCellMar>
          <w:top w:w="0" w:type="dxa"/>
          <w:left w:w="0" w:type="dxa"/>
          <w:bottom w:w="0" w:type="dxa"/>
          <w:right w:w="0" w:type="dxa"/>
        </w:tblCellMar>
      </w:tblPr>
      <w:tr>
        <w:trPr>
          <w:trHeight w:val="196"/>
        </w:trPr>
        <w:tc>
          <w:tcPr>
            <w:tcW w:w="740" w:type="dxa"/>
            <w:vAlign w:val="bottom"/>
          </w:tcPr>
          <w:p>
            <w:pPr>
              <w:spacing w:after="0"/>
              <w:rPr>
                <w:sz w:val="20"/>
                <w:szCs w:val="20"/>
                <w:color w:val="auto"/>
              </w:rPr>
            </w:pPr>
            <w:r>
              <w:rPr>
                <w:rFonts w:ascii="Arial" w:cs="Arial" w:eastAsia="Arial" w:hAnsi="Arial"/>
                <w:sz w:val="16"/>
                <w:szCs w:val="16"/>
                <w:color w:val="auto"/>
              </w:rPr>
              <w:t>By:</w:t>
            </w:r>
          </w:p>
        </w:tc>
        <w:tc>
          <w:tcPr>
            <w:tcW w:w="33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/s/ Michelle Cooke for PAC</w:t>
            </w:r>
          </w:p>
        </w:tc>
      </w:tr>
      <w:tr>
        <w:trPr>
          <w:trHeight w:val="179"/>
        </w:trPr>
        <w:tc>
          <w:tcPr>
            <w:tcW w:w="740" w:type="dxa"/>
            <w:vAlign w:val="bottom"/>
          </w:tcPr>
          <w:p>
            <w:pPr>
              <w:spacing w:after="0" w:line="179" w:lineRule="exact"/>
              <w:rPr>
                <w:sz w:val="20"/>
                <w:szCs w:val="20"/>
                <w:color w:val="auto"/>
              </w:rPr>
            </w:pPr>
            <w:r>
              <w:rPr>
                <w:rFonts w:ascii="Arial" w:cs="Arial" w:eastAsia="Arial" w:hAnsi="Arial"/>
                <w:sz w:val="16"/>
                <w:szCs w:val="16"/>
                <w:color w:val="auto"/>
              </w:rPr>
              <w:t>Date:</w:t>
            </w:r>
          </w:p>
        </w:tc>
        <w:tc>
          <w:tcPr>
            <w:tcW w:w="3320" w:type="dxa"/>
            <w:vAlign w:val="bottom"/>
            <w:tcBorders>
              <w:bottom w:val="single" w:sz="8" w:color="auto"/>
            </w:tcBorders>
          </w:tcPr>
          <w:p>
            <w:pPr>
              <w:ind w:left="120"/>
              <w:spacing w:after="0" w:line="179" w:lineRule="exact"/>
              <w:rPr>
                <w:sz w:val="20"/>
                <w:szCs w:val="20"/>
                <w:color w:val="auto"/>
              </w:rPr>
            </w:pPr>
            <w:r>
              <w:rPr>
                <w:rFonts w:ascii="Arial" w:cs="Arial" w:eastAsia="Arial" w:hAnsi="Arial"/>
                <w:sz w:val="16"/>
                <w:szCs w:val="16"/>
                <w:color w:val="auto"/>
              </w:rPr>
              <w:t>8/27/14</w:t>
            </w:r>
          </w:p>
        </w:tc>
      </w:tr>
      <w:tr>
        <w:trPr>
          <w:trHeight w:val="179"/>
        </w:trPr>
        <w:tc>
          <w:tcPr>
            <w:tcW w:w="740" w:type="dxa"/>
            <w:vAlign w:val="bottom"/>
          </w:tcPr>
          <w:p>
            <w:pPr>
              <w:spacing w:after="0" w:line="179" w:lineRule="exact"/>
              <w:rPr>
                <w:sz w:val="20"/>
                <w:szCs w:val="20"/>
                <w:color w:val="auto"/>
              </w:rPr>
            </w:pPr>
            <w:r>
              <w:rPr>
                <w:rFonts w:ascii="Arial" w:cs="Arial" w:eastAsia="Arial" w:hAnsi="Arial"/>
                <w:sz w:val="16"/>
                <w:szCs w:val="16"/>
                <w:color w:val="auto"/>
              </w:rPr>
              <w:t>Attest:</w:t>
            </w:r>
          </w:p>
        </w:tc>
        <w:tc>
          <w:tcPr>
            <w:tcW w:w="3320" w:type="dxa"/>
            <w:vAlign w:val="bottom"/>
            <w:tcBorders>
              <w:bottom w:val="single" w:sz="8" w:color="auto"/>
            </w:tcBorders>
          </w:tcPr>
          <w:p>
            <w:pPr>
              <w:ind w:left="120"/>
              <w:spacing w:after="0" w:line="179" w:lineRule="exact"/>
              <w:rPr>
                <w:sz w:val="20"/>
                <w:szCs w:val="20"/>
                <w:color w:val="auto"/>
              </w:rPr>
            </w:pPr>
            <w:r>
              <w:rPr>
                <w:rFonts w:ascii="Arial" w:cs="Arial" w:eastAsia="Arial" w:hAnsi="Arial"/>
                <w:sz w:val="16"/>
                <w:szCs w:val="16"/>
                <w:color w:val="auto"/>
              </w:rPr>
              <w:t>/s/ Carol Mendiola</w:t>
            </w:r>
          </w:p>
        </w:tc>
      </w:tr>
    </w:tbl>
    <w:p>
      <w:pPr>
        <w:sectPr>
          <w:pgSz w:w="11900" w:h="16838" w:orient="portrait"/>
          <w:cols w:equalWidth="0" w:num="1">
            <w:col w:w="11260"/>
          </w:cols>
          <w:pgMar w:left="240" w:top="608" w:right="399" w:bottom="1440" w:gutter="0" w:footer="0" w:header="0"/>
        </w:sectPr>
      </w:pPr>
    </w:p>
    <w:bookmarkStart w:id="99" w:name="page100"/>
    <w:bookmarkEnd w:id="99"/>
    <w:p>
      <w:pPr>
        <w:jc w:val="center"/>
        <w:spacing w:after="0"/>
        <w:rPr>
          <w:sz w:val="20"/>
          <w:szCs w:val="20"/>
          <w:color w:val="auto"/>
        </w:rPr>
      </w:pPr>
      <w:r>
        <w:rPr>
          <w:rFonts w:ascii="Arial" w:cs="Arial" w:eastAsia="Arial" w:hAnsi="Arial"/>
          <w:sz w:val="16"/>
          <w:szCs w:val="16"/>
          <w:color w:val="auto"/>
        </w:rPr>
        <w:t>NON-QUALIFIED MASTER TRUST AGREEMENT</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EXHIBIT C-1</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ADVANCE WITHDRAWAL CERTIFICATE</w:t>
      </w:r>
    </w:p>
    <w:p>
      <w:pPr>
        <w:spacing w:after="0" w:line="241" w:lineRule="exact"/>
        <w:rPr>
          <w:sz w:val="20"/>
          <w:szCs w:val="20"/>
          <w:color w:val="auto"/>
        </w:rPr>
      </w:pPr>
    </w:p>
    <w:p>
      <w:pPr>
        <w:spacing w:after="0" w:line="309" w:lineRule="auto"/>
        <w:rPr>
          <w:sz w:val="20"/>
          <w:szCs w:val="20"/>
          <w:color w:val="auto"/>
        </w:rPr>
      </w:pPr>
      <w:r>
        <w:rPr>
          <w:rFonts w:ascii="Arial" w:cs="Arial" w:eastAsia="Arial" w:hAnsi="Arial"/>
          <w:sz w:val="14"/>
          <w:szCs w:val="14"/>
          <w:color w:val="auto"/>
        </w:rPr>
        <w:t>The undersigned, Authorized Representative of Southern California Edison Company (Company), a California corporation, being duly authorized and empowered to execute and deliver this certificate, hereby certifies to the Trustee of the Southern California Edison Company Nuclear Facilities Non- Qualified CPUC Decommissioning Master Trust for San Onofre and Palo Verde Nuclear Generating Stations, pursuant to Section 2.01 of that certain Master Trust Agreement, dated _______________, as follows:</w:t>
      </w:r>
    </w:p>
    <w:p>
      <w:pPr>
        <w:spacing w:after="0" w:line="176" w:lineRule="exact"/>
        <w:rPr>
          <w:sz w:val="20"/>
          <w:szCs w:val="20"/>
          <w:color w:val="auto"/>
        </w:rPr>
      </w:pPr>
    </w:p>
    <w:p>
      <w:pPr>
        <w:ind w:left="640" w:hanging="315"/>
        <w:spacing w:after="0" w:line="303" w:lineRule="auto"/>
        <w:tabs>
          <w:tab w:leader="none" w:pos="64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Within 30 days of the date of this certificate, there will be due and owing to the Company [all] or [a portion of] the cost of goods or services provided in connection with the decommissioning of [SONGS/Palo Verde] as evidenced by the Schedule with supporting exhibits attached as Exhibit 1 hereto;</w:t>
      </w:r>
    </w:p>
    <w:p>
      <w:pPr>
        <w:spacing w:after="0" w:line="200" w:lineRule="exact"/>
        <w:rPr>
          <w:rFonts w:ascii="Arial" w:cs="Arial" w:eastAsia="Arial" w:hAnsi="Arial"/>
          <w:sz w:val="16"/>
          <w:szCs w:val="16"/>
          <w:color w:val="auto"/>
        </w:rPr>
      </w:pPr>
    </w:p>
    <w:p>
      <w:pPr>
        <w:spacing w:after="0" w:line="265" w:lineRule="exact"/>
        <w:rPr>
          <w:rFonts w:ascii="Arial" w:cs="Arial" w:eastAsia="Arial" w:hAnsi="Arial"/>
          <w:sz w:val="16"/>
          <w:szCs w:val="16"/>
          <w:color w:val="auto"/>
        </w:rPr>
      </w:pPr>
    </w:p>
    <w:p>
      <w:pPr>
        <w:ind w:left="640" w:hanging="315"/>
        <w:spacing w:after="0"/>
        <w:tabs>
          <w:tab w:leader="none" w:pos="64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All such amounts will constitute Decommissioning Costs; and</w:t>
      </w:r>
    </w:p>
    <w:p>
      <w:pPr>
        <w:spacing w:after="0" w:line="200" w:lineRule="exact"/>
        <w:rPr>
          <w:rFonts w:ascii="Arial" w:cs="Arial" w:eastAsia="Arial" w:hAnsi="Arial"/>
          <w:sz w:val="16"/>
          <w:szCs w:val="16"/>
          <w:color w:val="auto"/>
        </w:rPr>
      </w:pPr>
    </w:p>
    <w:p>
      <w:pPr>
        <w:spacing w:after="0" w:line="320" w:lineRule="exact"/>
        <w:rPr>
          <w:rFonts w:ascii="Arial" w:cs="Arial" w:eastAsia="Arial" w:hAnsi="Arial"/>
          <w:sz w:val="16"/>
          <w:szCs w:val="16"/>
          <w:color w:val="auto"/>
        </w:rPr>
      </w:pPr>
    </w:p>
    <w:p>
      <w:pPr>
        <w:ind w:left="640" w:right="60" w:hanging="315"/>
        <w:spacing w:after="0" w:line="303" w:lineRule="auto"/>
        <w:tabs>
          <w:tab w:leader="none" w:pos="64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All conditions precedent to the making of this withdrawal and disbursement and the payment of the Company of the Decommissioning Costs set forth in any agreement between any third-party provider and the company have been fulfilled.</w:t>
      </w:r>
    </w:p>
    <w:p>
      <w:pPr>
        <w:spacing w:after="0" w:line="200" w:lineRule="exact"/>
        <w:rPr>
          <w:sz w:val="20"/>
          <w:szCs w:val="20"/>
          <w:color w:val="auto"/>
        </w:rPr>
      </w:pPr>
    </w:p>
    <w:p>
      <w:pPr>
        <w:spacing w:after="0" w:line="266"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Accordingly, you are hereby authorized to withdraw $_______from the [SONGS Unit No. 1/SONGS Unit No. 2/SONGS Unit No. 3/Palo Verde Unit No. 1, Palo Verde Unit</w:t>
      </w:r>
    </w:p>
    <w:p>
      <w:pPr>
        <w:spacing w:after="0" w:line="52" w:lineRule="exact"/>
        <w:rPr>
          <w:sz w:val="20"/>
          <w:szCs w:val="20"/>
          <w:color w:val="auto"/>
        </w:rPr>
      </w:pPr>
    </w:p>
    <w:p>
      <w:pPr>
        <w:ind w:left="320" w:right="60"/>
        <w:spacing w:after="0" w:line="316" w:lineRule="auto"/>
        <w:rPr>
          <w:sz w:val="20"/>
          <w:szCs w:val="20"/>
          <w:color w:val="auto"/>
        </w:rPr>
      </w:pPr>
      <w:r>
        <w:rPr>
          <w:rFonts w:ascii="Arial" w:cs="Arial" w:eastAsia="Arial" w:hAnsi="Arial"/>
          <w:sz w:val="14"/>
          <w:szCs w:val="14"/>
          <w:color w:val="auto"/>
        </w:rPr>
        <w:t>No. 2/Palo Verde Unit No. 3] Non-Qualified Fund of the Master Trust in order to permit payment of such sum to be made to the Company for such purpose. You are further authorized to disburse such sum, once withdrawn, directly to the Company in the following manner: [DESCRIBE: CHECK, WIRE TRANSFER, ETC.] on or before</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__________________.  Executed this _____ day of ______________.</w:t>
      </w:r>
    </w:p>
    <w:p>
      <w:pPr>
        <w:spacing w:after="0" w:line="200" w:lineRule="exact"/>
        <w:rPr>
          <w:sz w:val="20"/>
          <w:szCs w:val="20"/>
          <w:color w:val="auto"/>
        </w:rPr>
      </w:pPr>
    </w:p>
    <w:p>
      <w:pPr>
        <w:spacing w:after="0" w:line="33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SOUTHERN CALIFORNIA EDISON COMPANY</w:t>
      </w:r>
    </w:p>
    <w:p>
      <w:pPr>
        <w:spacing w:after="0" w:line="200" w:lineRule="exact"/>
        <w:rPr>
          <w:sz w:val="20"/>
          <w:szCs w:val="20"/>
          <w:color w:val="auto"/>
        </w:rPr>
      </w:pPr>
    </w:p>
    <w:p>
      <w:pPr>
        <w:spacing w:after="0" w:line="33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By____________________________________</w:t>
      </w:r>
    </w:p>
    <w:p>
      <w:pPr>
        <w:spacing w:after="0" w:line="16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Authorized Representative</w:t>
      </w:r>
    </w:p>
    <w:p>
      <w:pPr>
        <w:spacing w:after="0" w:line="200" w:lineRule="exact"/>
        <w:rPr>
          <w:sz w:val="20"/>
          <w:szCs w:val="20"/>
          <w:color w:val="auto"/>
        </w:rPr>
      </w:pPr>
    </w:p>
    <w:p>
      <w:pPr>
        <w:spacing w:after="0" w:line="33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By_____________________________________</w:t>
      </w:r>
    </w:p>
    <w:p>
      <w:pPr>
        <w:spacing w:after="0" w:line="16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Attest</w:t>
      </w:r>
    </w:p>
    <w:p>
      <w:pPr>
        <w:sectPr>
          <w:pgSz w:w="11900" w:h="16838" w:orient="portrait"/>
          <w:cols w:equalWidth="0" w:num="1">
            <w:col w:w="11420"/>
          </w:cols>
          <w:pgMar w:left="240" w:top="847" w:right="239" w:bottom="1440" w:gutter="0" w:footer="0" w:header="0"/>
        </w:sectPr>
      </w:pPr>
    </w:p>
    <w:bookmarkStart w:id="100" w:name="page101"/>
    <w:bookmarkEnd w:id="100"/>
    <w:p>
      <w:pPr>
        <w:jc w:val="center"/>
        <w:ind w:right="140"/>
        <w:spacing w:after="0"/>
        <w:rPr>
          <w:sz w:val="20"/>
          <w:szCs w:val="20"/>
          <w:color w:val="auto"/>
        </w:rPr>
      </w:pPr>
      <w:r>
        <w:rPr>
          <w:rFonts w:ascii="Arial" w:cs="Arial" w:eastAsia="Arial" w:hAnsi="Arial"/>
          <w:sz w:val="18"/>
          <w:szCs w:val="18"/>
          <w:b w:val="1"/>
          <w:bCs w:val="1"/>
          <w:color w:val="auto"/>
        </w:rPr>
        <w:t>EXHIBIT 12.1</w:t>
      </w:r>
    </w:p>
    <w:p>
      <w:pPr>
        <w:spacing w:after="0" w:line="7"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SEMPRA ENERGY</w:t>
      </w:r>
    </w:p>
    <w:p>
      <w:pPr>
        <w:jc w:val="center"/>
        <w:ind w:right="140"/>
        <w:spacing w:after="0" w:line="231" w:lineRule="auto"/>
        <w:rPr>
          <w:sz w:val="20"/>
          <w:szCs w:val="20"/>
          <w:color w:val="auto"/>
        </w:rPr>
      </w:pPr>
      <w:r>
        <w:rPr>
          <w:rFonts w:ascii="Arial" w:cs="Arial" w:eastAsia="Arial" w:hAnsi="Arial"/>
          <w:sz w:val="18"/>
          <w:szCs w:val="18"/>
          <w:b w:val="1"/>
          <w:bCs w:val="1"/>
          <w:color w:val="auto"/>
        </w:rPr>
        <w:t>COMPUTATION OF RATIO OF EARNINGS TO COMBINED FIXED CHARGES</w:t>
      </w:r>
    </w:p>
    <w:p>
      <w:pPr>
        <w:jc w:val="center"/>
        <w:ind w:right="140"/>
        <w:spacing w:after="0" w:line="231" w:lineRule="auto"/>
        <w:rPr>
          <w:sz w:val="20"/>
          <w:szCs w:val="20"/>
          <w:color w:val="auto"/>
        </w:rPr>
      </w:pPr>
      <w:r>
        <w:rPr>
          <w:rFonts w:ascii="Arial" w:cs="Arial" w:eastAsia="Arial" w:hAnsi="Arial"/>
          <w:sz w:val="18"/>
          <w:szCs w:val="18"/>
          <w:b w:val="1"/>
          <w:bCs w:val="1"/>
          <w:color w:val="auto"/>
        </w:rPr>
        <w:t>AND PREFERRED STOCK DIVIDENDS</w:t>
      </w:r>
    </w:p>
    <w:p>
      <w:pPr>
        <w:jc w:val="center"/>
        <w:ind w:right="140"/>
        <w:spacing w:after="0"/>
        <w:rPr>
          <w:sz w:val="20"/>
          <w:szCs w:val="20"/>
          <w:color w:val="auto"/>
        </w:rPr>
      </w:pPr>
      <w:r>
        <w:rPr>
          <w:rFonts w:ascii="Arial" w:cs="Arial" w:eastAsia="Arial" w:hAnsi="Arial"/>
          <w:sz w:val="18"/>
          <w:szCs w:val="18"/>
          <w:b w:val="1"/>
          <w:bCs w:val="1"/>
          <w:color w:val="auto"/>
        </w:rPr>
        <w:t>(Dollars in millions)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September</w:t>
            </w:r>
          </w:p>
        </w:tc>
        <w:tc>
          <w:tcPr>
            <w:tcW w:w="0" w:type="dxa"/>
            <w:vAlign w:val="bottom"/>
          </w:tcPr>
          <w:p>
            <w:pPr>
              <w:spacing w:after="0"/>
              <w:rPr>
                <w:sz w:val="1"/>
                <w:szCs w:val="1"/>
                <w:color w:val="auto"/>
              </w:rPr>
            </w:pPr>
          </w:p>
        </w:tc>
      </w:tr>
      <w:tr>
        <w:trPr>
          <w:trHeight w:val="199"/>
        </w:trPr>
        <w:tc>
          <w:tcPr>
            <w:tcW w:w="2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jc w:val="right"/>
              <w:ind w:right="371"/>
              <w:spacing w:after="0" w:line="200"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0"/>
        </w:trPr>
        <w:tc>
          <w:tcPr>
            <w:tcW w:w="204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11"/>
              <w:spacing w:after="0" w:line="201" w:lineRule="exact"/>
              <w:rPr>
                <w:sz w:val="20"/>
                <w:szCs w:val="20"/>
                <w:color w:val="auto"/>
              </w:rPr>
            </w:pPr>
            <w:r>
              <w:rPr>
                <w:rFonts w:ascii="Arial" w:cs="Arial" w:eastAsia="Arial" w:hAnsi="Arial"/>
                <w:sz w:val="18"/>
                <w:szCs w:val="18"/>
                <w:color w:val="auto"/>
              </w:rPr>
              <w:t>2009</w:t>
            </w:r>
          </w:p>
        </w:tc>
        <w:tc>
          <w:tcPr>
            <w:tcW w:w="3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11"/>
              <w:spacing w:after="0" w:line="201" w:lineRule="exact"/>
              <w:rPr>
                <w:sz w:val="20"/>
                <w:szCs w:val="20"/>
                <w:color w:val="auto"/>
              </w:rPr>
            </w:pPr>
            <w:r>
              <w:rPr>
                <w:rFonts w:ascii="Arial" w:cs="Arial" w:eastAsia="Arial" w:hAnsi="Arial"/>
                <w:sz w:val="18"/>
                <w:szCs w:val="18"/>
                <w:color w:val="auto"/>
              </w:rPr>
              <w:t>2010</w:t>
            </w:r>
          </w:p>
        </w:tc>
        <w:tc>
          <w:tcPr>
            <w:tcW w:w="3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11"/>
              <w:spacing w:after="0" w:line="201" w:lineRule="exact"/>
              <w:rPr>
                <w:sz w:val="20"/>
                <w:szCs w:val="20"/>
                <w:color w:val="auto"/>
              </w:rPr>
            </w:pPr>
            <w:r>
              <w:rPr>
                <w:rFonts w:ascii="Arial" w:cs="Arial" w:eastAsia="Arial" w:hAnsi="Arial"/>
                <w:sz w:val="18"/>
                <w:szCs w:val="18"/>
                <w:color w:val="auto"/>
              </w:rPr>
              <w:t>2011</w:t>
            </w:r>
          </w:p>
        </w:tc>
        <w:tc>
          <w:tcPr>
            <w:tcW w:w="3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91"/>
              <w:spacing w:after="0" w:line="201" w:lineRule="exact"/>
              <w:rPr>
                <w:sz w:val="20"/>
                <w:szCs w:val="20"/>
                <w:color w:val="auto"/>
              </w:rPr>
            </w:pPr>
            <w:r>
              <w:rPr>
                <w:rFonts w:ascii="Arial" w:cs="Arial" w:eastAsia="Arial" w:hAnsi="Arial"/>
                <w:sz w:val="18"/>
                <w:szCs w:val="18"/>
                <w:color w:val="auto"/>
              </w:rPr>
              <w:t>2012</w:t>
            </w:r>
          </w:p>
        </w:tc>
        <w:tc>
          <w:tcPr>
            <w:tcW w:w="3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11"/>
              <w:spacing w:after="0" w:line="201" w:lineRule="exact"/>
              <w:rPr>
                <w:sz w:val="20"/>
                <w:szCs w:val="20"/>
                <w:color w:val="auto"/>
              </w:rPr>
            </w:pPr>
            <w:r>
              <w:rPr>
                <w:rFonts w:ascii="Arial" w:cs="Arial" w:eastAsia="Arial" w:hAnsi="Arial"/>
                <w:sz w:val="18"/>
                <w:szCs w:val="18"/>
                <w:color w:val="auto"/>
              </w:rPr>
              <w:t>2013</w:t>
            </w:r>
          </w:p>
        </w:tc>
        <w:tc>
          <w:tcPr>
            <w:tcW w:w="3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91"/>
              <w:spacing w:after="0" w:line="201" w:lineRule="exact"/>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192"/>
        </w:trPr>
        <w:tc>
          <w:tcPr>
            <w:tcW w:w="2040" w:type="dxa"/>
            <w:vAlign w:val="bottom"/>
          </w:tcPr>
          <w:p>
            <w:pPr>
              <w:spacing w:after="0" w:line="192" w:lineRule="exact"/>
              <w:rPr>
                <w:sz w:val="20"/>
                <w:szCs w:val="20"/>
                <w:color w:val="auto"/>
              </w:rPr>
            </w:pPr>
            <w:r>
              <w:rPr>
                <w:rFonts w:ascii="Arial" w:cs="Arial" w:eastAsia="Arial" w:hAnsi="Arial"/>
                <w:sz w:val="18"/>
                <w:szCs w:val="18"/>
                <w:color w:val="auto"/>
              </w:rPr>
              <w:t>Fixed charges and</w:t>
            </w: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40" w:type="dxa"/>
            <w:vAlign w:val="bottom"/>
          </w:tcPr>
          <w:p>
            <w:pPr>
              <w:ind w:left="240"/>
              <w:spacing w:after="0" w:line="200" w:lineRule="exact"/>
              <w:rPr>
                <w:sz w:val="20"/>
                <w:szCs w:val="20"/>
                <w:color w:val="auto"/>
              </w:rPr>
            </w:pPr>
            <w:r>
              <w:rPr>
                <w:rFonts w:ascii="Arial" w:cs="Arial" w:eastAsia="Arial" w:hAnsi="Arial"/>
                <w:sz w:val="18"/>
                <w:szCs w:val="18"/>
                <w:color w:val="auto"/>
              </w:rPr>
              <w:t>preferred stock</w:t>
            </w: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40" w:type="dxa"/>
            <w:vAlign w:val="bottom"/>
          </w:tcPr>
          <w:p>
            <w:pPr>
              <w:ind w:left="240"/>
              <w:spacing w:after="0"/>
              <w:rPr>
                <w:sz w:val="20"/>
                <w:szCs w:val="20"/>
                <w:color w:val="auto"/>
              </w:rPr>
            </w:pPr>
            <w:r>
              <w:rPr>
                <w:rFonts w:ascii="Arial" w:cs="Arial" w:eastAsia="Arial" w:hAnsi="Arial"/>
                <w:sz w:val="18"/>
                <w:szCs w:val="18"/>
                <w:color w:val="auto"/>
              </w:rPr>
              <w:t>dividends:</w:t>
            </w: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40" w:type="dxa"/>
            <w:vAlign w:val="bottom"/>
          </w:tcPr>
          <w:p>
            <w:pPr>
              <w:spacing w:after="0" w:line="200" w:lineRule="exact"/>
              <w:rPr>
                <w:sz w:val="20"/>
                <w:szCs w:val="20"/>
                <w:color w:val="auto"/>
              </w:rPr>
            </w:pPr>
            <w:r>
              <w:rPr>
                <w:rFonts w:ascii="Arial" w:cs="Arial" w:eastAsia="Arial" w:hAnsi="Arial"/>
                <w:sz w:val="18"/>
                <w:szCs w:val="18"/>
                <w:color w:val="auto"/>
              </w:rPr>
              <w:t>Interest</w:t>
            </w:r>
          </w:p>
        </w:tc>
        <w:tc>
          <w:tcPr>
            <w:tcW w:w="460" w:type="dxa"/>
            <w:vAlign w:val="bottom"/>
          </w:tcPr>
          <w:p>
            <w:pPr>
              <w:jc w:val="right"/>
              <w:ind w:right="71"/>
              <w:spacing w:after="0" w:line="200"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31"/>
              <w:spacing w:after="0" w:line="200" w:lineRule="exact"/>
              <w:rPr>
                <w:sz w:val="20"/>
                <w:szCs w:val="20"/>
                <w:color w:val="auto"/>
              </w:rPr>
            </w:pPr>
            <w:r>
              <w:rPr>
                <w:rFonts w:ascii="Arial" w:cs="Arial" w:eastAsia="Arial" w:hAnsi="Arial"/>
                <w:sz w:val="18"/>
                <w:szCs w:val="18"/>
                <w:color w:val="auto"/>
              </w:rPr>
              <w:t>455</w:t>
            </w:r>
          </w:p>
        </w:tc>
        <w:tc>
          <w:tcPr>
            <w:tcW w:w="78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51"/>
              <w:spacing w:after="0" w:line="200" w:lineRule="exact"/>
              <w:rPr>
                <w:sz w:val="20"/>
                <w:szCs w:val="20"/>
                <w:color w:val="auto"/>
              </w:rPr>
            </w:pPr>
            <w:r>
              <w:rPr>
                <w:rFonts w:ascii="Arial" w:cs="Arial" w:eastAsia="Arial" w:hAnsi="Arial"/>
                <w:sz w:val="18"/>
                <w:szCs w:val="18"/>
                <w:color w:val="auto"/>
              </w:rPr>
              <w:t>492</w:t>
            </w:r>
          </w:p>
        </w:tc>
        <w:tc>
          <w:tcPr>
            <w:tcW w:w="76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31"/>
              <w:spacing w:after="0" w:line="200" w:lineRule="exact"/>
              <w:rPr>
                <w:sz w:val="20"/>
                <w:szCs w:val="20"/>
                <w:color w:val="auto"/>
              </w:rPr>
            </w:pPr>
            <w:r>
              <w:rPr>
                <w:rFonts w:ascii="Arial" w:cs="Arial" w:eastAsia="Arial" w:hAnsi="Arial"/>
                <w:sz w:val="18"/>
                <w:szCs w:val="18"/>
                <w:color w:val="auto"/>
              </w:rPr>
              <w:t>549</w:t>
            </w:r>
          </w:p>
        </w:tc>
        <w:tc>
          <w:tcPr>
            <w:tcW w:w="78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31"/>
              <w:spacing w:after="0" w:line="200" w:lineRule="exact"/>
              <w:rPr>
                <w:sz w:val="20"/>
                <w:szCs w:val="20"/>
                <w:color w:val="auto"/>
              </w:rPr>
            </w:pPr>
            <w:r>
              <w:rPr>
                <w:rFonts w:ascii="Arial" w:cs="Arial" w:eastAsia="Arial" w:hAnsi="Arial"/>
                <w:sz w:val="18"/>
                <w:szCs w:val="18"/>
                <w:color w:val="auto"/>
              </w:rPr>
              <w:t>601</w:t>
            </w:r>
          </w:p>
        </w:tc>
        <w:tc>
          <w:tcPr>
            <w:tcW w:w="78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51"/>
              <w:spacing w:after="0" w:line="200" w:lineRule="exact"/>
              <w:rPr>
                <w:sz w:val="20"/>
                <w:szCs w:val="20"/>
                <w:color w:val="auto"/>
              </w:rPr>
            </w:pPr>
            <w:r>
              <w:rPr>
                <w:rFonts w:ascii="Arial" w:cs="Arial" w:eastAsia="Arial" w:hAnsi="Arial"/>
                <w:sz w:val="18"/>
                <w:szCs w:val="18"/>
                <w:color w:val="auto"/>
              </w:rPr>
              <w:t>620</w:t>
            </w:r>
          </w:p>
        </w:tc>
        <w:tc>
          <w:tcPr>
            <w:tcW w:w="760" w:type="dxa"/>
            <w:vAlign w:val="bottom"/>
            <w:gridSpan w:val="2"/>
          </w:tcPr>
          <w:p>
            <w:pPr>
              <w:jc w:val="right"/>
              <w:ind w:right="140"/>
              <w:spacing w:after="0" w:line="200"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31"/>
              <w:spacing w:after="0" w:line="200" w:lineRule="exact"/>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199"/>
        </w:trPr>
        <w:tc>
          <w:tcPr>
            <w:tcW w:w="2040" w:type="dxa"/>
            <w:vAlign w:val="bottom"/>
          </w:tcPr>
          <w:p>
            <w:pPr>
              <w:spacing w:after="0" w:line="200" w:lineRule="exact"/>
              <w:rPr>
                <w:sz w:val="20"/>
                <w:szCs w:val="20"/>
                <w:color w:val="auto"/>
              </w:rPr>
            </w:pPr>
            <w:r>
              <w:rPr>
                <w:rFonts w:ascii="Arial" w:cs="Arial" w:eastAsia="Arial" w:hAnsi="Arial"/>
                <w:sz w:val="18"/>
                <w:szCs w:val="18"/>
                <w:color w:val="auto"/>
              </w:rPr>
              <w:t>Interest portion of</w:t>
            </w: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40" w:type="dxa"/>
            <w:vAlign w:val="bottom"/>
          </w:tcPr>
          <w:p>
            <w:pPr>
              <w:ind w:left="240"/>
              <w:spacing w:after="0" w:line="200" w:lineRule="exact"/>
              <w:rPr>
                <w:sz w:val="20"/>
                <w:szCs w:val="20"/>
                <w:color w:val="auto"/>
              </w:rPr>
            </w:pPr>
            <w:r>
              <w:rPr>
                <w:rFonts w:ascii="Arial" w:cs="Arial" w:eastAsia="Arial" w:hAnsi="Arial"/>
                <w:sz w:val="18"/>
                <w:szCs w:val="18"/>
                <w:color w:val="auto"/>
              </w:rPr>
              <w:t>annual rentals</w:t>
            </w:r>
          </w:p>
        </w:tc>
        <w:tc>
          <w:tcPr>
            <w:tcW w:w="460" w:type="dxa"/>
            <w:vAlign w:val="bottom"/>
          </w:tcPr>
          <w:p>
            <w:pPr>
              <w:spacing w:after="0"/>
              <w:rPr>
                <w:sz w:val="17"/>
                <w:szCs w:val="17"/>
                <w:color w:val="auto"/>
              </w:rPr>
            </w:pPr>
          </w:p>
        </w:tc>
        <w:tc>
          <w:tcPr>
            <w:tcW w:w="740" w:type="dxa"/>
            <w:vAlign w:val="bottom"/>
          </w:tcPr>
          <w:p>
            <w:pPr>
              <w:jc w:val="right"/>
              <w:ind w:right="31"/>
              <w:spacing w:after="0" w:line="200" w:lineRule="exact"/>
              <w:rPr>
                <w:sz w:val="20"/>
                <w:szCs w:val="20"/>
                <w:color w:val="auto"/>
              </w:rPr>
            </w:pPr>
            <w:r>
              <w:rPr>
                <w:rFonts w:ascii="Arial" w:cs="Arial" w:eastAsia="Arial" w:hAnsi="Arial"/>
                <w:sz w:val="18"/>
                <w:szCs w:val="18"/>
                <w:color w:val="auto"/>
              </w:rPr>
              <w:t>2</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jc w:val="right"/>
              <w:ind w:right="51"/>
              <w:spacing w:after="0" w:line="200" w:lineRule="exact"/>
              <w:rPr>
                <w:sz w:val="20"/>
                <w:szCs w:val="20"/>
                <w:color w:val="auto"/>
              </w:rPr>
            </w:pPr>
            <w:r>
              <w:rPr>
                <w:rFonts w:ascii="Arial" w:cs="Arial" w:eastAsia="Arial" w:hAnsi="Arial"/>
                <w:sz w:val="18"/>
                <w:szCs w:val="18"/>
                <w:color w:val="auto"/>
              </w:rPr>
              <w:t>3</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jc w:val="right"/>
              <w:ind w:right="31"/>
              <w:spacing w:after="0" w:line="200" w:lineRule="exact"/>
              <w:rPr>
                <w:sz w:val="20"/>
                <w:szCs w:val="20"/>
                <w:color w:val="auto"/>
              </w:rPr>
            </w:pPr>
            <w:r>
              <w:rPr>
                <w:rFonts w:ascii="Arial" w:cs="Arial" w:eastAsia="Arial" w:hAnsi="Arial"/>
                <w:sz w:val="18"/>
                <w:szCs w:val="18"/>
                <w:color w:val="auto"/>
              </w:rPr>
              <w:t>2</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jc w:val="right"/>
              <w:ind w:right="31"/>
              <w:spacing w:after="0" w:line="200" w:lineRule="exact"/>
              <w:rPr>
                <w:sz w:val="20"/>
                <w:szCs w:val="20"/>
                <w:color w:val="auto"/>
              </w:rPr>
            </w:pPr>
            <w:r>
              <w:rPr>
                <w:rFonts w:ascii="Arial" w:cs="Arial" w:eastAsia="Arial" w:hAnsi="Arial"/>
                <w:sz w:val="18"/>
                <w:szCs w:val="18"/>
                <w:color w:val="auto"/>
              </w:rPr>
              <w:t>2</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jc w:val="right"/>
              <w:ind w:right="51"/>
              <w:spacing w:after="0" w:line="200" w:lineRule="exact"/>
              <w:rPr>
                <w:sz w:val="20"/>
                <w:szCs w:val="20"/>
                <w:color w:val="auto"/>
              </w:rPr>
            </w:pPr>
            <w:r>
              <w:rPr>
                <w:rFonts w:ascii="Arial" w:cs="Arial" w:eastAsia="Arial" w:hAnsi="Arial"/>
                <w:sz w:val="18"/>
                <w:szCs w:val="18"/>
                <w:color w:val="auto"/>
              </w:rPr>
              <w:t>2</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jc w:val="right"/>
              <w:ind w:right="31"/>
              <w:spacing w:after="0" w:line="200"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9"/>
        </w:trPr>
        <w:tc>
          <w:tcPr>
            <w:tcW w:w="2040" w:type="dxa"/>
            <w:vAlign w:val="bottom"/>
          </w:tcPr>
          <w:p>
            <w:pPr>
              <w:spacing w:after="0" w:line="200" w:lineRule="exact"/>
              <w:rPr>
                <w:sz w:val="20"/>
                <w:szCs w:val="20"/>
                <w:color w:val="auto"/>
              </w:rPr>
            </w:pPr>
            <w:r>
              <w:rPr>
                <w:rFonts w:ascii="Arial" w:cs="Arial" w:eastAsia="Arial" w:hAnsi="Arial"/>
                <w:sz w:val="18"/>
                <w:szCs w:val="18"/>
                <w:color w:val="auto"/>
              </w:rPr>
              <w:t>Preferred dividends</w:t>
            </w: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40" w:type="dxa"/>
            <w:vAlign w:val="bottom"/>
          </w:tcPr>
          <w:p>
            <w:pPr>
              <w:ind w:left="240"/>
              <w:spacing w:after="0" w:line="200" w:lineRule="exact"/>
              <w:rPr>
                <w:sz w:val="20"/>
                <w:szCs w:val="20"/>
                <w:color w:val="auto"/>
              </w:rPr>
            </w:pPr>
            <w:r>
              <w:rPr>
                <w:rFonts w:ascii="Arial" w:cs="Arial" w:eastAsia="Arial" w:hAnsi="Arial"/>
                <w:sz w:val="18"/>
                <w:szCs w:val="18"/>
                <w:color w:val="auto"/>
              </w:rPr>
              <w:t>of subsidiaries</w:t>
            </w:r>
          </w:p>
        </w:tc>
        <w:tc>
          <w:tcPr>
            <w:tcW w:w="460" w:type="dxa"/>
            <w:vAlign w:val="bottom"/>
          </w:tcPr>
          <w:p>
            <w:pPr>
              <w:spacing w:after="0"/>
              <w:rPr>
                <w:sz w:val="17"/>
                <w:szCs w:val="17"/>
                <w:color w:val="auto"/>
              </w:rPr>
            </w:pPr>
          </w:p>
        </w:tc>
        <w:tc>
          <w:tcPr>
            <w:tcW w:w="740" w:type="dxa"/>
            <w:vAlign w:val="bottom"/>
            <w:vMerge w:val="restart"/>
          </w:tcPr>
          <w:p>
            <w:pPr>
              <w:jc w:val="right"/>
              <w:ind w:right="31"/>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vMerge w:val="restart"/>
          </w:tcPr>
          <w:p>
            <w:pPr>
              <w:jc w:val="right"/>
              <w:ind w:right="51"/>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vMerge w:val="restart"/>
          </w:tcPr>
          <w:p>
            <w:pPr>
              <w:jc w:val="right"/>
              <w:ind w:right="31"/>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vMerge w:val="restart"/>
          </w:tcPr>
          <w:p>
            <w:pPr>
              <w:jc w:val="right"/>
              <w:ind w:right="31"/>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vMerge w:val="restart"/>
          </w:tcPr>
          <w:p>
            <w:pPr>
              <w:jc w:val="right"/>
              <w:ind w:right="51"/>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vMerge w:val="restart"/>
          </w:tcPr>
          <w:p>
            <w:pPr>
              <w:jc w:val="right"/>
              <w:ind w:right="3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7"/>
        </w:trPr>
        <w:tc>
          <w:tcPr>
            <w:tcW w:w="2040" w:type="dxa"/>
            <w:vAlign w:val="bottom"/>
          </w:tcPr>
          <w:p>
            <w:pPr>
              <w:ind w:left="240"/>
              <w:spacing w:after="0" w:line="187" w:lineRule="exact"/>
              <w:rPr>
                <w:sz w:val="20"/>
                <w:szCs w:val="20"/>
                <w:color w:val="auto"/>
              </w:rPr>
            </w:pPr>
            <w:r>
              <w:rPr>
                <w:rFonts w:ascii="Arial" w:cs="Arial" w:eastAsia="Arial" w:hAnsi="Arial"/>
                <w:sz w:val="18"/>
                <w:szCs w:val="18"/>
                <w:color w:val="auto"/>
              </w:rPr>
              <w:t>(1)</w:t>
            </w:r>
          </w:p>
        </w:tc>
        <w:tc>
          <w:tcPr>
            <w:tcW w:w="4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40" w:type="dxa"/>
            <w:vAlign w:val="bottom"/>
          </w:tcPr>
          <w:p>
            <w:pPr>
              <w:ind w:left="240"/>
              <w:spacing w:after="0" w:line="192" w:lineRule="exact"/>
              <w:rPr>
                <w:sz w:val="20"/>
                <w:szCs w:val="20"/>
                <w:color w:val="auto"/>
              </w:rPr>
            </w:pPr>
            <w:r>
              <w:rPr>
                <w:rFonts w:ascii="Arial" w:cs="Arial" w:eastAsia="Arial" w:hAnsi="Arial"/>
                <w:sz w:val="18"/>
                <w:szCs w:val="18"/>
                <w:color w:val="auto"/>
              </w:rPr>
              <w:t>Total fixed</w:t>
            </w: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40" w:type="dxa"/>
            <w:vAlign w:val="bottom"/>
          </w:tcPr>
          <w:p>
            <w:pPr>
              <w:ind w:left="240"/>
              <w:spacing w:after="0" w:line="200" w:lineRule="exact"/>
              <w:rPr>
                <w:sz w:val="20"/>
                <w:szCs w:val="20"/>
                <w:color w:val="auto"/>
              </w:rPr>
            </w:pPr>
            <w:r>
              <w:rPr>
                <w:rFonts w:ascii="Arial" w:cs="Arial" w:eastAsia="Arial" w:hAnsi="Arial"/>
                <w:sz w:val="18"/>
                <w:szCs w:val="18"/>
                <w:color w:val="auto"/>
              </w:rPr>
              <w:t>charges</w:t>
            </w:r>
          </w:p>
        </w:tc>
        <w:tc>
          <w:tcPr>
            <w:tcW w:w="460" w:type="dxa"/>
            <w:vAlign w:val="bottom"/>
          </w:tcPr>
          <w:p>
            <w:pPr>
              <w:spacing w:after="0"/>
              <w:rPr>
                <w:sz w:val="17"/>
                <w:szCs w:val="17"/>
                <w:color w:val="auto"/>
              </w:rPr>
            </w:pPr>
          </w:p>
        </w:tc>
        <w:tc>
          <w:tcPr>
            <w:tcW w:w="740" w:type="dxa"/>
            <w:vAlign w:val="bottom"/>
          </w:tcPr>
          <w:p>
            <w:pPr>
              <w:jc w:val="right"/>
              <w:ind w:right="31"/>
              <w:spacing w:after="0" w:line="200" w:lineRule="exact"/>
              <w:rPr>
                <w:sz w:val="20"/>
                <w:szCs w:val="20"/>
                <w:color w:val="auto"/>
              </w:rPr>
            </w:pPr>
            <w:r>
              <w:rPr>
                <w:rFonts w:ascii="Arial" w:cs="Arial" w:eastAsia="Arial" w:hAnsi="Arial"/>
                <w:sz w:val="18"/>
                <w:szCs w:val="18"/>
                <w:color w:val="auto"/>
              </w:rPr>
              <w:t>470</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jc w:val="right"/>
              <w:ind w:right="51"/>
              <w:spacing w:after="0" w:line="200" w:lineRule="exact"/>
              <w:rPr>
                <w:sz w:val="20"/>
                <w:szCs w:val="20"/>
                <w:color w:val="auto"/>
              </w:rPr>
            </w:pPr>
            <w:r>
              <w:rPr>
                <w:rFonts w:ascii="Arial" w:cs="Arial" w:eastAsia="Arial" w:hAnsi="Arial"/>
                <w:sz w:val="18"/>
                <w:szCs w:val="18"/>
                <w:color w:val="auto"/>
              </w:rPr>
              <w:t>506</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jc w:val="right"/>
              <w:ind w:right="31"/>
              <w:spacing w:after="0" w:line="200" w:lineRule="exact"/>
              <w:rPr>
                <w:sz w:val="20"/>
                <w:szCs w:val="20"/>
                <w:color w:val="auto"/>
              </w:rPr>
            </w:pPr>
            <w:r>
              <w:rPr>
                <w:rFonts w:ascii="Arial" w:cs="Arial" w:eastAsia="Arial" w:hAnsi="Arial"/>
                <w:sz w:val="18"/>
                <w:szCs w:val="18"/>
                <w:color w:val="auto"/>
              </w:rPr>
              <w:t>561</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jc w:val="right"/>
              <w:ind w:right="31"/>
              <w:spacing w:after="0" w:line="200" w:lineRule="exact"/>
              <w:rPr>
                <w:sz w:val="20"/>
                <w:szCs w:val="20"/>
                <w:color w:val="auto"/>
              </w:rPr>
            </w:pPr>
            <w:r>
              <w:rPr>
                <w:rFonts w:ascii="Arial" w:cs="Arial" w:eastAsia="Arial" w:hAnsi="Arial"/>
                <w:sz w:val="18"/>
                <w:szCs w:val="18"/>
                <w:color w:val="auto"/>
              </w:rPr>
              <w:t>609</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jc w:val="right"/>
              <w:ind w:right="51"/>
              <w:spacing w:after="0" w:line="200" w:lineRule="exact"/>
              <w:rPr>
                <w:sz w:val="20"/>
                <w:szCs w:val="20"/>
                <w:color w:val="auto"/>
              </w:rPr>
            </w:pPr>
            <w:r>
              <w:rPr>
                <w:rFonts w:ascii="Arial" w:cs="Arial" w:eastAsia="Arial" w:hAnsi="Arial"/>
                <w:sz w:val="18"/>
                <w:szCs w:val="18"/>
                <w:color w:val="auto"/>
              </w:rPr>
              <w:t>628</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jc w:val="right"/>
              <w:ind w:right="31"/>
              <w:spacing w:after="0" w:line="200" w:lineRule="exact"/>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199"/>
        </w:trPr>
        <w:tc>
          <w:tcPr>
            <w:tcW w:w="2040" w:type="dxa"/>
            <w:vAlign w:val="bottom"/>
          </w:tcPr>
          <w:p>
            <w:pPr>
              <w:spacing w:after="0" w:line="200" w:lineRule="exact"/>
              <w:rPr>
                <w:sz w:val="20"/>
                <w:szCs w:val="20"/>
                <w:color w:val="auto"/>
              </w:rPr>
            </w:pPr>
            <w:r>
              <w:rPr>
                <w:rFonts w:ascii="Arial" w:cs="Arial" w:eastAsia="Arial" w:hAnsi="Arial"/>
                <w:sz w:val="18"/>
                <w:szCs w:val="18"/>
                <w:color w:val="auto"/>
              </w:rPr>
              <w:t>Preferred dividends</w:t>
            </w: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40" w:type="dxa"/>
            <w:vAlign w:val="bottom"/>
          </w:tcPr>
          <w:p>
            <w:pPr>
              <w:ind w:left="240"/>
              <w:spacing w:after="0" w:line="200" w:lineRule="exact"/>
              <w:rPr>
                <w:sz w:val="20"/>
                <w:szCs w:val="20"/>
                <w:color w:val="auto"/>
              </w:rPr>
            </w:pPr>
            <w:r>
              <w:rPr>
                <w:rFonts w:ascii="Arial" w:cs="Arial" w:eastAsia="Arial" w:hAnsi="Arial"/>
                <w:sz w:val="18"/>
                <w:szCs w:val="18"/>
                <w:color w:val="auto"/>
              </w:rPr>
              <w:t>for purpose of</w:t>
            </w:r>
          </w:p>
        </w:tc>
        <w:tc>
          <w:tcPr>
            <w:tcW w:w="460" w:type="dxa"/>
            <w:vAlign w:val="bottom"/>
          </w:tcPr>
          <w:p>
            <w:pPr>
              <w:spacing w:after="0"/>
              <w:rPr>
                <w:sz w:val="17"/>
                <w:szCs w:val="17"/>
                <w:color w:val="auto"/>
              </w:rPr>
            </w:pPr>
          </w:p>
        </w:tc>
        <w:tc>
          <w:tcPr>
            <w:tcW w:w="740" w:type="dxa"/>
            <w:vAlign w:val="bottom"/>
            <w:vMerge w:val="restart"/>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vMerge w:val="restart"/>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vMerge w:val="restart"/>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vMerge w:val="restart"/>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vMerge w:val="restart"/>
          </w:tcPr>
          <w:p>
            <w:pPr>
              <w:jc w:val="right"/>
              <w:ind w:right="5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vMerge w:val="restart"/>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7"/>
        </w:trPr>
        <w:tc>
          <w:tcPr>
            <w:tcW w:w="2040" w:type="dxa"/>
            <w:vAlign w:val="bottom"/>
          </w:tcPr>
          <w:p>
            <w:pPr>
              <w:ind w:left="240"/>
              <w:spacing w:after="0" w:line="187" w:lineRule="exact"/>
              <w:rPr>
                <w:sz w:val="20"/>
                <w:szCs w:val="20"/>
                <w:color w:val="auto"/>
              </w:rPr>
            </w:pPr>
            <w:r>
              <w:rPr>
                <w:rFonts w:ascii="Arial" w:cs="Arial" w:eastAsia="Arial" w:hAnsi="Arial"/>
                <w:sz w:val="18"/>
                <w:szCs w:val="18"/>
                <w:color w:val="auto"/>
              </w:rPr>
              <w:t>ratio</w:t>
            </w:r>
          </w:p>
        </w:tc>
        <w:tc>
          <w:tcPr>
            <w:tcW w:w="4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40" w:type="dxa"/>
            <w:vAlign w:val="bottom"/>
          </w:tcPr>
          <w:p>
            <w:pPr>
              <w:ind w:left="40"/>
              <w:spacing w:after="0" w:line="192" w:lineRule="exact"/>
              <w:rPr>
                <w:sz w:val="20"/>
                <w:szCs w:val="20"/>
                <w:color w:val="auto"/>
              </w:rPr>
            </w:pPr>
            <w:r>
              <w:rPr>
                <w:rFonts w:ascii="Arial" w:cs="Arial" w:eastAsia="Arial" w:hAnsi="Arial"/>
                <w:sz w:val="18"/>
                <w:szCs w:val="18"/>
                <w:color w:val="auto"/>
              </w:rPr>
              <w:t>Total fixed charges</w:t>
            </w: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40" w:type="dxa"/>
            <w:vAlign w:val="bottom"/>
          </w:tcPr>
          <w:p>
            <w:pPr>
              <w:ind w:left="240"/>
              <w:spacing w:after="0" w:line="200" w:lineRule="exact"/>
              <w:rPr>
                <w:sz w:val="20"/>
                <w:szCs w:val="20"/>
                <w:color w:val="auto"/>
              </w:rPr>
            </w:pPr>
            <w:r>
              <w:rPr>
                <w:rFonts w:ascii="Arial" w:cs="Arial" w:eastAsia="Arial" w:hAnsi="Arial"/>
                <w:sz w:val="18"/>
                <w:szCs w:val="18"/>
                <w:color w:val="auto"/>
              </w:rPr>
              <w:t>and preferred</w:t>
            </w: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40" w:type="dxa"/>
            <w:vAlign w:val="bottom"/>
          </w:tcPr>
          <w:p>
            <w:pPr>
              <w:ind w:left="300"/>
              <w:spacing w:after="0" w:line="200" w:lineRule="exact"/>
              <w:rPr>
                <w:sz w:val="20"/>
                <w:szCs w:val="20"/>
                <w:color w:val="auto"/>
              </w:rPr>
            </w:pPr>
            <w:r>
              <w:rPr>
                <w:rFonts w:ascii="Arial" w:cs="Arial" w:eastAsia="Arial" w:hAnsi="Arial"/>
                <w:sz w:val="18"/>
                <w:szCs w:val="18"/>
                <w:color w:val="auto"/>
              </w:rPr>
              <w:t>dividends for</w:t>
            </w: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40" w:type="dxa"/>
            <w:vAlign w:val="bottom"/>
          </w:tcPr>
          <w:p>
            <w:pPr>
              <w:ind w:left="240"/>
              <w:spacing w:after="0"/>
              <w:rPr>
                <w:sz w:val="20"/>
                <w:szCs w:val="20"/>
                <w:color w:val="auto"/>
              </w:rPr>
            </w:pPr>
            <w:r>
              <w:rPr>
                <w:rFonts w:ascii="Arial" w:cs="Arial" w:eastAsia="Arial" w:hAnsi="Arial"/>
                <w:sz w:val="18"/>
                <w:szCs w:val="18"/>
                <w:color w:val="auto"/>
              </w:rPr>
              <w:t>purpose of ratio</w:t>
            </w:r>
          </w:p>
        </w:tc>
        <w:tc>
          <w:tcPr>
            <w:tcW w:w="460" w:type="dxa"/>
            <w:vAlign w:val="bottom"/>
            <w:vMerge w:val="restart"/>
          </w:tcPr>
          <w:p>
            <w:pPr>
              <w:jc w:val="right"/>
              <w:ind w:right="71"/>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ind w:right="31"/>
              <w:spacing w:after="0"/>
              <w:rPr>
                <w:sz w:val="20"/>
                <w:szCs w:val="20"/>
                <w:color w:val="auto"/>
              </w:rPr>
            </w:pPr>
            <w:r>
              <w:rPr>
                <w:rFonts w:ascii="Arial" w:cs="Arial" w:eastAsia="Arial" w:hAnsi="Arial"/>
                <w:sz w:val="18"/>
                <w:szCs w:val="18"/>
                <w:color w:val="auto"/>
              </w:rPr>
              <w:t>470</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ind w:right="51"/>
              <w:spacing w:after="0"/>
              <w:rPr>
                <w:sz w:val="20"/>
                <w:szCs w:val="20"/>
                <w:color w:val="auto"/>
              </w:rPr>
            </w:pPr>
            <w:r>
              <w:rPr>
                <w:rFonts w:ascii="Arial" w:cs="Arial" w:eastAsia="Arial" w:hAnsi="Arial"/>
                <w:sz w:val="18"/>
                <w:szCs w:val="18"/>
                <w:color w:val="auto"/>
              </w:rPr>
              <w:t>506</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ind w:right="31"/>
              <w:spacing w:after="0"/>
              <w:rPr>
                <w:sz w:val="20"/>
                <w:szCs w:val="20"/>
                <w:color w:val="auto"/>
              </w:rPr>
            </w:pPr>
            <w:r>
              <w:rPr>
                <w:rFonts w:ascii="Arial" w:cs="Arial" w:eastAsia="Arial" w:hAnsi="Arial"/>
                <w:sz w:val="18"/>
                <w:szCs w:val="18"/>
                <w:color w:val="auto"/>
              </w:rPr>
              <w:t>561</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ind w:right="31"/>
              <w:spacing w:after="0"/>
              <w:rPr>
                <w:sz w:val="20"/>
                <w:szCs w:val="20"/>
                <w:color w:val="auto"/>
              </w:rPr>
            </w:pPr>
            <w:r>
              <w:rPr>
                <w:rFonts w:ascii="Arial" w:cs="Arial" w:eastAsia="Arial" w:hAnsi="Arial"/>
                <w:sz w:val="18"/>
                <w:szCs w:val="18"/>
                <w:color w:val="auto"/>
              </w:rPr>
              <w:t>609</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ind w:right="51"/>
              <w:spacing w:after="0"/>
              <w:rPr>
                <w:sz w:val="20"/>
                <w:szCs w:val="20"/>
                <w:color w:val="auto"/>
              </w:rPr>
            </w:pPr>
            <w:r>
              <w:rPr>
                <w:rFonts w:ascii="Arial" w:cs="Arial" w:eastAsia="Arial" w:hAnsi="Arial"/>
                <w:sz w:val="18"/>
                <w:szCs w:val="18"/>
                <w:color w:val="auto"/>
              </w:rPr>
              <w:t>628</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ind w:right="31"/>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147"/>
        </w:trPr>
        <w:tc>
          <w:tcPr>
            <w:tcW w:w="204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40" w:type="dxa"/>
            <w:vAlign w:val="bottom"/>
            <w:vMerge w:val="restart"/>
          </w:tcPr>
          <w:p>
            <w:pPr>
              <w:spacing w:after="0"/>
              <w:rPr>
                <w:sz w:val="20"/>
                <w:szCs w:val="20"/>
                <w:color w:val="auto"/>
              </w:rPr>
            </w:pPr>
            <w:r>
              <w:rPr>
                <w:rFonts w:ascii="Arial" w:cs="Arial" w:eastAsia="Arial" w:hAnsi="Arial"/>
                <w:sz w:val="18"/>
                <w:szCs w:val="18"/>
                <w:color w:val="auto"/>
              </w:rPr>
              <w:t>Earnings:</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4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40" w:type="dxa"/>
            <w:vAlign w:val="bottom"/>
          </w:tcPr>
          <w:p>
            <w:pPr>
              <w:spacing w:after="0" w:line="200" w:lineRule="exact"/>
              <w:rPr>
                <w:sz w:val="20"/>
                <w:szCs w:val="20"/>
                <w:color w:val="auto"/>
              </w:rPr>
            </w:pPr>
            <w:r>
              <w:rPr>
                <w:rFonts w:ascii="Arial" w:cs="Arial" w:eastAsia="Arial" w:hAnsi="Arial"/>
                <w:sz w:val="18"/>
                <w:szCs w:val="18"/>
                <w:color w:val="auto"/>
              </w:rPr>
              <w:t>Pretax income from</w:t>
            </w: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40" w:type="dxa"/>
            <w:vAlign w:val="bottom"/>
          </w:tcPr>
          <w:p>
            <w:pPr>
              <w:ind w:left="240"/>
              <w:spacing w:after="0" w:line="200" w:lineRule="exact"/>
              <w:rPr>
                <w:sz w:val="20"/>
                <w:szCs w:val="20"/>
                <w:color w:val="auto"/>
              </w:rPr>
            </w:pPr>
            <w:r>
              <w:rPr>
                <w:rFonts w:ascii="Arial" w:cs="Arial" w:eastAsia="Arial" w:hAnsi="Arial"/>
                <w:sz w:val="18"/>
                <w:szCs w:val="18"/>
                <w:color w:val="auto"/>
              </w:rPr>
              <w:t>continuing</w:t>
            </w: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40" w:type="dxa"/>
            <w:vAlign w:val="bottom"/>
          </w:tcPr>
          <w:p>
            <w:pPr>
              <w:ind w:left="240"/>
              <w:spacing w:after="0" w:line="200" w:lineRule="exact"/>
              <w:rPr>
                <w:sz w:val="20"/>
                <w:szCs w:val="20"/>
                <w:color w:val="auto"/>
              </w:rPr>
            </w:pPr>
            <w:r>
              <w:rPr>
                <w:rFonts w:ascii="Arial" w:cs="Arial" w:eastAsia="Arial" w:hAnsi="Arial"/>
                <w:sz w:val="18"/>
                <w:szCs w:val="18"/>
                <w:color w:val="auto"/>
              </w:rPr>
              <w:t>operations</w:t>
            </w: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40" w:type="dxa"/>
            <w:vAlign w:val="bottom"/>
          </w:tcPr>
          <w:p>
            <w:pPr>
              <w:ind w:left="240"/>
              <w:spacing w:after="0" w:line="200" w:lineRule="exact"/>
              <w:rPr>
                <w:sz w:val="20"/>
                <w:szCs w:val="20"/>
                <w:color w:val="auto"/>
              </w:rPr>
            </w:pPr>
            <w:r>
              <w:rPr>
                <w:rFonts w:ascii="Arial" w:cs="Arial" w:eastAsia="Arial" w:hAnsi="Arial"/>
                <w:sz w:val="18"/>
                <w:szCs w:val="18"/>
                <w:color w:val="auto"/>
              </w:rPr>
              <w:t>before</w:t>
            </w: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40" w:type="dxa"/>
            <w:vAlign w:val="bottom"/>
          </w:tcPr>
          <w:p>
            <w:pPr>
              <w:ind w:left="240"/>
              <w:spacing w:after="0" w:line="200" w:lineRule="exact"/>
              <w:rPr>
                <w:sz w:val="20"/>
                <w:szCs w:val="20"/>
                <w:color w:val="auto"/>
              </w:rPr>
            </w:pPr>
            <w:r>
              <w:rPr>
                <w:rFonts w:ascii="Arial" w:cs="Arial" w:eastAsia="Arial" w:hAnsi="Arial"/>
                <w:sz w:val="18"/>
                <w:szCs w:val="18"/>
                <w:color w:val="auto"/>
              </w:rPr>
              <w:t>adjustment for</w:t>
            </w: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40" w:type="dxa"/>
            <w:vAlign w:val="bottom"/>
          </w:tcPr>
          <w:p>
            <w:pPr>
              <w:ind w:left="240"/>
              <w:spacing w:after="0" w:line="200" w:lineRule="exact"/>
              <w:rPr>
                <w:sz w:val="20"/>
                <w:szCs w:val="20"/>
                <w:color w:val="auto"/>
              </w:rPr>
            </w:pPr>
            <w:r>
              <w:rPr>
                <w:rFonts w:ascii="Arial" w:cs="Arial" w:eastAsia="Arial" w:hAnsi="Arial"/>
                <w:sz w:val="18"/>
                <w:szCs w:val="18"/>
                <w:color w:val="auto"/>
              </w:rPr>
              <w:t>income or loss</w:t>
            </w: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40" w:type="dxa"/>
            <w:vAlign w:val="bottom"/>
          </w:tcPr>
          <w:p>
            <w:pPr>
              <w:ind w:left="240"/>
              <w:spacing w:after="0" w:line="200" w:lineRule="exact"/>
              <w:rPr>
                <w:sz w:val="20"/>
                <w:szCs w:val="20"/>
                <w:color w:val="auto"/>
              </w:rPr>
            </w:pPr>
            <w:r>
              <w:rPr>
                <w:rFonts w:ascii="Arial" w:cs="Arial" w:eastAsia="Arial" w:hAnsi="Arial"/>
                <w:sz w:val="18"/>
                <w:szCs w:val="18"/>
                <w:color w:val="auto"/>
              </w:rPr>
              <w:t>from equity</w:t>
            </w: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40" w:type="dxa"/>
            <w:vAlign w:val="bottom"/>
          </w:tcPr>
          <w:p>
            <w:pPr>
              <w:ind w:left="240"/>
              <w:spacing w:after="0"/>
              <w:rPr>
                <w:sz w:val="20"/>
                <w:szCs w:val="20"/>
                <w:color w:val="auto"/>
              </w:rPr>
            </w:pPr>
            <w:r>
              <w:rPr>
                <w:rFonts w:ascii="Arial" w:cs="Arial" w:eastAsia="Arial" w:hAnsi="Arial"/>
                <w:sz w:val="18"/>
                <w:szCs w:val="18"/>
                <w:color w:val="auto"/>
              </w:rPr>
              <w:t>investees</w:t>
            </w:r>
          </w:p>
        </w:tc>
        <w:tc>
          <w:tcPr>
            <w:tcW w:w="4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977</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1,078</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1,747</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1,255</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1,399</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1,148</w:t>
            </w:r>
          </w:p>
        </w:tc>
        <w:tc>
          <w:tcPr>
            <w:tcW w:w="0" w:type="dxa"/>
            <w:vAlign w:val="bottom"/>
          </w:tcPr>
          <w:p>
            <w:pPr>
              <w:spacing w:after="0"/>
              <w:rPr>
                <w:sz w:val="1"/>
                <w:szCs w:val="1"/>
                <w:color w:val="auto"/>
              </w:rPr>
            </w:pPr>
          </w:p>
        </w:tc>
      </w:tr>
      <w:tr>
        <w:trPr>
          <w:trHeight w:val="200"/>
        </w:trPr>
        <w:tc>
          <w:tcPr>
            <w:tcW w:w="2040" w:type="dxa"/>
            <w:vAlign w:val="bottom"/>
          </w:tcPr>
          <w:p>
            <w:pPr>
              <w:spacing w:after="0" w:line="200" w:lineRule="exact"/>
              <w:rPr>
                <w:sz w:val="20"/>
                <w:szCs w:val="20"/>
                <w:color w:val="auto"/>
              </w:rPr>
            </w:pPr>
            <w:r>
              <w:rPr>
                <w:rFonts w:ascii="Arial" w:cs="Arial" w:eastAsia="Arial" w:hAnsi="Arial"/>
                <w:sz w:val="18"/>
                <w:szCs w:val="18"/>
                <w:color w:val="auto"/>
              </w:rPr>
              <w:t>Add:</w:t>
            </w: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40" w:type="dxa"/>
            <w:vAlign w:val="bottom"/>
          </w:tcPr>
          <w:p>
            <w:pPr>
              <w:ind w:left="80"/>
              <w:spacing w:after="0" w:line="200" w:lineRule="exact"/>
              <w:rPr>
                <w:sz w:val="20"/>
                <w:szCs w:val="20"/>
                <w:color w:val="auto"/>
              </w:rPr>
            </w:pPr>
            <w:r>
              <w:rPr>
                <w:rFonts w:ascii="Arial" w:cs="Arial" w:eastAsia="Arial" w:hAnsi="Arial"/>
                <w:sz w:val="18"/>
                <w:szCs w:val="18"/>
                <w:color w:val="auto"/>
              </w:rPr>
              <w:t>Total fixed charges</w:t>
            </w: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40" w:type="dxa"/>
            <w:vAlign w:val="bottom"/>
          </w:tcPr>
          <w:p>
            <w:pPr>
              <w:ind w:left="240"/>
              <w:spacing w:after="0" w:line="200" w:lineRule="exact"/>
              <w:rPr>
                <w:sz w:val="20"/>
                <w:szCs w:val="20"/>
                <w:color w:val="auto"/>
              </w:rPr>
            </w:pPr>
            <w:r>
              <w:rPr>
                <w:rFonts w:ascii="Arial" w:cs="Arial" w:eastAsia="Arial" w:hAnsi="Arial"/>
                <w:sz w:val="18"/>
                <w:szCs w:val="18"/>
                <w:color w:val="auto"/>
              </w:rPr>
              <w:t>(from above)</w:t>
            </w:r>
          </w:p>
        </w:tc>
        <w:tc>
          <w:tcPr>
            <w:tcW w:w="460" w:type="dxa"/>
            <w:vAlign w:val="bottom"/>
          </w:tcPr>
          <w:p>
            <w:pPr>
              <w:spacing w:after="0"/>
              <w:rPr>
                <w:sz w:val="17"/>
                <w:szCs w:val="17"/>
                <w:color w:val="auto"/>
              </w:rPr>
            </w:pPr>
          </w:p>
        </w:tc>
        <w:tc>
          <w:tcPr>
            <w:tcW w:w="740" w:type="dxa"/>
            <w:vAlign w:val="bottom"/>
          </w:tcPr>
          <w:p>
            <w:pPr>
              <w:jc w:val="right"/>
              <w:ind w:right="31"/>
              <w:spacing w:after="0" w:line="200" w:lineRule="exact"/>
              <w:rPr>
                <w:sz w:val="20"/>
                <w:szCs w:val="20"/>
                <w:color w:val="auto"/>
              </w:rPr>
            </w:pPr>
            <w:r>
              <w:rPr>
                <w:rFonts w:ascii="Arial" w:cs="Arial" w:eastAsia="Arial" w:hAnsi="Arial"/>
                <w:sz w:val="18"/>
                <w:szCs w:val="18"/>
                <w:color w:val="auto"/>
              </w:rPr>
              <w:t>470</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jc w:val="right"/>
              <w:ind w:right="51"/>
              <w:spacing w:after="0" w:line="200" w:lineRule="exact"/>
              <w:rPr>
                <w:sz w:val="20"/>
                <w:szCs w:val="20"/>
                <w:color w:val="auto"/>
              </w:rPr>
            </w:pPr>
            <w:r>
              <w:rPr>
                <w:rFonts w:ascii="Arial" w:cs="Arial" w:eastAsia="Arial" w:hAnsi="Arial"/>
                <w:sz w:val="18"/>
                <w:szCs w:val="18"/>
                <w:color w:val="auto"/>
              </w:rPr>
              <w:t>506</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jc w:val="right"/>
              <w:ind w:right="31"/>
              <w:spacing w:after="0" w:line="200" w:lineRule="exact"/>
              <w:rPr>
                <w:sz w:val="20"/>
                <w:szCs w:val="20"/>
                <w:color w:val="auto"/>
              </w:rPr>
            </w:pPr>
            <w:r>
              <w:rPr>
                <w:rFonts w:ascii="Arial" w:cs="Arial" w:eastAsia="Arial" w:hAnsi="Arial"/>
                <w:sz w:val="18"/>
                <w:szCs w:val="18"/>
                <w:color w:val="auto"/>
              </w:rPr>
              <w:t>561</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jc w:val="right"/>
              <w:ind w:right="31"/>
              <w:spacing w:after="0" w:line="200" w:lineRule="exact"/>
              <w:rPr>
                <w:sz w:val="20"/>
                <w:szCs w:val="20"/>
                <w:color w:val="auto"/>
              </w:rPr>
            </w:pPr>
            <w:r>
              <w:rPr>
                <w:rFonts w:ascii="Arial" w:cs="Arial" w:eastAsia="Arial" w:hAnsi="Arial"/>
                <w:sz w:val="18"/>
                <w:szCs w:val="18"/>
                <w:color w:val="auto"/>
              </w:rPr>
              <w:t>609</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jc w:val="right"/>
              <w:ind w:right="51"/>
              <w:spacing w:after="0" w:line="200" w:lineRule="exact"/>
              <w:rPr>
                <w:sz w:val="20"/>
                <w:szCs w:val="20"/>
                <w:color w:val="auto"/>
              </w:rPr>
            </w:pPr>
            <w:r>
              <w:rPr>
                <w:rFonts w:ascii="Arial" w:cs="Arial" w:eastAsia="Arial" w:hAnsi="Arial"/>
                <w:sz w:val="18"/>
                <w:szCs w:val="18"/>
                <w:color w:val="auto"/>
              </w:rPr>
              <w:t>628</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jc w:val="right"/>
              <w:ind w:right="31"/>
              <w:spacing w:after="0" w:line="200" w:lineRule="exact"/>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199"/>
        </w:trPr>
        <w:tc>
          <w:tcPr>
            <w:tcW w:w="2040" w:type="dxa"/>
            <w:vAlign w:val="bottom"/>
          </w:tcPr>
          <w:p>
            <w:pPr>
              <w:ind w:left="100"/>
              <w:spacing w:after="0" w:line="200" w:lineRule="exact"/>
              <w:rPr>
                <w:sz w:val="20"/>
                <w:szCs w:val="20"/>
                <w:color w:val="auto"/>
              </w:rPr>
            </w:pPr>
            <w:r>
              <w:rPr>
                <w:rFonts w:ascii="Arial" w:cs="Arial" w:eastAsia="Arial" w:hAnsi="Arial"/>
                <w:sz w:val="18"/>
                <w:szCs w:val="18"/>
                <w:color w:val="auto"/>
              </w:rPr>
              <w:t>Distributed income</w:t>
            </w: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40" w:type="dxa"/>
            <w:vAlign w:val="bottom"/>
          </w:tcPr>
          <w:p>
            <w:pPr>
              <w:ind w:left="240"/>
              <w:spacing w:after="0" w:line="200" w:lineRule="exact"/>
              <w:rPr>
                <w:sz w:val="20"/>
                <w:szCs w:val="20"/>
                <w:color w:val="auto"/>
              </w:rPr>
            </w:pPr>
            <w:r>
              <w:rPr>
                <w:rFonts w:ascii="Arial" w:cs="Arial" w:eastAsia="Arial" w:hAnsi="Arial"/>
                <w:sz w:val="18"/>
                <w:szCs w:val="18"/>
                <w:color w:val="auto"/>
              </w:rPr>
              <w:t>of equity</w:t>
            </w: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40" w:type="dxa"/>
            <w:vAlign w:val="bottom"/>
          </w:tcPr>
          <w:p>
            <w:pPr>
              <w:ind w:left="240"/>
              <w:spacing w:after="0"/>
              <w:rPr>
                <w:sz w:val="20"/>
                <w:szCs w:val="20"/>
                <w:color w:val="auto"/>
              </w:rPr>
            </w:pPr>
            <w:r>
              <w:rPr>
                <w:rFonts w:ascii="Arial" w:cs="Arial" w:eastAsia="Arial" w:hAnsi="Arial"/>
                <w:sz w:val="18"/>
                <w:szCs w:val="18"/>
                <w:color w:val="auto"/>
              </w:rPr>
              <w:t>investees</w:t>
            </w:r>
          </w:p>
        </w:tc>
        <w:tc>
          <w:tcPr>
            <w:tcW w:w="460" w:type="dxa"/>
            <w:vAlign w:val="bottom"/>
          </w:tcPr>
          <w:p>
            <w:pPr>
              <w:spacing w:after="0"/>
              <w:rPr>
                <w:sz w:val="18"/>
                <w:szCs w:val="18"/>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493</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260</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96</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50</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51</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3"/>
        </w:trPr>
        <w:tc>
          <w:tcPr>
            <w:tcW w:w="2040" w:type="dxa"/>
            <w:vAlign w:val="bottom"/>
          </w:tcPr>
          <w:p>
            <w:pPr>
              <w:spacing w:after="0"/>
              <w:rPr>
                <w:sz w:val="20"/>
                <w:szCs w:val="20"/>
                <w:color w:val="auto"/>
              </w:rPr>
            </w:pPr>
            <w:r>
              <w:rPr>
                <w:rFonts w:ascii="Arial" w:cs="Arial" w:eastAsia="Arial" w:hAnsi="Arial"/>
                <w:sz w:val="18"/>
                <w:szCs w:val="18"/>
                <w:color w:val="auto"/>
              </w:rPr>
              <w:t>Less:</w:t>
            </w: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40" w:type="dxa"/>
            <w:vAlign w:val="bottom"/>
          </w:tcPr>
          <w:p>
            <w:pPr>
              <w:ind w:left="100"/>
              <w:spacing w:after="0" w:line="200" w:lineRule="exact"/>
              <w:rPr>
                <w:sz w:val="20"/>
                <w:szCs w:val="20"/>
                <w:color w:val="auto"/>
              </w:rPr>
            </w:pPr>
            <w:r>
              <w:rPr>
                <w:rFonts w:ascii="Arial" w:cs="Arial" w:eastAsia="Arial" w:hAnsi="Arial"/>
                <w:sz w:val="18"/>
                <w:szCs w:val="18"/>
                <w:color w:val="auto"/>
              </w:rPr>
              <w:t>Interest capitalized</w:t>
            </w:r>
          </w:p>
        </w:tc>
        <w:tc>
          <w:tcPr>
            <w:tcW w:w="460" w:type="dxa"/>
            <w:vAlign w:val="bottom"/>
          </w:tcPr>
          <w:p>
            <w:pPr>
              <w:spacing w:after="0"/>
              <w:rPr>
                <w:sz w:val="17"/>
                <w:szCs w:val="17"/>
                <w:color w:val="auto"/>
              </w:rPr>
            </w:pPr>
          </w:p>
        </w:tc>
        <w:tc>
          <w:tcPr>
            <w:tcW w:w="740" w:type="dxa"/>
            <w:vAlign w:val="bottom"/>
          </w:tcPr>
          <w:p>
            <w:pPr>
              <w:jc w:val="right"/>
              <w:ind w:right="31"/>
              <w:spacing w:after="0" w:line="200" w:lineRule="exact"/>
              <w:rPr>
                <w:sz w:val="20"/>
                <w:szCs w:val="20"/>
                <w:color w:val="auto"/>
              </w:rPr>
            </w:pPr>
            <w:r>
              <w:rPr>
                <w:rFonts w:ascii="Arial" w:cs="Arial" w:eastAsia="Arial" w:hAnsi="Arial"/>
                <w:sz w:val="18"/>
                <w:szCs w:val="18"/>
                <w:color w:val="auto"/>
              </w:rPr>
              <w:t>73</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jc w:val="right"/>
              <w:ind w:right="51"/>
              <w:spacing w:after="0" w:line="200" w:lineRule="exact"/>
              <w:rPr>
                <w:sz w:val="20"/>
                <w:szCs w:val="20"/>
                <w:color w:val="auto"/>
              </w:rPr>
            </w:pPr>
            <w:r>
              <w:rPr>
                <w:rFonts w:ascii="Arial" w:cs="Arial" w:eastAsia="Arial" w:hAnsi="Arial"/>
                <w:sz w:val="18"/>
                <w:szCs w:val="18"/>
                <w:color w:val="auto"/>
              </w:rPr>
              <w:t>74</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jc w:val="right"/>
              <w:ind w:right="31"/>
              <w:spacing w:after="0" w:line="200" w:lineRule="exact"/>
              <w:rPr>
                <w:sz w:val="20"/>
                <w:szCs w:val="20"/>
                <w:color w:val="auto"/>
              </w:rPr>
            </w:pPr>
            <w:r>
              <w:rPr>
                <w:rFonts w:ascii="Arial" w:cs="Arial" w:eastAsia="Arial" w:hAnsi="Arial"/>
                <w:sz w:val="18"/>
                <w:szCs w:val="18"/>
                <w:color w:val="auto"/>
              </w:rPr>
              <w:t>27</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jc w:val="right"/>
              <w:ind w:right="31"/>
              <w:spacing w:after="0" w:line="200" w:lineRule="exact"/>
              <w:rPr>
                <w:sz w:val="20"/>
                <w:szCs w:val="20"/>
                <w:color w:val="auto"/>
              </w:rPr>
            </w:pPr>
            <w:r>
              <w:rPr>
                <w:rFonts w:ascii="Arial" w:cs="Arial" w:eastAsia="Arial" w:hAnsi="Arial"/>
                <w:sz w:val="18"/>
                <w:szCs w:val="18"/>
                <w:color w:val="auto"/>
              </w:rPr>
              <w:t>53</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jc w:val="right"/>
              <w:ind w:right="51"/>
              <w:spacing w:after="0" w:line="200" w:lineRule="exact"/>
              <w:rPr>
                <w:sz w:val="20"/>
                <w:szCs w:val="20"/>
                <w:color w:val="auto"/>
              </w:rPr>
            </w:pPr>
            <w:r>
              <w:rPr>
                <w:rFonts w:ascii="Arial" w:cs="Arial" w:eastAsia="Arial" w:hAnsi="Arial"/>
                <w:sz w:val="18"/>
                <w:szCs w:val="18"/>
                <w:color w:val="auto"/>
              </w:rPr>
              <w:t>23</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jc w:val="right"/>
              <w:ind w:right="31"/>
              <w:spacing w:after="0" w:line="200"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9"/>
        </w:trPr>
        <w:tc>
          <w:tcPr>
            <w:tcW w:w="2040" w:type="dxa"/>
            <w:vAlign w:val="bottom"/>
          </w:tcPr>
          <w:p>
            <w:pPr>
              <w:ind w:left="100"/>
              <w:spacing w:after="0" w:line="200" w:lineRule="exact"/>
              <w:rPr>
                <w:sz w:val="20"/>
                <w:szCs w:val="20"/>
                <w:color w:val="auto"/>
              </w:rPr>
            </w:pPr>
            <w:r>
              <w:rPr>
                <w:rFonts w:ascii="Arial" w:cs="Arial" w:eastAsia="Arial" w:hAnsi="Arial"/>
                <w:sz w:val="18"/>
                <w:szCs w:val="18"/>
                <w:color w:val="auto"/>
              </w:rPr>
              <w:t>Preferred</w:t>
            </w: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40" w:type="dxa"/>
            <w:vAlign w:val="bottom"/>
          </w:tcPr>
          <w:p>
            <w:pPr>
              <w:ind w:left="240"/>
              <w:spacing w:after="0" w:line="200" w:lineRule="exact"/>
              <w:rPr>
                <w:sz w:val="20"/>
                <w:szCs w:val="20"/>
                <w:color w:val="auto"/>
              </w:rPr>
            </w:pPr>
            <w:r>
              <w:rPr>
                <w:rFonts w:ascii="Arial" w:cs="Arial" w:eastAsia="Arial" w:hAnsi="Arial"/>
                <w:sz w:val="18"/>
                <w:szCs w:val="18"/>
                <w:color w:val="auto"/>
              </w:rPr>
              <w:t>dividends of</w:t>
            </w:r>
          </w:p>
        </w:tc>
        <w:tc>
          <w:tcPr>
            <w:tcW w:w="460" w:type="dxa"/>
            <w:vAlign w:val="bottom"/>
          </w:tcPr>
          <w:p>
            <w:pPr>
              <w:spacing w:after="0"/>
              <w:rPr>
                <w:sz w:val="17"/>
                <w:szCs w:val="17"/>
                <w:color w:val="auto"/>
              </w:rPr>
            </w:pPr>
          </w:p>
        </w:tc>
        <w:tc>
          <w:tcPr>
            <w:tcW w:w="740" w:type="dxa"/>
            <w:vAlign w:val="bottom"/>
            <w:vMerge w:val="restart"/>
          </w:tcPr>
          <w:p>
            <w:pPr>
              <w:jc w:val="right"/>
              <w:ind w:right="31"/>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vMerge w:val="restart"/>
          </w:tcPr>
          <w:p>
            <w:pPr>
              <w:jc w:val="right"/>
              <w:ind w:right="51"/>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vMerge w:val="restart"/>
          </w:tcPr>
          <w:p>
            <w:pPr>
              <w:jc w:val="right"/>
              <w:ind w:right="31"/>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vMerge w:val="restart"/>
          </w:tcPr>
          <w:p>
            <w:pPr>
              <w:jc w:val="right"/>
              <w:ind w:right="31"/>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vMerge w:val="restart"/>
          </w:tcPr>
          <w:p>
            <w:pPr>
              <w:jc w:val="right"/>
              <w:ind w:right="51"/>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vMerge w:val="restart"/>
          </w:tcPr>
          <w:p>
            <w:pPr>
              <w:jc w:val="right"/>
              <w:ind w:right="3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7"/>
        </w:trPr>
        <w:tc>
          <w:tcPr>
            <w:tcW w:w="2040" w:type="dxa"/>
            <w:vAlign w:val="bottom"/>
          </w:tcPr>
          <w:p>
            <w:pPr>
              <w:ind w:left="240"/>
              <w:spacing w:after="0" w:line="187" w:lineRule="exact"/>
              <w:rPr>
                <w:sz w:val="20"/>
                <w:szCs w:val="20"/>
                <w:color w:val="auto"/>
              </w:rPr>
            </w:pPr>
            <w:r>
              <w:rPr>
                <w:rFonts w:ascii="Arial" w:cs="Arial" w:eastAsia="Arial" w:hAnsi="Arial"/>
                <w:sz w:val="18"/>
                <w:szCs w:val="18"/>
                <w:color w:val="auto"/>
              </w:rPr>
              <w:t>subsidiaries (1)</w:t>
            </w:r>
          </w:p>
        </w:tc>
        <w:tc>
          <w:tcPr>
            <w:tcW w:w="4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40" w:type="dxa"/>
            <w:vAlign w:val="bottom"/>
          </w:tcPr>
          <w:p>
            <w:pPr>
              <w:spacing w:after="0" w:line="192" w:lineRule="exact"/>
              <w:rPr>
                <w:sz w:val="20"/>
                <w:szCs w:val="20"/>
                <w:color w:val="auto"/>
              </w:rPr>
            </w:pPr>
            <w:r>
              <w:rPr>
                <w:rFonts w:ascii="Arial" w:cs="Arial" w:eastAsia="Arial" w:hAnsi="Arial"/>
                <w:sz w:val="18"/>
                <w:szCs w:val="18"/>
                <w:color w:val="auto"/>
              </w:rPr>
              <w:t>Total earnings for</w:t>
            </w:r>
          </w:p>
        </w:tc>
        <w:tc>
          <w:tcPr>
            <w:tcW w:w="460" w:type="dxa"/>
            <w:vAlign w:val="bottom"/>
            <w:vMerge w:val="restart"/>
          </w:tcPr>
          <w:p>
            <w:pPr>
              <w:jc w:val="right"/>
              <w:ind w:right="71"/>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ind w:right="31"/>
              <w:spacing w:after="0"/>
              <w:rPr>
                <w:sz w:val="20"/>
                <w:szCs w:val="20"/>
                <w:color w:val="auto"/>
              </w:rPr>
            </w:pPr>
            <w:r>
              <w:rPr>
                <w:rFonts w:ascii="Arial" w:cs="Arial" w:eastAsia="Arial" w:hAnsi="Arial"/>
                <w:sz w:val="18"/>
                <w:szCs w:val="18"/>
                <w:color w:val="auto"/>
              </w:rPr>
              <w:t>1,854</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ind w:right="51"/>
              <w:spacing w:after="0"/>
              <w:rPr>
                <w:sz w:val="20"/>
                <w:szCs w:val="20"/>
                <w:color w:val="auto"/>
              </w:rPr>
            </w:pPr>
            <w:r>
              <w:rPr>
                <w:rFonts w:ascii="Arial" w:cs="Arial" w:eastAsia="Arial" w:hAnsi="Arial"/>
                <w:sz w:val="18"/>
                <w:szCs w:val="18"/>
                <w:color w:val="auto"/>
              </w:rPr>
              <w:t>1,759</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ind w:right="31"/>
              <w:spacing w:after="0"/>
              <w:rPr>
                <w:sz w:val="20"/>
                <w:szCs w:val="20"/>
                <w:color w:val="auto"/>
              </w:rPr>
            </w:pPr>
            <w:r>
              <w:rPr>
                <w:rFonts w:ascii="Arial" w:cs="Arial" w:eastAsia="Arial" w:hAnsi="Arial"/>
                <w:sz w:val="18"/>
                <w:szCs w:val="18"/>
                <w:color w:val="auto"/>
              </w:rPr>
              <w:t>2,367</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ind w:right="31"/>
              <w:spacing w:after="0"/>
              <w:rPr>
                <w:sz w:val="20"/>
                <w:szCs w:val="20"/>
                <w:color w:val="auto"/>
              </w:rPr>
            </w:pPr>
            <w:r>
              <w:rPr>
                <w:rFonts w:ascii="Arial" w:cs="Arial" w:eastAsia="Arial" w:hAnsi="Arial"/>
                <w:sz w:val="18"/>
                <w:szCs w:val="18"/>
                <w:color w:val="auto"/>
              </w:rPr>
              <w:t>1,855</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ind w:right="51"/>
              <w:spacing w:after="0"/>
              <w:rPr>
                <w:sz w:val="20"/>
                <w:szCs w:val="20"/>
                <w:color w:val="auto"/>
              </w:rPr>
            </w:pPr>
            <w:r>
              <w:rPr>
                <w:rFonts w:ascii="Arial" w:cs="Arial" w:eastAsia="Arial" w:hAnsi="Arial"/>
                <w:sz w:val="18"/>
                <w:szCs w:val="18"/>
                <w:color w:val="auto"/>
              </w:rPr>
              <w:t>2,049</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ind w:right="31"/>
              <w:spacing w:after="0"/>
              <w:rPr>
                <w:sz w:val="20"/>
                <w:szCs w:val="20"/>
                <w:color w:val="auto"/>
              </w:rPr>
            </w:pPr>
            <w:r>
              <w:rPr>
                <w:rFonts w:ascii="Arial" w:cs="Arial" w:eastAsia="Arial" w:hAnsi="Arial"/>
                <w:sz w:val="18"/>
                <w:szCs w:val="18"/>
                <w:color w:val="auto"/>
              </w:rPr>
              <w:t>1,636</w:t>
            </w:r>
          </w:p>
        </w:tc>
        <w:tc>
          <w:tcPr>
            <w:tcW w:w="0" w:type="dxa"/>
            <w:vAlign w:val="bottom"/>
          </w:tcPr>
          <w:p>
            <w:pPr>
              <w:spacing w:after="0"/>
              <w:rPr>
                <w:sz w:val="1"/>
                <w:szCs w:val="1"/>
                <w:color w:val="auto"/>
              </w:rPr>
            </w:pPr>
          </w:p>
        </w:tc>
      </w:tr>
      <w:tr>
        <w:trPr>
          <w:trHeight w:val="160"/>
        </w:trPr>
        <w:tc>
          <w:tcPr>
            <w:tcW w:w="2040" w:type="dxa"/>
            <w:vAlign w:val="bottom"/>
          </w:tcPr>
          <w:p>
            <w:pPr>
              <w:ind w:left="240"/>
              <w:spacing w:after="0" w:line="141" w:lineRule="exact"/>
              <w:rPr>
                <w:sz w:val="20"/>
                <w:szCs w:val="20"/>
                <w:color w:val="auto"/>
              </w:rPr>
            </w:pPr>
            <w:r>
              <w:rPr>
                <w:rFonts w:ascii="Arial" w:cs="Arial" w:eastAsia="Arial" w:hAnsi="Arial"/>
                <w:sz w:val="16"/>
                <w:szCs w:val="16"/>
                <w:color w:val="auto"/>
              </w:rPr>
              <w:t>purpose of ratio</w:t>
            </w:r>
          </w:p>
        </w:tc>
        <w:tc>
          <w:tcPr>
            <w:tcW w:w="46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40" w:type="dxa"/>
            <w:vAlign w:val="bottom"/>
            <w:vMerge w:val="restart"/>
          </w:tcPr>
          <w:p>
            <w:pPr>
              <w:spacing w:after="0"/>
              <w:rPr>
                <w:sz w:val="20"/>
                <w:szCs w:val="20"/>
                <w:color w:val="auto"/>
              </w:rPr>
            </w:pPr>
            <w:r>
              <w:rPr>
                <w:rFonts w:ascii="Arial" w:cs="Arial" w:eastAsia="Arial" w:hAnsi="Arial"/>
                <w:sz w:val="18"/>
                <w:szCs w:val="18"/>
                <w:color w:val="auto"/>
              </w:rPr>
              <w:t>Ratio of earnings to</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40" w:type="dxa"/>
            <w:vAlign w:val="bottom"/>
          </w:tcPr>
          <w:p>
            <w:pPr>
              <w:ind w:left="240"/>
              <w:spacing w:after="0" w:line="200" w:lineRule="exact"/>
              <w:rPr>
                <w:sz w:val="20"/>
                <w:szCs w:val="20"/>
                <w:color w:val="auto"/>
              </w:rPr>
            </w:pPr>
            <w:r>
              <w:rPr>
                <w:rFonts w:ascii="Arial" w:cs="Arial" w:eastAsia="Arial" w:hAnsi="Arial"/>
                <w:sz w:val="18"/>
                <w:szCs w:val="18"/>
                <w:color w:val="auto"/>
              </w:rPr>
              <w:t>combined fixed</w:t>
            </w: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40" w:type="dxa"/>
            <w:vAlign w:val="bottom"/>
          </w:tcPr>
          <w:p>
            <w:pPr>
              <w:ind w:left="240"/>
              <w:spacing w:after="0" w:line="200" w:lineRule="exact"/>
              <w:rPr>
                <w:sz w:val="20"/>
                <w:szCs w:val="20"/>
                <w:color w:val="auto"/>
              </w:rPr>
            </w:pPr>
            <w:r>
              <w:rPr>
                <w:rFonts w:ascii="Arial" w:cs="Arial" w:eastAsia="Arial" w:hAnsi="Arial"/>
                <w:sz w:val="18"/>
                <w:szCs w:val="18"/>
                <w:color w:val="auto"/>
              </w:rPr>
              <w:t>charges and</w:t>
            </w: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40" w:type="dxa"/>
            <w:vAlign w:val="bottom"/>
          </w:tcPr>
          <w:p>
            <w:pPr>
              <w:ind w:left="240"/>
              <w:spacing w:after="0" w:line="200" w:lineRule="exact"/>
              <w:rPr>
                <w:sz w:val="20"/>
                <w:szCs w:val="20"/>
                <w:color w:val="auto"/>
              </w:rPr>
            </w:pPr>
            <w:r>
              <w:rPr>
                <w:rFonts w:ascii="Arial" w:cs="Arial" w:eastAsia="Arial" w:hAnsi="Arial"/>
                <w:sz w:val="18"/>
                <w:szCs w:val="18"/>
                <w:color w:val="auto"/>
              </w:rPr>
              <w:t>preferred stock</w:t>
            </w:r>
          </w:p>
        </w:tc>
        <w:tc>
          <w:tcPr>
            <w:tcW w:w="460" w:type="dxa"/>
            <w:vAlign w:val="bottom"/>
          </w:tcPr>
          <w:p>
            <w:pPr>
              <w:spacing w:after="0"/>
              <w:rPr>
                <w:sz w:val="17"/>
                <w:szCs w:val="17"/>
                <w:color w:val="auto"/>
              </w:rPr>
            </w:pPr>
          </w:p>
        </w:tc>
        <w:tc>
          <w:tcPr>
            <w:tcW w:w="740" w:type="dxa"/>
            <w:vAlign w:val="bottom"/>
            <w:vMerge w:val="restart"/>
          </w:tcPr>
          <w:p>
            <w:pPr>
              <w:jc w:val="right"/>
              <w:ind w:right="31"/>
              <w:spacing w:after="0"/>
              <w:rPr>
                <w:sz w:val="20"/>
                <w:szCs w:val="20"/>
                <w:color w:val="auto"/>
              </w:rPr>
            </w:pPr>
            <w:r>
              <w:rPr>
                <w:rFonts w:ascii="Arial" w:cs="Arial" w:eastAsia="Arial" w:hAnsi="Arial"/>
                <w:sz w:val="18"/>
                <w:szCs w:val="18"/>
                <w:color w:val="auto"/>
              </w:rPr>
              <w:t>3.94</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vMerge w:val="restart"/>
          </w:tcPr>
          <w:p>
            <w:pPr>
              <w:jc w:val="right"/>
              <w:ind w:right="51"/>
              <w:spacing w:after="0"/>
              <w:rPr>
                <w:sz w:val="20"/>
                <w:szCs w:val="20"/>
                <w:color w:val="auto"/>
              </w:rPr>
            </w:pPr>
            <w:r>
              <w:rPr>
                <w:rFonts w:ascii="Arial" w:cs="Arial" w:eastAsia="Arial" w:hAnsi="Arial"/>
                <w:sz w:val="18"/>
                <w:szCs w:val="18"/>
                <w:color w:val="auto"/>
              </w:rPr>
              <w:t>3.48</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vMerge w:val="restart"/>
          </w:tcPr>
          <w:p>
            <w:pPr>
              <w:jc w:val="right"/>
              <w:ind w:right="31"/>
              <w:spacing w:after="0"/>
              <w:rPr>
                <w:sz w:val="20"/>
                <w:szCs w:val="20"/>
                <w:color w:val="auto"/>
              </w:rPr>
            </w:pPr>
            <w:r>
              <w:rPr>
                <w:rFonts w:ascii="Arial" w:cs="Arial" w:eastAsia="Arial" w:hAnsi="Arial"/>
                <w:sz w:val="18"/>
                <w:szCs w:val="18"/>
                <w:color w:val="auto"/>
              </w:rPr>
              <w:t>4.22</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vMerge w:val="restart"/>
          </w:tcPr>
          <w:p>
            <w:pPr>
              <w:jc w:val="right"/>
              <w:ind w:right="31"/>
              <w:spacing w:after="0"/>
              <w:rPr>
                <w:sz w:val="20"/>
                <w:szCs w:val="20"/>
                <w:color w:val="auto"/>
              </w:rPr>
            </w:pPr>
            <w:r>
              <w:rPr>
                <w:rFonts w:ascii="Arial" w:cs="Arial" w:eastAsia="Arial" w:hAnsi="Arial"/>
                <w:sz w:val="18"/>
                <w:szCs w:val="18"/>
                <w:color w:val="auto"/>
              </w:rPr>
              <w:t>3.05</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vMerge w:val="restart"/>
          </w:tcPr>
          <w:p>
            <w:pPr>
              <w:jc w:val="right"/>
              <w:ind w:right="51"/>
              <w:spacing w:after="0"/>
              <w:rPr>
                <w:sz w:val="20"/>
                <w:szCs w:val="20"/>
                <w:color w:val="auto"/>
              </w:rPr>
            </w:pPr>
            <w:r>
              <w:rPr>
                <w:rFonts w:ascii="Arial" w:cs="Arial" w:eastAsia="Arial" w:hAnsi="Arial"/>
                <w:sz w:val="18"/>
                <w:szCs w:val="18"/>
                <w:color w:val="auto"/>
              </w:rPr>
              <w:t>3.26</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vMerge w:val="restart"/>
          </w:tcPr>
          <w:p>
            <w:pPr>
              <w:jc w:val="right"/>
              <w:ind w:right="31"/>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160"/>
        </w:trPr>
        <w:tc>
          <w:tcPr>
            <w:tcW w:w="2040" w:type="dxa"/>
            <w:vAlign w:val="bottom"/>
          </w:tcPr>
          <w:p>
            <w:pPr>
              <w:ind w:left="240"/>
              <w:spacing w:after="0" w:line="141" w:lineRule="exact"/>
              <w:rPr>
                <w:sz w:val="20"/>
                <w:szCs w:val="20"/>
                <w:color w:val="auto"/>
              </w:rPr>
            </w:pPr>
            <w:r>
              <w:rPr>
                <w:rFonts w:ascii="Arial" w:cs="Arial" w:eastAsia="Arial" w:hAnsi="Arial"/>
                <w:sz w:val="16"/>
                <w:szCs w:val="16"/>
                <w:color w:val="auto"/>
              </w:rPr>
              <w:t>dividends</w:t>
            </w:r>
          </w:p>
        </w:tc>
        <w:tc>
          <w:tcPr>
            <w:tcW w:w="4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40" w:type="dxa"/>
            <w:vAlign w:val="bottom"/>
            <w:vMerge w:val="restart"/>
          </w:tcPr>
          <w:p>
            <w:pPr>
              <w:spacing w:after="0"/>
              <w:rPr>
                <w:sz w:val="20"/>
                <w:szCs w:val="20"/>
                <w:color w:val="auto"/>
              </w:rPr>
            </w:pPr>
            <w:r>
              <w:rPr>
                <w:rFonts w:ascii="Arial" w:cs="Arial" w:eastAsia="Arial" w:hAnsi="Arial"/>
                <w:sz w:val="18"/>
                <w:szCs w:val="18"/>
                <w:color w:val="auto"/>
              </w:rPr>
              <w:t>Ratio of earnings to</w:t>
            </w: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204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vMerge w:val="restart"/>
          </w:tcPr>
          <w:p>
            <w:pPr>
              <w:jc w:val="right"/>
              <w:ind w:right="31"/>
              <w:spacing w:after="0"/>
              <w:rPr>
                <w:sz w:val="20"/>
                <w:szCs w:val="20"/>
                <w:color w:val="auto"/>
              </w:rPr>
            </w:pPr>
            <w:r>
              <w:rPr>
                <w:rFonts w:ascii="Arial" w:cs="Arial" w:eastAsia="Arial" w:hAnsi="Arial"/>
                <w:sz w:val="18"/>
                <w:szCs w:val="18"/>
                <w:color w:val="auto"/>
              </w:rPr>
              <w:t>3.94</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vMerge w:val="restart"/>
          </w:tcPr>
          <w:p>
            <w:pPr>
              <w:jc w:val="right"/>
              <w:ind w:right="51"/>
              <w:spacing w:after="0"/>
              <w:rPr>
                <w:sz w:val="20"/>
                <w:szCs w:val="20"/>
                <w:color w:val="auto"/>
              </w:rPr>
            </w:pPr>
            <w:r>
              <w:rPr>
                <w:rFonts w:ascii="Arial" w:cs="Arial" w:eastAsia="Arial" w:hAnsi="Arial"/>
                <w:sz w:val="18"/>
                <w:szCs w:val="18"/>
                <w:color w:val="auto"/>
              </w:rPr>
              <w:t>3.48</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vMerge w:val="restart"/>
          </w:tcPr>
          <w:p>
            <w:pPr>
              <w:jc w:val="right"/>
              <w:ind w:right="31"/>
              <w:spacing w:after="0"/>
              <w:rPr>
                <w:sz w:val="20"/>
                <w:szCs w:val="20"/>
                <w:color w:val="auto"/>
              </w:rPr>
            </w:pPr>
            <w:r>
              <w:rPr>
                <w:rFonts w:ascii="Arial" w:cs="Arial" w:eastAsia="Arial" w:hAnsi="Arial"/>
                <w:sz w:val="18"/>
                <w:szCs w:val="18"/>
                <w:color w:val="auto"/>
              </w:rPr>
              <w:t>4.22</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vMerge w:val="restart"/>
          </w:tcPr>
          <w:p>
            <w:pPr>
              <w:jc w:val="right"/>
              <w:ind w:right="31"/>
              <w:spacing w:after="0"/>
              <w:rPr>
                <w:sz w:val="20"/>
                <w:szCs w:val="20"/>
                <w:color w:val="auto"/>
              </w:rPr>
            </w:pPr>
            <w:r>
              <w:rPr>
                <w:rFonts w:ascii="Arial" w:cs="Arial" w:eastAsia="Arial" w:hAnsi="Arial"/>
                <w:sz w:val="18"/>
                <w:szCs w:val="18"/>
                <w:color w:val="auto"/>
              </w:rPr>
              <w:t>3.05</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vMerge w:val="restart"/>
          </w:tcPr>
          <w:p>
            <w:pPr>
              <w:jc w:val="right"/>
              <w:ind w:right="51"/>
              <w:spacing w:after="0"/>
              <w:rPr>
                <w:sz w:val="20"/>
                <w:szCs w:val="20"/>
                <w:color w:val="auto"/>
              </w:rPr>
            </w:pPr>
            <w:r>
              <w:rPr>
                <w:rFonts w:ascii="Arial" w:cs="Arial" w:eastAsia="Arial" w:hAnsi="Arial"/>
                <w:sz w:val="18"/>
                <w:szCs w:val="18"/>
                <w:color w:val="auto"/>
              </w:rPr>
              <w:t>3.26</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vMerge w:val="restart"/>
          </w:tcPr>
          <w:p>
            <w:pPr>
              <w:jc w:val="right"/>
              <w:ind w:right="31"/>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160"/>
        </w:trPr>
        <w:tc>
          <w:tcPr>
            <w:tcW w:w="2040" w:type="dxa"/>
            <w:vAlign w:val="bottom"/>
          </w:tcPr>
          <w:p>
            <w:pPr>
              <w:ind w:left="240"/>
              <w:spacing w:after="0" w:line="141" w:lineRule="exact"/>
              <w:rPr>
                <w:sz w:val="20"/>
                <w:szCs w:val="20"/>
                <w:color w:val="auto"/>
              </w:rPr>
            </w:pPr>
            <w:r>
              <w:rPr>
                <w:rFonts w:ascii="Arial" w:cs="Arial" w:eastAsia="Arial" w:hAnsi="Arial"/>
                <w:sz w:val="16"/>
                <w:szCs w:val="16"/>
                <w:color w:val="auto"/>
              </w:rPr>
              <w:t>fixed charges</w:t>
            </w:r>
          </w:p>
        </w:tc>
        <w:tc>
          <w:tcPr>
            <w:tcW w:w="4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ind w:left="480" w:right="720" w:hanging="476"/>
        <w:spacing w:after="0" w:line="238" w:lineRule="auto"/>
        <w:tabs>
          <w:tab w:leader="none" w:pos="4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In computing this ratio, “Preferred dividends of subsidiaries” represents the before-tax earnings necessary to pay such dividends, computed at the effective tax rates for the applicable periods.</w:t>
      </w:r>
    </w:p>
    <w:p>
      <w:pPr>
        <w:sectPr>
          <w:pgSz w:w="11900" w:h="16838" w:orient="portrait"/>
          <w:cols w:equalWidth="0" w:num="1">
            <w:col w:w="11280"/>
          </w:cols>
          <w:pgMar w:left="380" w:top="1074" w:right="239" w:bottom="1440" w:gutter="0" w:footer="0" w:header="0"/>
        </w:sectPr>
      </w:pPr>
    </w:p>
    <w:bookmarkStart w:id="101" w:name="page102"/>
    <w:bookmarkEnd w:id="101"/>
    <w:p>
      <w:pPr>
        <w:jc w:val="center"/>
        <w:ind w:right="114"/>
        <w:spacing w:after="0"/>
        <w:rPr>
          <w:sz w:val="20"/>
          <w:szCs w:val="20"/>
          <w:color w:val="auto"/>
        </w:rPr>
      </w:pPr>
      <w:r>
        <w:rPr>
          <w:rFonts w:ascii="Arial" w:cs="Arial" w:eastAsia="Arial" w:hAnsi="Arial"/>
          <w:sz w:val="18"/>
          <w:szCs w:val="18"/>
          <w:b w:val="1"/>
          <w:bCs w:val="1"/>
          <w:color w:val="auto"/>
        </w:rPr>
        <w:t>EXHIBIT 12.2</w:t>
      </w:r>
    </w:p>
    <w:p>
      <w:pPr>
        <w:spacing w:after="0" w:line="7" w:lineRule="exact"/>
        <w:rPr>
          <w:sz w:val="20"/>
          <w:szCs w:val="20"/>
          <w:color w:val="auto"/>
        </w:rPr>
      </w:pPr>
    </w:p>
    <w:p>
      <w:pPr>
        <w:jc w:val="center"/>
        <w:ind w:right="114"/>
        <w:spacing w:after="0"/>
        <w:rPr>
          <w:sz w:val="20"/>
          <w:szCs w:val="20"/>
          <w:color w:val="auto"/>
        </w:rPr>
      </w:pPr>
      <w:r>
        <w:rPr>
          <w:rFonts w:ascii="Arial" w:cs="Arial" w:eastAsia="Arial" w:hAnsi="Arial"/>
          <w:sz w:val="18"/>
          <w:szCs w:val="18"/>
          <w:b w:val="1"/>
          <w:bCs w:val="1"/>
          <w:color w:val="auto"/>
        </w:rPr>
        <w:t>SAN DIEGO GAS &amp; ELECTRIC COMPANY</w:t>
      </w:r>
    </w:p>
    <w:p>
      <w:pPr>
        <w:jc w:val="center"/>
        <w:ind w:right="114"/>
        <w:spacing w:after="0" w:line="231" w:lineRule="auto"/>
        <w:rPr>
          <w:sz w:val="20"/>
          <w:szCs w:val="20"/>
          <w:color w:val="auto"/>
        </w:rPr>
      </w:pPr>
      <w:r>
        <w:rPr>
          <w:rFonts w:ascii="Arial" w:cs="Arial" w:eastAsia="Arial" w:hAnsi="Arial"/>
          <w:sz w:val="18"/>
          <w:szCs w:val="18"/>
          <w:b w:val="1"/>
          <w:bCs w:val="1"/>
          <w:color w:val="auto"/>
        </w:rPr>
        <w:t>COMPUTATION OF RATIO OF EARNINGS TO COMBINED FIXED CHARGES</w:t>
      </w:r>
    </w:p>
    <w:p>
      <w:pPr>
        <w:jc w:val="center"/>
        <w:ind w:right="114"/>
        <w:spacing w:after="0" w:line="231" w:lineRule="auto"/>
        <w:rPr>
          <w:sz w:val="20"/>
          <w:szCs w:val="20"/>
          <w:color w:val="auto"/>
        </w:rPr>
      </w:pPr>
      <w:r>
        <w:rPr>
          <w:rFonts w:ascii="Arial" w:cs="Arial" w:eastAsia="Arial" w:hAnsi="Arial"/>
          <w:sz w:val="18"/>
          <w:szCs w:val="18"/>
          <w:b w:val="1"/>
          <w:bCs w:val="1"/>
          <w:color w:val="auto"/>
        </w:rPr>
        <w:t>AND PREFERRED STOCK DIVIDENDS</w:t>
      </w:r>
    </w:p>
    <w:p>
      <w:pPr>
        <w:jc w:val="center"/>
        <w:ind w:right="114"/>
        <w:spacing w:after="0"/>
        <w:rPr>
          <w:sz w:val="20"/>
          <w:szCs w:val="20"/>
          <w:color w:val="auto"/>
        </w:rPr>
      </w:pPr>
      <w:r>
        <w:rPr>
          <w:rFonts w:ascii="Arial" w:cs="Arial" w:eastAsia="Arial" w:hAnsi="Arial"/>
          <w:sz w:val="18"/>
          <w:szCs w:val="18"/>
          <w:b w:val="1"/>
          <w:bCs w:val="1"/>
          <w:color w:val="auto"/>
        </w:rPr>
        <w:t>(Dollars in millions)</w:t>
      </w:r>
    </w:p>
    <w:p>
      <w:pPr>
        <w:spacing w:after="0" w:line="197" w:lineRule="exact"/>
        <w:rPr>
          <w:sz w:val="20"/>
          <w:szCs w:val="20"/>
          <w:color w:val="auto"/>
        </w:rPr>
      </w:pPr>
    </w:p>
    <w:tbl>
      <w:tblPr>
        <w:tblLayout w:type="fixed"/>
        <w:tblInd w:w="6" w:type="dxa"/>
        <w:tblCellMar>
          <w:top w:w="0" w:type="dxa"/>
          <w:left w:w="0" w:type="dxa"/>
          <w:bottom w:w="0" w:type="dxa"/>
          <w:right w:w="0" w:type="dxa"/>
        </w:tblCellMar>
      </w:tblPr>
      <w:tr>
        <w:trPr>
          <w:trHeight w:val="207"/>
        </w:trPr>
        <w:tc>
          <w:tcPr>
            <w:tcW w:w="2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September</w:t>
            </w:r>
          </w:p>
        </w:tc>
        <w:tc>
          <w:tcPr>
            <w:tcW w:w="0" w:type="dxa"/>
            <w:vAlign w:val="bottom"/>
          </w:tcPr>
          <w:p>
            <w:pPr>
              <w:spacing w:after="0"/>
              <w:rPr>
                <w:sz w:val="1"/>
                <w:szCs w:val="1"/>
                <w:color w:val="auto"/>
              </w:rPr>
            </w:pPr>
          </w:p>
        </w:tc>
      </w:tr>
      <w:tr>
        <w:trPr>
          <w:trHeight w:val="199"/>
        </w:trPr>
        <w:tc>
          <w:tcPr>
            <w:tcW w:w="2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jc w:val="right"/>
              <w:ind w:right="431"/>
              <w:spacing w:after="0" w:line="200"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0"/>
        </w:trPr>
        <w:tc>
          <w:tcPr>
            <w:tcW w:w="21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71"/>
              <w:spacing w:after="0" w:line="201" w:lineRule="exact"/>
              <w:rPr>
                <w:sz w:val="20"/>
                <w:szCs w:val="20"/>
                <w:color w:val="auto"/>
              </w:rPr>
            </w:pPr>
            <w:r>
              <w:rPr>
                <w:rFonts w:ascii="Arial" w:cs="Arial" w:eastAsia="Arial" w:hAnsi="Arial"/>
                <w:sz w:val="18"/>
                <w:szCs w:val="18"/>
                <w:color w:val="auto"/>
              </w:rPr>
              <w:t>2009</w:t>
            </w:r>
          </w:p>
        </w:tc>
        <w:tc>
          <w:tcPr>
            <w:tcW w:w="3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91"/>
              <w:spacing w:after="0" w:line="201" w:lineRule="exact"/>
              <w:rPr>
                <w:sz w:val="20"/>
                <w:szCs w:val="20"/>
                <w:color w:val="auto"/>
              </w:rPr>
            </w:pPr>
            <w:r>
              <w:rPr>
                <w:rFonts w:ascii="Arial" w:cs="Arial" w:eastAsia="Arial" w:hAnsi="Arial"/>
                <w:sz w:val="18"/>
                <w:szCs w:val="18"/>
                <w:color w:val="auto"/>
              </w:rPr>
              <w:t>2010</w:t>
            </w:r>
          </w:p>
        </w:tc>
        <w:tc>
          <w:tcPr>
            <w:tcW w:w="3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91"/>
              <w:spacing w:after="0" w:line="201" w:lineRule="exact"/>
              <w:rPr>
                <w:sz w:val="20"/>
                <w:szCs w:val="20"/>
                <w:color w:val="auto"/>
              </w:rPr>
            </w:pPr>
            <w:r>
              <w:rPr>
                <w:rFonts w:ascii="Arial" w:cs="Arial" w:eastAsia="Arial" w:hAnsi="Arial"/>
                <w:sz w:val="18"/>
                <w:szCs w:val="18"/>
                <w:color w:val="auto"/>
              </w:rPr>
              <w:t>2011</w:t>
            </w:r>
          </w:p>
        </w:tc>
        <w:tc>
          <w:tcPr>
            <w:tcW w:w="3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91"/>
              <w:spacing w:after="0" w:line="201" w:lineRule="exact"/>
              <w:rPr>
                <w:sz w:val="20"/>
                <w:szCs w:val="20"/>
                <w:color w:val="auto"/>
              </w:rPr>
            </w:pPr>
            <w:r>
              <w:rPr>
                <w:rFonts w:ascii="Arial" w:cs="Arial" w:eastAsia="Arial" w:hAnsi="Arial"/>
                <w:sz w:val="18"/>
                <w:szCs w:val="18"/>
                <w:color w:val="auto"/>
              </w:rPr>
              <w:t>2012</w:t>
            </w:r>
          </w:p>
        </w:tc>
        <w:tc>
          <w:tcPr>
            <w:tcW w:w="3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91"/>
              <w:spacing w:after="0" w:line="201" w:lineRule="exact"/>
              <w:rPr>
                <w:sz w:val="20"/>
                <w:szCs w:val="20"/>
                <w:color w:val="auto"/>
              </w:rPr>
            </w:pPr>
            <w:r>
              <w:rPr>
                <w:rFonts w:ascii="Arial" w:cs="Arial" w:eastAsia="Arial" w:hAnsi="Arial"/>
                <w:sz w:val="18"/>
                <w:szCs w:val="18"/>
                <w:color w:val="auto"/>
              </w:rPr>
              <w:t>2013</w:t>
            </w:r>
          </w:p>
        </w:tc>
        <w:tc>
          <w:tcPr>
            <w:tcW w:w="3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51"/>
              <w:spacing w:after="0" w:line="201" w:lineRule="exact"/>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192"/>
        </w:trPr>
        <w:tc>
          <w:tcPr>
            <w:tcW w:w="2160" w:type="dxa"/>
            <w:vAlign w:val="bottom"/>
          </w:tcPr>
          <w:p>
            <w:pPr>
              <w:spacing w:after="0" w:line="192" w:lineRule="exact"/>
              <w:rPr>
                <w:sz w:val="20"/>
                <w:szCs w:val="20"/>
                <w:color w:val="auto"/>
              </w:rPr>
            </w:pPr>
            <w:r>
              <w:rPr>
                <w:rFonts w:ascii="Arial" w:cs="Arial" w:eastAsia="Arial" w:hAnsi="Arial"/>
                <w:sz w:val="18"/>
                <w:szCs w:val="18"/>
                <w:color w:val="auto"/>
              </w:rPr>
              <w:t>Fixed Charges and</w:t>
            </w: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160" w:type="dxa"/>
            <w:vAlign w:val="bottom"/>
          </w:tcPr>
          <w:p>
            <w:pPr>
              <w:ind w:left="240"/>
              <w:spacing w:after="0" w:line="200" w:lineRule="exact"/>
              <w:rPr>
                <w:sz w:val="20"/>
                <w:szCs w:val="20"/>
                <w:color w:val="auto"/>
              </w:rPr>
            </w:pPr>
            <w:r>
              <w:rPr>
                <w:rFonts w:ascii="Arial" w:cs="Arial" w:eastAsia="Arial" w:hAnsi="Arial"/>
                <w:sz w:val="18"/>
                <w:szCs w:val="18"/>
                <w:color w:val="auto"/>
              </w:rPr>
              <w:t>Preferred Stock</w:t>
            </w: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160" w:type="dxa"/>
            <w:vAlign w:val="bottom"/>
          </w:tcPr>
          <w:p>
            <w:pPr>
              <w:ind w:left="240"/>
              <w:spacing w:after="0"/>
              <w:rPr>
                <w:sz w:val="20"/>
                <w:szCs w:val="20"/>
                <w:color w:val="auto"/>
              </w:rPr>
            </w:pPr>
            <w:r>
              <w:rPr>
                <w:rFonts w:ascii="Arial" w:cs="Arial" w:eastAsia="Arial" w:hAnsi="Arial"/>
                <w:sz w:val="18"/>
                <w:szCs w:val="18"/>
                <w:color w:val="auto"/>
              </w:rPr>
              <w:t>Dividends:</w:t>
            </w: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160" w:type="dxa"/>
            <w:vAlign w:val="bottom"/>
          </w:tcPr>
          <w:p>
            <w:pPr>
              <w:spacing w:after="0" w:line="200" w:lineRule="exact"/>
              <w:rPr>
                <w:sz w:val="20"/>
                <w:szCs w:val="20"/>
                <w:color w:val="auto"/>
              </w:rPr>
            </w:pPr>
            <w:r>
              <w:rPr>
                <w:rFonts w:ascii="Arial" w:cs="Arial" w:eastAsia="Arial" w:hAnsi="Arial"/>
                <w:sz w:val="18"/>
                <w:szCs w:val="18"/>
                <w:color w:val="auto"/>
              </w:rPr>
              <w:t>Interest</w:t>
            </w:r>
          </w:p>
        </w:tc>
        <w:tc>
          <w:tcPr>
            <w:tcW w:w="420" w:type="dxa"/>
            <w:vAlign w:val="bottom"/>
          </w:tcPr>
          <w:p>
            <w:pPr>
              <w:jc w:val="right"/>
              <w:ind w:right="51"/>
              <w:spacing w:after="0" w:line="200"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31"/>
              <w:spacing w:after="0" w:line="200" w:lineRule="exact"/>
              <w:rPr>
                <w:sz w:val="20"/>
                <w:szCs w:val="20"/>
                <w:color w:val="auto"/>
              </w:rPr>
            </w:pPr>
            <w:r>
              <w:rPr>
                <w:rFonts w:ascii="Arial" w:cs="Arial" w:eastAsia="Arial" w:hAnsi="Arial"/>
                <w:sz w:val="18"/>
                <w:szCs w:val="18"/>
                <w:color w:val="auto"/>
              </w:rPr>
              <w:t>118</w:t>
            </w:r>
          </w:p>
        </w:tc>
        <w:tc>
          <w:tcPr>
            <w:tcW w:w="760" w:type="dxa"/>
            <w:vAlign w:val="bottom"/>
            <w:gridSpan w:val="2"/>
          </w:tcPr>
          <w:p>
            <w:pPr>
              <w:jc w:val="right"/>
              <w:ind w:right="140"/>
              <w:spacing w:after="0" w:line="200"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51"/>
              <w:spacing w:after="0" w:line="200" w:lineRule="exact"/>
              <w:rPr>
                <w:sz w:val="20"/>
                <w:szCs w:val="20"/>
                <w:color w:val="auto"/>
              </w:rPr>
            </w:pPr>
            <w:r>
              <w:rPr>
                <w:rFonts w:ascii="Arial" w:cs="Arial" w:eastAsia="Arial" w:hAnsi="Arial"/>
                <w:sz w:val="18"/>
                <w:szCs w:val="18"/>
                <w:color w:val="auto"/>
              </w:rPr>
              <w:t>153</w:t>
            </w:r>
          </w:p>
        </w:tc>
        <w:tc>
          <w:tcPr>
            <w:tcW w:w="76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31"/>
              <w:spacing w:after="0" w:line="200" w:lineRule="exact"/>
              <w:rPr>
                <w:sz w:val="20"/>
                <w:szCs w:val="20"/>
                <w:color w:val="auto"/>
              </w:rPr>
            </w:pPr>
            <w:r>
              <w:rPr>
                <w:rFonts w:ascii="Arial" w:cs="Arial" w:eastAsia="Arial" w:hAnsi="Arial"/>
                <w:sz w:val="18"/>
                <w:szCs w:val="18"/>
                <w:color w:val="auto"/>
              </w:rPr>
              <w:t>193</w:t>
            </w:r>
          </w:p>
        </w:tc>
        <w:tc>
          <w:tcPr>
            <w:tcW w:w="76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51"/>
              <w:spacing w:after="0" w:line="200" w:lineRule="exact"/>
              <w:rPr>
                <w:sz w:val="20"/>
                <w:szCs w:val="20"/>
                <w:color w:val="auto"/>
              </w:rPr>
            </w:pPr>
            <w:r>
              <w:rPr>
                <w:rFonts w:ascii="Arial" w:cs="Arial" w:eastAsia="Arial" w:hAnsi="Arial"/>
                <w:sz w:val="18"/>
                <w:szCs w:val="18"/>
                <w:color w:val="auto"/>
              </w:rPr>
              <w:t>220</w:t>
            </w:r>
          </w:p>
        </w:tc>
        <w:tc>
          <w:tcPr>
            <w:tcW w:w="76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31"/>
              <w:spacing w:after="0" w:line="200" w:lineRule="exact"/>
              <w:rPr>
                <w:sz w:val="20"/>
                <w:szCs w:val="20"/>
                <w:color w:val="auto"/>
              </w:rPr>
            </w:pPr>
            <w:r>
              <w:rPr>
                <w:rFonts w:ascii="Arial" w:cs="Arial" w:eastAsia="Arial" w:hAnsi="Arial"/>
                <w:sz w:val="18"/>
                <w:szCs w:val="18"/>
                <w:color w:val="auto"/>
              </w:rPr>
              <w:t>231</w:t>
            </w:r>
          </w:p>
        </w:tc>
        <w:tc>
          <w:tcPr>
            <w:tcW w:w="780" w:type="dxa"/>
            <w:vAlign w:val="bottom"/>
            <w:gridSpan w:val="2"/>
          </w:tcPr>
          <w:p>
            <w:pPr>
              <w:jc w:val="right"/>
              <w:ind w:right="180"/>
              <w:spacing w:after="0" w:line="200"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31"/>
              <w:spacing w:after="0" w:line="200" w:lineRule="exact"/>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199"/>
        </w:trPr>
        <w:tc>
          <w:tcPr>
            <w:tcW w:w="2160" w:type="dxa"/>
            <w:vAlign w:val="bottom"/>
          </w:tcPr>
          <w:p>
            <w:pPr>
              <w:spacing w:after="0" w:line="200" w:lineRule="exact"/>
              <w:rPr>
                <w:sz w:val="20"/>
                <w:szCs w:val="20"/>
                <w:color w:val="auto"/>
              </w:rPr>
            </w:pPr>
            <w:r>
              <w:rPr>
                <w:rFonts w:ascii="Arial" w:cs="Arial" w:eastAsia="Arial" w:hAnsi="Arial"/>
                <w:sz w:val="18"/>
                <w:szCs w:val="18"/>
                <w:color w:val="auto"/>
              </w:rPr>
              <w:t>Interest portion of</w:t>
            </w:r>
          </w:p>
        </w:tc>
        <w:tc>
          <w:tcPr>
            <w:tcW w:w="420" w:type="dxa"/>
            <w:vAlign w:val="bottom"/>
          </w:tcPr>
          <w:p>
            <w:pPr>
              <w:spacing w:after="0"/>
              <w:rPr>
                <w:sz w:val="17"/>
                <w:szCs w:val="17"/>
                <w:color w:val="auto"/>
              </w:rPr>
            </w:pPr>
          </w:p>
        </w:tc>
        <w:tc>
          <w:tcPr>
            <w:tcW w:w="720" w:type="dxa"/>
            <w:vAlign w:val="bottom"/>
            <w:vMerge w:val="restart"/>
          </w:tcPr>
          <w:p>
            <w:pPr>
              <w:jc w:val="right"/>
              <w:ind w:right="31"/>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vMerge w:val="restart"/>
          </w:tcPr>
          <w:p>
            <w:pPr>
              <w:jc w:val="right"/>
              <w:ind w:right="51"/>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vMerge w:val="restart"/>
          </w:tcPr>
          <w:p>
            <w:pPr>
              <w:jc w:val="right"/>
              <w:ind w:right="31"/>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vMerge w:val="restart"/>
          </w:tcPr>
          <w:p>
            <w:pPr>
              <w:jc w:val="right"/>
              <w:ind w:right="51"/>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vMerge w:val="restart"/>
          </w:tcPr>
          <w:p>
            <w:pPr>
              <w:jc w:val="right"/>
              <w:ind w:right="31"/>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vMerge w:val="restart"/>
          </w:tcPr>
          <w:p>
            <w:pPr>
              <w:jc w:val="right"/>
              <w:ind w:right="3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7"/>
        </w:trPr>
        <w:tc>
          <w:tcPr>
            <w:tcW w:w="2160" w:type="dxa"/>
            <w:vAlign w:val="bottom"/>
          </w:tcPr>
          <w:p>
            <w:pPr>
              <w:ind w:left="240"/>
              <w:spacing w:after="0" w:line="187" w:lineRule="exact"/>
              <w:rPr>
                <w:sz w:val="20"/>
                <w:szCs w:val="20"/>
                <w:color w:val="auto"/>
              </w:rPr>
            </w:pPr>
            <w:r>
              <w:rPr>
                <w:rFonts w:ascii="Arial" w:cs="Arial" w:eastAsia="Arial" w:hAnsi="Arial"/>
                <w:sz w:val="18"/>
                <w:szCs w:val="18"/>
                <w:color w:val="auto"/>
              </w:rPr>
              <w:t>annual rentals</w:t>
            </w:r>
          </w:p>
        </w:tc>
        <w:tc>
          <w:tcPr>
            <w:tcW w:w="4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160" w:type="dxa"/>
            <w:vAlign w:val="bottom"/>
          </w:tcPr>
          <w:p>
            <w:pPr>
              <w:spacing w:after="0" w:line="205" w:lineRule="exact"/>
              <w:rPr>
                <w:sz w:val="20"/>
                <w:szCs w:val="20"/>
                <w:color w:val="auto"/>
              </w:rPr>
            </w:pPr>
            <w:r>
              <w:rPr>
                <w:rFonts w:ascii="Arial" w:cs="Arial" w:eastAsia="Arial" w:hAnsi="Arial"/>
                <w:sz w:val="18"/>
                <w:szCs w:val="18"/>
                <w:color w:val="auto"/>
              </w:rPr>
              <w:t>Total fixed charges</w:t>
            </w:r>
          </w:p>
        </w:tc>
        <w:tc>
          <w:tcPr>
            <w:tcW w:w="420" w:type="dxa"/>
            <w:vAlign w:val="bottom"/>
          </w:tcPr>
          <w:p>
            <w:pPr>
              <w:spacing w:after="0"/>
              <w:rPr>
                <w:sz w:val="17"/>
                <w:szCs w:val="17"/>
                <w:color w:val="auto"/>
              </w:rPr>
            </w:pPr>
          </w:p>
        </w:tc>
        <w:tc>
          <w:tcPr>
            <w:tcW w:w="720" w:type="dxa"/>
            <w:vAlign w:val="bottom"/>
          </w:tcPr>
          <w:p>
            <w:pPr>
              <w:jc w:val="right"/>
              <w:ind w:right="31"/>
              <w:spacing w:after="0" w:line="205" w:lineRule="exact"/>
              <w:rPr>
                <w:sz w:val="20"/>
                <w:szCs w:val="20"/>
                <w:color w:val="auto"/>
              </w:rPr>
            </w:pPr>
            <w:r>
              <w:rPr>
                <w:rFonts w:ascii="Arial" w:cs="Arial" w:eastAsia="Arial" w:hAnsi="Arial"/>
                <w:sz w:val="18"/>
                <w:szCs w:val="18"/>
                <w:color w:val="auto"/>
              </w:rPr>
              <w:t>119</w:t>
            </w: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jc w:val="right"/>
              <w:ind w:right="51"/>
              <w:spacing w:after="0" w:line="205" w:lineRule="exact"/>
              <w:rPr>
                <w:sz w:val="20"/>
                <w:szCs w:val="20"/>
                <w:color w:val="auto"/>
              </w:rPr>
            </w:pPr>
            <w:r>
              <w:rPr>
                <w:rFonts w:ascii="Arial" w:cs="Arial" w:eastAsia="Arial" w:hAnsi="Arial"/>
                <w:sz w:val="18"/>
                <w:szCs w:val="18"/>
                <w:color w:val="auto"/>
              </w:rPr>
              <w:t>154</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jc w:val="right"/>
              <w:ind w:right="31"/>
              <w:spacing w:after="0" w:line="205" w:lineRule="exact"/>
              <w:rPr>
                <w:sz w:val="20"/>
                <w:szCs w:val="20"/>
                <w:color w:val="auto"/>
              </w:rPr>
            </w:pPr>
            <w:r>
              <w:rPr>
                <w:rFonts w:ascii="Arial" w:cs="Arial" w:eastAsia="Arial" w:hAnsi="Arial"/>
                <w:sz w:val="18"/>
                <w:szCs w:val="18"/>
                <w:color w:val="auto"/>
              </w:rPr>
              <w:t>194</w:t>
            </w: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jc w:val="right"/>
              <w:ind w:right="51"/>
              <w:spacing w:after="0" w:line="205" w:lineRule="exact"/>
              <w:rPr>
                <w:sz w:val="20"/>
                <w:szCs w:val="20"/>
                <w:color w:val="auto"/>
              </w:rPr>
            </w:pPr>
            <w:r>
              <w:rPr>
                <w:rFonts w:ascii="Arial" w:cs="Arial" w:eastAsia="Arial" w:hAnsi="Arial"/>
                <w:sz w:val="18"/>
                <w:szCs w:val="18"/>
                <w:color w:val="auto"/>
              </w:rPr>
              <w:t>221</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jc w:val="right"/>
              <w:ind w:right="31"/>
              <w:spacing w:after="0" w:line="205" w:lineRule="exact"/>
              <w:rPr>
                <w:sz w:val="20"/>
                <w:szCs w:val="20"/>
                <w:color w:val="auto"/>
              </w:rPr>
            </w:pPr>
            <w:r>
              <w:rPr>
                <w:rFonts w:ascii="Arial" w:cs="Arial" w:eastAsia="Arial" w:hAnsi="Arial"/>
                <w:sz w:val="18"/>
                <w:szCs w:val="18"/>
                <w:color w:val="auto"/>
              </w:rPr>
              <w:t>232</w:t>
            </w: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jc w:val="right"/>
              <w:ind w:right="31"/>
              <w:spacing w:after="0" w:line="205" w:lineRule="exact"/>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199"/>
        </w:trPr>
        <w:tc>
          <w:tcPr>
            <w:tcW w:w="2160" w:type="dxa"/>
            <w:vAlign w:val="bottom"/>
          </w:tcPr>
          <w:p>
            <w:pPr>
              <w:spacing w:after="0" w:line="200" w:lineRule="exact"/>
              <w:rPr>
                <w:sz w:val="20"/>
                <w:szCs w:val="20"/>
                <w:color w:val="auto"/>
              </w:rPr>
            </w:pPr>
            <w:r>
              <w:rPr>
                <w:rFonts w:ascii="Arial" w:cs="Arial" w:eastAsia="Arial" w:hAnsi="Arial"/>
                <w:sz w:val="18"/>
                <w:szCs w:val="18"/>
                <w:color w:val="auto"/>
              </w:rPr>
              <w:t>Preferred stock</w:t>
            </w:r>
          </w:p>
        </w:tc>
        <w:tc>
          <w:tcPr>
            <w:tcW w:w="420" w:type="dxa"/>
            <w:vAlign w:val="bottom"/>
          </w:tcPr>
          <w:p>
            <w:pPr>
              <w:spacing w:after="0"/>
              <w:rPr>
                <w:sz w:val="17"/>
                <w:szCs w:val="17"/>
                <w:color w:val="auto"/>
              </w:rPr>
            </w:pPr>
          </w:p>
        </w:tc>
        <w:tc>
          <w:tcPr>
            <w:tcW w:w="720" w:type="dxa"/>
            <w:vAlign w:val="bottom"/>
            <w:vMerge w:val="restart"/>
          </w:tcPr>
          <w:p>
            <w:pPr>
              <w:jc w:val="right"/>
              <w:ind w:right="31"/>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vMerge w:val="restart"/>
          </w:tcPr>
          <w:p>
            <w:pPr>
              <w:jc w:val="right"/>
              <w:ind w:right="51"/>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vMerge w:val="restart"/>
          </w:tcPr>
          <w:p>
            <w:pPr>
              <w:jc w:val="right"/>
              <w:ind w:right="31"/>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vMerge w:val="restart"/>
          </w:tcPr>
          <w:p>
            <w:pPr>
              <w:jc w:val="right"/>
              <w:ind w:right="51"/>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vMerge w:val="restart"/>
          </w:tcPr>
          <w:p>
            <w:pPr>
              <w:jc w:val="right"/>
              <w:ind w:right="31"/>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vMerge w:val="restart"/>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7"/>
        </w:trPr>
        <w:tc>
          <w:tcPr>
            <w:tcW w:w="2160" w:type="dxa"/>
            <w:vAlign w:val="bottom"/>
          </w:tcPr>
          <w:p>
            <w:pPr>
              <w:ind w:left="240"/>
              <w:spacing w:after="0" w:line="187" w:lineRule="exact"/>
              <w:rPr>
                <w:sz w:val="20"/>
                <w:szCs w:val="20"/>
                <w:color w:val="auto"/>
              </w:rPr>
            </w:pPr>
            <w:r>
              <w:rPr>
                <w:rFonts w:ascii="Arial" w:cs="Arial" w:eastAsia="Arial" w:hAnsi="Arial"/>
                <w:sz w:val="18"/>
                <w:szCs w:val="18"/>
                <w:color w:val="auto"/>
              </w:rPr>
              <w:t>dividends (1)</w:t>
            </w:r>
          </w:p>
        </w:tc>
        <w:tc>
          <w:tcPr>
            <w:tcW w:w="4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160" w:type="dxa"/>
            <w:vAlign w:val="bottom"/>
          </w:tcPr>
          <w:p>
            <w:pPr>
              <w:spacing w:after="0" w:line="192" w:lineRule="exact"/>
              <w:rPr>
                <w:sz w:val="20"/>
                <w:szCs w:val="20"/>
                <w:color w:val="auto"/>
              </w:rPr>
            </w:pPr>
            <w:r>
              <w:rPr>
                <w:rFonts w:ascii="Arial" w:cs="Arial" w:eastAsia="Arial" w:hAnsi="Arial"/>
                <w:sz w:val="18"/>
                <w:szCs w:val="18"/>
                <w:color w:val="auto"/>
              </w:rPr>
              <w:t>Combined fixed</w:t>
            </w: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160" w:type="dxa"/>
            <w:vAlign w:val="bottom"/>
          </w:tcPr>
          <w:p>
            <w:pPr>
              <w:ind w:left="240"/>
              <w:spacing w:after="0" w:line="200" w:lineRule="exact"/>
              <w:rPr>
                <w:sz w:val="20"/>
                <w:szCs w:val="20"/>
                <w:color w:val="auto"/>
              </w:rPr>
            </w:pPr>
            <w:r>
              <w:rPr>
                <w:rFonts w:ascii="Arial" w:cs="Arial" w:eastAsia="Arial" w:hAnsi="Arial"/>
                <w:sz w:val="18"/>
                <w:szCs w:val="18"/>
                <w:color w:val="auto"/>
              </w:rPr>
              <w:t>charges and</w:t>
            </w: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160" w:type="dxa"/>
            <w:vAlign w:val="bottom"/>
          </w:tcPr>
          <w:p>
            <w:pPr>
              <w:ind w:left="240"/>
              <w:spacing w:after="0" w:line="200" w:lineRule="exact"/>
              <w:rPr>
                <w:sz w:val="20"/>
                <w:szCs w:val="20"/>
                <w:color w:val="auto"/>
              </w:rPr>
            </w:pPr>
            <w:r>
              <w:rPr>
                <w:rFonts w:ascii="Arial" w:cs="Arial" w:eastAsia="Arial" w:hAnsi="Arial"/>
                <w:sz w:val="18"/>
                <w:szCs w:val="18"/>
                <w:color w:val="auto"/>
              </w:rPr>
              <w:t>preferred stock</w:t>
            </w: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160" w:type="dxa"/>
            <w:vAlign w:val="bottom"/>
          </w:tcPr>
          <w:p>
            <w:pPr>
              <w:ind w:left="440"/>
              <w:spacing w:after="0" w:line="200" w:lineRule="exact"/>
              <w:rPr>
                <w:sz w:val="20"/>
                <w:szCs w:val="20"/>
                <w:color w:val="auto"/>
              </w:rPr>
            </w:pPr>
            <w:r>
              <w:rPr>
                <w:rFonts w:ascii="Arial" w:cs="Arial" w:eastAsia="Arial" w:hAnsi="Arial"/>
                <w:sz w:val="18"/>
                <w:szCs w:val="18"/>
                <w:color w:val="auto"/>
              </w:rPr>
              <w:t>dividends for</w:t>
            </w:r>
          </w:p>
        </w:tc>
        <w:tc>
          <w:tcPr>
            <w:tcW w:w="420" w:type="dxa"/>
            <w:vAlign w:val="bottom"/>
            <w:vMerge w:val="restart"/>
          </w:tcPr>
          <w:p>
            <w:pPr>
              <w:jc w:val="right"/>
              <w:ind w:right="51"/>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ind w:right="31"/>
              <w:spacing w:after="0"/>
              <w:rPr>
                <w:sz w:val="20"/>
                <w:szCs w:val="20"/>
                <w:color w:val="auto"/>
              </w:rPr>
            </w:pPr>
            <w:r>
              <w:rPr>
                <w:rFonts w:ascii="Arial" w:cs="Arial" w:eastAsia="Arial" w:hAnsi="Arial"/>
                <w:sz w:val="18"/>
                <w:szCs w:val="18"/>
                <w:color w:val="auto"/>
              </w:rPr>
              <w:t>126</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ind w:right="51"/>
              <w:spacing w:after="0"/>
              <w:rPr>
                <w:sz w:val="20"/>
                <w:szCs w:val="20"/>
                <w:color w:val="auto"/>
              </w:rPr>
            </w:pPr>
            <w:r>
              <w:rPr>
                <w:rFonts w:ascii="Arial" w:cs="Arial" w:eastAsia="Arial" w:hAnsi="Arial"/>
                <w:sz w:val="18"/>
                <w:szCs w:val="18"/>
                <w:color w:val="auto"/>
              </w:rPr>
              <w:t>161</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ind w:right="31"/>
              <w:spacing w:after="0"/>
              <w:rPr>
                <w:sz w:val="20"/>
                <w:szCs w:val="20"/>
                <w:color w:val="auto"/>
              </w:rPr>
            </w:pPr>
            <w:r>
              <w:rPr>
                <w:rFonts w:ascii="Arial" w:cs="Arial" w:eastAsia="Arial" w:hAnsi="Arial"/>
                <w:sz w:val="18"/>
                <w:szCs w:val="18"/>
                <w:color w:val="auto"/>
              </w:rPr>
              <w:t>201</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ind w:right="51"/>
              <w:spacing w:after="0"/>
              <w:rPr>
                <w:sz w:val="20"/>
                <w:szCs w:val="20"/>
                <w:color w:val="auto"/>
              </w:rPr>
            </w:pPr>
            <w:r>
              <w:rPr>
                <w:rFonts w:ascii="Arial" w:cs="Arial" w:eastAsia="Arial" w:hAnsi="Arial"/>
                <w:sz w:val="18"/>
                <w:szCs w:val="18"/>
                <w:color w:val="auto"/>
              </w:rPr>
              <w:t>228</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ind w:right="31"/>
              <w:spacing w:after="0"/>
              <w:rPr>
                <w:sz w:val="20"/>
                <w:szCs w:val="20"/>
                <w:color w:val="auto"/>
              </w:rPr>
            </w:pPr>
            <w:r>
              <w:rPr>
                <w:rFonts w:ascii="Arial" w:cs="Arial" w:eastAsia="Arial" w:hAnsi="Arial"/>
                <w:sz w:val="18"/>
                <w:szCs w:val="18"/>
                <w:color w:val="auto"/>
              </w:rPr>
              <w:t>237</w:t>
            </w: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ind w:right="31"/>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160"/>
        </w:trPr>
        <w:tc>
          <w:tcPr>
            <w:tcW w:w="2160" w:type="dxa"/>
            <w:vAlign w:val="bottom"/>
          </w:tcPr>
          <w:p>
            <w:pPr>
              <w:ind w:left="240"/>
              <w:spacing w:after="0" w:line="141" w:lineRule="exact"/>
              <w:rPr>
                <w:sz w:val="20"/>
                <w:szCs w:val="20"/>
                <w:color w:val="auto"/>
              </w:rPr>
            </w:pPr>
            <w:r>
              <w:rPr>
                <w:rFonts w:ascii="Arial" w:cs="Arial" w:eastAsia="Arial" w:hAnsi="Arial"/>
                <w:sz w:val="16"/>
                <w:szCs w:val="16"/>
                <w:color w:val="auto"/>
              </w:rPr>
              <w:t>purpose of ratio</w:t>
            </w:r>
          </w:p>
        </w:tc>
        <w:tc>
          <w:tcPr>
            <w:tcW w:w="42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60" w:type="dxa"/>
            <w:vAlign w:val="bottom"/>
            <w:vMerge w:val="restart"/>
          </w:tcPr>
          <w:p>
            <w:pPr>
              <w:spacing w:after="0"/>
              <w:rPr>
                <w:sz w:val="20"/>
                <w:szCs w:val="20"/>
                <w:color w:val="auto"/>
              </w:rPr>
            </w:pPr>
            <w:r>
              <w:rPr>
                <w:rFonts w:ascii="Arial" w:cs="Arial" w:eastAsia="Arial" w:hAnsi="Arial"/>
                <w:sz w:val="18"/>
                <w:szCs w:val="18"/>
                <w:color w:val="auto"/>
              </w:rPr>
              <w:t>Earnings:</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16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160" w:type="dxa"/>
            <w:vAlign w:val="bottom"/>
          </w:tcPr>
          <w:p>
            <w:pPr>
              <w:spacing w:after="0" w:line="200" w:lineRule="exact"/>
              <w:rPr>
                <w:sz w:val="20"/>
                <w:szCs w:val="20"/>
                <w:color w:val="auto"/>
              </w:rPr>
            </w:pPr>
            <w:r>
              <w:rPr>
                <w:rFonts w:ascii="Arial" w:cs="Arial" w:eastAsia="Arial" w:hAnsi="Arial"/>
                <w:sz w:val="18"/>
                <w:szCs w:val="18"/>
                <w:color w:val="auto"/>
              </w:rPr>
              <w:t>Pretax income from</w:t>
            </w: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160" w:type="dxa"/>
            <w:vAlign w:val="bottom"/>
          </w:tcPr>
          <w:p>
            <w:pPr>
              <w:ind w:left="240"/>
              <w:spacing w:after="0" w:line="200" w:lineRule="exact"/>
              <w:rPr>
                <w:sz w:val="20"/>
                <w:szCs w:val="20"/>
                <w:color w:val="auto"/>
              </w:rPr>
            </w:pPr>
            <w:r>
              <w:rPr>
                <w:rFonts w:ascii="Arial" w:cs="Arial" w:eastAsia="Arial" w:hAnsi="Arial"/>
                <w:sz w:val="18"/>
                <w:szCs w:val="18"/>
                <w:color w:val="auto"/>
              </w:rPr>
              <w:t>continuing</w:t>
            </w: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160" w:type="dxa"/>
            <w:vAlign w:val="bottom"/>
          </w:tcPr>
          <w:p>
            <w:pPr>
              <w:ind w:left="240"/>
              <w:spacing w:after="0" w:line="200" w:lineRule="exact"/>
              <w:rPr>
                <w:sz w:val="20"/>
                <w:szCs w:val="20"/>
                <w:color w:val="auto"/>
              </w:rPr>
            </w:pPr>
            <w:r>
              <w:rPr>
                <w:rFonts w:ascii="Arial" w:cs="Arial" w:eastAsia="Arial" w:hAnsi="Arial"/>
                <w:sz w:val="18"/>
                <w:szCs w:val="18"/>
                <w:color w:val="auto"/>
              </w:rPr>
              <w:t>operations</w:t>
            </w:r>
          </w:p>
        </w:tc>
        <w:tc>
          <w:tcPr>
            <w:tcW w:w="420" w:type="dxa"/>
            <w:vAlign w:val="bottom"/>
          </w:tcPr>
          <w:p>
            <w:pPr>
              <w:jc w:val="right"/>
              <w:ind w:right="51"/>
              <w:spacing w:after="0" w:line="200"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31"/>
              <w:spacing w:after="0" w:line="200" w:lineRule="exact"/>
              <w:rPr>
                <w:sz w:val="20"/>
                <w:szCs w:val="20"/>
                <w:color w:val="auto"/>
              </w:rPr>
            </w:pPr>
            <w:r>
              <w:rPr>
                <w:rFonts w:ascii="Arial" w:cs="Arial" w:eastAsia="Arial" w:hAnsi="Arial"/>
                <w:sz w:val="18"/>
                <w:szCs w:val="18"/>
                <w:color w:val="auto"/>
              </w:rPr>
              <w:t>550</w:t>
            </w:r>
          </w:p>
        </w:tc>
        <w:tc>
          <w:tcPr>
            <w:tcW w:w="760" w:type="dxa"/>
            <w:vAlign w:val="bottom"/>
            <w:gridSpan w:val="2"/>
          </w:tcPr>
          <w:p>
            <w:pPr>
              <w:jc w:val="right"/>
              <w:ind w:right="140"/>
              <w:spacing w:after="0" w:line="200"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51"/>
              <w:spacing w:after="0" w:line="200" w:lineRule="exact"/>
              <w:rPr>
                <w:sz w:val="20"/>
                <w:szCs w:val="20"/>
                <w:color w:val="auto"/>
              </w:rPr>
            </w:pPr>
            <w:r>
              <w:rPr>
                <w:rFonts w:ascii="Arial" w:cs="Arial" w:eastAsia="Arial" w:hAnsi="Arial"/>
                <w:sz w:val="18"/>
                <w:szCs w:val="18"/>
                <w:color w:val="auto"/>
              </w:rPr>
              <w:t>531</w:t>
            </w:r>
          </w:p>
        </w:tc>
        <w:tc>
          <w:tcPr>
            <w:tcW w:w="76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31"/>
              <w:spacing w:after="0" w:line="200" w:lineRule="exact"/>
              <w:rPr>
                <w:sz w:val="20"/>
                <w:szCs w:val="20"/>
                <w:color w:val="auto"/>
              </w:rPr>
            </w:pPr>
            <w:r>
              <w:rPr>
                <w:rFonts w:ascii="Arial" w:cs="Arial" w:eastAsia="Arial" w:hAnsi="Arial"/>
                <w:sz w:val="18"/>
                <w:szCs w:val="18"/>
                <w:color w:val="auto"/>
              </w:rPr>
              <w:t>692</w:t>
            </w:r>
          </w:p>
        </w:tc>
        <w:tc>
          <w:tcPr>
            <w:tcW w:w="76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51"/>
              <w:spacing w:after="0" w:line="200" w:lineRule="exact"/>
              <w:rPr>
                <w:sz w:val="20"/>
                <w:szCs w:val="20"/>
                <w:color w:val="auto"/>
              </w:rPr>
            </w:pPr>
            <w:r>
              <w:rPr>
                <w:rFonts w:ascii="Arial" w:cs="Arial" w:eastAsia="Arial" w:hAnsi="Arial"/>
                <w:sz w:val="18"/>
                <w:szCs w:val="18"/>
                <w:color w:val="auto"/>
              </w:rPr>
              <w:t>705</w:t>
            </w:r>
          </w:p>
        </w:tc>
        <w:tc>
          <w:tcPr>
            <w:tcW w:w="76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31"/>
              <w:spacing w:after="0" w:line="200" w:lineRule="exact"/>
              <w:rPr>
                <w:sz w:val="20"/>
                <w:szCs w:val="20"/>
                <w:color w:val="auto"/>
              </w:rPr>
            </w:pPr>
            <w:r>
              <w:rPr>
                <w:rFonts w:ascii="Arial" w:cs="Arial" w:eastAsia="Arial" w:hAnsi="Arial"/>
                <w:sz w:val="18"/>
                <w:szCs w:val="18"/>
                <w:color w:val="auto"/>
              </w:rPr>
              <w:t>626</w:t>
            </w:r>
          </w:p>
        </w:tc>
        <w:tc>
          <w:tcPr>
            <w:tcW w:w="780" w:type="dxa"/>
            <w:vAlign w:val="bottom"/>
            <w:gridSpan w:val="2"/>
          </w:tcPr>
          <w:p>
            <w:pPr>
              <w:jc w:val="right"/>
              <w:ind w:right="180"/>
              <w:spacing w:after="0" w:line="200"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31"/>
              <w:spacing w:after="0" w:line="200" w:lineRule="exact"/>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199"/>
        </w:trPr>
        <w:tc>
          <w:tcPr>
            <w:tcW w:w="2160" w:type="dxa"/>
            <w:vAlign w:val="bottom"/>
          </w:tcPr>
          <w:p>
            <w:pPr>
              <w:spacing w:after="0" w:line="200" w:lineRule="exact"/>
              <w:rPr>
                <w:sz w:val="20"/>
                <w:szCs w:val="20"/>
                <w:color w:val="auto"/>
              </w:rPr>
            </w:pPr>
            <w:r>
              <w:rPr>
                <w:rFonts w:ascii="Arial" w:cs="Arial" w:eastAsia="Arial" w:hAnsi="Arial"/>
                <w:sz w:val="18"/>
                <w:szCs w:val="18"/>
                <w:color w:val="auto"/>
              </w:rPr>
              <w:t>Total fixed charges</w:t>
            </w: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160" w:type="dxa"/>
            <w:vAlign w:val="bottom"/>
          </w:tcPr>
          <w:p>
            <w:pPr>
              <w:ind w:left="240"/>
              <w:spacing w:after="0" w:line="200" w:lineRule="exact"/>
              <w:rPr>
                <w:sz w:val="20"/>
                <w:szCs w:val="20"/>
                <w:color w:val="auto"/>
              </w:rPr>
            </w:pPr>
            <w:r>
              <w:rPr>
                <w:rFonts w:ascii="Arial" w:cs="Arial" w:eastAsia="Arial" w:hAnsi="Arial"/>
                <w:sz w:val="18"/>
                <w:szCs w:val="18"/>
                <w:color w:val="auto"/>
              </w:rPr>
              <w:t>(from above)</w:t>
            </w:r>
          </w:p>
        </w:tc>
        <w:tc>
          <w:tcPr>
            <w:tcW w:w="420" w:type="dxa"/>
            <w:vAlign w:val="bottom"/>
          </w:tcPr>
          <w:p>
            <w:pPr>
              <w:spacing w:after="0"/>
              <w:rPr>
                <w:sz w:val="17"/>
                <w:szCs w:val="17"/>
                <w:color w:val="auto"/>
              </w:rPr>
            </w:pPr>
          </w:p>
        </w:tc>
        <w:tc>
          <w:tcPr>
            <w:tcW w:w="720" w:type="dxa"/>
            <w:vAlign w:val="bottom"/>
          </w:tcPr>
          <w:p>
            <w:pPr>
              <w:jc w:val="right"/>
              <w:ind w:right="31"/>
              <w:spacing w:after="0" w:line="200" w:lineRule="exact"/>
              <w:rPr>
                <w:sz w:val="20"/>
                <w:szCs w:val="20"/>
                <w:color w:val="auto"/>
              </w:rPr>
            </w:pPr>
            <w:r>
              <w:rPr>
                <w:rFonts w:ascii="Arial" w:cs="Arial" w:eastAsia="Arial" w:hAnsi="Arial"/>
                <w:sz w:val="18"/>
                <w:szCs w:val="18"/>
                <w:color w:val="auto"/>
              </w:rPr>
              <w:t>119</w:t>
            </w: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jc w:val="right"/>
              <w:ind w:right="51"/>
              <w:spacing w:after="0" w:line="200" w:lineRule="exact"/>
              <w:rPr>
                <w:sz w:val="20"/>
                <w:szCs w:val="20"/>
                <w:color w:val="auto"/>
              </w:rPr>
            </w:pPr>
            <w:r>
              <w:rPr>
                <w:rFonts w:ascii="Arial" w:cs="Arial" w:eastAsia="Arial" w:hAnsi="Arial"/>
                <w:sz w:val="18"/>
                <w:szCs w:val="18"/>
                <w:color w:val="auto"/>
              </w:rPr>
              <w:t>154</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jc w:val="right"/>
              <w:ind w:right="31"/>
              <w:spacing w:after="0" w:line="200" w:lineRule="exact"/>
              <w:rPr>
                <w:sz w:val="20"/>
                <w:szCs w:val="20"/>
                <w:color w:val="auto"/>
              </w:rPr>
            </w:pPr>
            <w:r>
              <w:rPr>
                <w:rFonts w:ascii="Arial" w:cs="Arial" w:eastAsia="Arial" w:hAnsi="Arial"/>
                <w:sz w:val="18"/>
                <w:szCs w:val="18"/>
                <w:color w:val="auto"/>
              </w:rPr>
              <w:t>194</w:t>
            </w: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jc w:val="right"/>
              <w:ind w:right="51"/>
              <w:spacing w:after="0" w:line="200" w:lineRule="exact"/>
              <w:rPr>
                <w:sz w:val="20"/>
                <w:szCs w:val="20"/>
                <w:color w:val="auto"/>
              </w:rPr>
            </w:pPr>
            <w:r>
              <w:rPr>
                <w:rFonts w:ascii="Arial" w:cs="Arial" w:eastAsia="Arial" w:hAnsi="Arial"/>
                <w:sz w:val="18"/>
                <w:szCs w:val="18"/>
                <w:color w:val="auto"/>
              </w:rPr>
              <w:t>221</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jc w:val="right"/>
              <w:ind w:right="31"/>
              <w:spacing w:after="0" w:line="200" w:lineRule="exact"/>
              <w:rPr>
                <w:sz w:val="20"/>
                <w:szCs w:val="20"/>
                <w:color w:val="auto"/>
              </w:rPr>
            </w:pPr>
            <w:r>
              <w:rPr>
                <w:rFonts w:ascii="Arial" w:cs="Arial" w:eastAsia="Arial" w:hAnsi="Arial"/>
                <w:sz w:val="18"/>
                <w:szCs w:val="18"/>
                <w:color w:val="auto"/>
              </w:rPr>
              <w:t>232</w:t>
            </w: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jc w:val="right"/>
              <w:ind w:right="31"/>
              <w:spacing w:after="0" w:line="200" w:lineRule="exact"/>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199"/>
        </w:trPr>
        <w:tc>
          <w:tcPr>
            <w:tcW w:w="2160" w:type="dxa"/>
            <w:vAlign w:val="bottom"/>
          </w:tcPr>
          <w:p>
            <w:pPr>
              <w:spacing w:after="0" w:line="200" w:lineRule="exact"/>
              <w:rPr>
                <w:sz w:val="20"/>
                <w:szCs w:val="20"/>
                <w:color w:val="auto"/>
              </w:rPr>
            </w:pPr>
            <w:r>
              <w:rPr>
                <w:rFonts w:ascii="Arial" w:cs="Arial" w:eastAsia="Arial" w:hAnsi="Arial"/>
                <w:sz w:val="18"/>
                <w:szCs w:val="18"/>
                <w:color w:val="auto"/>
              </w:rPr>
              <w:t>Less: Interest</w:t>
            </w:r>
          </w:p>
        </w:tc>
        <w:tc>
          <w:tcPr>
            <w:tcW w:w="420" w:type="dxa"/>
            <w:vAlign w:val="bottom"/>
          </w:tcPr>
          <w:p>
            <w:pPr>
              <w:spacing w:after="0"/>
              <w:rPr>
                <w:sz w:val="17"/>
                <w:szCs w:val="17"/>
                <w:color w:val="auto"/>
              </w:rPr>
            </w:pPr>
          </w:p>
        </w:tc>
        <w:tc>
          <w:tcPr>
            <w:tcW w:w="720" w:type="dxa"/>
            <w:vAlign w:val="bottom"/>
            <w:vMerge w:val="restart"/>
          </w:tcPr>
          <w:p>
            <w:pPr>
              <w:jc w:val="right"/>
              <w:ind w:right="31"/>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vMerge w:val="restart"/>
          </w:tcPr>
          <w:p>
            <w:pPr>
              <w:jc w:val="right"/>
              <w:ind w:right="51"/>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vMerge w:val="restart"/>
          </w:tcPr>
          <w:p>
            <w:pPr>
              <w:jc w:val="right"/>
              <w:ind w:right="31"/>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vMerge w:val="restart"/>
          </w:tcPr>
          <w:p>
            <w:pPr>
              <w:jc w:val="right"/>
              <w:ind w:right="5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vMerge w:val="restart"/>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vMerge w:val="restart"/>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7"/>
        </w:trPr>
        <w:tc>
          <w:tcPr>
            <w:tcW w:w="2160" w:type="dxa"/>
            <w:vAlign w:val="bottom"/>
          </w:tcPr>
          <w:p>
            <w:pPr>
              <w:ind w:left="240"/>
              <w:spacing w:after="0" w:line="187" w:lineRule="exact"/>
              <w:rPr>
                <w:sz w:val="20"/>
                <w:szCs w:val="20"/>
                <w:color w:val="auto"/>
              </w:rPr>
            </w:pPr>
            <w:r>
              <w:rPr>
                <w:rFonts w:ascii="Arial" w:cs="Arial" w:eastAsia="Arial" w:hAnsi="Arial"/>
                <w:sz w:val="18"/>
                <w:szCs w:val="18"/>
                <w:color w:val="auto"/>
              </w:rPr>
              <w:t>capitalized</w:t>
            </w:r>
          </w:p>
        </w:tc>
        <w:tc>
          <w:tcPr>
            <w:tcW w:w="4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160" w:type="dxa"/>
            <w:vAlign w:val="bottom"/>
          </w:tcPr>
          <w:p>
            <w:pPr>
              <w:spacing w:after="0" w:line="192" w:lineRule="exact"/>
              <w:rPr>
                <w:sz w:val="20"/>
                <w:szCs w:val="20"/>
                <w:color w:val="auto"/>
              </w:rPr>
            </w:pPr>
            <w:r>
              <w:rPr>
                <w:rFonts w:ascii="Arial" w:cs="Arial" w:eastAsia="Arial" w:hAnsi="Arial"/>
                <w:sz w:val="18"/>
                <w:szCs w:val="18"/>
                <w:color w:val="auto"/>
              </w:rPr>
              <w:t>Total earnings for</w:t>
            </w:r>
          </w:p>
        </w:tc>
        <w:tc>
          <w:tcPr>
            <w:tcW w:w="420" w:type="dxa"/>
            <w:vAlign w:val="bottom"/>
            <w:vMerge w:val="restart"/>
          </w:tcPr>
          <w:p>
            <w:pPr>
              <w:jc w:val="right"/>
              <w:ind w:right="51"/>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ind w:right="31"/>
              <w:spacing w:after="0"/>
              <w:rPr>
                <w:sz w:val="20"/>
                <w:szCs w:val="20"/>
                <w:color w:val="auto"/>
              </w:rPr>
            </w:pPr>
            <w:r>
              <w:rPr>
                <w:rFonts w:ascii="Arial" w:cs="Arial" w:eastAsia="Arial" w:hAnsi="Arial"/>
                <w:sz w:val="18"/>
                <w:szCs w:val="18"/>
                <w:color w:val="auto"/>
              </w:rPr>
              <w:t>665</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ind w:right="51"/>
              <w:spacing w:after="0"/>
              <w:rPr>
                <w:sz w:val="20"/>
                <w:szCs w:val="20"/>
                <w:color w:val="auto"/>
              </w:rPr>
            </w:pPr>
            <w:r>
              <w:rPr>
                <w:rFonts w:ascii="Arial" w:cs="Arial" w:eastAsia="Arial" w:hAnsi="Arial"/>
                <w:sz w:val="18"/>
                <w:szCs w:val="18"/>
                <w:color w:val="auto"/>
              </w:rPr>
              <w:t>684</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ind w:right="31"/>
              <w:spacing w:after="0"/>
              <w:rPr>
                <w:sz w:val="20"/>
                <w:szCs w:val="20"/>
                <w:color w:val="auto"/>
              </w:rPr>
            </w:pPr>
            <w:r>
              <w:rPr>
                <w:rFonts w:ascii="Arial" w:cs="Arial" w:eastAsia="Arial" w:hAnsi="Arial"/>
                <w:sz w:val="18"/>
                <w:szCs w:val="18"/>
                <w:color w:val="auto"/>
              </w:rPr>
              <w:t>885</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ind w:right="51"/>
              <w:spacing w:after="0"/>
              <w:rPr>
                <w:sz w:val="20"/>
                <w:szCs w:val="20"/>
                <w:color w:val="auto"/>
              </w:rPr>
            </w:pPr>
            <w:r>
              <w:rPr>
                <w:rFonts w:ascii="Arial" w:cs="Arial" w:eastAsia="Arial" w:hAnsi="Arial"/>
                <w:sz w:val="18"/>
                <w:szCs w:val="18"/>
                <w:color w:val="auto"/>
              </w:rPr>
              <w:t>926</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ind w:right="31"/>
              <w:spacing w:after="0"/>
              <w:rPr>
                <w:sz w:val="20"/>
                <w:szCs w:val="20"/>
                <w:color w:val="auto"/>
              </w:rPr>
            </w:pPr>
            <w:r>
              <w:rPr>
                <w:rFonts w:ascii="Arial" w:cs="Arial" w:eastAsia="Arial" w:hAnsi="Arial"/>
                <w:sz w:val="18"/>
                <w:szCs w:val="18"/>
                <w:color w:val="auto"/>
              </w:rPr>
              <w:t>858</w:t>
            </w: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ind w:right="31"/>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160"/>
        </w:trPr>
        <w:tc>
          <w:tcPr>
            <w:tcW w:w="2160" w:type="dxa"/>
            <w:vAlign w:val="bottom"/>
          </w:tcPr>
          <w:p>
            <w:pPr>
              <w:ind w:left="240"/>
              <w:spacing w:after="0" w:line="141" w:lineRule="exact"/>
              <w:rPr>
                <w:sz w:val="20"/>
                <w:szCs w:val="20"/>
                <w:color w:val="auto"/>
              </w:rPr>
            </w:pPr>
            <w:r>
              <w:rPr>
                <w:rFonts w:ascii="Arial" w:cs="Arial" w:eastAsia="Arial" w:hAnsi="Arial"/>
                <w:sz w:val="16"/>
                <w:szCs w:val="16"/>
                <w:color w:val="auto"/>
              </w:rPr>
              <w:t>purpose of ratio</w:t>
            </w:r>
          </w:p>
        </w:tc>
        <w:tc>
          <w:tcPr>
            <w:tcW w:w="42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60" w:type="dxa"/>
            <w:vAlign w:val="bottom"/>
            <w:vMerge w:val="restart"/>
          </w:tcPr>
          <w:p>
            <w:pPr>
              <w:spacing w:after="0"/>
              <w:rPr>
                <w:sz w:val="20"/>
                <w:szCs w:val="20"/>
                <w:color w:val="auto"/>
              </w:rPr>
            </w:pPr>
            <w:r>
              <w:rPr>
                <w:rFonts w:ascii="Arial" w:cs="Arial" w:eastAsia="Arial" w:hAnsi="Arial"/>
                <w:sz w:val="18"/>
                <w:szCs w:val="18"/>
                <w:color w:val="auto"/>
              </w:rPr>
              <w:t>Ratio of earnings to</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1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160" w:type="dxa"/>
            <w:vAlign w:val="bottom"/>
          </w:tcPr>
          <w:p>
            <w:pPr>
              <w:ind w:left="240"/>
              <w:spacing w:after="0" w:line="200" w:lineRule="exact"/>
              <w:rPr>
                <w:sz w:val="20"/>
                <w:szCs w:val="20"/>
                <w:color w:val="auto"/>
              </w:rPr>
            </w:pPr>
            <w:r>
              <w:rPr>
                <w:rFonts w:ascii="Arial" w:cs="Arial" w:eastAsia="Arial" w:hAnsi="Arial"/>
                <w:sz w:val="18"/>
                <w:szCs w:val="18"/>
                <w:color w:val="auto"/>
              </w:rPr>
              <w:t>combined fixed</w:t>
            </w: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160" w:type="dxa"/>
            <w:vAlign w:val="bottom"/>
          </w:tcPr>
          <w:p>
            <w:pPr>
              <w:ind w:left="240"/>
              <w:spacing w:after="0" w:line="200" w:lineRule="exact"/>
              <w:rPr>
                <w:sz w:val="20"/>
                <w:szCs w:val="20"/>
                <w:color w:val="auto"/>
              </w:rPr>
            </w:pPr>
            <w:r>
              <w:rPr>
                <w:rFonts w:ascii="Arial" w:cs="Arial" w:eastAsia="Arial" w:hAnsi="Arial"/>
                <w:sz w:val="18"/>
                <w:szCs w:val="18"/>
                <w:color w:val="auto"/>
              </w:rPr>
              <w:t>charges  and</w:t>
            </w: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160" w:type="dxa"/>
            <w:vAlign w:val="bottom"/>
          </w:tcPr>
          <w:p>
            <w:pPr>
              <w:ind w:left="240"/>
              <w:spacing w:after="0" w:line="200" w:lineRule="exact"/>
              <w:rPr>
                <w:sz w:val="20"/>
                <w:szCs w:val="20"/>
                <w:color w:val="auto"/>
              </w:rPr>
            </w:pPr>
            <w:r>
              <w:rPr>
                <w:rFonts w:ascii="Arial" w:cs="Arial" w:eastAsia="Arial" w:hAnsi="Arial"/>
                <w:sz w:val="18"/>
                <w:szCs w:val="18"/>
                <w:color w:val="auto"/>
              </w:rPr>
              <w:t>preferred stock</w:t>
            </w:r>
          </w:p>
        </w:tc>
        <w:tc>
          <w:tcPr>
            <w:tcW w:w="420" w:type="dxa"/>
            <w:vAlign w:val="bottom"/>
          </w:tcPr>
          <w:p>
            <w:pPr>
              <w:spacing w:after="0"/>
              <w:rPr>
                <w:sz w:val="17"/>
                <w:szCs w:val="17"/>
                <w:color w:val="auto"/>
              </w:rPr>
            </w:pPr>
          </w:p>
        </w:tc>
        <w:tc>
          <w:tcPr>
            <w:tcW w:w="720" w:type="dxa"/>
            <w:vAlign w:val="bottom"/>
            <w:vMerge w:val="restart"/>
          </w:tcPr>
          <w:p>
            <w:pPr>
              <w:jc w:val="right"/>
              <w:ind w:right="31"/>
              <w:spacing w:after="0"/>
              <w:rPr>
                <w:sz w:val="20"/>
                <w:szCs w:val="20"/>
                <w:color w:val="auto"/>
              </w:rPr>
            </w:pPr>
            <w:r>
              <w:rPr>
                <w:rFonts w:ascii="Arial" w:cs="Arial" w:eastAsia="Arial" w:hAnsi="Arial"/>
                <w:sz w:val="18"/>
                <w:szCs w:val="18"/>
                <w:color w:val="auto"/>
              </w:rPr>
              <w:t>5.28</w:t>
            </w: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vMerge w:val="restart"/>
          </w:tcPr>
          <w:p>
            <w:pPr>
              <w:jc w:val="right"/>
              <w:ind w:right="51"/>
              <w:spacing w:after="0"/>
              <w:rPr>
                <w:sz w:val="20"/>
                <w:szCs w:val="20"/>
                <w:color w:val="auto"/>
              </w:rPr>
            </w:pPr>
            <w:r>
              <w:rPr>
                <w:rFonts w:ascii="Arial" w:cs="Arial" w:eastAsia="Arial" w:hAnsi="Arial"/>
                <w:sz w:val="18"/>
                <w:szCs w:val="18"/>
                <w:color w:val="auto"/>
              </w:rPr>
              <w:t>4.25</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vMerge w:val="restart"/>
          </w:tcPr>
          <w:p>
            <w:pPr>
              <w:jc w:val="right"/>
              <w:ind w:right="31"/>
              <w:spacing w:after="0"/>
              <w:rPr>
                <w:sz w:val="20"/>
                <w:szCs w:val="20"/>
                <w:color w:val="auto"/>
              </w:rPr>
            </w:pPr>
            <w:r>
              <w:rPr>
                <w:rFonts w:ascii="Arial" w:cs="Arial" w:eastAsia="Arial" w:hAnsi="Arial"/>
                <w:sz w:val="18"/>
                <w:szCs w:val="18"/>
                <w:color w:val="auto"/>
              </w:rPr>
              <w:t>4.40</w:t>
            </w: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vMerge w:val="restart"/>
          </w:tcPr>
          <w:p>
            <w:pPr>
              <w:jc w:val="right"/>
              <w:ind w:right="51"/>
              <w:spacing w:after="0"/>
              <w:rPr>
                <w:sz w:val="20"/>
                <w:szCs w:val="20"/>
                <w:color w:val="auto"/>
              </w:rPr>
            </w:pPr>
            <w:r>
              <w:rPr>
                <w:rFonts w:ascii="Arial" w:cs="Arial" w:eastAsia="Arial" w:hAnsi="Arial"/>
                <w:sz w:val="18"/>
                <w:szCs w:val="18"/>
                <w:color w:val="auto"/>
              </w:rPr>
              <w:t>4.06</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vMerge w:val="restart"/>
          </w:tcPr>
          <w:p>
            <w:pPr>
              <w:jc w:val="right"/>
              <w:ind w:right="31"/>
              <w:spacing w:after="0"/>
              <w:rPr>
                <w:sz w:val="20"/>
                <w:szCs w:val="20"/>
                <w:color w:val="auto"/>
              </w:rPr>
            </w:pPr>
            <w:r>
              <w:rPr>
                <w:rFonts w:ascii="Arial" w:cs="Arial" w:eastAsia="Arial" w:hAnsi="Arial"/>
                <w:sz w:val="18"/>
                <w:szCs w:val="18"/>
                <w:color w:val="auto"/>
              </w:rPr>
              <w:t>3.62</w:t>
            </w: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vMerge w:val="restart"/>
          </w:tcPr>
          <w:p>
            <w:pPr>
              <w:jc w:val="right"/>
              <w:ind w:right="31"/>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160"/>
        </w:trPr>
        <w:tc>
          <w:tcPr>
            <w:tcW w:w="2160" w:type="dxa"/>
            <w:vAlign w:val="bottom"/>
          </w:tcPr>
          <w:p>
            <w:pPr>
              <w:ind w:left="240"/>
              <w:spacing w:after="0" w:line="141" w:lineRule="exact"/>
              <w:rPr>
                <w:sz w:val="20"/>
                <w:szCs w:val="20"/>
                <w:color w:val="auto"/>
              </w:rPr>
            </w:pPr>
            <w:r>
              <w:rPr>
                <w:rFonts w:ascii="Arial" w:cs="Arial" w:eastAsia="Arial" w:hAnsi="Arial"/>
                <w:sz w:val="16"/>
                <w:szCs w:val="16"/>
                <w:color w:val="auto"/>
              </w:rPr>
              <w:t>dividends</w:t>
            </w:r>
          </w:p>
        </w:tc>
        <w:tc>
          <w:tcPr>
            <w:tcW w:w="4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60" w:type="dxa"/>
            <w:vAlign w:val="bottom"/>
            <w:vMerge w:val="restart"/>
          </w:tcPr>
          <w:p>
            <w:pPr>
              <w:spacing w:after="0"/>
              <w:rPr>
                <w:sz w:val="20"/>
                <w:szCs w:val="20"/>
                <w:color w:val="auto"/>
              </w:rPr>
            </w:pPr>
            <w:r>
              <w:rPr>
                <w:rFonts w:ascii="Arial" w:cs="Arial" w:eastAsia="Arial" w:hAnsi="Arial"/>
                <w:sz w:val="18"/>
                <w:szCs w:val="18"/>
                <w:color w:val="auto"/>
              </w:rPr>
              <w:t>Ratio of earnings to</w:t>
            </w: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21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vMerge w:val="restart"/>
          </w:tcPr>
          <w:p>
            <w:pPr>
              <w:jc w:val="right"/>
              <w:ind w:right="31"/>
              <w:spacing w:after="0"/>
              <w:rPr>
                <w:sz w:val="20"/>
                <w:szCs w:val="20"/>
                <w:color w:val="auto"/>
              </w:rPr>
            </w:pPr>
            <w:r>
              <w:rPr>
                <w:rFonts w:ascii="Arial" w:cs="Arial" w:eastAsia="Arial" w:hAnsi="Arial"/>
                <w:sz w:val="18"/>
                <w:szCs w:val="18"/>
                <w:color w:val="auto"/>
              </w:rPr>
              <w:t>5.59</w:t>
            </w: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vMerge w:val="restart"/>
          </w:tcPr>
          <w:p>
            <w:pPr>
              <w:jc w:val="right"/>
              <w:ind w:right="51"/>
              <w:spacing w:after="0"/>
              <w:rPr>
                <w:sz w:val="20"/>
                <w:szCs w:val="20"/>
                <w:color w:val="auto"/>
              </w:rPr>
            </w:pPr>
            <w:r>
              <w:rPr>
                <w:rFonts w:ascii="Arial" w:cs="Arial" w:eastAsia="Arial" w:hAnsi="Arial"/>
                <w:sz w:val="18"/>
                <w:szCs w:val="18"/>
                <w:color w:val="auto"/>
              </w:rPr>
              <w:t>4.44</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vMerge w:val="restart"/>
          </w:tcPr>
          <w:p>
            <w:pPr>
              <w:jc w:val="right"/>
              <w:ind w:right="31"/>
              <w:spacing w:after="0"/>
              <w:rPr>
                <w:sz w:val="20"/>
                <w:szCs w:val="20"/>
                <w:color w:val="auto"/>
              </w:rPr>
            </w:pPr>
            <w:r>
              <w:rPr>
                <w:rFonts w:ascii="Arial" w:cs="Arial" w:eastAsia="Arial" w:hAnsi="Arial"/>
                <w:sz w:val="18"/>
                <w:szCs w:val="18"/>
                <w:color w:val="auto"/>
              </w:rPr>
              <w:t>4.56</w:t>
            </w: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vMerge w:val="restart"/>
          </w:tcPr>
          <w:p>
            <w:pPr>
              <w:jc w:val="right"/>
              <w:ind w:right="51"/>
              <w:spacing w:after="0"/>
              <w:rPr>
                <w:sz w:val="20"/>
                <w:szCs w:val="20"/>
                <w:color w:val="auto"/>
              </w:rPr>
            </w:pPr>
            <w:r>
              <w:rPr>
                <w:rFonts w:ascii="Arial" w:cs="Arial" w:eastAsia="Arial" w:hAnsi="Arial"/>
                <w:sz w:val="18"/>
                <w:szCs w:val="18"/>
                <w:color w:val="auto"/>
              </w:rPr>
              <w:t>4.19</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vMerge w:val="restart"/>
          </w:tcPr>
          <w:p>
            <w:pPr>
              <w:jc w:val="right"/>
              <w:ind w:right="31"/>
              <w:spacing w:after="0"/>
              <w:rPr>
                <w:sz w:val="20"/>
                <w:szCs w:val="20"/>
                <w:color w:val="auto"/>
              </w:rPr>
            </w:pPr>
            <w:r>
              <w:rPr>
                <w:rFonts w:ascii="Arial" w:cs="Arial" w:eastAsia="Arial" w:hAnsi="Arial"/>
                <w:sz w:val="18"/>
                <w:szCs w:val="18"/>
                <w:color w:val="auto"/>
              </w:rPr>
              <w:t>3.70</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vMerge w:val="restart"/>
          </w:tcPr>
          <w:p>
            <w:pPr>
              <w:jc w:val="right"/>
              <w:ind w:right="31"/>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160"/>
        </w:trPr>
        <w:tc>
          <w:tcPr>
            <w:tcW w:w="2160" w:type="dxa"/>
            <w:vAlign w:val="bottom"/>
          </w:tcPr>
          <w:p>
            <w:pPr>
              <w:ind w:left="240"/>
              <w:spacing w:after="0" w:line="141" w:lineRule="exact"/>
              <w:rPr>
                <w:sz w:val="20"/>
                <w:szCs w:val="20"/>
                <w:color w:val="auto"/>
              </w:rPr>
            </w:pPr>
            <w:r>
              <w:rPr>
                <w:rFonts w:ascii="Arial" w:cs="Arial" w:eastAsia="Arial" w:hAnsi="Arial"/>
                <w:sz w:val="16"/>
                <w:szCs w:val="16"/>
                <w:color w:val="auto"/>
              </w:rPr>
              <w:t>fixed charges</w:t>
            </w:r>
          </w:p>
        </w:tc>
        <w:tc>
          <w:tcPr>
            <w:tcW w:w="4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ind w:left="526" w:right="380" w:hanging="526"/>
        <w:spacing w:after="0" w:line="238" w:lineRule="auto"/>
        <w:tabs>
          <w:tab w:leader="none" w:pos="526"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In computing this ratio, “Preferred stock dividends” represents the before-tax earnings necessary to pay such dividends, computed at the effective tax rates for the applicable periods.</w:t>
      </w:r>
    </w:p>
    <w:p>
      <w:pPr>
        <w:sectPr>
          <w:pgSz w:w="11900" w:h="16838" w:orient="portrait"/>
          <w:cols w:equalWidth="0" w:num="1">
            <w:col w:w="11286"/>
          </w:cols>
          <w:pgMar w:left="374" w:top="1073" w:right="239" w:bottom="1440" w:gutter="0" w:footer="0" w:header="0"/>
        </w:sectPr>
      </w:pPr>
    </w:p>
    <w:bookmarkStart w:id="102" w:name="page103"/>
    <w:bookmarkEnd w:id="102"/>
    <w:p>
      <w:pPr>
        <w:jc w:val="center"/>
        <w:ind w:right="117"/>
        <w:spacing w:after="0"/>
        <w:rPr>
          <w:sz w:val="20"/>
          <w:szCs w:val="20"/>
          <w:color w:val="auto"/>
        </w:rPr>
      </w:pPr>
      <w:r>
        <w:rPr>
          <w:rFonts w:ascii="Arial" w:cs="Arial" w:eastAsia="Arial" w:hAnsi="Arial"/>
          <w:sz w:val="18"/>
          <w:szCs w:val="18"/>
          <w:b w:val="1"/>
          <w:bCs w:val="1"/>
          <w:color w:val="auto"/>
        </w:rPr>
        <w:t>EXHIBIT 12.3</w:t>
      </w:r>
    </w:p>
    <w:p>
      <w:pPr>
        <w:spacing w:after="0" w:line="7" w:lineRule="exact"/>
        <w:rPr>
          <w:sz w:val="20"/>
          <w:szCs w:val="20"/>
          <w:color w:val="auto"/>
        </w:rPr>
      </w:pPr>
    </w:p>
    <w:p>
      <w:pPr>
        <w:jc w:val="center"/>
        <w:ind w:right="117"/>
        <w:spacing w:after="0"/>
        <w:rPr>
          <w:sz w:val="20"/>
          <w:szCs w:val="20"/>
          <w:color w:val="auto"/>
        </w:rPr>
      </w:pPr>
      <w:r>
        <w:rPr>
          <w:rFonts w:ascii="Arial" w:cs="Arial" w:eastAsia="Arial" w:hAnsi="Arial"/>
          <w:sz w:val="18"/>
          <w:szCs w:val="18"/>
          <w:b w:val="1"/>
          <w:bCs w:val="1"/>
          <w:color w:val="auto"/>
        </w:rPr>
        <w:t>SOUTHERN CALIFORNIA GAS COMPANY</w:t>
      </w:r>
    </w:p>
    <w:p>
      <w:pPr>
        <w:jc w:val="center"/>
        <w:ind w:right="117"/>
        <w:spacing w:after="0" w:line="231" w:lineRule="auto"/>
        <w:rPr>
          <w:sz w:val="20"/>
          <w:szCs w:val="20"/>
          <w:color w:val="auto"/>
        </w:rPr>
      </w:pPr>
      <w:r>
        <w:rPr>
          <w:rFonts w:ascii="Arial" w:cs="Arial" w:eastAsia="Arial" w:hAnsi="Arial"/>
          <w:sz w:val="18"/>
          <w:szCs w:val="18"/>
          <w:b w:val="1"/>
          <w:bCs w:val="1"/>
          <w:color w:val="auto"/>
        </w:rPr>
        <w:t>COMPUTATION OF RATIO OF EARNINGS TO COMBINED FIXED CHARGES</w:t>
      </w:r>
    </w:p>
    <w:p>
      <w:pPr>
        <w:jc w:val="center"/>
        <w:ind w:right="117"/>
        <w:spacing w:after="0" w:line="231" w:lineRule="auto"/>
        <w:rPr>
          <w:sz w:val="20"/>
          <w:szCs w:val="20"/>
          <w:color w:val="auto"/>
        </w:rPr>
      </w:pPr>
      <w:r>
        <w:rPr>
          <w:rFonts w:ascii="Arial" w:cs="Arial" w:eastAsia="Arial" w:hAnsi="Arial"/>
          <w:sz w:val="18"/>
          <w:szCs w:val="18"/>
          <w:b w:val="1"/>
          <w:bCs w:val="1"/>
          <w:color w:val="auto"/>
        </w:rPr>
        <w:t>AND PREFERRED STOCK DIVIDENDS</w:t>
      </w:r>
    </w:p>
    <w:p>
      <w:pPr>
        <w:jc w:val="center"/>
        <w:ind w:right="117"/>
        <w:spacing w:after="0"/>
        <w:rPr>
          <w:sz w:val="20"/>
          <w:szCs w:val="20"/>
          <w:color w:val="auto"/>
        </w:rPr>
      </w:pPr>
      <w:r>
        <w:rPr>
          <w:rFonts w:ascii="Arial" w:cs="Arial" w:eastAsia="Arial" w:hAnsi="Arial"/>
          <w:sz w:val="18"/>
          <w:szCs w:val="18"/>
          <w:b w:val="1"/>
          <w:bCs w:val="1"/>
          <w:color w:val="auto"/>
        </w:rPr>
        <w:t>(Dollars in millions)</w:t>
      </w:r>
    </w:p>
    <w:p>
      <w:pPr>
        <w:spacing w:after="0" w:line="197" w:lineRule="exact"/>
        <w:rPr>
          <w:sz w:val="20"/>
          <w:szCs w:val="20"/>
          <w:color w:val="auto"/>
        </w:rPr>
      </w:pPr>
    </w:p>
    <w:tbl>
      <w:tblPr>
        <w:tblLayout w:type="fixed"/>
        <w:tblInd w:w="3" w:type="dxa"/>
        <w:tblCellMar>
          <w:top w:w="0" w:type="dxa"/>
          <w:left w:w="0" w:type="dxa"/>
          <w:bottom w:w="0" w:type="dxa"/>
          <w:right w:w="0" w:type="dxa"/>
        </w:tblCellMar>
      </w:tblPr>
      <w:tr>
        <w:trPr>
          <w:trHeight w:val="207"/>
        </w:trPr>
        <w:tc>
          <w:tcPr>
            <w:tcW w:w="1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September</w:t>
            </w:r>
          </w:p>
        </w:tc>
        <w:tc>
          <w:tcPr>
            <w:tcW w:w="0" w:type="dxa"/>
            <w:vAlign w:val="bottom"/>
          </w:tcPr>
          <w:p>
            <w:pPr>
              <w:spacing w:after="0"/>
              <w:rPr>
                <w:sz w:val="1"/>
                <w:szCs w:val="1"/>
                <w:color w:val="auto"/>
              </w:rPr>
            </w:pPr>
          </w:p>
        </w:tc>
      </w:tr>
      <w:tr>
        <w:trPr>
          <w:trHeight w:val="199"/>
        </w:trPr>
        <w:tc>
          <w:tcPr>
            <w:tcW w:w="1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ind w:right="371"/>
              <w:spacing w:after="0" w:line="200"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0"/>
        </w:trPr>
        <w:tc>
          <w:tcPr>
            <w:tcW w:w="15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11"/>
              <w:spacing w:after="0" w:line="201" w:lineRule="exact"/>
              <w:rPr>
                <w:sz w:val="20"/>
                <w:szCs w:val="20"/>
                <w:color w:val="auto"/>
              </w:rPr>
            </w:pPr>
            <w:r>
              <w:rPr>
                <w:rFonts w:ascii="Arial" w:cs="Arial" w:eastAsia="Arial" w:hAnsi="Arial"/>
                <w:sz w:val="18"/>
                <w:szCs w:val="18"/>
                <w:color w:val="auto"/>
              </w:rPr>
              <w:t>2009</w:t>
            </w:r>
          </w:p>
        </w:tc>
        <w:tc>
          <w:tcPr>
            <w:tcW w:w="3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11"/>
              <w:spacing w:after="0" w:line="201" w:lineRule="exact"/>
              <w:rPr>
                <w:sz w:val="20"/>
                <w:szCs w:val="20"/>
                <w:color w:val="auto"/>
              </w:rPr>
            </w:pPr>
            <w:r>
              <w:rPr>
                <w:rFonts w:ascii="Arial" w:cs="Arial" w:eastAsia="Arial" w:hAnsi="Arial"/>
                <w:sz w:val="18"/>
                <w:szCs w:val="18"/>
                <w:color w:val="auto"/>
              </w:rPr>
              <w:t>2010</w:t>
            </w:r>
          </w:p>
        </w:tc>
        <w:tc>
          <w:tcPr>
            <w:tcW w:w="3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11"/>
              <w:spacing w:after="0" w:line="201" w:lineRule="exact"/>
              <w:rPr>
                <w:sz w:val="20"/>
                <w:szCs w:val="20"/>
                <w:color w:val="auto"/>
              </w:rPr>
            </w:pPr>
            <w:r>
              <w:rPr>
                <w:rFonts w:ascii="Arial" w:cs="Arial" w:eastAsia="Arial" w:hAnsi="Arial"/>
                <w:sz w:val="18"/>
                <w:szCs w:val="18"/>
                <w:color w:val="auto"/>
              </w:rPr>
              <w:t>2011</w:t>
            </w:r>
          </w:p>
        </w:tc>
        <w:tc>
          <w:tcPr>
            <w:tcW w:w="3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11"/>
              <w:spacing w:after="0" w:line="201" w:lineRule="exact"/>
              <w:rPr>
                <w:sz w:val="20"/>
                <w:szCs w:val="20"/>
                <w:color w:val="auto"/>
              </w:rPr>
            </w:pPr>
            <w:r>
              <w:rPr>
                <w:rFonts w:ascii="Arial" w:cs="Arial" w:eastAsia="Arial" w:hAnsi="Arial"/>
                <w:sz w:val="18"/>
                <w:szCs w:val="18"/>
                <w:color w:val="auto"/>
              </w:rPr>
              <w:t>2012</w:t>
            </w:r>
          </w:p>
        </w:tc>
        <w:tc>
          <w:tcPr>
            <w:tcW w:w="3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11"/>
              <w:spacing w:after="0" w:line="201" w:lineRule="exact"/>
              <w:rPr>
                <w:sz w:val="20"/>
                <w:szCs w:val="20"/>
                <w:color w:val="auto"/>
              </w:rPr>
            </w:pPr>
            <w:r>
              <w:rPr>
                <w:rFonts w:ascii="Arial" w:cs="Arial" w:eastAsia="Arial" w:hAnsi="Arial"/>
                <w:sz w:val="18"/>
                <w:szCs w:val="18"/>
                <w:color w:val="auto"/>
              </w:rPr>
              <w:t>2013</w:t>
            </w:r>
          </w:p>
        </w:tc>
        <w:tc>
          <w:tcPr>
            <w:tcW w:w="3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11"/>
              <w:spacing w:after="0" w:line="201" w:lineRule="exact"/>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192"/>
        </w:trPr>
        <w:tc>
          <w:tcPr>
            <w:tcW w:w="1520" w:type="dxa"/>
            <w:vAlign w:val="bottom"/>
          </w:tcPr>
          <w:p>
            <w:pPr>
              <w:spacing w:after="0" w:line="192" w:lineRule="exact"/>
              <w:rPr>
                <w:sz w:val="20"/>
                <w:szCs w:val="20"/>
                <w:color w:val="auto"/>
              </w:rPr>
            </w:pPr>
            <w:r>
              <w:rPr>
                <w:rFonts w:ascii="Arial" w:cs="Arial" w:eastAsia="Arial" w:hAnsi="Arial"/>
                <w:sz w:val="18"/>
                <w:szCs w:val="18"/>
                <w:color w:val="auto"/>
              </w:rPr>
              <w:t>Fixed</w:t>
            </w: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520" w:type="dxa"/>
            <w:vAlign w:val="bottom"/>
          </w:tcPr>
          <w:p>
            <w:pPr>
              <w:ind w:left="240"/>
              <w:spacing w:after="0"/>
              <w:rPr>
                <w:sz w:val="20"/>
                <w:szCs w:val="20"/>
                <w:color w:val="auto"/>
              </w:rPr>
            </w:pPr>
            <w:r>
              <w:rPr>
                <w:rFonts w:ascii="Arial" w:cs="Arial" w:eastAsia="Arial" w:hAnsi="Arial"/>
                <w:sz w:val="18"/>
                <w:szCs w:val="18"/>
                <w:color w:val="auto"/>
              </w:rPr>
              <w:t>Charges:</w:t>
            </w: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520" w:type="dxa"/>
            <w:vAlign w:val="bottom"/>
          </w:tcPr>
          <w:p>
            <w:pPr>
              <w:spacing w:after="0" w:line="200" w:lineRule="exact"/>
              <w:rPr>
                <w:sz w:val="20"/>
                <w:szCs w:val="20"/>
                <w:color w:val="auto"/>
              </w:rPr>
            </w:pPr>
            <w:r>
              <w:rPr>
                <w:rFonts w:ascii="Arial" w:cs="Arial" w:eastAsia="Arial" w:hAnsi="Arial"/>
                <w:sz w:val="18"/>
                <w:szCs w:val="18"/>
                <w:color w:val="auto"/>
              </w:rPr>
              <w:t>Interest</w:t>
            </w:r>
          </w:p>
        </w:tc>
        <w:tc>
          <w:tcPr>
            <w:tcW w:w="460" w:type="dxa"/>
            <w:vAlign w:val="bottom"/>
          </w:tcPr>
          <w:p>
            <w:pPr>
              <w:jc w:val="right"/>
              <w:ind w:right="131"/>
              <w:spacing w:after="0" w:line="200"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line="200" w:lineRule="exact"/>
              <w:rPr>
                <w:sz w:val="20"/>
                <w:szCs w:val="20"/>
                <w:color w:val="auto"/>
              </w:rPr>
            </w:pPr>
            <w:r>
              <w:rPr>
                <w:rFonts w:ascii="Arial" w:cs="Arial" w:eastAsia="Arial" w:hAnsi="Arial"/>
                <w:sz w:val="18"/>
                <w:szCs w:val="18"/>
                <w:color w:val="auto"/>
              </w:rPr>
              <w:t>74</w:t>
            </w:r>
          </w:p>
        </w:tc>
        <w:tc>
          <w:tcPr>
            <w:tcW w:w="760" w:type="dxa"/>
            <w:vAlign w:val="bottom"/>
            <w:gridSpan w:val="2"/>
          </w:tcPr>
          <w:p>
            <w:pPr>
              <w:jc w:val="right"/>
              <w:ind w:right="220"/>
              <w:spacing w:after="0" w:line="200"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line="200" w:lineRule="exact"/>
              <w:rPr>
                <w:sz w:val="20"/>
                <w:szCs w:val="20"/>
                <w:color w:val="auto"/>
              </w:rPr>
            </w:pPr>
            <w:r>
              <w:rPr>
                <w:rFonts w:ascii="Arial" w:cs="Arial" w:eastAsia="Arial" w:hAnsi="Arial"/>
                <w:sz w:val="18"/>
                <w:szCs w:val="18"/>
                <w:color w:val="auto"/>
              </w:rPr>
              <w:t>72</w:t>
            </w:r>
          </w:p>
        </w:tc>
        <w:tc>
          <w:tcPr>
            <w:tcW w:w="760" w:type="dxa"/>
            <w:vAlign w:val="bottom"/>
            <w:gridSpan w:val="2"/>
          </w:tcPr>
          <w:p>
            <w:pPr>
              <w:jc w:val="right"/>
              <w:ind w:right="220"/>
              <w:spacing w:after="0" w:line="200"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line="200" w:lineRule="exact"/>
              <w:rPr>
                <w:sz w:val="20"/>
                <w:szCs w:val="20"/>
                <w:color w:val="auto"/>
              </w:rPr>
            </w:pPr>
            <w:r>
              <w:rPr>
                <w:rFonts w:ascii="Arial" w:cs="Arial" w:eastAsia="Arial" w:hAnsi="Arial"/>
                <w:sz w:val="18"/>
                <w:szCs w:val="18"/>
                <w:color w:val="auto"/>
              </w:rPr>
              <w:t>77</w:t>
            </w:r>
          </w:p>
        </w:tc>
        <w:tc>
          <w:tcPr>
            <w:tcW w:w="760" w:type="dxa"/>
            <w:vAlign w:val="bottom"/>
            <w:gridSpan w:val="2"/>
          </w:tcPr>
          <w:p>
            <w:pPr>
              <w:jc w:val="right"/>
              <w:ind w:right="220"/>
              <w:spacing w:after="0" w:line="200"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line="200" w:lineRule="exact"/>
              <w:rPr>
                <w:sz w:val="20"/>
                <w:szCs w:val="20"/>
                <w:color w:val="auto"/>
              </w:rPr>
            </w:pPr>
            <w:r>
              <w:rPr>
                <w:rFonts w:ascii="Arial" w:cs="Arial" w:eastAsia="Arial" w:hAnsi="Arial"/>
                <w:sz w:val="18"/>
                <w:szCs w:val="18"/>
                <w:color w:val="auto"/>
              </w:rPr>
              <w:t>77</w:t>
            </w:r>
          </w:p>
        </w:tc>
        <w:tc>
          <w:tcPr>
            <w:tcW w:w="760" w:type="dxa"/>
            <w:vAlign w:val="bottom"/>
            <w:gridSpan w:val="2"/>
          </w:tcPr>
          <w:p>
            <w:pPr>
              <w:jc w:val="right"/>
              <w:ind w:right="220"/>
              <w:spacing w:after="0" w:line="200"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line="200" w:lineRule="exact"/>
              <w:rPr>
                <w:sz w:val="20"/>
                <w:szCs w:val="20"/>
                <w:color w:val="auto"/>
              </w:rPr>
            </w:pPr>
            <w:r>
              <w:rPr>
                <w:rFonts w:ascii="Arial" w:cs="Arial" w:eastAsia="Arial" w:hAnsi="Arial"/>
                <w:sz w:val="18"/>
                <w:szCs w:val="18"/>
                <w:color w:val="auto"/>
              </w:rPr>
              <w:t>76</w:t>
            </w:r>
          </w:p>
        </w:tc>
        <w:tc>
          <w:tcPr>
            <w:tcW w:w="70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31"/>
              <w:spacing w:after="0" w:line="200"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9"/>
        </w:trPr>
        <w:tc>
          <w:tcPr>
            <w:tcW w:w="1520" w:type="dxa"/>
            <w:vAlign w:val="bottom"/>
          </w:tcPr>
          <w:p>
            <w:pPr>
              <w:spacing w:after="0" w:line="200" w:lineRule="exact"/>
              <w:rPr>
                <w:sz w:val="20"/>
                <w:szCs w:val="20"/>
                <w:color w:val="auto"/>
              </w:rPr>
            </w:pPr>
            <w:r>
              <w:rPr>
                <w:rFonts w:ascii="Arial" w:cs="Arial" w:eastAsia="Arial" w:hAnsi="Arial"/>
                <w:sz w:val="18"/>
                <w:szCs w:val="18"/>
                <w:color w:val="auto"/>
              </w:rPr>
              <w:t>Interest</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portion of</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annual</w:t>
            </w:r>
          </w:p>
        </w:tc>
        <w:tc>
          <w:tcPr>
            <w:tcW w:w="460" w:type="dxa"/>
            <w:vAlign w:val="bottom"/>
          </w:tcPr>
          <w:p>
            <w:pPr>
              <w:spacing w:after="0"/>
              <w:rPr>
                <w:sz w:val="17"/>
                <w:szCs w:val="17"/>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vMerge w:val="restart"/>
          </w:tcPr>
          <w:p>
            <w:pPr>
              <w:jc w:val="right"/>
              <w:ind w:right="3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7"/>
        </w:trPr>
        <w:tc>
          <w:tcPr>
            <w:tcW w:w="1520" w:type="dxa"/>
            <w:vAlign w:val="bottom"/>
          </w:tcPr>
          <w:p>
            <w:pPr>
              <w:ind w:left="240"/>
              <w:spacing w:after="0" w:line="187" w:lineRule="exact"/>
              <w:rPr>
                <w:sz w:val="20"/>
                <w:szCs w:val="20"/>
                <w:color w:val="auto"/>
              </w:rPr>
            </w:pPr>
            <w:r>
              <w:rPr>
                <w:rFonts w:ascii="Arial" w:cs="Arial" w:eastAsia="Arial" w:hAnsi="Arial"/>
                <w:sz w:val="18"/>
                <w:szCs w:val="18"/>
                <w:color w:val="auto"/>
              </w:rPr>
              <w:t>rentals</w:t>
            </w: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520" w:type="dxa"/>
            <w:vAlign w:val="bottom"/>
          </w:tcPr>
          <w:p>
            <w:pPr>
              <w:spacing w:after="0" w:line="192" w:lineRule="exact"/>
              <w:rPr>
                <w:sz w:val="20"/>
                <w:szCs w:val="20"/>
                <w:color w:val="auto"/>
              </w:rPr>
            </w:pPr>
            <w:r>
              <w:rPr>
                <w:rFonts w:ascii="Arial" w:cs="Arial" w:eastAsia="Arial" w:hAnsi="Arial"/>
                <w:sz w:val="18"/>
                <w:szCs w:val="18"/>
                <w:color w:val="auto"/>
              </w:rPr>
              <w:t>Total fixed</w:t>
            </w: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charges</w:t>
            </w:r>
          </w:p>
        </w:tc>
        <w:tc>
          <w:tcPr>
            <w:tcW w:w="460" w:type="dxa"/>
            <w:vAlign w:val="bottom"/>
          </w:tcPr>
          <w:p>
            <w:pPr>
              <w:spacing w:after="0"/>
              <w:rPr>
                <w:sz w:val="17"/>
                <w:szCs w:val="17"/>
                <w:color w:val="auto"/>
              </w:rPr>
            </w:pPr>
          </w:p>
        </w:tc>
        <w:tc>
          <w:tcPr>
            <w:tcW w:w="900" w:type="dxa"/>
            <w:vAlign w:val="bottom"/>
          </w:tcPr>
          <w:p>
            <w:pPr>
              <w:jc w:val="right"/>
              <w:ind w:right="31"/>
              <w:spacing w:after="0" w:line="200" w:lineRule="exact"/>
              <w:rPr>
                <w:sz w:val="20"/>
                <w:szCs w:val="20"/>
                <w:color w:val="auto"/>
              </w:rPr>
            </w:pPr>
            <w:r>
              <w:rPr>
                <w:rFonts w:ascii="Arial" w:cs="Arial" w:eastAsia="Arial" w:hAnsi="Arial"/>
                <w:sz w:val="18"/>
                <w:szCs w:val="18"/>
                <w:color w:val="auto"/>
              </w:rPr>
              <w:t>75</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ind w:right="31"/>
              <w:spacing w:after="0" w:line="200" w:lineRule="exact"/>
              <w:rPr>
                <w:sz w:val="20"/>
                <w:szCs w:val="20"/>
                <w:color w:val="auto"/>
              </w:rPr>
            </w:pPr>
            <w:r>
              <w:rPr>
                <w:rFonts w:ascii="Arial" w:cs="Arial" w:eastAsia="Arial" w:hAnsi="Arial"/>
                <w:sz w:val="18"/>
                <w:szCs w:val="18"/>
                <w:color w:val="auto"/>
              </w:rPr>
              <w:t>74</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ind w:right="31"/>
              <w:spacing w:after="0" w:line="200" w:lineRule="exact"/>
              <w:rPr>
                <w:sz w:val="20"/>
                <w:szCs w:val="20"/>
                <w:color w:val="auto"/>
              </w:rPr>
            </w:pPr>
            <w:r>
              <w:rPr>
                <w:rFonts w:ascii="Arial" w:cs="Arial" w:eastAsia="Arial" w:hAnsi="Arial"/>
                <w:sz w:val="18"/>
                <w:szCs w:val="18"/>
                <w:color w:val="auto"/>
              </w:rPr>
              <w:t>78</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jc w:val="right"/>
              <w:ind w:right="31"/>
              <w:spacing w:after="0" w:line="200" w:lineRule="exact"/>
              <w:rPr>
                <w:sz w:val="20"/>
                <w:szCs w:val="20"/>
                <w:color w:val="auto"/>
              </w:rPr>
            </w:pPr>
            <w:r>
              <w:rPr>
                <w:rFonts w:ascii="Arial" w:cs="Arial" w:eastAsia="Arial" w:hAnsi="Arial"/>
                <w:sz w:val="18"/>
                <w:szCs w:val="18"/>
                <w:color w:val="auto"/>
              </w:rPr>
              <w:t>78</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jc w:val="right"/>
              <w:ind w:right="31"/>
              <w:spacing w:after="0" w:line="200" w:lineRule="exact"/>
              <w:rPr>
                <w:sz w:val="20"/>
                <w:szCs w:val="20"/>
                <w:color w:val="auto"/>
              </w:rPr>
            </w:pPr>
            <w:r>
              <w:rPr>
                <w:rFonts w:ascii="Arial" w:cs="Arial" w:eastAsia="Arial" w:hAnsi="Arial"/>
                <w:sz w:val="18"/>
                <w:szCs w:val="18"/>
                <w:color w:val="auto"/>
              </w:rPr>
              <w:t>77</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ind w:right="31"/>
              <w:spacing w:after="0" w:line="200"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9"/>
        </w:trPr>
        <w:tc>
          <w:tcPr>
            <w:tcW w:w="1520" w:type="dxa"/>
            <w:vAlign w:val="bottom"/>
          </w:tcPr>
          <w:p>
            <w:pPr>
              <w:spacing w:after="0" w:line="200" w:lineRule="exact"/>
              <w:rPr>
                <w:sz w:val="20"/>
                <w:szCs w:val="20"/>
                <w:color w:val="auto"/>
              </w:rPr>
            </w:pPr>
            <w:r>
              <w:rPr>
                <w:rFonts w:ascii="Arial" w:cs="Arial" w:eastAsia="Arial" w:hAnsi="Arial"/>
                <w:sz w:val="18"/>
                <w:szCs w:val="18"/>
                <w:color w:val="auto"/>
              </w:rPr>
              <w:t>Preferred</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stock</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dividends</w:t>
            </w:r>
          </w:p>
        </w:tc>
        <w:tc>
          <w:tcPr>
            <w:tcW w:w="460" w:type="dxa"/>
            <w:vAlign w:val="bottom"/>
          </w:tcPr>
          <w:p>
            <w:pPr>
              <w:spacing w:after="0"/>
              <w:rPr>
                <w:sz w:val="17"/>
                <w:szCs w:val="17"/>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vMerge w:val="restart"/>
          </w:tcPr>
          <w:p>
            <w:pPr>
              <w:jc w:val="right"/>
              <w:ind w:right="3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7"/>
        </w:trPr>
        <w:tc>
          <w:tcPr>
            <w:tcW w:w="1520" w:type="dxa"/>
            <w:vAlign w:val="bottom"/>
          </w:tcPr>
          <w:p>
            <w:pPr>
              <w:ind w:left="240"/>
              <w:spacing w:after="0" w:line="187" w:lineRule="exact"/>
              <w:rPr>
                <w:sz w:val="20"/>
                <w:szCs w:val="20"/>
                <w:color w:val="auto"/>
              </w:rPr>
            </w:pPr>
            <w:r>
              <w:rPr>
                <w:rFonts w:ascii="Arial" w:cs="Arial" w:eastAsia="Arial" w:hAnsi="Arial"/>
                <w:sz w:val="18"/>
                <w:szCs w:val="18"/>
                <w:color w:val="auto"/>
              </w:rPr>
              <w:t>(1)</w:t>
            </w: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520" w:type="dxa"/>
            <w:vAlign w:val="bottom"/>
          </w:tcPr>
          <w:p>
            <w:pPr>
              <w:spacing w:after="0" w:line="192" w:lineRule="exact"/>
              <w:rPr>
                <w:sz w:val="20"/>
                <w:szCs w:val="20"/>
                <w:color w:val="auto"/>
              </w:rPr>
            </w:pPr>
            <w:r>
              <w:rPr>
                <w:rFonts w:ascii="Arial" w:cs="Arial" w:eastAsia="Arial" w:hAnsi="Arial"/>
                <w:sz w:val="18"/>
                <w:szCs w:val="18"/>
                <w:color w:val="auto"/>
              </w:rPr>
              <w:t>Combined</w:t>
            </w: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fixed</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charges</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and</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preferred</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stock</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dividends</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for</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purpose of</w:t>
            </w:r>
          </w:p>
        </w:tc>
        <w:tc>
          <w:tcPr>
            <w:tcW w:w="460" w:type="dxa"/>
            <w:vAlign w:val="bottom"/>
            <w:vMerge w:val="restart"/>
          </w:tcPr>
          <w:p>
            <w:pPr>
              <w:jc w:val="right"/>
              <w:ind w:right="131"/>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77</w:t>
            </w: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76</w:t>
            </w: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80</w:t>
            </w: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80</w:t>
            </w: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79</w:t>
            </w: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ind w:right="31"/>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60"/>
        </w:trPr>
        <w:tc>
          <w:tcPr>
            <w:tcW w:w="1520" w:type="dxa"/>
            <w:vAlign w:val="bottom"/>
          </w:tcPr>
          <w:p>
            <w:pPr>
              <w:ind w:left="240"/>
              <w:spacing w:after="0" w:line="141" w:lineRule="exact"/>
              <w:rPr>
                <w:sz w:val="20"/>
                <w:szCs w:val="20"/>
                <w:color w:val="auto"/>
              </w:rPr>
            </w:pPr>
            <w:r>
              <w:rPr>
                <w:rFonts w:ascii="Arial" w:cs="Arial" w:eastAsia="Arial" w:hAnsi="Arial"/>
                <w:sz w:val="16"/>
                <w:szCs w:val="16"/>
                <w:color w:val="auto"/>
              </w:rPr>
              <w:t>ratio</w:t>
            </w:r>
          </w:p>
        </w:tc>
        <w:tc>
          <w:tcPr>
            <w:tcW w:w="46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20" w:type="dxa"/>
            <w:vAlign w:val="bottom"/>
            <w:vMerge w:val="restart"/>
          </w:tcPr>
          <w:p>
            <w:pPr>
              <w:spacing w:after="0"/>
              <w:rPr>
                <w:sz w:val="20"/>
                <w:szCs w:val="20"/>
                <w:color w:val="auto"/>
              </w:rPr>
            </w:pPr>
            <w:r>
              <w:rPr>
                <w:rFonts w:ascii="Arial" w:cs="Arial" w:eastAsia="Arial" w:hAnsi="Arial"/>
                <w:sz w:val="18"/>
                <w:szCs w:val="18"/>
                <w:color w:val="auto"/>
              </w:rPr>
              <w:t>Earnings:</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52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520" w:type="dxa"/>
            <w:vAlign w:val="bottom"/>
          </w:tcPr>
          <w:p>
            <w:pPr>
              <w:spacing w:after="0" w:line="200" w:lineRule="exact"/>
              <w:rPr>
                <w:sz w:val="20"/>
                <w:szCs w:val="20"/>
                <w:color w:val="auto"/>
              </w:rPr>
            </w:pPr>
            <w:r>
              <w:rPr>
                <w:rFonts w:ascii="Arial" w:cs="Arial" w:eastAsia="Arial" w:hAnsi="Arial"/>
                <w:sz w:val="18"/>
                <w:szCs w:val="18"/>
                <w:color w:val="auto"/>
              </w:rPr>
              <w:t>Pretax</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income</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from</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continuing</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operations</w:t>
            </w:r>
          </w:p>
        </w:tc>
        <w:tc>
          <w:tcPr>
            <w:tcW w:w="460" w:type="dxa"/>
            <w:vAlign w:val="bottom"/>
          </w:tcPr>
          <w:p>
            <w:pPr>
              <w:jc w:val="right"/>
              <w:ind w:right="131"/>
              <w:spacing w:after="0" w:line="200"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line="200" w:lineRule="exact"/>
              <w:rPr>
                <w:sz w:val="20"/>
                <w:szCs w:val="20"/>
                <w:color w:val="auto"/>
              </w:rPr>
            </w:pPr>
            <w:r>
              <w:rPr>
                <w:rFonts w:ascii="Arial" w:cs="Arial" w:eastAsia="Arial" w:hAnsi="Arial"/>
                <w:sz w:val="18"/>
                <w:szCs w:val="18"/>
                <w:color w:val="auto"/>
              </w:rPr>
              <w:t>418</w:t>
            </w:r>
          </w:p>
        </w:tc>
        <w:tc>
          <w:tcPr>
            <w:tcW w:w="760" w:type="dxa"/>
            <w:vAlign w:val="bottom"/>
            <w:gridSpan w:val="2"/>
          </w:tcPr>
          <w:p>
            <w:pPr>
              <w:jc w:val="right"/>
              <w:ind w:right="220"/>
              <w:spacing w:after="0" w:line="200"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line="200" w:lineRule="exact"/>
              <w:rPr>
                <w:sz w:val="20"/>
                <w:szCs w:val="20"/>
                <w:color w:val="auto"/>
              </w:rPr>
            </w:pPr>
            <w:r>
              <w:rPr>
                <w:rFonts w:ascii="Arial" w:cs="Arial" w:eastAsia="Arial" w:hAnsi="Arial"/>
                <w:sz w:val="18"/>
                <w:szCs w:val="18"/>
                <w:color w:val="auto"/>
              </w:rPr>
              <w:t>463</w:t>
            </w:r>
          </w:p>
        </w:tc>
        <w:tc>
          <w:tcPr>
            <w:tcW w:w="760" w:type="dxa"/>
            <w:vAlign w:val="bottom"/>
            <w:gridSpan w:val="2"/>
          </w:tcPr>
          <w:p>
            <w:pPr>
              <w:jc w:val="right"/>
              <w:ind w:right="220"/>
              <w:spacing w:after="0" w:line="200"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line="200" w:lineRule="exact"/>
              <w:rPr>
                <w:sz w:val="20"/>
                <w:szCs w:val="20"/>
                <w:color w:val="auto"/>
              </w:rPr>
            </w:pPr>
            <w:r>
              <w:rPr>
                <w:rFonts w:ascii="Arial" w:cs="Arial" w:eastAsia="Arial" w:hAnsi="Arial"/>
                <w:sz w:val="18"/>
                <w:szCs w:val="18"/>
                <w:color w:val="auto"/>
              </w:rPr>
              <w:t>431</w:t>
            </w:r>
          </w:p>
        </w:tc>
        <w:tc>
          <w:tcPr>
            <w:tcW w:w="760" w:type="dxa"/>
            <w:vAlign w:val="bottom"/>
            <w:gridSpan w:val="2"/>
          </w:tcPr>
          <w:p>
            <w:pPr>
              <w:jc w:val="right"/>
              <w:ind w:right="220"/>
              <w:spacing w:after="0" w:line="200"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line="200" w:lineRule="exact"/>
              <w:rPr>
                <w:sz w:val="20"/>
                <w:szCs w:val="20"/>
                <w:color w:val="auto"/>
              </w:rPr>
            </w:pPr>
            <w:r>
              <w:rPr>
                <w:rFonts w:ascii="Arial" w:cs="Arial" w:eastAsia="Arial" w:hAnsi="Arial"/>
                <w:sz w:val="18"/>
                <w:szCs w:val="18"/>
                <w:color w:val="auto"/>
              </w:rPr>
              <w:t>369</w:t>
            </w:r>
          </w:p>
        </w:tc>
        <w:tc>
          <w:tcPr>
            <w:tcW w:w="760" w:type="dxa"/>
            <w:vAlign w:val="bottom"/>
            <w:gridSpan w:val="2"/>
          </w:tcPr>
          <w:p>
            <w:pPr>
              <w:jc w:val="right"/>
              <w:ind w:right="220"/>
              <w:spacing w:after="0" w:line="200"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line="200" w:lineRule="exact"/>
              <w:rPr>
                <w:sz w:val="20"/>
                <w:szCs w:val="20"/>
                <w:color w:val="auto"/>
              </w:rPr>
            </w:pPr>
            <w:r>
              <w:rPr>
                <w:rFonts w:ascii="Arial" w:cs="Arial" w:eastAsia="Arial" w:hAnsi="Arial"/>
                <w:sz w:val="18"/>
                <w:szCs w:val="18"/>
                <w:color w:val="auto"/>
              </w:rPr>
              <w:t>481</w:t>
            </w:r>
          </w:p>
        </w:tc>
        <w:tc>
          <w:tcPr>
            <w:tcW w:w="70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31"/>
              <w:spacing w:after="0" w:line="200" w:lineRule="exact"/>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199"/>
        </w:trPr>
        <w:tc>
          <w:tcPr>
            <w:tcW w:w="1520" w:type="dxa"/>
            <w:vAlign w:val="bottom"/>
          </w:tcPr>
          <w:p>
            <w:pPr>
              <w:spacing w:after="0" w:line="200" w:lineRule="exact"/>
              <w:rPr>
                <w:sz w:val="20"/>
                <w:szCs w:val="20"/>
                <w:color w:val="auto"/>
              </w:rPr>
            </w:pPr>
            <w:r>
              <w:rPr>
                <w:rFonts w:ascii="Arial" w:cs="Arial" w:eastAsia="Arial" w:hAnsi="Arial"/>
                <w:sz w:val="18"/>
                <w:szCs w:val="18"/>
                <w:color w:val="auto"/>
              </w:rPr>
              <w:t>Add: Total</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fixed</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charges</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(from</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above)</w:t>
            </w:r>
          </w:p>
        </w:tc>
        <w:tc>
          <w:tcPr>
            <w:tcW w:w="460" w:type="dxa"/>
            <w:vAlign w:val="bottom"/>
          </w:tcPr>
          <w:p>
            <w:pPr>
              <w:spacing w:after="0"/>
              <w:rPr>
                <w:sz w:val="17"/>
                <w:szCs w:val="17"/>
                <w:color w:val="auto"/>
              </w:rPr>
            </w:pPr>
          </w:p>
        </w:tc>
        <w:tc>
          <w:tcPr>
            <w:tcW w:w="900" w:type="dxa"/>
            <w:vAlign w:val="bottom"/>
          </w:tcPr>
          <w:p>
            <w:pPr>
              <w:jc w:val="right"/>
              <w:ind w:right="31"/>
              <w:spacing w:after="0" w:line="200" w:lineRule="exact"/>
              <w:rPr>
                <w:sz w:val="20"/>
                <w:szCs w:val="20"/>
                <w:color w:val="auto"/>
              </w:rPr>
            </w:pPr>
            <w:r>
              <w:rPr>
                <w:rFonts w:ascii="Arial" w:cs="Arial" w:eastAsia="Arial" w:hAnsi="Arial"/>
                <w:sz w:val="18"/>
                <w:szCs w:val="18"/>
                <w:color w:val="auto"/>
              </w:rPr>
              <w:t>75</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ind w:right="31"/>
              <w:spacing w:after="0" w:line="200" w:lineRule="exact"/>
              <w:rPr>
                <w:sz w:val="20"/>
                <w:szCs w:val="20"/>
                <w:color w:val="auto"/>
              </w:rPr>
            </w:pPr>
            <w:r>
              <w:rPr>
                <w:rFonts w:ascii="Arial" w:cs="Arial" w:eastAsia="Arial" w:hAnsi="Arial"/>
                <w:sz w:val="18"/>
                <w:szCs w:val="18"/>
                <w:color w:val="auto"/>
              </w:rPr>
              <w:t>74</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ind w:right="31"/>
              <w:spacing w:after="0" w:line="200" w:lineRule="exact"/>
              <w:rPr>
                <w:sz w:val="20"/>
                <w:szCs w:val="20"/>
                <w:color w:val="auto"/>
              </w:rPr>
            </w:pPr>
            <w:r>
              <w:rPr>
                <w:rFonts w:ascii="Arial" w:cs="Arial" w:eastAsia="Arial" w:hAnsi="Arial"/>
                <w:sz w:val="18"/>
                <w:szCs w:val="18"/>
                <w:color w:val="auto"/>
              </w:rPr>
              <w:t>78</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jc w:val="right"/>
              <w:ind w:right="31"/>
              <w:spacing w:after="0" w:line="200" w:lineRule="exact"/>
              <w:rPr>
                <w:sz w:val="20"/>
                <w:szCs w:val="20"/>
                <w:color w:val="auto"/>
              </w:rPr>
            </w:pPr>
            <w:r>
              <w:rPr>
                <w:rFonts w:ascii="Arial" w:cs="Arial" w:eastAsia="Arial" w:hAnsi="Arial"/>
                <w:sz w:val="18"/>
                <w:szCs w:val="18"/>
                <w:color w:val="auto"/>
              </w:rPr>
              <w:t>78</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jc w:val="right"/>
              <w:ind w:right="31"/>
              <w:spacing w:after="0" w:line="200" w:lineRule="exact"/>
              <w:rPr>
                <w:sz w:val="20"/>
                <w:szCs w:val="20"/>
                <w:color w:val="auto"/>
              </w:rPr>
            </w:pPr>
            <w:r>
              <w:rPr>
                <w:rFonts w:ascii="Arial" w:cs="Arial" w:eastAsia="Arial" w:hAnsi="Arial"/>
                <w:sz w:val="18"/>
                <w:szCs w:val="18"/>
                <w:color w:val="auto"/>
              </w:rPr>
              <w:t>77</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ind w:right="31"/>
              <w:spacing w:after="0" w:line="200"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3"/>
        </w:trPr>
        <w:tc>
          <w:tcPr>
            <w:tcW w:w="1520" w:type="dxa"/>
            <w:vAlign w:val="bottom"/>
          </w:tcPr>
          <w:p>
            <w:pPr>
              <w:spacing w:after="0"/>
              <w:rPr>
                <w:sz w:val="20"/>
                <w:szCs w:val="20"/>
                <w:color w:val="auto"/>
              </w:rPr>
            </w:pPr>
            <w:r>
              <w:rPr>
                <w:rFonts w:ascii="Arial" w:cs="Arial" w:eastAsia="Arial" w:hAnsi="Arial"/>
                <w:sz w:val="18"/>
                <w:szCs w:val="18"/>
                <w:color w:val="auto"/>
              </w:rPr>
              <w:t>Less: Interest</w:t>
            </w:r>
          </w:p>
        </w:tc>
        <w:tc>
          <w:tcPr>
            <w:tcW w:w="460" w:type="dxa"/>
            <w:vAlign w:val="bottom"/>
          </w:tcPr>
          <w:p>
            <w:pPr>
              <w:spacing w:after="0"/>
              <w:rPr>
                <w:sz w:val="18"/>
                <w:szCs w:val="18"/>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7"/>
        </w:trPr>
        <w:tc>
          <w:tcPr>
            <w:tcW w:w="1520" w:type="dxa"/>
            <w:vAlign w:val="bottom"/>
          </w:tcPr>
          <w:p>
            <w:pPr>
              <w:ind w:left="240"/>
              <w:spacing w:after="0" w:line="187" w:lineRule="exact"/>
              <w:rPr>
                <w:sz w:val="20"/>
                <w:szCs w:val="20"/>
                <w:color w:val="auto"/>
              </w:rPr>
            </w:pPr>
            <w:r>
              <w:rPr>
                <w:rFonts w:ascii="Arial" w:cs="Arial" w:eastAsia="Arial" w:hAnsi="Arial"/>
                <w:sz w:val="18"/>
                <w:szCs w:val="18"/>
                <w:color w:val="auto"/>
              </w:rPr>
              <w:t>capitalized</w:t>
            </w: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520" w:type="dxa"/>
            <w:vAlign w:val="bottom"/>
          </w:tcPr>
          <w:p>
            <w:pPr>
              <w:spacing w:after="0" w:line="192" w:lineRule="exact"/>
              <w:rPr>
                <w:sz w:val="20"/>
                <w:szCs w:val="20"/>
                <w:color w:val="auto"/>
              </w:rPr>
            </w:pPr>
            <w:r>
              <w:rPr>
                <w:rFonts w:ascii="Arial" w:cs="Arial" w:eastAsia="Arial" w:hAnsi="Arial"/>
                <w:sz w:val="18"/>
                <w:szCs w:val="18"/>
                <w:color w:val="auto"/>
              </w:rPr>
              <w:t>Total</w:t>
            </w: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earnings</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for</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purpose of</w:t>
            </w:r>
          </w:p>
        </w:tc>
        <w:tc>
          <w:tcPr>
            <w:tcW w:w="460" w:type="dxa"/>
            <w:vAlign w:val="bottom"/>
            <w:vMerge w:val="restart"/>
          </w:tcPr>
          <w:p>
            <w:pPr>
              <w:jc w:val="right"/>
              <w:ind w:right="131"/>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492</w:t>
            </w: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536</w:t>
            </w: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508</w:t>
            </w: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446</w:t>
            </w: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557</w:t>
            </w: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ind w:right="31"/>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160"/>
        </w:trPr>
        <w:tc>
          <w:tcPr>
            <w:tcW w:w="1520" w:type="dxa"/>
            <w:vAlign w:val="bottom"/>
          </w:tcPr>
          <w:p>
            <w:pPr>
              <w:ind w:left="240"/>
              <w:spacing w:after="0" w:line="141" w:lineRule="exact"/>
              <w:rPr>
                <w:sz w:val="20"/>
                <w:szCs w:val="20"/>
                <w:color w:val="auto"/>
              </w:rPr>
            </w:pPr>
            <w:r>
              <w:rPr>
                <w:rFonts w:ascii="Arial" w:cs="Arial" w:eastAsia="Arial" w:hAnsi="Arial"/>
                <w:sz w:val="16"/>
                <w:szCs w:val="16"/>
                <w:color w:val="auto"/>
              </w:rPr>
              <w:t>ratio</w:t>
            </w:r>
          </w:p>
        </w:tc>
        <w:tc>
          <w:tcPr>
            <w:tcW w:w="46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20" w:type="dxa"/>
            <w:vAlign w:val="bottom"/>
            <w:vMerge w:val="restart"/>
          </w:tcPr>
          <w:p>
            <w:pPr>
              <w:spacing w:after="0"/>
              <w:rPr>
                <w:sz w:val="20"/>
                <w:szCs w:val="20"/>
                <w:color w:val="auto"/>
              </w:rPr>
            </w:pPr>
            <w:r>
              <w:rPr>
                <w:rFonts w:ascii="Arial" w:cs="Arial" w:eastAsia="Arial" w:hAnsi="Arial"/>
                <w:sz w:val="18"/>
                <w:szCs w:val="18"/>
                <w:color w:val="auto"/>
              </w:rPr>
              <w:t>Ratio of</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52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earnings</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to</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combined</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fixed</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charges</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and</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preferred</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stock</w:t>
            </w:r>
          </w:p>
        </w:tc>
        <w:tc>
          <w:tcPr>
            <w:tcW w:w="460" w:type="dxa"/>
            <w:vAlign w:val="bottom"/>
          </w:tcPr>
          <w:p>
            <w:pPr>
              <w:spacing w:after="0"/>
              <w:rPr>
                <w:sz w:val="17"/>
                <w:szCs w:val="17"/>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6.39</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7.05</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6.35</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5.58</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7.05</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vMerge w:val="restart"/>
          </w:tcPr>
          <w:p>
            <w:pPr>
              <w:jc w:val="right"/>
              <w:ind w:right="31"/>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160"/>
        </w:trPr>
        <w:tc>
          <w:tcPr>
            <w:tcW w:w="1520" w:type="dxa"/>
            <w:vAlign w:val="bottom"/>
          </w:tcPr>
          <w:p>
            <w:pPr>
              <w:ind w:left="240"/>
              <w:spacing w:after="0" w:line="141" w:lineRule="exact"/>
              <w:rPr>
                <w:sz w:val="20"/>
                <w:szCs w:val="20"/>
                <w:color w:val="auto"/>
              </w:rPr>
            </w:pPr>
            <w:r>
              <w:rPr>
                <w:rFonts w:ascii="Arial" w:cs="Arial" w:eastAsia="Arial" w:hAnsi="Arial"/>
                <w:sz w:val="16"/>
                <w:szCs w:val="16"/>
                <w:color w:val="auto"/>
              </w:rPr>
              <w:t>dividends</w:t>
            </w:r>
          </w:p>
        </w:tc>
        <w:tc>
          <w:tcPr>
            <w:tcW w:w="4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20" w:type="dxa"/>
            <w:vAlign w:val="bottom"/>
            <w:vMerge w:val="restart"/>
          </w:tcPr>
          <w:p>
            <w:pPr>
              <w:spacing w:after="0"/>
              <w:rPr>
                <w:sz w:val="20"/>
                <w:szCs w:val="20"/>
                <w:color w:val="auto"/>
              </w:rPr>
            </w:pPr>
            <w:r>
              <w:rPr>
                <w:rFonts w:ascii="Arial" w:cs="Arial" w:eastAsia="Arial" w:hAnsi="Arial"/>
                <w:sz w:val="18"/>
                <w:szCs w:val="18"/>
                <w:color w:val="auto"/>
              </w:rPr>
              <w:t>Ratio of</w:t>
            </w: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152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earnings</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20" w:type="dxa"/>
            <w:vAlign w:val="bottom"/>
          </w:tcPr>
          <w:p>
            <w:pPr>
              <w:ind w:left="240"/>
              <w:spacing w:after="0" w:line="200" w:lineRule="exact"/>
              <w:rPr>
                <w:sz w:val="20"/>
                <w:szCs w:val="20"/>
                <w:color w:val="auto"/>
              </w:rPr>
            </w:pPr>
            <w:r>
              <w:rPr>
                <w:rFonts w:ascii="Arial" w:cs="Arial" w:eastAsia="Arial" w:hAnsi="Arial"/>
                <w:sz w:val="18"/>
                <w:szCs w:val="18"/>
                <w:color w:val="auto"/>
              </w:rPr>
              <w:t>to fixed</w:t>
            </w:r>
          </w:p>
        </w:tc>
        <w:tc>
          <w:tcPr>
            <w:tcW w:w="460" w:type="dxa"/>
            <w:vAlign w:val="bottom"/>
          </w:tcPr>
          <w:p>
            <w:pPr>
              <w:spacing w:after="0"/>
              <w:rPr>
                <w:sz w:val="17"/>
                <w:szCs w:val="17"/>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6.56</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7.24</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6.51</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5.72</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7.23</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vMerge w:val="restart"/>
          </w:tcPr>
          <w:p>
            <w:pPr>
              <w:jc w:val="right"/>
              <w:ind w:right="31"/>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160"/>
        </w:trPr>
        <w:tc>
          <w:tcPr>
            <w:tcW w:w="1520" w:type="dxa"/>
            <w:vAlign w:val="bottom"/>
          </w:tcPr>
          <w:p>
            <w:pPr>
              <w:ind w:left="240"/>
              <w:spacing w:after="0" w:line="141" w:lineRule="exact"/>
              <w:rPr>
                <w:sz w:val="20"/>
                <w:szCs w:val="20"/>
                <w:color w:val="auto"/>
              </w:rPr>
            </w:pPr>
            <w:r>
              <w:rPr>
                <w:rFonts w:ascii="Arial" w:cs="Arial" w:eastAsia="Arial" w:hAnsi="Arial"/>
                <w:sz w:val="16"/>
                <w:szCs w:val="16"/>
                <w:color w:val="auto"/>
              </w:rPr>
              <w:t>charges</w:t>
            </w:r>
          </w:p>
        </w:tc>
        <w:tc>
          <w:tcPr>
            <w:tcW w:w="4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ind w:left="483" w:right="220" w:hanging="483"/>
        <w:spacing w:after="0" w:line="238" w:lineRule="auto"/>
        <w:tabs>
          <w:tab w:leader="none" w:pos="483"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In computing this ratio, “Preferred stock dividends” represents the before-tax earnings necessary to pay such dividends, computed at the effective tax rates for the applicable periods.</w:t>
      </w:r>
    </w:p>
    <w:p>
      <w:pPr>
        <w:sectPr>
          <w:pgSz w:w="11900" w:h="16838" w:orient="portrait"/>
          <w:cols w:equalWidth="0" w:num="1">
            <w:col w:w="11383"/>
          </w:cols>
          <w:pgMar w:left="377" w:top="1073" w:right="139" w:bottom="1440" w:gutter="0" w:footer="0" w:header="0"/>
        </w:sectPr>
      </w:pPr>
    </w:p>
    <w:bookmarkStart w:id="103" w:name="page104"/>
    <w:bookmarkEnd w:id="103"/>
    <w:p>
      <w:pPr>
        <w:jc w:val="right"/>
        <w:spacing w:after="0"/>
        <w:rPr>
          <w:sz w:val="20"/>
          <w:szCs w:val="20"/>
          <w:color w:val="auto"/>
        </w:rPr>
      </w:pPr>
      <w:r>
        <w:rPr>
          <w:rFonts w:ascii="Arial" w:cs="Arial" w:eastAsia="Arial" w:hAnsi="Arial"/>
          <w:sz w:val="21"/>
          <w:szCs w:val="21"/>
          <w:color w:val="auto"/>
        </w:rPr>
        <w:t>EXHIBIT 31.1</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CERTIFICATION</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color w:val="auto"/>
        </w:rPr>
        <w:t>I, Debra L. Reed, certify that:</w:t>
      </w:r>
    </w:p>
    <w:p>
      <w:pPr>
        <w:spacing w:after="0" w:line="264" w:lineRule="exact"/>
        <w:rPr>
          <w:sz w:val="20"/>
          <w:szCs w:val="20"/>
          <w:color w:val="auto"/>
        </w:rPr>
      </w:pPr>
    </w:p>
    <w:p>
      <w:pPr>
        <w:ind w:left="320" w:hanging="314"/>
        <w:spacing w:after="0"/>
        <w:tabs>
          <w:tab w:leader="none" w:pos="320" w:val="left"/>
        </w:tabs>
        <w:numPr>
          <w:ilvl w:val="0"/>
          <w:numId w:val="168"/>
        </w:numPr>
        <w:rPr>
          <w:rFonts w:ascii="Arial" w:cs="Arial" w:eastAsia="Arial" w:hAnsi="Arial"/>
          <w:sz w:val="21"/>
          <w:szCs w:val="21"/>
          <w:color w:val="auto"/>
        </w:rPr>
      </w:pPr>
      <w:r>
        <w:rPr>
          <w:rFonts w:ascii="Arial" w:cs="Arial" w:eastAsia="Arial" w:hAnsi="Arial"/>
          <w:sz w:val="21"/>
          <w:szCs w:val="21"/>
          <w:color w:val="auto"/>
        </w:rPr>
        <w:t>I have reviewed this report on Form 10-Q of Sempra Energy;</w:t>
      </w:r>
    </w:p>
    <w:p>
      <w:pPr>
        <w:spacing w:after="0" w:line="263" w:lineRule="exact"/>
        <w:rPr>
          <w:rFonts w:ascii="Arial" w:cs="Arial" w:eastAsia="Arial" w:hAnsi="Arial"/>
          <w:sz w:val="21"/>
          <w:szCs w:val="21"/>
          <w:color w:val="auto"/>
        </w:rPr>
      </w:pPr>
    </w:p>
    <w:p>
      <w:pPr>
        <w:ind w:left="320" w:right="400" w:hanging="314"/>
        <w:spacing w:after="0" w:line="252" w:lineRule="auto"/>
        <w:tabs>
          <w:tab w:leader="none" w:pos="320" w:val="left"/>
        </w:tabs>
        <w:numPr>
          <w:ilvl w:val="0"/>
          <w:numId w:val="168"/>
        </w:numPr>
        <w:rPr>
          <w:rFonts w:ascii="Arial" w:cs="Arial" w:eastAsia="Arial" w:hAnsi="Arial"/>
          <w:sz w:val="21"/>
          <w:szCs w:val="21"/>
          <w:color w:val="auto"/>
        </w:rPr>
      </w:pPr>
      <w:r>
        <w:rPr>
          <w:rFonts w:ascii="Arial" w:cs="Arial" w:eastAsia="Arial" w:hAnsi="Arial"/>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2" w:lineRule="exact"/>
        <w:rPr>
          <w:rFonts w:ascii="Arial" w:cs="Arial" w:eastAsia="Arial" w:hAnsi="Arial"/>
          <w:sz w:val="21"/>
          <w:szCs w:val="21"/>
          <w:color w:val="auto"/>
        </w:rPr>
      </w:pPr>
    </w:p>
    <w:p>
      <w:pPr>
        <w:ind w:left="320" w:right="60" w:hanging="314"/>
        <w:spacing w:after="0" w:line="252" w:lineRule="auto"/>
        <w:tabs>
          <w:tab w:leader="none" w:pos="320" w:val="left"/>
        </w:tabs>
        <w:numPr>
          <w:ilvl w:val="0"/>
          <w:numId w:val="168"/>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2" w:lineRule="exact"/>
        <w:rPr>
          <w:rFonts w:ascii="Arial" w:cs="Arial" w:eastAsia="Arial" w:hAnsi="Arial"/>
          <w:sz w:val="21"/>
          <w:szCs w:val="21"/>
          <w:color w:val="auto"/>
        </w:rPr>
      </w:pPr>
    </w:p>
    <w:p>
      <w:pPr>
        <w:ind w:left="320" w:right="60" w:hanging="314"/>
        <w:spacing w:after="0" w:line="252" w:lineRule="auto"/>
        <w:tabs>
          <w:tab w:leader="none" w:pos="320" w:val="left"/>
        </w:tabs>
        <w:numPr>
          <w:ilvl w:val="0"/>
          <w:numId w:val="168"/>
        </w:numPr>
        <w:rPr>
          <w:rFonts w:ascii="Arial" w:cs="Arial" w:eastAsia="Arial" w:hAnsi="Arial"/>
          <w:sz w:val="21"/>
          <w:szCs w:val="21"/>
          <w:color w:val="auto"/>
        </w:rPr>
      </w:pPr>
      <w:r>
        <w:rPr>
          <w:rFonts w:ascii="Arial" w:cs="Arial" w:eastAsia="Arial" w:hAnsi="Arial"/>
          <w:sz w:val="21"/>
          <w:szCs w:val="2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2" w:lineRule="exact"/>
        <w:rPr>
          <w:rFonts w:ascii="Arial" w:cs="Arial" w:eastAsia="Arial" w:hAnsi="Arial"/>
          <w:sz w:val="21"/>
          <w:szCs w:val="21"/>
          <w:color w:val="auto"/>
        </w:rPr>
      </w:pPr>
    </w:p>
    <w:p>
      <w:pPr>
        <w:ind w:left="960" w:right="40" w:hanging="316"/>
        <w:spacing w:after="0" w:line="291" w:lineRule="auto"/>
        <w:tabs>
          <w:tab w:leader="none" w:pos="960" w:val="left"/>
        </w:tabs>
        <w:numPr>
          <w:ilvl w:val="1"/>
          <w:numId w:val="168"/>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Arial" w:cs="Arial" w:eastAsia="Arial" w:hAnsi="Arial"/>
          <w:sz w:val="19"/>
          <w:szCs w:val="19"/>
          <w:color w:val="auto"/>
        </w:rPr>
      </w:pPr>
    </w:p>
    <w:p>
      <w:pPr>
        <w:ind w:left="960" w:right="380" w:hanging="316"/>
        <w:spacing w:after="0" w:line="291" w:lineRule="auto"/>
        <w:tabs>
          <w:tab w:leader="none" w:pos="960" w:val="left"/>
        </w:tabs>
        <w:numPr>
          <w:ilvl w:val="1"/>
          <w:numId w:val="168"/>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60" w:right="240" w:hanging="316"/>
        <w:spacing w:after="0" w:line="252" w:lineRule="auto"/>
        <w:tabs>
          <w:tab w:leader="none" w:pos="960" w:val="left"/>
        </w:tabs>
        <w:numPr>
          <w:ilvl w:val="1"/>
          <w:numId w:val="168"/>
        </w:numPr>
        <w:rPr>
          <w:rFonts w:ascii="Arial" w:cs="Arial" w:eastAsia="Arial" w:hAnsi="Arial"/>
          <w:sz w:val="21"/>
          <w:szCs w:val="21"/>
          <w:color w:val="auto"/>
        </w:rPr>
      </w:pPr>
      <w:r>
        <w:rPr>
          <w:rFonts w:ascii="Arial" w:cs="Arial" w:eastAsia="Arial" w:hAnsi="Arial"/>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2" w:lineRule="exact"/>
        <w:rPr>
          <w:rFonts w:ascii="Arial" w:cs="Arial" w:eastAsia="Arial" w:hAnsi="Arial"/>
          <w:sz w:val="21"/>
          <w:szCs w:val="21"/>
          <w:color w:val="auto"/>
        </w:rPr>
      </w:pPr>
    </w:p>
    <w:p>
      <w:pPr>
        <w:ind w:left="960" w:right="20" w:hanging="316"/>
        <w:spacing w:after="0" w:line="291" w:lineRule="auto"/>
        <w:tabs>
          <w:tab w:leader="none" w:pos="960" w:val="left"/>
        </w:tabs>
        <w:numPr>
          <w:ilvl w:val="1"/>
          <w:numId w:val="168"/>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Arial" w:cs="Arial" w:eastAsia="Arial" w:hAnsi="Arial"/>
          <w:sz w:val="19"/>
          <w:szCs w:val="19"/>
          <w:color w:val="auto"/>
        </w:rPr>
      </w:pPr>
    </w:p>
    <w:p>
      <w:pPr>
        <w:ind w:left="320" w:right="40" w:hanging="314"/>
        <w:spacing w:after="0" w:line="252" w:lineRule="auto"/>
        <w:tabs>
          <w:tab w:leader="none" w:pos="320" w:val="left"/>
        </w:tabs>
        <w:numPr>
          <w:ilvl w:val="0"/>
          <w:numId w:val="168"/>
        </w:numPr>
        <w:rPr>
          <w:rFonts w:ascii="Arial" w:cs="Arial" w:eastAsia="Arial" w:hAnsi="Arial"/>
          <w:sz w:val="21"/>
          <w:szCs w:val="21"/>
          <w:color w:val="auto"/>
        </w:rPr>
      </w:pPr>
      <w:r>
        <w:rPr>
          <w:rFonts w:ascii="Arial" w:cs="Arial" w:eastAsia="Arial" w:hAnsi="Arial"/>
          <w:sz w:val="21"/>
          <w:szCs w:val="21"/>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22" w:lineRule="exact"/>
        <w:rPr>
          <w:rFonts w:ascii="Arial" w:cs="Arial" w:eastAsia="Arial" w:hAnsi="Arial"/>
          <w:sz w:val="21"/>
          <w:szCs w:val="21"/>
          <w:color w:val="auto"/>
        </w:rPr>
      </w:pPr>
    </w:p>
    <w:p>
      <w:pPr>
        <w:ind w:left="960" w:right="140" w:hanging="316"/>
        <w:spacing w:after="0" w:line="252" w:lineRule="auto"/>
        <w:tabs>
          <w:tab w:leader="none" w:pos="960" w:val="left"/>
        </w:tabs>
        <w:numPr>
          <w:ilvl w:val="1"/>
          <w:numId w:val="168"/>
        </w:numPr>
        <w:rPr>
          <w:rFonts w:ascii="Arial" w:cs="Arial" w:eastAsia="Arial" w:hAnsi="Arial"/>
          <w:sz w:val="21"/>
          <w:szCs w:val="21"/>
          <w:color w:val="auto"/>
        </w:rPr>
      </w:pPr>
      <w:r>
        <w:rPr>
          <w:rFonts w:ascii="Arial" w:cs="Arial" w:eastAsia="Arial" w:hAnsi="Arial"/>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2" w:lineRule="exact"/>
        <w:rPr>
          <w:rFonts w:ascii="Arial" w:cs="Arial" w:eastAsia="Arial" w:hAnsi="Arial"/>
          <w:sz w:val="21"/>
          <w:szCs w:val="21"/>
          <w:color w:val="auto"/>
        </w:rPr>
      </w:pPr>
    </w:p>
    <w:p>
      <w:pPr>
        <w:ind w:left="960" w:right="580" w:hanging="316"/>
        <w:spacing w:after="0" w:line="267" w:lineRule="auto"/>
        <w:tabs>
          <w:tab w:leader="none" w:pos="960" w:val="left"/>
        </w:tabs>
        <w:numPr>
          <w:ilvl w:val="1"/>
          <w:numId w:val="168"/>
        </w:numPr>
        <w:rPr>
          <w:rFonts w:ascii="Arial" w:cs="Arial" w:eastAsia="Arial" w:hAnsi="Arial"/>
          <w:sz w:val="21"/>
          <w:szCs w:val="2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November 4, 2014</w:t>
      </w:r>
    </w:p>
    <w:p>
      <w:pPr>
        <w:spacing w:after="0" w:line="273" w:lineRule="exact"/>
        <w:rPr>
          <w:sz w:val="20"/>
          <w:szCs w:val="20"/>
          <w:color w:val="auto"/>
        </w:rPr>
      </w:pPr>
    </w:p>
    <w:p>
      <w:pPr>
        <w:ind w:left="10000"/>
        <w:spacing w:after="0"/>
        <w:rPr>
          <w:sz w:val="20"/>
          <w:szCs w:val="20"/>
          <w:color w:val="auto"/>
        </w:rPr>
      </w:pPr>
      <w:r>
        <w:rPr>
          <w:rFonts w:ascii="Arial" w:cs="Arial" w:eastAsia="Arial" w:hAnsi="Arial"/>
          <w:sz w:val="18"/>
          <w:szCs w:val="18"/>
          <w:color w:val="auto"/>
        </w:rPr>
        <w:t>/s/ Debra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4594860</wp:posOffset>
            </wp:positionH>
            <wp:positionV relativeFrom="paragraph">
              <wp:posOffset>11430</wp:posOffset>
            </wp:positionV>
            <wp:extent cx="265811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658110" cy="8255"/>
                    </a:xfrm>
                    <a:prstGeom prst="rect">
                      <a:avLst/>
                    </a:prstGeom>
                    <a:noFill/>
                  </pic:spPr>
                </pic:pic>
              </a:graphicData>
            </a:graphic>
          </wp:anchor>
        </w:drawing>
      </w:r>
    </w:p>
    <w:p>
      <w:pPr>
        <w:ind w:left="10260"/>
        <w:spacing w:after="0"/>
        <w:rPr>
          <w:sz w:val="20"/>
          <w:szCs w:val="20"/>
          <w:color w:val="auto"/>
        </w:rPr>
      </w:pPr>
      <w:r>
        <w:rPr>
          <w:rFonts w:ascii="Arial" w:cs="Arial" w:eastAsia="Arial" w:hAnsi="Arial"/>
          <w:sz w:val="17"/>
          <w:szCs w:val="17"/>
          <w:color w:val="auto"/>
        </w:rPr>
        <w:t>Debra L. Reed</w:t>
      </w:r>
    </w:p>
    <w:p>
      <w:pPr>
        <w:spacing w:after="0" w:line="28" w:lineRule="exact"/>
        <w:rPr>
          <w:sz w:val="20"/>
          <w:szCs w:val="20"/>
          <w:color w:val="auto"/>
        </w:rPr>
      </w:pPr>
    </w:p>
    <w:p>
      <w:pPr>
        <w:ind w:left="960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420"/>
          </w:cols>
          <w:pgMar w:left="240" w:top="118"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21"/>
          <w:szCs w:val="21"/>
          <w:color w:val="auto"/>
        </w:rPr>
        <w:t>EXHIBIT 31.2</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CERTIFICATION</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color w:val="auto"/>
        </w:rPr>
        <w:t>I, Joseph A. Householder, certify that:</w:t>
      </w:r>
    </w:p>
    <w:p>
      <w:pPr>
        <w:spacing w:after="0" w:line="264" w:lineRule="exact"/>
        <w:rPr>
          <w:sz w:val="20"/>
          <w:szCs w:val="20"/>
          <w:color w:val="auto"/>
        </w:rPr>
      </w:pPr>
    </w:p>
    <w:p>
      <w:pPr>
        <w:ind w:left="320" w:hanging="314"/>
        <w:spacing w:after="0"/>
        <w:tabs>
          <w:tab w:leader="none" w:pos="320" w:val="left"/>
        </w:tabs>
        <w:numPr>
          <w:ilvl w:val="0"/>
          <w:numId w:val="169"/>
        </w:numPr>
        <w:rPr>
          <w:rFonts w:ascii="Arial" w:cs="Arial" w:eastAsia="Arial" w:hAnsi="Arial"/>
          <w:sz w:val="21"/>
          <w:szCs w:val="21"/>
          <w:color w:val="auto"/>
        </w:rPr>
      </w:pPr>
      <w:r>
        <w:rPr>
          <w:rFonts w:ascii="Arial" w:cs="Arial" w:eastAsia="Arial" w:hAnsi="Arial"/>
          <w:sz w:val="21"/>
          <w:szCs w:val="21"/>
          <w:color w:val="auto"/>
        </w:rPr>
        <w:t>I have reviewed this report on Form 10-Q of Sempra Energy;</w:t>
      </w:r>
    </w:p>
    <w:p>
      <w:pPr>
        <w:spacing w:after="0" w:line="263" w:lineRule="exact"/>
        <w:rPr>
          <w:rFonts w:ascii="Arial" w:cs="Arial" w:eastAsia="Arial" w:hAnsi="Arial"/>
          <w:sz w:val="21"/>
          <w:szCs w:val="21"/>
          <w:color w:val="auto"/>
        </w:rPr>
      </w:pPr>
    </w:p>
    <w:p>
      <w:pPr>
        <w:ind w:left="320" w:right="400" w:hanging="314"/>
        <w:spacing w:after="0" w:line="252" w:lineRule="auto"/>
        <w:tabs>
          <w:tab w:leader="none" w:pos="320" w:val="left"/>
        </w:tabs>
        <w:numPr>
          <w:ilvl w:val="0"/>
          <w:numId w:val="169"/>
        </w:numPr>
        <w:rPr>
          <w:rFonts w:ascii="Arial" w:cs="Arial" w:eastAsia="Arial" w:hAnsi="Arial"/>
          <w:sz w:val="21"/>
          <w:szCs w:val="21"/>
          <w:color w:val="auto"/>
        </w:rPr>
      </w:pPr>
      <w:r>
        <w:rPr>
          <w:rFonts w:ascii="Arial" w:cs="Arial" w:eastAsia="Arial" w:hAnsi="Arial"/>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2" w:lineRule="exact"/>
        <w:rPr>
          <w:rFonts w:ascii="Arial" w:cs="Arial" w:eastAsia="Arial" w:hAnsi="Arial"/>
          <w:sz w:val="21"/>
          <w:szCs w:val="21"/>
          <w:color w:val="auto"/>
        </w:rPr>
      </w:pPr>
    </w:p>
    <w:p>
      <w:pPr>
        <w:ind w:left="320" w:right="60" w:hanging="314"/>
        <w:spacing w:after="0" w:line="252" w:lineRule="auto"/>
        <w:tabs>
          <w:tab w:leader="none" w:pos="320" w:val="left"/>
        </w:tabs>
        <w:numPr>
          <w:ilvl w:val="0"/>
          <w:numId w:val="169"/>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2" w:lineRule="exact"/>
        <w:rPr>
          <w:rFonts w:ascii="Arial" w:cs="Arial" w:eastAsia="Arial" w:hAnsi="Arial"/>
          <w:sz w:val="21"/>
          <w:szCs w:val="21"/>
          <w:color w:val="auto"/>
        </w:rPr>
      </w:pPr>
    </w:p>
    <w:p>
      <w:pPr>
        <w:ind w:left="320" w:right="60" w:hanging="314"/>
        <w:spacing w:after="0" w:line="252" w:lineRule="auto"/>
        <w:tabs>
          <w:tab w:leader="none" w:pos="320" w:val="left"/>
        </w:tabs>
        <w:numPr>
          <w:ilvl w:val="0"/>
          <w:numId w:val="169"/>
        </w:numPr>
        <w:rPr>
          <w:rFonts w:ascii="Arial" w:cs="Arial" w:eastAsia="Arial" w:hAnsi="Arial"/>
          <w:sz w:val="21"/>
          <w:szCs w:val="21"/>
          <w:color w:val="auto"/>
        </w:rPr>
      </w:pPr>
      <w:r>
        <w:rPr>
          <w:rFonts w:ascii="Arial" w:cs="Arial" w:eastAsia="Arial" w:hAnsi="Arial"/>
          <w:sz w:val="21"/>
          <w:szCs w:val="2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2" w:lineRule="exact"/>
        <w:rPr>
          <w:rFonts w:ascii="Arial" w:cs="Arial" w:eastAsia="Arial" w:hAnsi="Arial"/>
          <w:sz w:val="21"/>
          <w:szCs w:val="21"/>
          <w:color w:val="auto"/>
        </w:rPr>
      </w:pPr>
    </w:p>
    <w:p>
      <w:pPr>
        <w:ind w:left="960" w:right="40" w:hanging="316"/>
        <w:spacing w:after="0" w:line="291" w:lineRule="auto"/>
        <w:tabs>
          <w:tab w:leader="none" w:pos="960" w:val="left"/>
        </w:tabs>
        <w:numPr>
          <w:ilvl w:val="1"/>
          <w:numId w:val="169"/>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Arial" w:cs="Arial" w:eastAsia="Arial" w:hAnsi="Arial"/>
          <w:sz w:val="19"/>
          <w:szCs w:val="19"/>
          <w:color w:val="auto"/>
        </w:rPr>
      </w:pPr>
    </w:p>
    <w:p>
      <w:pPr>
        <w:ind w:left="960" w:right="380" w:hanging="316"/>
        <w:spacing w:after="0" w:line="291" w:lineRule="auto"/>
        <w:tabs>
          <w:tab w:leader="none" w:pos="960" w:val="left"/>
        </w:tabs>
        <w:numPr>
          <w:ilvl w:val="1"/>
          <w:numId w:val="169"/>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60" w:right="240" w:hanging="316"/>
        <w:spacing w:after="0" w:line="252" w:lineRule="auto"/>
        <w:tabs>
          <w:tab w:leader="none" w:pos="960" w:val="left"/>
        </w:tabs>
        <w:numPr>
          <w:ilvl w:val="1"/>
          <w:numId w:val="169"/>
        </w:numPr>
        <w:rPr>
          <w:rFonts w:ascii="Arial" w:cs="Arial" w:eastAsia="Arial" w:hAnsi="Arial"/>
          <w:sz w:val="21"/>
          <w:szCs w:val="21"/>
          <w:color w:val="auto"/>
        </w:rPr>
      </w:pPr>
      <w:r>
        <w:rPr>
          <w:rFonts w:ascii="Arial" w:cs="Arial" w:eastAsia="Arial" w:hAnsi="Arial"/>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2" w:lineRule="exact"/>
        <w:rPr>
          <w:rFonts w:ascii="Arial" w:cs="Arial" w:eastAsia="Arial" w:hAnsi="Arial"/>
          <w:sz w:val="21"/>
          <w:szCs w:val="21"/>
          <w:color w:val="auto"/>
        </w:rPr>
      </w:pPr>
    </w:p>
    <w:p>
      <w:pPr>
        <w:ind w:left="960" w:right="20" w:hanging="316"/>
        <w:spacing w:after="0" w:line="291" w:lineRule="auto"/>
        <w:tabs>
          <w:tab w:leader="none" w:pos="960" w:val="left"/>
        </w:tabs>
        <w:numPr>
          <w:ilvl w:val="1"/>
          <w:numId w:val="169"/>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Arial" w:cs="Arial" w:eastAsia="Arial" w:hAnsi="Arial"/>
          <w:sz w:val="19"/>
          <w:szCs w:val="19"/>
          <w:color w:val="auto"/>
        </w:rPr>
      </w:pPr>
    </w:p>
    <w:p>
      <w:pPr>
        <w:ind w:left="320" w:right="40" w:hanging="314"/>
        <w:spacing w:after="0" w:line="252" w:lineRule="auto"/>
        <w:tabs>
          <w:tab w:leader="none" w:pos="320" w:val="left"/>
        </w:tabs>
        <w:numPr>
          <w:ilvl w:val="0"/>
          <w:numId w:val="169"/>
        </w:numPr>
        <w:rPr>
          <w:rFonts w:ascii="Arial" w:cs="Arial" w:eastAsia="Arial" w:hAnsi="Arial"/>
          <w:sz w:val="21"/>
          <w:szCs w:val="21"/>
          <w:color w:val="auto"/>
        </w:rPr>
      </w:pPr>
      <w:r>
        <w:rPr>
          <w:rFonts w:ascii="Arial" w:cs="Arial" w:eastAsia="Arial" w:hAnsi="Arial"/>
          <w:sz w:val="21"/>
          <w:szCs w:val="21"/>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22" w:lineRule="exact"/>
        <w:rPr>
          <w:rFonts w:ascii="Arial" w:cs="Arial" w:eastAsia="Arial" w:hAnsi="Arial"/>
          <w:sz w:val="21"/>
          <w:szCs w:val="21"/>
          <w:color w:val="auto"/>
        </w:rPr>
      </w:pPr>
    </w:p>
    <w:p>
      <w:pPr>
        <w:ind w:left="960" w:right="140" w:hanging="316"/>
        <w:spacing w:after="0" w:line="252" w:lineRule="auto"/>
        <w:tabs>
          <w:tab w:leader="none" w:pos="960" w:val="left"/>
        </w:tabs>
        <w:numPr>
          <w:ilvl w:val="1"/>
          <w:numId w:val="169"/>
        </w:numPr>
        <w:rPr>
          <w:rFonts w:ascii="Arial" w:cs="Arial" w:eastAsia="Arial" w:hAnsi="Arial"/>
          <w:sz w:val="21"/>
          <w:szCs w:val="21"/>
          <w:color w:val="auto"/>
        </w:rPr>
      </w:pPr>
      <w:r>
        <w:rPr>
          <w:rFonts w:ascii="Arial" w:cs="Arial" w:eastAsia="Arial" w:hAnsi="Arial"/>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2" w:lineRule="exact"/>
        <w:rPr>
          <w:rFonts w:ascii="Arial" w:cs="Arial" w:eastAsia="Arial" w:hAnsi="Arial"/>
          <w:sz w:val="21"/>
          <w:szCs w:val="21"/>
          <w:color w:val="auto"/>
        </w:rPr>
      </w:pPr>
    </w:p>
    <w:p>
      <w:pPr>
        <w:ind w:left="960" w:right="580" w:hanging="316"/>
        <w:spacing w:after="0" w:line="267" w:lineRule="auto"/>
        <w:tabs>
          <w:tab w:leader="none" w:pos="960" w:val="left"/>
        </w:tabs>
        <w:numPr>
          <w:ilvl w:val="1"/>
          <w:numId w:val="169"/>
        </w:numPr>
        <w:rPr>
          <w:rFonts w:ascii="Arial" w:cs="Arial" w:eastAsia="Arial" w:hAnsi="Arial"/>
          <w:sz w:val="21"/>
          <w:szCs w:val="2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November 4, 2014</w:t>
      </w:r>
    </w:p>
    <w:p>
      <w:pPr>
        <w:spacing w:after="0" w:line="273" w:lineRule="exact"/>
        <w:rPr>
          <w:sz w:val="20"/>
          <w:szCs w:val="20"/>
          <w:color w:val="auto"/>
        </w:rPr>
      </w:pPr>
    </w:p>
    <w:p>
      <w:pPr>
        <w:ind w:left="9400"/>
        <w:spacing w:after="0"/>
        <w:rPr>
          <w:sz w:val="20"/>
          <w:szCs w:val="20"/>
          <w:color w:val="auto"/>
        </w:rPr>
      </w:pPr>
      <w:r>
        <w:rPr>
          <w:rFonts w:ascii="Arial" w:cs="Arial" w:eastAsia="Arial" w:hAnsi="Arial"/>
          <w:sz w:val="17"/>
          <w:szCs w:val="17"/>
          <w:color w:val="auto"/>
        </w:rPr>
        <w:t>/s/ Joseph A. Householder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4645025</wp:posOffset>
            </wp:positionH>
            <wp:positionV relativeFrom="paragraph">
              <wp:posOffset>19050</wp:posOffset>
            </wp:positionV>
            <wp:extent cx="260731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607310" cy="8255"/>
                    </a:xfrm>
                    <a:prstGeom prst="rect">
                      <a:avLst/>
                    </a:prstGeom>
                    <a:noFill/>
                  </pic:spPr>
                </pic:pic>
              </a:graphicData>
            </a:graphic>
          </wp:anchor>
        </w:drawing>
      </w:r>
    </w:p>
    <w:p>
      <w:pPr>
        <w:spacing w:after="0" w:line="10" w:lineRule="exact"/>
        <w:rPr>
          <w:sz w:val="20"/>
          <w:szCs w:val="20"/>
          <w:color w:val="auto"/>
        </w:rPr>
      </w:pPr>
    </w:p>
    <w:p>
      <w:pPr>
        <w:ind w:left="9640"/>
        <w:spacing w:after="0"/>
        <w:rPr>
          <w:sz w:val="20"/>
          <w:szCs w:val="20"/>
          <w:color w:val="auto"/>
        </w:rPr>
      </w:pPr>
      <w:r>
        <w:rPr>
          <w:rFonts w:ascii="Arial" w:cs="Arial" w:eastAsia="Arial" w:hAnsi="Arial"/>
          <w:sz w:val="17"/>
          <w:szCs w:val="17"/>
          <w:color w:val="auto"/>
        </w:rPr>
        <w:t>Joseph A. Householder</w:t>
      </w:r>
    </w:p>
    <w:p>
      <w:pPr>
        <w:spacing w:after="0" w:line="28" w:lineRule="exact"/>
        <w:rPr>
          <w:sz w:val="20"/>
          <w:szCs w:val="20"/>
          <w:color w:val="auto"/>
        </w:rPr>
      </w:pPr>
    </w:p>
    <w:p>
      <w:pPr>
        <w:ind w:left="96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18"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21"/>
          <w:szCs w:val="21"/>
          <w:color w:val="auto"/>
        </w:rPr>
        <w:t>EXHIBIT 31.3</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CERTIFICATION</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color w:val="auto"/>
        </w:rPr>
        <w:t>I, J. Walker Martin, certify that:</w:t>
      </w:r>
    </w:p>
    <w:p>
      <w:pPr>
        <w:spacing w:after="0" w:line="264" w:lineRule="exact"/>
        <w:rPr>
          <w:sz w:val="20"/>
          <w:szCs w:val="20"/>
          <w:color w:val="auto"/>
        </w:rPr>
      </w:pPr>
    </w:p>
    <w:p>
      <w:pPr>
        <w:ind w:left="320" w:hanging="314"/>
        <w:spacing w:after="0"/>
        <w:tabs>
          <w:tab w:leader="none" w:pos="320" w:val="left"/>
        </w:tabs>
        <w:numPr>
          <w:ilvl w:val="0"/>
          <w:numId w:val="170"/>
        </w:numPr>
        <w:rPr>
          <w:rFonts w:ascii="Arial" w:cs="Arial" w:eastAsia="Arial" w:hAnsi="Arial"/>
          <w:sz w:val="21"/>
          <w:szCs w:val="21"/>
          <w:color w:val="auto"/>
        </w:rPr>
      </w:pPr>
      <w:r>
        <w:rPr>
          <w:rFonts w:ascii="Arial" w:cs="Arial" w:eastAsia="Arial" w:hAnsi="Arial"/>
          <w:sz w:val="21"/>
          <w:szCs w:val="21"/>
          <w:color w:val="auto"/>
        </w:rPr>
        <w:t>I have reviewed this report on Form 10-Q of San Diego Gas &amp; Electric Company;</w:t>
      </w:r>
    </w:p>
    <w:p>
      <w:pPr>
        <w:spacing w:after="0" w:line="263" w:lineRule="exact"/>
        <w:rPr>
          <w:rFonts w:ascii="Arial" w:cs="Arial" w:eastAsia="Arial" w:hAnsi="Arial"/>
          <w:sz w:val="21"/>
          <w:szCs w:val="21"/>
          <w:color w:val="auto"/>
        </w:rPr>
      </w:pPr>
    </w:p>
    <w:p>
      <w:pPr>
        <w:ind w:left="320" w:right="400" w:hanging="314"/>
        <w:spacing w:after="0" w:line="252" w:lineRule="auto"/>
        <w:tabs>
          <w:tab w:leader="none" w:pos="320" w:val="left"/>
        </w:tabs>
        <w:numPr>
          <w:ilvl w:val="0"/>
          <w:numId w:val="170"/>
        </w:numPr>
        <w:rPr>
          <w:rFonts w:ascii="Arial" w:cs="Arial" w:eastAsia="Arial" w:hAnsi="Arial"/>
          <w:sz w:val="21"/>
          <w:szCs w:val="21"/>
          <w:color w:val="auto"/>
        </w:rPr>
      </w:pPr>
      <w:r>
        <w:rPr>
          <w:rFonts w:ascii="Arial" w:cs="Arial" w:eastAsia="Arial" w:hAnsi="Arial"/>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2" w:lineRule="exact"/>
        <w:rPr>
          <w:rFonts w:ascii="Arial" w:cs="Arial" w:eastAsia="Arial" w:hAnsi="Arial"/>
          <w:sz w:val="21"/>
          <w:szCs w:val="21"/>
          <w:color w:val="auto"/>
        </w:rPr>
      </w:pPr>
    </w:p>
    <w:p>
      <w:pPr>
        <w:ind w:left="320" w:right="60" w:hanging="314"/>
        <w:spacing w:after="0" w:line="252" w:lineRule="auto"/>
        <w:tabs>
          <w:tab w:leader="none" w:pos="320" w:val="left"/>
        </w:tabs>
        <w:numPr>
          <w:ilvl w:val="0"/>
          <w:numId w:val="170"/>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2" w:lineRule="exact"/>
        <w:rPr>
          <w:rFonts w:ascii="Arial" w:cs="Arial" w:eastAsia="Arial" w:hAnsi="Arial"/>
          <w:sz w:val="21"/>
          <w:szCs w:val="21"/>
          <w:color w:val="auto"/>
        </w:rPr>
      </w:pPr>
    </w:p>
    <w:p>
      <w:pPr>
        <w:ind w:left="320" w:right="60" w:hanging="314"/>
        <w:spacing w:after="0" w:line="252" w:lineRule="auto"/>
        <w:tabs>
          <w:tab w:leader="none" w:pos="320" w:val="left"/>
        </w:tabs>
        <w:numPr>
          <w:ilvl w:val="0"/>
          <w:numId w:val="170"/>
        </w:numPr>
        <w:rPr>
          <w:rFonts w:ascii="Arial" w:cs="Arial" w:eastAsia="Arial" w:hAnsi="Arial"/>
          <w:sz w:val="21"/>
          <w:szCs w:val="21"/>
          <w:color w:val="auto"/>
        </w:rPr>
      </w:pPr>
      <w:r>
        <w:rPr>
          <w:rFonts w:ascii="Arial" w:cs="Arial" w:eastAsia="Arial" w:hAnsi="Arial"/>
          <w:sz w:val="21"/>
          <w:szCs w:val="2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2" w:lineRule="exact"/>
        <w:rPr>
          <w:rFonts w:ascii="Arial" w:cs="Arial" w:eastAsia="Arial" w:hAnsi="Arial"/>
          <w:sz w:val="21"/>
          <w:szCs w:val="21"/>
          <w:color w:val="auto"/>
        </w:rPr>
      </w:pPr>
    </w:p>
    <w:p>
      <w:pPr>
        <w:ind w:left="960" w:right="40" w:hanging="316"/>
        <w:spacing w:after="0" w:line="291" w:lineRule="auto"/>
        <w:tabs>
          <w:tab w:leader="none" w:pos="960" w:val="left"/>
        </w:tabs>
        <w:numPr>
          <w:ilvl w:val="1"/>
          <w:numId w:val="170"/>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Arial" w:cs="Arial" w:eastAsia="Arial" w:hAnsi="Arial"/>
          <w:sz w:val="19"/>
          <w:szCs w:val="19"/>
          <w:color w:val="auto"/>
        </w:rPr>
      </w:pPr>
    </w:p>
    <w:p>
      <w:pPr>
        <w:ind w:left="960" w:right="380" w:hanging="316"/>
        <w:spacing w:after="0" w:line="291" w:lineRule="auto"/>
        <w:tabs>
          <w:tab w:leader="none" w:pos="960" w:val="left"/>
        </w:tabs>
        <w:numPr>
          <w:ilvl w:val="1"/>
          <w:numId w:val="170"/>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60" w:right="240" w:hanging="316"/>
        <w:spacing w:after="0" w:line="252" w:lineRule="auto"/>
        <w:tabs>
          <w:tab w:leader="none" w:pos="960" w:val="left"/>
        </w:tabs>
        <w:numPr>
          <w:ilvl w:val="1"/>
          <w:numId w:val="170"/>
        </w:numPr>
        <w:rPr>
          <w:rFonts w:ascii="Arial" w:cs="Arial" w:eastAsia="Arial" w:hAnsi="Arial"/>
          <w:sz w:val="21"/>
          <w:szCs w:val="21"/>
          <w:color w:val="auto"/>
        </w:rPr>
      </w:pPr>
      <w:r>
        <w:rPr>
          <w:rFonts w:ascii="Arial" w:cs="Arial" w:eastAsia="Arial" w:hAnsi="Arial"/>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2" w:lineRule="exact"/>
        <w:rPr>
          <w:rFonts w:ascii="Arial" w:cs="Arial" w:eastAsia="Arial" w:hAnsi="Arial"/>
          <w:sz w:val="21"/>
          <w:szCs w:val="21"/>
          <w:color w:val="auto"/>
        </w:rPr>
      </w:pPr>
    </w:p>
    <w:p>
      <w:pPr>
        <w:ind w:left="960" w:right="20" w:hanging="316"/>
        <w:spacing w:after="0" w:line="291" w:lineRule="auto"/>
        <w:tabs>
          <w:tab w:leader="none" w:pos="960" w:val="left"/>
        </w:tabs>
        <w:numPr>
          <w:ilvl w:val="1"/>
          <w:numId w:val="170"/>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Arial" w:cs="Arial" w:eastAsia="Arial" w:hAnsi="Arial"/>
          <w:sz w:val="19"/>
          <w:szCs w:val="19"/>
          <w:color w:val="auto"/>
        </w:rPr>
      </w:pPr>
    </w:p>
    <w:p>
      <w:pPr>
        <w:ind w:left="320" w:right="40" w:hanging="314"/>
        <w:spacing w:after="0" w:line="252" w:lineRule="auto"/>
        <w:tabs>
          <w:tab w:leader="none" w:pos="320" w:val="left"/>
        </w:tabs>
        <w:numPr>
          <w:ilvl w:val="0"/>
          <w:numId w:val="170"/>
        </w:numPr>
        <w:rPr>
          <w:rFonts w:ascii="Arial" w:cs="Arial" w:eastAsia="Arial" w:hAnsi="Arial"/>
          <w:sz w:val="21"/>
          <w:szCs w:val="21"/>
          <w:color w:val="auto"/>
        </w:rPr>
      </w:pPr>
      <w:r>
        <w:rPr>
          <w:rFonts w:ascii="Arial" w:cs="Arial" w:eastAsia="Arial" w:hAnsi="Arial"/>
          <w:sz w:val="21"/>
          <w:szCs w:val="21"/>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22" w:lineRule="exact"/>
        <w:rPr>
          <w:rFonts w:ascii="Arial" w:cs="Arial" w:eastAsia="Arial" w:hAnsi="Arial"/>
          <w:sz w:val="21"/>
          <w:szCs w:val="21"/>
          <w:color w:val="auto"/>
        </w:rPr>
      </w:pPr>
    </w:p>
    <w:p>
      <w:pPr>
        <w:ind w:left="960" w:right="140" w:hanging="316"/>
        <w:spacing w:after="0" w:line="252" w:lineRule="auto"/>
        <w:tabs>
          <w:tab w:leader="none" w:pos="960" w:val="left"/>
        </w:tabs>
        <w:numPr>
          <w:ilvl w:val="1"/>
          <w:numId w:val="170"/>
        </w:numPr>
        <w:rPr>
          <w:rFonts w:ascii="Arial" w:cs="Arial" w:eastAsia="Arial" w:hAnsi="Arial"/>
          <w:sz w:val="21"/>
          <w:szCs w:val="21"/>
          <w:color w:val="auto"/>
        </w:rPr>
      </w:pPr>
      <w:r>
        <w:rPr>
          <w:rFonts w:ascii="Arial" w:cs="Arial" w:eastAsia="Arial" w:hAnsi="Arial"/>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2" w:lineRule="exact"/>
        <w:rPr>
          <w:rFonts w:ascii="Arial" w:cs="Arial" w:eastAsia="Arial" w:hAnsi="Arial"/>
          <w:sz w:val="21"/>
          <w:szCs w:val="21"/>
          <w:color w:val="auto"/>
        </w:rPr>
      </w:pPr>
    </w:p>
    <w:p>
      <w:pPr>
        <w:ind w:left="960" w:right="580" w:hanging="316"/>
        <w:spacing w:after="0" w:line="267" w:lineRule="auto"/>
        <w:tabs>
          <w:tab w:leader="none" w:pos="960" w:val="left"/>
        </w:tabs>
        <w:numPr>
          <w:ilvl w:val="1"/>
          <w:numId w:val="170"/>
        </w:numPr>
        <w:rPr>
          <w:rFonts w:ascii="Arial" w:cs="Arial" w:eastAsia="Arial" w:hAnsi="Arial"/>
          <w:sz w:val="21"/>
          <w:szCs w:val="2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November 4, 2014</w:t>
      </w:r>
    </w:p>
    <w:p>
      <w:pPr>
        <w:spacing w:after="0" w:line="273" w:lineRule="exact"/>
        <w:rPr>
          <w:sz w:val="20"/>
          <w:szCs w:val="20"/>
          <w:color w:val="auto"/>
        </w:rPr>
      </w:pPr>
    </w:p>
    <w:p>
      <w:pPr>
        <w:ind w:left="9840"/>
        <w:spacing w:after="0"/>
        <w:rPr>
          <w:sz w:val="20"/>
          <w:szCs w:val="20"/>
          <w:color w:val="auto"/>
        </w:rPr>
      </w:pPr>
      <w:r>
        <w:rPr>
          <w:rFonts w:ascii="Arial" w:cs="Arial" w:eastAsia="Arial" w:hAnsi="Arial"/>
          <w:sz w:val="18"/>
          <w:szCs w:val="18"/>
          <w:color w:val="auto"/>
        </w:rPr>
        <w:t>/s/ J. Walker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4544060</wp:posOffset>
            </wp:positionH>
            <wp:positionV relativeFrom="paragraph">
              <wp:posOffset>11430</wp:posOffset>
            </wp:positionV>
            <wp:extent cx="270891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ind w:left="10100"/>
        <w:spacing w:after="0"/>
        <w:rPr>
          <w:sz w:val="20"/>
          <w:szCs w:val="20"/>
          <w:color w:val="auto"/>
        </w:rPr>
      </w:pPr>
      <w:r>
        <w:rPr>
          <w:rFonts w:ascii="Arial" w:cs="Arial" w:eastAsia="Arial" w:hAnsi="Arial"/>
          <w:sz w:val="18"/>
          <w:szCs w:val="18"/>
          <w:color w:val="auto"/>
        </w:rPr>
        <w:t>J. Walker Martin</w:t>
      </w:r>
    </w:p>
    <w:p>
      <w:pPr>
        <w:spacing w:after="0" w:line="17" w:lineRule="exact"/>
        <w:rPr>
          <w:sz w:val="20"/>
          <w:szCs w:val="20"/>
          <w:color w:val="auto"/>
        </w:rPr>
      </w:pPr>
    </w:p>
    <w:p>
      <w:pPr>
        <w:ind w:left="960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420"/>
          </w:cols>
          <w:pgMar w:left="240" w:top="118"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21"/>
          <w:szCs w:val="21"/>
          <w:color w:val="auto"/>
        </w:rPr>
        <w:t>EXHIBIT 31.4</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CERTIFICATION</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color w:val="auto"/>
        </w:rPr>
        <w:t>I, Robert M. Schlax, certify that:</w:t>
      </w:r>
    </w:p>
    <w:p>
      <w:pPr>
        <w:spacing w:after="0" w:line="264" w:lineRule="exact"/>
        <w:rPr>
          <w:sz w:val="20"/>
          <w:szCs w:val="20"/>
          <w:color w:val="auto"/>
        </w:rPr>
      </w:pPr>
    </w:p>
    <w:p>
      <w:pPr>
        <w:ind w:left="320" w:hanging="314"/>
        <w:spacing w:after="0"/>
        <w:tabs>
          <w:tab w:leader="none" w:pos="320" w:val="left"/>
        </w:tabs>
        <w:numPr>
          <w:ilvl w:val="0"/>
          <w:numId w:val="171"/>
        </w:numPr>
        <w:rPr>
          <w:rFonts w:ascii="Arial" w:cs="Arial" w:eastAsia="Arial" w:hAnsi="Arial"/>
          <w:sz w:val="21"/>
          <w:szCs w:val="21"/>
          <w:color w:val="auto"/>
        </w:rPr>
      </w:pPr>
      <w:r>
        <w:rPr>
          <w:rFonts w:ascii="Arial" w:cs="Arial" w:eastAsia="Arial" w:hAnsi="Arial"/>
          <w:sz w:val="21"/>
          <w:szCs w:val="21"/>
          <w:color w:val="auto"/>
        </w:rPr>
        <w:t>I have reviewed this report on Form 10-Q of San Diego Gas &amp; Electric Company;</w:t>
      </w:r>
    </w:p>
    <w:p>
      <w:pPr>
        <w:spacing w:after="0" w:line="263" w:lineRule="exact"/>
        <w:rPr>
          <w:rFonts w:ascii="Arial" w:cs="Arial" w:eastAsia="Arial" w:hAnsi="Arial"/>
          <w:sz w:val="21"/>
          <w:szCs w:val="21"/>
          <w:color w:val="auto"/>
        </w:rPr>
      </w:pPr>
    </w:p>
    <w:p>
      <w:pPr>
        <w:ind w:left="320" w:right="400" w:hanging="314"/>
        <w:spacing w:after="0" w:line="252" w:lineRule="auto"/>
        <w:tabs>
          <w:tab w:leader="none" w:pos="320" w:val="left"/>
        </w:tabs>
        <w:numPr>
          <w:ilvl w:val="0"/>
          <w:numId w:val="171"/>
        </w:numPr>
        <w:rPr>
          <w:rFonts w:ascii="Arial" w:cs="Arial" w:eastAsia="Arial" w:hAnsi="Arial"/>
          <w:sz w:val="21"/>
          <w:szCs w:val="21"/>
          <w:color w:val="auto"/>
        </w:rPr>
      </w:pPr>
      <w:r>
        <w:rPr>
          <w:rFonts w:ascii="Arial" w:cs="Arial" w:eastAsia="Arial" w:hAnsi="Arial"/>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2" w:lineRule="exact"/>
        <w:rPr>
          <w:rFonts w:ascii="Arial" w:cs="Arial" w:eastAsia="Arial" w:hAnsi="Arial"/>
          <w:sz w:val="21"/>
          <w:szCs w:val="21"/>
          <w:color w:val="auto"/>
        </w:rPr>
      </w:pPr>
    </w:p>
    <w:p>
      <w:pPr>
        <w:ind w:left="320" w:right="60" w:hanging="314"/>
        <w:spacing w:after="0" w:line="252" w:lineRule="auto"/>
        <w:tabs>
          <w:tab w:leader="none" w:pos="320" w:val="left"/>
        </w:tabs>
        <w:numPr>
          <w:ilvl w:val="0"/>
          <w:numId w:val="171"/>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2" w:lineRule="exact"/>
        <w:rPr>
          <w:rFonts w:ascii="Arial" w:cs="Arial" w:eastAsia="Arial" w:hAnsi="Arial"/>
          <w:sz w:val="21"/>
          <w:szCs w:val="21"/>
          <w:color w:val="auto"/>
        </w:rPr>
      </w:pPr>
    </w:p>
    <w:p>
      <w:pPr>
        <w:ind w:left="320" w:right="60" w:hanging="314"/>
        <w:spacing w:after="0" w:line="252" w:lineRule="auto"/>
        <w:tabs>
          <w:tab w:leader="none" w:pos="320" w:val="left"/>
        </w:tabs>
        <w:numPr>
          <w:ilvl w:val="0"/>
          <w:numId w:val="171"/>
        </w:numPr>
        <w:rPr>
          <w:rFonts w:ascii="Arial" w:cs="Arial" w:eastAsia="Arial" w:hAnsi="Arial"/>
          <w:sz w:val="21"/>
          <w:szCs w:val="21"/>
          <w:color w:val="auto"/>
        </w:rPr>
      </w:pPr>
      <w:r>
        <w:rPr>
          <w:rFonts w:ascii="Arial" w:cs="Arial" w:eastAsia="Arial" w:hAnsi="Arial"/>
          <w:sz w:val="21"/>
          <w:szCs w:val="2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2" w:lineRule="exact"/>
        <w:rPr>
          <w:rFonts w:ascii="Arial" w:cs="Arial" w:eastAsia="Arial" w:hAnsi="Arial"/>
          <w:sz w:val="21"/>
          <w:szCs w:val="21"/>
          <w:color w:val="auto"/>
        </w:rPr>
      </w:pPr>
    </w:p>
    <w:p>
      <w:pPr>
        <w:ind w:left="960" w:right="40" w:hanging="316"/>
        <w:spacing w:after="0" w:line="291" w:lineRule="auto"/>
        <w:tabs>
          <w:tab w:leader="none" w:pos="960" w:val="left"/>
        </w:tabs>
        <w:numPr>
          <w:ilvl w:val="1"/>
          <w:numId w:val="171"/>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Arial" w:cs="Arial" w:eastAsia="Arial" w:hAnsi="Arial"/>
          <w:sz w:val="19"/>
          <w:szCs w:val="19"/>
          <w:color w:val="auto"/>
        </w:rPr>
      </w:pPr>
    </w:p>
    <w:p>
      <w:pPr>
        <w:ind w:left="960" w:right="380" w:hanging="316"/>
        <w:spacing w:after="0" w:line="291" w:lineRule="auto"/>
        <w:tabs>
          <w:tab w:leader="none" w:pos="960" w:val="left"/>
        </w:tabs>
        <w:numPr>
          <w:ilvl w:val="1"/>
          <w:numId w:val="171"/>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60" w:right="240" w:hanging="316"/>
        <w:spacing w:after="0" w:line="252" w:lineRule="auto"/>
        <w:tabs>
          <w:tab w:leader="none" w:pos="960" w:val="left"/>
        </w:tabs>
        <w:numPr>
          <w:ilvl w:val="1"/>
          <w:numId w:val="171"/>
        </w:numPr>
        <w:rPr>
          <w:rFonts w:ascii="Arial" w:cs="Arial" w:eastAsia="Arial" w:hAnsi="Arial"/>
          <w:sz w:val="21"/>
          <w:szCs w:val="21"/>
          <w:color w:val="auto"/>
        </w:rPr>
      </w:pPr>
      <w:r>
        <w:rPr>
          <w:rFonts w:ascii="Arial" w:cs="Arial" w:eastAsia="Arial" w:hAnsi="Arial"/>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2" w:lineRule="exact"/>
        <w:rPr>
          <w:rFonts w:ascii="Arial" w:cs="Arial" w:eastAsia="Arial" w:hAnsi="Arial"/>
          <w:sz w:val="21"/>
          <w:szCs w:val="21"/>
          <w:color w:val="auto"/>
        </w:rPr>
      </w:pPr>
    </w:p>
    <w:p>
      <w:pPr>
        <w:ind w:left="960" w:right="20" w:hanging="316"/>
        <w:spacing w:after="0" w:line="291" w:lineRule="auto"/>
        <w:tabs>
          <w:tab w:leader="none" w:pos="960" w:val="left"/>
        </w:tabs>
        <w:numPr>
          <w:ilvl w:val="1"/>
          <w:numId w:val="171"/>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Arial" w:cs="Arial" w:eastAsia="Arial" w:hAnsi="Arial"/>
          <w:sz w:val="19"/>
          <w:szCs w:val="19"/>
          <w:color w:val="auto"/>
        </w:rPr>
      </w:pPr>
    </w:p>
    <w:p>
      <w:pPr>
        <w:ind w:left="320" w:right="40" w:hanging="314"/>
        <w:spacing w:after="0" w:line="252" w:lineRule="auto"/>
        <w:tabs>
          <w:tab w:leader="none" w:pos="320" w:val="left"/>
        </w:tabs>
        <w:numPr>
          <w:ilvl w:val="0"/>
          <w:numId w:val="171"/>
        </w:numPr>
        <w:rPr>
          <w:rFonts w:ascii="Arial" w:cs="Arial" w:eastAsia="Arial" w:hAnsi="Arial"/>
          <w:sz w:val="21"/>
          <w:szCs w:val="21"/>
          <w:color w:val="auto"/>
        </w:rPr>
      </w:pPr>
      <w:r>
        <w:rPr>
          <w:rFonts w:ascii="Arial" w:cs="Arial" w:eastAsia="Arial" w:hAnsi="Arial"/>
          <w:sz w:val="21"/>
          <w:szCs w:val="21"/>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22" w:lineRule="exact"/>
        <w:rPr>
          <w:rFonts w:ascii="Arial" w:cs="Arial" w:eastAsia="Arial" w:hAnsi="Arial"/>
          <w:sz w:val="21"/>
          <w:szCs w:val="21"/>
          <w:color w:val="auto"/>
        </w:rPr>
      </w:pPr>
    </w:p>
    <w:p>
      <w:pPr>
        <w:ind w:left="960" w:right="140" w:hanging="316"/>
        <w:spacing w:after="0" w:line="252" w:lineRule="auto"/>
        <w:tabs>
          <w:tab w:leader="none" w:pos="960" w:val="left"/>
        </w:tabs>
        <w:numPr>
          <w:ilvl w:val="1"/>
          <w:numId w:val="171"/>
        </w:numPr>
        <w:rPr>
          <w:rFonts w:ascii="Arial" w:cs="Arial" w:eastAsia="Arial" w:hAnsi="Arial"/>
          <w:sz w:val="21"/>
          <w:szCs w:val="21"/>
          <w:color w:val="auto"/>
        </w:rPr>
      </w:pPr>
      <w:r>
        <w:rPr>
          <w:rFonts w:ascii="Arial" w:cs="Arial" w:eastAsia="Arial" w:hAnsi="Arial"/>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2" w:lineRule="exact"/>
        <w:rPr>
          <w:rFonts w:ascii="Arial" w:cs="Arial" w:eastAsia="Arial" w:hAnsi="Arial"/>
          <w:sz w:val="21"/>
          <w:szCs w:val="21"/>
          <w:color w:val="auto"/>
        </w:rPr>
      </w:pPr>
    </w:p>
    <w:p>
      <w:pPr>
        <w:ind w:left="960" w:right="580" w:hanging="316"/>
        <w:spacing w:after="0" w:line="267" w:lineRule="auto"/>
        <w:tabs>
          <w:tab w:leader="none" w:pos="960" w:val="left"/>
        </w:tabs>
        <w:numPr>
          <w:ilvl w:val="1"/>
          <w:numId w:val="171"/>
        </w:numPr>
        <w:rPr>
          <w:rFonts w:ascii="Arial" w:cs="Arial" w:eastAsia="Arial" w:hAnsi="Arial"/>
          <w:sz w:val="21"/>
          <w:szCs w:val="2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November 4, 2014</w:t>
      </w:r>
    </w:p>
    <w:p>
      <w:pPr>
        <w:spacing w:after="0" w:line="273" w:lineRule="exact"/>
        <w:rPr>
          <w:sz w:val="20"/>
          <w:szCs w:val="20"/>
          <w:color w:val="auto"/>
        </w:rPr>
      </w:pPr>
    </w:p>
    <w:p>
      <w:pPr>
        <w:ind w:left="9780"/>
        <w:spacing w:after="0"/>
        <w:rPr>
          <w:sz w:val="20"/>
          <w:szCs w:val="20"/>
          <w:color w:val="auto"/>
        </w:rPr>
      </w:pPr>
      <w:r>
        <w:rPr>
          <w:rFonts w:ascii="Arial" w:cs="Arial" w:eastAsia="Arial" w:hAnsi="Arial"/>
          <w:sz w:val="18"/>
          <w:szCs w:val="18"/>
          <w:color w:val="auto"/>
        </w:rPr>
        <w:t>/s/ 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11430</wp:posOffset>
            </wp:positionV>
            <wp:extent cx="255714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557145" cy="8255"/>
                    </a:xfrm>
                    <a:prstGeom prst="rect">
                      <a:avLst/>
                    </a:prstGeom>
                    <a:noFill/>
                  </pic:spPr>
                </pic:pic>
              </a:graphicData>
            </a:graphic>
          </wp:anchor>
        </w:drawing>
      </w:r>
    </w:p>
    <w:p>
      <w:pPr>
        <w:ind w:left="10040"/>
        <w:spacing w:after="0"/>
        <w:rPr>
          <w:sz w:val="20"/>
          <w:szCs w:val="20"/>
          <w:color w:val="auto"/>
        </w:rPr>
      </w:pPr>
      <w:r>
        <w:rPr>
          <w:rFonts w:ascii="Arial" w:cs="Arial" w:eastAsia="Arial" w:hAnsi="Arial"/>
          <w:sz w:val="17"/>
          <w:szCs w:val="17"/>
          <w:color w:val="auto"/>
        </w:rPr>
        <w:t>Robert M. Schlax</w:t>
      </w:r>
    </w:p>
    <w:p>
      <w:pPr>
        <w:spacing w:after="0" w:line="28" w:lineRule="exact"/>
        <w:rPr>
          <w:sz w:val="20"/>
          <w:szCs w:val="20"/>
          <w:color w:val="auto"/>
        </w:rPr>
      </w:pPr>
    </w:p>
    <w:p>
      <w:pPr>
        <w:ind w:left="96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18"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21"/>
          <w:szCs w:val="21"/>
          <w:color w:val="auto"/>
        </w:rPr>
        <w:t>EXHIBIT 31.5</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CERTIFICATION</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color w:val="auto"/>
        </w:rPr>
        <w:t>I, Dennis V. Arriola, certify that:</w:t>
      </w:r>
    </w:p>
    <w:p>
      <w:pPr>
        <w:spacing w:after="0" w:line="264" w:lineRule="exact"/>
        <w:rPr>
          <w:sz w:val="20"/>
          <w:szCs w:val="20"/>
          <w:color w:val="auto"/>
        </w:rPr>
      </w:pPr>
    </w:p>
    <w:p>
      <w:pPr>
        <w:ind w:left="320" w:hanging="314"/>
        <w:spacing w:after="0"/>
        <w:tabs>
          <w:tab w:leader="none" w:pos="320" w:val="left"/>
        </w:tabs>
        <w:numPr>
          <w:ilvl w:val="0"/>
          <w:numId w:val="172"/>
        </w:numPr>
        <w:rPr>
          <w:rFonts w:ascii="Arial" w:cs="Arial" w:eastAsia="Arial" w:hAnsi="Arial"/>
          <w:sz w:val="21"/>
          <w:szCs w:val="21"/>
          <w:color w:val="auto"/>
        </w:rPr>
      </w:pPr>
      <w:r>
        <w:rPr>
          <w:rFonts w:ascii="Arial" w:cs="Arial" w:eastAsia="Arial" w:hAnsi="Arial"/>
          <w:sz w:val="21"/>
          <w:szCs w:val="21"/>
          <w:color w:val="auto"/>
        </w:rPr>
        <w:t>I have reviewed this report on Form 10-Q of Southern California Gas Company;</w:t>
      </w:r>
    </w:p>
    <w:p>
      <w:pPr>
        <w:spacing w:after="0" w:line="263" w:lineRule="exact"/>
        <w:rPr>
          <w:rFonts w:ascii="Arial" w:cs="Arial" w:eastAsia="Arial" w:hAnsi="Arial"/>
          <w:sz w:val="21"/>
          <w:szCs w:val="21"/>
          <w:color w:val="auto"/>
        </w:rPr>
      </w:pPr>
    </w:p>
    <w:p>
      <w:pPr>
        <w:ind w:left="320" w:right="400" w:hanging="314"/>
        <w:spacing w:after="0" w:line="252" w:lineRule="auto"/>
        <w:tabs>
          <w:tab w:leader="none" w:pos="320" w:val="left"/>
        </w:tabs>
        <w:numPr>
          <w:ilvl w:val="0"/>
          <w:numId w:val="172"/>
        </w:numPr>
        <w:rPr>
          <w:rFonts w:ascii="Arial" w:cs="Arial" w:eastAsia="Arial" w:hAnsi="Arial"/>
          <w:sz w:val="21"/>
          <w:szCs w:val="21"/>
          <w:color w:val="auto"/>
        </w:rPr>
      </w:pPr>
      <w:r>
        <w:rPr>
          <w:rFonts w:ascii="Arial" w:cs="Arial" w:eastAsia="Arial" w:hAnsi="Arial"/>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2" w:lineRule="exact"/>
        <w:rPr>
          <w:rFonts w:ascii="Arial" w:cs="Arial" w:eastAsia="Arial" w:hAnsi="Arial"/>
          <w:sz w:val="21"/>
          <w:szCs w:val="21"/>
          <w:color w:val="auto"/>
        </w:rPr>
      </w:pPr>
    </w:p>
    <w:p>
      <w:pPr>
        <w:ind w:left="320" w:right="60" w:hanging="314"/>
        <w:spacing w:after="0" w:line="252" w:lineRule="auto"/>
        <w:tabs>
          <w:tab w:leader="none" w:pos="320" w:val="left"/>
        </w:tabs>
        <w:numPr>
          <w:ilvl w:val="0"/>
          <w:numId w:val="172"/>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2" w:lineRule="exact"/>
        <w:rPr>
          <w:rFonts w:ascii="Arial" w:cs="Arial" w:eastAsia="Arial" w:hAnsi="Arial"/>
          <w:sz w:val="21"/>
          <w:szCs w:val="21"/>
          <w:color w:val="auto"/>
        </w:rPr>
      </w:pPr>
    </w:p>
    <w:p>
      <w:pPr>
        <w:ind w:left="320" w:right="60" w:hanging="314"/>
        <w:spacing w:after="0" w:line="252" w:lineRule="auto"/>
        <w:tabs>
          <w:tab w:leader="none" w:pos="320" w:val="left"/>
        </w:tabs>
        <w:numPr>
          <w:ilvl w:val="0"/>
          <w:numId w:val="172"/>
        </w:numPr>
        <w:rPr>
          <w:rFonts w:ascii="Arial" w:cs="Arial" w:eastAsia="Arial" w:hAnsi="Arial"/>
          <w:sz w:val="21"/>
          <w:szCs w:val="21"/>
          <w:color w:val="auto"/>
        </w:rPr>
      </w:pPr>
      <w:r>
        <w:rPr>
          <w:rFonts w:ascii="Arial" w:cs="Arial" w:eastAsia="Arial" w:hAnsi="Arial"/>
          <w:sz w:val="21"/>
          <w:szCs w:val="2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2" w:lineRule="exact"/>
        <w:rPr>
          <w:rFonts w:ascii="Arial" w:cs="Arial" w:eastAsia="Arial" w:hAnsi="Arial"/>
          <w:sz w:val="21"/>
          <w:szCs w:val="21"/>
          <w:color w:val="auto"/>
        </w:rPr>
      </w:pPr>
    </w:p>
    <w:p>
      <w:pPr>
        <w:ind w:left="960" w:right="40" w:hanging="316"/>
        <w:spacing w:after="0" w:line="291" w:lineRule="auto"/>
        <w:tabs>
          <w:tab w:leader="none" w:pos="960" w:val="left"/>
        </w:tabs>
        <w:numPr>
          <w:ilvl w:val="1"/>
          <w:numId w:val="172"/>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Arial" w:cs="Arial" w:eastAsia="Arial" w:hAnsi="Arial"/>
          <w:sz w:val="19"/>
          <w:szCs w:val="19"/>
          <w:color w:val="auto"/>
        </w:rPr>
      </w:pPr>
    </w:p>
    <w:p>
      <w:pPr>
        <w:ind w:left="960" w:right="380" w:hanging="316"/>
        <w:spacing w:after="0" w:line="291" w:lineRule="auto"/>
        <w:tabs>
          <w:tab w:leader="none" w:pos="960" w:val="left"/>
        </w:tabs>
        <w:numPr>
          <w:ilvl w:val="1"/>
          <w:numId w:val="172"/>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60" w:right="240" w:hanging="316"/>
        <w:spacing w:after="0" w:line="252" w:lineRule="auto"/>
        <w:tabs>
          <w:tab w:leader="none" w:pos="960" w:val="left"/>
        </w:tabs>
        <w:numPr>
          <w:ilvl w:val="1"/>
          <w:numId w:val="172"/>
        </w:numPr>
        <w:rPr>
          <w:rFonts w:ascii="Arial" w:cs="Arial" w:eastAsia="Arial" w:hAnsi="Arial"/>
          <w:sz w:val="21"/>
          <w:szCs w:val="21"/>
          <w:color w:val="auto"/>
        </w:rPr>
      </w:pPr>
      <w:r>
        <w:rPr>
          <w:rFonts w:ascii="Arial" w:cs="Arial" w:eastAsia="Arial" w:hAnsi="Arial"/>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2" w:lineRule="exact"/>
        <w:rPr>
          <w:rFonts w:ascii="Arial" w:cs="Arial" w:eastAsia="Arial" w:hAnsi="Arial"/>
          <w:sz w:val="21"/>
          <w:szCs w:val="21"/>
          <w:color w:val="auto"/>
        </w:rPr>
      </w:pPr>
    </w:p>
    <w:p>
      <w:pPr>
        <w:ind w:left="960" w:right="20" w:hanging="316"/>
        <w:spacing w:after="0" w:line="291" w:lineRule="auto"/>
        <w:tabs>
          <w:tab w:leader="none" w:pos="960" w:val="left"/>
        </w:tabs>
        <w:numPr>
          <w:ilvl w:val="1"/>
          <w:numId w:val="172"/>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Arial" w:cs="Arial" w:eastAsia="Arial" w:hAnsi="Arial"/>
          <w:sz w:val="19"/>
          <w:szCs w:val="19"/>
          <w:color w:val="auto"/>
        </w:rPr>
      </w:pPr>
    </w:p>
    <w:p>
      <w:pPr>
        <w:ind w:left="320" w:right="40" w:hanging="314"/>
        <w:spacing w:after="0" w:line="252" w:lineRule="auto"/>
        <w:tabs>
          <w:tab w:leader="none" w:pos="320" w:val="left"/>
        </w:tabs>
        <w:numPr>
          <w:ilvl w:val="0"/>
          <w:numId w:val="172"/>
        </w:numPr>
        <w:rPr>
          <w:rFonts w:ascii="Arial" w:cs="Arial" w:eastAsia="Arial" w:hAnsi="Arial"/>
          <w:sz w:val="21"/>
          <w:szCs w:val="21"/>
          <w:color w:val="auto"/>
        </w:rPr>
      </w:pPr>
      <w:r>
        <w:rPr>
          <w:rFonts w:ascii="Arial" w:cs="Arial" w:eastAsia="Arial" w:hAnsi="Arial"/>
          <w:sz w:val="21"/>
          <w:szCs w:val="21"/>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22" w:lineRule="exact"/>
        <w:rPr>
          <w:rFonts w:ascii="Arial" w:cs="Arial" w:eastAsia="Arial" w:hAnsi="Arial"/>
          <w:sz w:val="21"/>
          <w:szCs w:val="21"/>
          <w:color w:val="auto"/>
        </w:rPr>
      </w:pPr>
    </w:p>
    <w:p>
      <w:pPr>
        <w:ind w:left="960" w:right="140" w:hanging="316"/>
        <w:spacing w:after="0" w:line="252" w:lineRule="auto"/>
        <w:tabs>
          <w:tab w:leader="none" w:pos="960" w:val="left"/>
        </w:tabs>
        <w:numPr>
          <w:ilvl w:val="1"/>
          <w:numId w:val="172"/>
        </w:numPr>
        <w:rPr>
          <w:rFonts w:ascii="Arial" w:cs="Arial" w:eastAsia="Arial" w:hAnsi="Arial"/>
          <w:sz w:val="21"/>
          <w:szCs w:val="21"/>
          <w:color w:val="auto"/>
        </w:rPr>
      </w:pPr>
      <w:r>
        <w:rPr>
          <w:rFonts w:ascii="Arial" w:cs="Arial" w:eastAsia="Arial" w:hAnsi="Arial"/>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2" w:lineRule="exact"/>
        <w:rPr>
          <w:rFonts w:ascii="Arial" w:cs="Arial" w:eastAsia="Arial" w:hAnsi="Arial"/>
          <w:sz w:val="21"/>
          <w:szCs w:val="21"/>
          <w:color w:val="auto"/>
        </w:rPr>
      </w:pPr>
    </w:p>
    <w:p>
      <w:pPr>
        <w:ind w:left="960" w:right="580" w:hanging="316"/>
        <w:spacing w:after="0" w:line="267" w:lineRule="auto"/>
        <w:tabs>
          <w:tab w:leader="none" w:pos="960" w:val="left"/>
        </w:tabs>
        <w:numPr>
          <w:ilvl w:val="1"/>
          <w:numId w:val="172"/>
        </w:numPr>
        <w:rPr>
          <w:rFonts w:ascii="Arial" w:cs="Arial" w:eastAsia="Arial" w:hAnsi="Arial"/>
          <w:sz w:val="21"/>
          <w:szCs w:val="2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November 4, 2014</w:t>
      </w:r>
    </w:p>
    <w:p>
      <w:pPr>
        <w:spacing w:after="0" w:line="273" w:lineRule="exact"/>
        <w:rPr>
          <w:sz w:val="20"/>
          <w:szCs w:val="20"/>
          <w:color w:val="auto"/>
        </w:rPr>
      </w:pPr>
    </w:p>
    <w:p>
      <w:pPr>
        <w:ind w:left="9780"/>
        <w:spacing w:after="0"/>
        <w:rPr>
          <w:sz w:val="20"/>
          <w:szCs w:val="20"/>
          <w:color w:val="auto"/>
        </w:rPr>
      </w:pPr>
      <w:r>
        <w:rPr>
          <w:rFonts w:ascii="Arial" w:cs="Arial" w:eastAsia="Arial" w:hAnsi="Arial"/>
          <w:sz w:val="18"/>
          <w:szCs w:val="18"/>
          <w:color w:val="auto"/>
        </w:rPr>
        <w:t>/s/ Dennis V. Arriola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4746625</wp:posOffset>
            </wp:positionH>
            <wp:positionV relativeFrom="paragraph">
              <wp:posOffset>11430</wp:posOffset>
            </wp:positionV>
            <wp:extent cx="250634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506345" cy="8255"/>
                    </a:xfrm>
                    <a:prstGeom prst="rect">
                      <a:avLst/>
                    </a:prstGeom>
                    <a:noFill/>
                  </pic:spPr>
                </pic:pic>
              </a:graphicData>
            </a:graphic>
          </wp:anchor>
        </w:drawing>
      </w:r>
    </w:p>
    <w:p>
      <w:pPr>
        <w:ind w:left="10040"/>
        <w:spacing w:after="0"/>
        <w:rPr>
          <w:sz w:val="20"/>
          <w:szCs w:val="20"/>
          <w:color w:val="auto"/>
        </w:rPr>
      </w:pPr>
      <w:r>
        <w:rPr>
          <w:rFonts w:ascii="Arial" w:cs="Arial" w:eastAsia="Arial" w:hAnsi="Arial"/>
          <w:sz w:val="18"/>
          <w:szCs w:val="18"/>
          <w:color w:val="auto"/>
        </w:rPr>
        <w:t>Dennis V. Arriola</w:t>
      </w:r>
    </w:p>
    <w:p>
      <w:pPr>
        <w:spacing w:after="0" w:line="17" w:lineRule="exact"/>
        <w:rPr>
          <w:sz w:val="20"/>
          <w:szCs w:val="20"/>
          <w:color w:val="auto"/>
        </w:rPr>
      </w:pPr>
    </w:p>
    <w:p>
      <w:pPr>
        <w:ind w:left="960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420"/>
          </w:cols>
          <w:pgMar w:left="240" w:top="118"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21"/>
          <w:szCs w:val="21"/>
          <w:color w:val="auto"/>
        </w:rPr>
        <w:t>EXHIBIT 31.6</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CERTIFICATION</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color w:val="auto"/>
        </w:rPr>
        <w:t>I, Robert M. Schlax, certify that:</w:t>
      </w:r>
    </w:p>
    <w:p>
      <w:pPr>
        <w:spacing w:after="0" w:line="264" w:lineRule="exact"/>
        <w:rPr>
          <w:sz w:val="20"/>
          <w:szCs w:val="20"/>
          <w:color w:val="auto"/>
        </w:rPr>
      </w:pPr>
    </w:p>
    <w:p>
      <w:pPr>
        <w:ind w:left="320" w:hanging="314"/>
        <w:spacing w:after="0"/>
        <w:tabs>
          <w:tab w:leader="none" w:pos="320" w:val="left"/>
        </w:tabs>
        <w:numPr>
          <w:ilvl w:val="0"/>
          <w:numId w:val="173"/>
        </w:numPr>
        <w:rPr>
          <w:rFonts w:ascii="Arial" w:cs="Arial" w:eastAsia="Arial" w:hAnsi="Arial"/>
          <w:sz w:val="21"/>
          <w:szCs w:val="21"/>
          <w:color w:val="auto"/>
        </w:rPr>
      </w:pPr>
      <w:r>
        <w:rPr>
          <w:rFonts w:ascii="Arial" w:cs="Arial" w:eastAsia="Arial" w:hAnsi="Arial"/>
          <w:sz w:val="21"/>
          <w:szCs w:val="21"/>
          <w:color w:val="auto"/>
        </w:rPr>
        <w:t>I have reviewed this report on Form 10-Q of Southern California Gas Company;</w:t>
      </w:r>
    </w:p>
    <w:p>
      <w:pPr>
        <w:spacing w:after="0" w:line="263" w:lineRule="exact"/>
        <w:rPr>
          <w:rFonts w:ascii="Arial" w:cs="Arial" w:eastAsia="Arial" w:hAnsi="Arial"/>
          <w:sz w:val="21"/>
          <w:szCs w:val="21"/>
          <w:color w:val="auto"/>
        </w:rPr>
      </w:pPr>
    </w:p>
    <w:p>
      <w:pPr>
        <w:ind w:left="320" w:right="400" w:hanging="314"/>
        <w:spacing w:after="0" w:line="252" w:lineRule="auto"/>
        <w:tabs>
          <w:tab w:leader="none" w:pos="320" w:val="left"/>
        </w:tabs>
        <w:numPr>
          <w:ilvl w:val="0"/>
          <w:numId w:val="173"/>
        </w:numPr>
        <w:rPr>
          <w:rFonts w:ascii="Arial" w:cs="Arial" w:eastAsia="Arial" w:hAnsi="Arial"/>
          <w:sz w:val="21"/>
          <w:szCs w:val="21"/>
          <w:color w:val="auto"/>
        </w:rPr>
      </w:pPr>
      <w:r>
        <w:rPr>
          <w:rFonts w:ascii="Arial" w:cs="Arial" w:eastAsia="Arial" w:hAnsi="Arial"/>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2" w:lineRule="exact"/>
        <w:rPr>
          <w:rFonts w:ascii="Arial" w:cs="Arial" w:eastAsia="Arial" w:hAnsi="Arial"/>
          <w:sz w:val="21"/>
          <w:szCs w:val="21"/>
          <w:color w:val="auto"/>
        </w:rPr>
      </w:pPr>
    </w:p>
    <w:p>
      <w:pPr>
        <w:ind w:left="320" w:right="60" w:hanging="314"/>
        <w:spacing w:after="0" w:line="252" w:lineRule="auto"/>
        <w:tabs>
          <w:tab w:leader="none" w:pos="320" w:val="left"/>
        </w:tabs>
        <w:numPr>
          <w:ilvl w:val="0"/>
          <w:numId w:val="173"/>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2" w:lineRule="exact"/>
        <w:rPr>
          <w:rFonts w:ascii="Arial" w:cs="Arial" w:eastAsia="Arial" w:hAnsi="Arial"/>
          <w:sz w:val="21"/>
          <w:szCs w:val="21"/>
          <w:color w:val="auto"/>
        </w:rPr>
      </w:pPr>
    </w:p>
    <w:p>
      <w:pPr>
        <w:ind w:left="320" w:right="60" w:hanging="314"/>
        <w:spacing w:after="0" w:line="252" w:lineRule="auto"/>
        <w:tabs>
          <w:tab w:leader="none" w:pos="320" w:val="left"/>
        </w:tabs>
        <w:numPr>
          <w:ilvl w:val="0"/>
          <w:numId w:val="173"/>
        </w:numPr>
        <w:rPr>
          <w:rFonts w:ascii="Arial" w:cs="Arial" w:eastAsia="Arial" w:hAnsi="Arial"/>
          <w:sz w:val="21"/>
          <w:szCs w:val="21"/>
          <w:color w:val="auto"/>
        </w:rPr>
      </w:pPr>
      <w:r>
        <w:rPr>
          <w:rFonts w:ascii="Arial" w:cs="Arial" w:eastAsia="Arial" w:hAnsi="Arial"/>
          <w:sz w:val="21"/>
          <w:szCs w:val="2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2" w:lineRule="exact"/>
        <w:rPr>
          <w:rFonts w:ascii="Arial" w:cs="Arial" w:eastAsia="Arial" w:hAnsi="Arial"/>
          <w:sz w:val="21"/>
          <w:szCs w:val="21"/>
          <w:color w:val="auto"/>
        </w:rPr>
      </w:pPr>
    </w:p>
    <w:p>
      <w:pPr>
        <w:ind w:left="960" w:right="40" w:hanging="316"/>
        <w:spacing w:after="0" w:line="291" w:lineRule="auto"/>
        <w:tabs>
          <w:tab w:leader="none" w:pos="960" w:val="left"/>
        </w:tabs>
        <w:numPr>
          <w:ilvl w:val="1"/>
          <w:numId w:val="173"/>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Arial" w:cs="Arial" w:eastAsia="Arial" w:hAnsi="Arial"/>
          <w:sz w:val="19"/>
          <w:szCs w:val="19"/>
          <w:color w:val="auto"/>
        </w:rPr>
      </w:pPr>
    </w:p>
    <w:p>
      <w:pPr>
        <w:ind w:left="960" w:right="380" w:hanging="316"/>
        <w:spacing w:after="0" w:line="291" w:lineRule="auto"/>
        <w:tabs>
          <w:tab w:leader="none" w:pos="960" w:val="left"/>
        </w:tabs>
        <w:numPr>
          <w:ilvl w:val="1"/>
          <w:numId w:val="173"/>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60" w:right="240" w:hanging="316"/>
        <w:spacing w:after="0" w:line="252" w:lineRule="auto"/>
        <w:tabs>
          <w:tab w:leader="none" w:pos="960" w:val="left"/>
        </w:tabs>
        <w:numPr>
          <w:ilvl w:val="1"/>
          <w:numId w:val="173"/>
        </w:numPr>
        <w:rPr>
          <w:rFonts w:ascii="Arial" w:cs="Arial" w:eastAsia="Arial" w:hAnsi="Arial"/>
          <w:sz w:val="21"/>
          <w:szCs w:val="21"/>
          <w:color w:val="auto"/>
        </w:rPr>
      </w:pPr>
      <w:r>
        <w:rPr>
          <w:rFonts w:ascii="Arial" w:cs="Arial" w:eastAsia="Arial" w:hAnsi="Arial"/>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2" w:lineRule="exact"/>
        <w:rPr>
          <w:rFonts w:ascii="Arial" w:cs="Arial" w:eastAsia="Arial" w:hAnsi="Arial"/>
          <w:sz w:val="21"/>
          <w:szCs w:val="21"/>
          <w:color w:val="auto"/>
        </w:rPr>
      </w:pPr>
    </w:p>
    <w:p>
      <w:pPr>
        <w:ind w:left="960" w:right="20" w:hanging="316"/>
        <w:spacing w:after="0" w:line="291" w:lineRule="auto"/>
        <w:tabs>
          <w:tab w:leader="none" w:pos="960" w:val="left"/>
        </w:tabs>
        <w:numPr>
          <w:ilvl w:val="1"/>
          <w:numId w:val="173"/>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Arial" w:cs="Arial" w:eastAsia="Arial" w:hAnsi="Arial"/>
          <w:sz w:val="19"/>
          <w:szCs w:val="19"/>
          <w:color w:val="auto"/>
        </w:rPr>
      </w:pPr>
    </w:p>
    <w:p>
      <w:pPr>
        <w:ind w:left="320" w:right="40" w:hanging="314"/>
        <w:spacing w:after="0" w:line="252" w:lineRule="auto"/>
        <w:tabs>
          <w:tab w:leader="none" w:pos="320" w:val="left"/>
        </w:tabs>
        <w:numPr>
          <w:ilvl w:val="0"/>
          <w:numId w:val="173"/>
        </w:numPr>
        <w:rPr>
          <w:rFonts w:ascii="Arial" w:cs="Arial" w:eastAsia="Arial" w:hAnsi="Arial"/>
          <w:sz w:val="21"/>
          <w:szCs w:val="21"/>
          <w:color w:val="auto"/>
        </w:rPr>
      </w:pPr>
      <w:r>
        <w:rPr>
          <w:rFonts w:ascii="Arial" w:cs="Arial" w:eastAsia="Arial" w:hAnsi="Arial"/>
          <w:sz w:val="21"/>
          <w:szCs w:val="21"/>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22" w:lineRule="exact"/>
        <w:rPr>
          <w:rFonts w:ascii="Arial" w:cs="Arial" w:eastAsia="Arial" w:hAnsi="Arial"/>
          <w:sz w:val="21"/>
          <w:szCs w:val="21"/>
          <w:color w:val="auto"/>
        </w:rPr>
      </w:pPr>
    </w:p>
    <w:p>
      <w:pPr>
        <w:ind w:left="960" w:right="140" w:hanging="316"/>
        <w:spacing w:after="0" w:line="252" w:lineRule="auto"/>
        <w:tabs>
          <w:tab w:leader="none" w:pos="960" w:val="left"/>
        </w:tabs>
        <w:numPr>
          <w:ilvl w:val="1"/>
          <w:numId w:val="173"/>
        </w:numPr>
        <w:rPr>
          <w:rFonts w:ascii="Arial" w:cs="Arial" w:eastAsia="Arial" w:hAnsi="Arial"/>
          <w:sz w:val="21"/>
          <w:szCs w:val="21"/>
          <w:color w:val="auto"/>
        </w:rPr>
      </w:pPr>
      <w:r>
        <w:rPr>
          <w:rFonts w:ascii="Arial" w:cs="Arial" w:eastAsia="Arial" w:hAnsi="Arial"/>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2" w:lineRule="exact"/>
        <w:rPr>
          <w:rFonts w:ascii="Arial" w:cs="Arial" w:eastAsia="Arial" w:hAnsi="Arial"/>
          <w:sz w:val="21"/>
          <w:szCs w:val="21"/>
          <w:color w:val="auto"/>
        </w:rPr>
      </w:pPr>
    </w:p>
    <w:p>
      <w:pPr>
        <w:ind w:left="960" w:right="580" w:hanging="316"/>
        <w:spacing w:after="0" w:line="267" w:lineRule="auto"/>
        <w:tabs>
          <w:tab w:leader="none" w:pos="960" w:val="left"/>
        </w:tabs>
        <w:numPr>
          <w:ilvl w:val="1"/>
          <w:numId w:val="173"/>
        </w:numPr>
        <w:rPr>
          <w:rFonts w:ascii="Arial" w:cs="Arial" w:eastAsia="Arial" w:hAnsi="Arial"/>
          <w:sz w:val="21"/>
          <w:szCs w:val="2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November 4, 2014</w:t>
      </w:r>
    </w:p>
    <w:p>
      <w:pPr>
        <w:spacing w:after="0" w:line="273" w:lineRule="exact"/>
        <w:rPr>
          <w:sz w:val="20"/>
          <w:szCs w:val="20"/>
          <w:color w:val="auto"/>
        </w:rPr>
      </w:pPr>
    </w:p>
    <w:p>
      <w:pPr>
        <w:ind w:left="9780"/>
        <w:spacing w:after="0"/>
        <w:rPr>
          <w:sz w:val="20"/>
          <w:szCs w:val="20"/>
          <w:color w:val="auto"/>
        </w:rPr>
      </w:pPr>
      <w:r>
        <w:rPr>
          <w:rFonts w:ascii="Arial" w:cs="Arial" w:eastAsia="Arial" w:hAnsi="Arial"/>
          <w:sz w:val="18"/>
          <w:szCs w:val="18"/>
          <w:color w:val="auto"/>
        </w:rPr>
        <w:t>/s/ 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4847590</wp:posOffset>
            </wp:positionH>
            <wp:positionV relativeFrom="paragraph">
              <wp:posOffset>11430</wp:posOffset>
            </wp:positionV>
            <wp:extent cx="240474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404745" cy="8255"/>
                    </a:xfrm>
                    <a:prstGeom prst="rect">
                      <a:avLst/>
                    </a:prstGeom>
                    <a:noFill/>
                  </pic:spPr>
                </pic:pic>
              </a:graphicData>
            </a:graphic>
          </wp:anchor>
        </w:drawing>
      </w:r>
    </w:p>
    <w:p>
      <w:pPr>
        <w:ind w:left="10040"/>
        <w:spacing w:after="0"/>
        <w:rPr>
          <w:sz w:val="20"/>
          <w:szCs w:val="20"/>
          <w:color w:val="auto"/>
        </w:rPr>
      </w:pPr>
      <w:r>
        <w:rPr>
          <w:rFonts w:ascii="Arial" w:cs="Arial" w:eastAsia="Arial" w:hAnsi="Arial"/>
          <w:sz w:val="17"/>
          <w:szCs w:val="17"/>
          <w:color w:val="auto"/>
        </w:rPr>
        <w:t>Robert M. Schlax</w:t>
      </w:r>
    </w:p>
    <w:p>
      <w:pPr>
        <w:spacing w:after="0" w:line="28" w:lineRule="exact"/>
        <w:rPr>
          <w:sz w:val="20"/>
          <w:szCs w:val="20"/>
          <w:color w:val="auto"/>
        </w:rPr>
      </w:pPr>
    </w:p>
    <w:p>
      <w:pPr>
        <w:ind w:left="96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18"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21"/>
          <w:szCs w:val="21"/>
          <w:color w:val="auto"/>
        </w:rPr>
        <w:t>Exhibit 32.1</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Statement of Chief Executive Officer</w:t>
      </w:r>
    </w:p>
    <w:p>
      <w:pPr>
        <w:spacing w:after="0" w:line="237" w:lineRule="exact"/>
        <w:rPr>
          <w:sz w:val="20"/>
          <w:szCs w:val="20"/>
          <w:color w:val="auto"/>
        </w:rPr>
      </w:pPr>
    </w:p>
    <w:p>
      <w:pPr>
        <w:ind w:right="520"/>
        <w:spacing w:after="0" w:line="267" w:lineRule="auto"/>
        <w:rPr>
          <w:sz w:val="20"/>
          <w:szCs w:val="20"/>
          <w:color w:val="auto"/>
        </w:rPr>
      </w:pPr>
      <w:r>
        <w:rPr>
          <w:rFonts w:ascii="Arial" w:cs="Arial" w:eastAsia="Arial" w:hAnsi="Arial"/>
          <w:sz w:val="21"/>
          <w:szCs w:val="21"/>
          <w:color w:val="auto"/>
        </w:rPr>
        <w:t>Pursuant to 18 U.S.C. Sec 1350, as created by Section 906 of the Sarbanes-Oxley Act of 2002, the undersigned Chief Executive Officer of Sempra Energy (the "Company") certifies that:</w:t>
      </w:r>
    </w:p>
    <w:p>
      <w:pPr>
        <w:spacing w:after="0" w:line="207" w:lineRule="exact"/>
        <w:rPr>
          <w:sz w:val="20"/>
          <w:szCs w:val="20"/>
          <w:color w:val="auto"/>
        </w:rPr>
      </w:pPr>
    </w:p>
    <w:p>
      <w:pPr>
        <w:ind w:left="1280" w:right="260" w:hanging="636"/>
        <w:spacing w:after="0" w:line="252" w:lineRule="auto"/>
        <w:tabs>
          <w:tab w:leader="none" w:pos="1280" w:val="left"/>
        </w:tabs>
        <w:numPr>
          <w:ilvl w:val="0"/>
          <w:numId w:val="174"/>
        </w:numPr>
        <w:rPr>
          <w:rFonts w:ascii="Arial" w:cs="Arial" w:eastAsia="Arial" w:hAnsi="Arial"/>
          <w:sz w:val="21"/>
          <w:szCs w:val="21"/>
          <w:color w:val="auto"/>
        </w:rPr>
      </w:pPr>
      <w:r>
        <w:rPr>
          <w:rFonts w:ascii="Arial" w:cs="Arial" w:eastAsia="Arial" w:hAnsi="Arial"/>
          <w:sz w:val="21"/>
          <w:szCs w:val="21"/>
          <w:color w:val="auto"/>
        </w:rPr>
        <w:t>the Quarterly Report on Form 10-Q of the Company filed with the Securities and Exchange Commission for the quarter ended September 30, 2014 (the "Quarterly Report") fully complies with the requirements of Section 13(a) or Section 15(d), as applicable, of the Securities Exchange Act of 1934, as amended; and</w:t>
      </w:r>
    </w:p>
    <w:p>
      <w:pPr>
        <w:spacing w:after="0" w:line="222" w:lineRule="exact"/>
        <w:rPr>
          <w:rFonts w:ascii="Arial" w:cs="Arial" w:eastAsia="Arial" w:hAnsi="Arial"/>
          <w:sz w:val="21"/>
          <w:szCs w:val="21"/>
          <w:color w:val="auto"/>
        </w:rPr>
      </w:pPr>
    </w:p>
    <w:p>
      <w:pPr>
        <w:ind w:left="1280" w:right="240" w:hanging="636"/>
        <w:spacing w:after="0" w:line="267" w:lineRule="auto"/>
        <w:tabs>
          <w:tab w:leader="none" w:pos="1280" w:val="left"/>
        </w:tabs>
        <w:numPr>
          <w:ilvl w:val="0"/>
          <w:numId w:val="174"/>
        </w:numPr>
        <w:rPr>
          <w:rFonts w:ascii="Arial" w:cs="Arial" w:eastAsia="Arial" w:hAnsi="Arial"/>
          <w:sz w:val="21"/>
          <w:szCs w:val="21"/>
          <w:color w:val="auto"/>
        </w:rPr>
      </w:pPr>
      <w:r>
        <w:rPr>
          <w:rFonts w:ascii="Arial" w:cs="Arial" w:eastAsia="Arial" w:hAnsi="Arial"/>
          <w:sz w:val="21"/>
          <w:szCs w:val="21"/>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1"/>
          <w:szCs w:val="21"/>
          <w:color w:val="auto"/>
        </w:rPr>
        <w:t>November 4, 2014</w:t>
      </w:r>
    </w:p>
    <w:p>
      <w:pPr>
        <w:spacing w:after="0" w:line="366" w:lineRule="exact"/>
        <w:rPr>
          <w:sz w:val="20"/>
          <w:szCs w:val="20"/>
          <w:color w:val="auto"/>
        </w:rPr>
      </w:pPr>
    </w:p>
    <w:p>
      <w:pPr>
        <w:ind w:left="10000"/>
        <w:spacing w:after="0"/>
        <w:rPr>
          <w:sz w:val="20"/>
          <w:szCs w:val="20"/>
          <w:color w:val="auto"/>
        </w:rPr>
      </w:pPr>
      <w:r>
        <w:rPr>
          <w:rFonts w:ascii="Arial" w:cs="Arial" w:eastAsia="Arial" w:hAnsi="Arial"/>
          <w:sz w:val="18"/>
          <w:szCs w:val="18"/>
          <w:color w:val="auto"/>
        </w:rPr>
        <w:t>/s/ Debra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4898390</wp:posOffset>
            </wp:positionH>
            <wp:positionV relativeFrom="paragraph">
              <wp:posOffset>11430</wp:posOffset>
            </wp:positionV>
            <wp:extent cx="2354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354580" cy="8255"/>
                    </a:xfrm>
                    <a:prstGeom prst="rect">
                      <a:avLst/>
                    </a:prstGeom>
                    <a:noFill/>
                  </pic:spPr>
                </pic:pic>
              </a:graphicData>
            </a:graphic>
          </wp:anchor>
        </w:drawing>
      </w:r>
    </w:p>
    <w:p>
      <w:pPr>
        <w:ind w:left="10260"/>
        <w:spacing w:after="0"/>
        <w:rPr>
          <w:sz w:val="20"/>
          <w:szCs w:val="20"/>
          <w:color w:val="auto"/>
        </w:rPr>
      </w:pPr>
      <w:r>
        <w:rPr>
          <w:rFonts w:ascii="Arial" w:cs="Arial" w:eastAsia="Arial" w:hAnsi="Arial"/>
          <w:sz w:val="17"/>
          <w:szCs w:val="17"/>
          <w:color w:val="auto"/>
        </w:rPr>
        <w:t>Debra L. Reed</w:t>
      </w:r>
    </w:p>
    <w:p>
      <w:pPr>
        <w:spacing w:after="0" w:line="28" w:lineRule="exact"/>
        <w:rPr>
          <w:sz w:val="20"/>
          <w:szCs w:val="20"/>
          <w:color w:val="auto"/>
        </w:rPr>
      </w:pPr>
    </w:p>
    <w:p>
      <w:pPr>
        <w:ind w:left="960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420"/>
          </w:cols>
          <w:pgMar w:left="240" w:top="118"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21"/>
          <w:szCs w:val="21"/>
          <w:color w:val="auto"/>
        </w:rPr>
        <w:t>Exhibit 32.2</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Statement of Chief Financial Officer</w:t>
      </w:r>
    </w:p>
    <w:p>
      <w:pPr>
        <w:spacing w:after="0" w:line="237" w:lineRule="exact"/>
        <w:rPr>
          <w:sz w:val="20"/>
          <w:szCs w:val="20"/>
          <w:color w:val="auto"/>
        </w:rPr>
      </w:pPr>
    </w:p>
    <w:p>
      <w:pPr>
        <w:ind w:right="580"/>
        <w:spacing w:after="0" w:line="267" w:lineRule="auto"/>
        <w:rPr>
          <w:sz w:val="20"/>
          <w:szCs w:val="20"/>
          <w:color w:val="auto"/>
        </w:rPr>
      </w:pPr>
      <w:r>
        <w:rPr>
          <w:rFonts w:ascii="Arial" w:cs="Arial" w:eastAsia="Arial" w:hAnsi="Arial"/>
          <w:sz w:val="21"/>
          <w:szCs w:val="21"/>
          <w:color w:val="auto"/>
        </w:rPr>
        <w:t>Pursuant to 18 U.S.C. Sec 1350, as created by Section 906 of the Sarbanes-Oxley Act of 2002, the undersigned Chief Financial Officer of Sempra Energy (the "Company") certifies that:</w:t>
      </w:r>
    </w:p>
    <w:p>
      <w:pPr>
        <w:spacing w:after="0" w:line="207" w:lineRule="exact"/>
        <w:rPr>
          <w:sz w:val="20"/>
          <w:szCs w:val="20"/>
          <w:color w:val="auto"/>
        </w:rPr>
      </w:pPr>
    </w:p>
    <w:p>
      <w:pPr>
        <w:ind w:left="1280" w:right="260" w:hanging="636"/>
        <w:spacing w:after="0" w:line="252" w:lineRule="auto"/>
        <w:tabs>
          <w:tab w:leader="none" w:pos="1280" w:val="left"/>
        </w:tabs>
        <w:numPr>
          <w:ilvl w:val="0"/>
          <w:numId w:val="175"/>
        </w:numPr>
        <w:rPr>
          <w:rFonts w:ascii="Arial" w:cs="Arial" w:eastAsia="Arial" w:hAnsi="Arial"/>
          <w:sz w:val="21"/>
          <w:szCs w:val="21"/>
          <w:color w:val="auto"/>
        </w:rPr>
      </w:pPr>
      <w:r>
        <w:rPr>
          <w:rFonts w:ascii="Arial" w:cs="Arial" w:eastAsia="Arial" w:hAnsi="Arial"/>
          <w:sz w:val="21"/>
          <w:szCs w:val="21"/>
          <w:color w:val="auto"/>
        </w:rPr>
        <w:t>the Quarterly Report on Form 10-Q of the Company filed with the Securities and Exchange Commission for the quarter ended September 30, 2014 (the "Quarterly Report") fully complies with the requirements of Section 13(a) or Section 15(d), as applicable, of the Securities Exchange Act of 1934, as amended; and</w:t>
      </w:r>
    </w:p>
    <w:p>
      <w:pPr>
        <w:spacing w:after="0" w:line="222" w:lineRule="exact"/>
        <w:rPr>
          <w:rFonts w:ascii="Arial" w:cs="Arial" w:eastAsia="Arial" w:hAnsi="Arial"/>
          <w:sz w:val="21"/>
          <w:szCs w:val="21"/>
          <w:color w:val="auto"/>
        </w:rPr>
      </w:pPr>
    </w:p>
    <w:p>
      <w:pPr>
        <w:ind w:left="1280" w:right="240" w:hanging="636"/>
        <w:spacing w:after="0" w:line="267" w:lineRule="auto"/>
        <w:tabs>
          <w:tab w:leader="none" w:pos="1280" w:val="left"/>
        </w:tabs>
        <w:numPr>
          <w:ilvl w:val="0"/>
          <w:numId w:val="175"/>
        </w:numPr>
        <w:rPr>
          <w:rFonts w:ascii="Arial" w:cs="Arial" w:eastAsia="Arial" w:hAnsi="Arial"/>
          <w:sz w:val="21"/>
          <w:szCs w:val="21"/>
          <w:color w:val="auto"/>
        </w:rPr>
      </w:pPr>
      <w:r>
        <w:rPr>
          <w:rFonts w:ascii="Arial" w:cs="Arial" w:eastAsia="Arial" w:hAnsi="Arial"/>
          <w:sz w:val="21"/>
          <w:szCs w:val="21"/>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1"/>
          <w:szCs w:val="21"/>
          <w:color w:val="auto"/>
        </w:rPr>
        <w:t>November 4, 2014</w:t>
      </w:r>
    </w:p>
    <w:p>
      <w:pPr>
        <w:spacing w:after="0" w:line="366" w:lineRule="exact"/>
        <w:rPr>
          <w:sz w:val="20"/>
          <w:szCs w:val="20"/>
          <w:color w:val="auto"/>
        </w:rPr>
      </w:pPr>
    </w:p>
    <w:p>
      <w:pPr>
        <w:ind w:left="9400"/>
        <w:spacing w:after="0"/>
        <w:rPr>
          <w:sz w:val="20"/>
          <w:szCs w:val="20"/>
          <w:color w:val="auto"/>
        </w:rPr>
      </w:pPr>
      <w:r>
        <w:rPr>
          <w:rFonts w:ascii="Arial" w:cs="Arial" w:eastAsia="Arial" w:hAnsi="Arial"/>
          <w:sz w:val="17"/>
          <w:szCs w:val="17"/>
          <w:color w:val="auto"/>
        </w:rPr>
        <w:t>/s/ Joseph A. Householder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4797425</wp:posOffset>
            </wp:positionH>
            <wp:positionV relativeFrom="paragraph">
              <wp:posOffset>19050</wp:posOffset>
            </wp:positionV>
            <wp:extent cx="245554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455545" cy="8255"/>
                    </a:xfrm>
                    <a:prstGeom prst="rect">
                      <a:avLst/>
                    </a:prstGeom>
                    <a:noFill/>
                  </pic:spPr>
                </pic:pic>
              </a:graphicData>
            </a:graphic>
          </wp:anchor>
        </w:drawing>
      </w:r>
    </w:p>
    <w:p>
      <w:pPr>
        <w:spacing w:after="0" w:line="10" w:lineRule="exact"/>
        <w:rPr>
          <w:sz w:val="20"/>
          <w:szCs w:val="20"/>
          <w:color w:val="auto"/>
        </w:rPr>
      </w:pPr>
    </w:p>
    <w:p>
      <w:pPr>
        <w:ind w:left="9640"/>
        <w:spacing w:after="0"/>
        <w:rPr>
          <w:sz w:val="20"/>
          <w:szCs w:val="20"/>
          <w:color w:val="auto"/>
        </w:rPr>
      </w:pPr>
      <w:r>
        <w:rPr>
          <w:rFonts w:ascii="Arial" w:cs="Arial" w:eastAsia="Arial" w:hAnsi="Arial"/>
          <w:sz w:val="17"/>
          <w:szCs w:val="17"/>
          <w:color w:val="auto"/>
        </w:rPr>
        <w:t>Joseph A. Householder</w:t>
      </w:r>
    </w:p>
    <w:p>
      <w:pPr>
        <w:spacing w:after="0" w:line="28" w:lineRule="exact"/>
        <w:rPr>
          <w:sz w:val="20"/>
          <w:szCs w:val="20"/>
          <w:color w:val="auto"/>
        </w:rPr>
      </w:pPr>
    </w:p>
    <w:p>
      <w:pPr>
        <w:ind w:left="96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18"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21"/>
          <w:szCs w:val="21"/>
          <w:color w:val="auto"/>
        </w:rPr>
        <w:t>Exhibit 32.3</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Statement of Chief Executive Officer</w:t>
      </w:r>
    </w:p>
    <w:p>
      <w:pPr>
        <w:spacing w:after="0" w:line="237" w:lineRule="exact"/>
        <w:rPr>
          <w:sz w:val="20"/>
          <w:szCs w:val="20"/>
          <w:color w:val="auto"/>
        </w:rPr>
      </w:pPr>
    </w:p>
    <w:p>
      <w:pPr>
        <w:ind w:right="520"/>
        <w:spacing w:after="0" w:line="267" w:lineRule="auto"/>
        <w:rPr>
          <w:sz w:val="20"/>
          <w:szCs w:val="20"/>
          <w:color w:val="auto"/>
        </w:rPr>
      </w:pPr>
      <w:r>
        <w:rPr>
          <w:rFonts w:ascii="Arial" w:cs="Arial" w:eastAsia="Arial" w:hAnsi="Arial"/>
          <w:sz w:val="21"/>
          <w:szCs w:val="21"/>
          <w:color w:val="auto"/>
        </w:rPr>
        <w:t>Pursuant to 18 U.S.C. Sec 1350, as created by Section 906 of the Sarbanes-Oxley Act of 2002, the undersigned Chief Executive Officer of San Diego Gas &amp; Electric Company (the "Company") certifies that:</w:t>
      </w:r>
    </w:p>
    <w:p>
      <w:pPr>
        <w:spacing w:after="0" w:line="207" w:lineRule="exact"/>
        <w:rPr>
          <w:sz w:val="20"/>
          <w:szCs w:val="20"/>
          <w:color w:val="auto"/>
        </w:rPr>
      </w:pPr>
    </w:p>
    <w:p>
      <w:pPr>
        <w:ind w:left="1280" w:right="260" w:hanging="636"/>
        <w:spacing w:after="0" w:line="252" w:lineRule="auto"/>
        <w:tabs>
          <w:tab w:leader="none" w:pos="1280" w:val="left"/>
        </w:tabs>
        <w:numPr>
          <w:ilvl w:val="0"/>
          <w:numId w:val="176"/>
        </w:numPr>
        <w:rPr>
          <w:rFonts w:ascii="Arial" w:cs="Arial" w:eastAsia="Arial" w:hAnsi="Arial"/>
          <w:sz w:val="21"/>
          <w:szCs w:val="21"/>
          <w:color w:val="auto"/>
        </w:rPr>
      </w:pPr>
      <w:r>
        <w:rPr>
          <w:rFonts w:ascii="Arial" w:cs="Arial" w:eastAsia="Arial" w:hAnsi="Arial"/>
          <w:sz w:val="21"/>
          <w:szCs w:val="21"/>
          <w:color w:val="auto"/>
        </w:rPr>
        <w:t>the Quarterly Report on Form 10-Q of the Company filed with the Securities and Exchange Commission for the quarter ended September 30, 2014 (the "Quarterly Report") fully complies with the requirements of Section 13(a) or Section 15(d), as applicable, of the Securities Exchange Act of 1934, as amended; and</w:t>
      </w:r>
    </w:p>
    <w:p>
      <w:pPr>
        <w:spacing w:after="0" w:line="222" w:lineRule="exact"/>
        <w:rPr>
          <w:rFonts w:ascii="Arial" w:cs="Arial" w:eastAsia="Arial" w:hAnsi="Arial"/>
          <w:sz w:val="21"/>
          <w:szCs w:val="21"/>
          <w:color w:val="auto"/>
        </w:rPr>
      </w:pPr>
    </w:p>
    <w:p>
      <w:pPr>
        <w:ind w:left="1280" w:right="240" w:hanging="636"/>
        <w:spacing w:after="0" w:line="267" w:lineRule="auto"/>
        <w:tabs>
          <w:tab w:leader="none" w:pos="1280" w:val="left"/>
        </w:tabs>
        <w:numPr>
          <w:ilvl w:val="0"/>
          <w:numId w:val="176"/>
        </w:numPr>
        <w:rPr>
          <w:rFonts w:ascii="Arial" w:cs="Arial" w:eastAsia="Arial" w:hAnsi="Arial"/>
          <w:sz w:val="21"/>
          <w:szCs w:val="21"/>
          <w:color w:val="auto"/>
        </w:rPr>
      </w:pPr>
      <w:r>
        <w:rPr>
          <w:rFonts w:ascii="Arial" w:cs="Arial" w:eastAsia="Arial" w:hAnsi="Arial"/>
          <w:sz w:val="21"/>
          <w:szCs w:val="21"/>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1"/>
          <w:szCs w:val="21"/>
          <w:color w:val="auto"/>
        </w:rPr>
        <w:t>November 4, 2014</w:t>
      </w:r>
    </w:p>
    <w:p>
      <w:pPr>
        <w:spacing w:after="0" w:line="366" w:lineRule="exact"/>
        <w:rPr>
          <w:sz w:val="20"/>
          <w:szCs w:val="20"/>
          <w:color w:val="auto"/>
        </w:rPr>
      </w:pPr>
    </w:p>
    <w:p>
      <w:pPr>
        <w:ind w:left="9840"/>
        <w:spacing w:after="0"/>
        <w:rPr>
          <w:sz w:val="20"/>
          <w:szCs w:val="20"/>
          <w:color w:val="auto"/>
        </w:rPr>
      </w:pPr>
      <w:r>
        <w:rPr>
          <w:rFonts w:ascii="Arial" w:cs="Arial" w:eastAsia="Arial" w:hAnsi="Arial"/>
          <w:sz w:val="18"/>
          <w:szCs w:val="18"/>
          <w:color w:val="auto"/>
        </w:rPr>
        <w:t>/s/ J. Walker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4746625</wp:posOffset>
            </wp:positionH>
            <wp:positionV relativeFrom="paragraph">
              <wp:posOffset>11430</wp:posOffset>
            </wp:positionV>
            <wp:extent cx="250634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506345" cy="8255"/>
                    </a:xfrm>
                    <a:prstGeom prst="rect">
                      <a:avLst/>
                    </a:prstGeom>
                    <a:noFill/>
                  </pic:spPr>
                </pic:pic>
              </a:graphicData>
            </a:graphic>
          </wp:anchor>
        </w:drawing>
      </w:r>
    </w:p>
    <w:p>
      <w:pPr>
        <w:ind w:left="10100"/>
        <w:spacing w:after="0"/>
        <w:rPr>
          <w:sz w:val="20"/>
          <w:szCs w:val="20"/>
          <w:color w:val="auto"/>
        </w:rPr>
      </w:pPr>
      <w:r>
        <w:rPr>
          <w:rFonts w:ascii="Arial" w:cs="Arial" w:eastAsia="Arial" w:hAnsi="Arial"/>
          <w:sz w:val="18"/>
          <w:szCs w:val="18"/>
          <w:color w:val="auto"/>
        </w:rPr>
        <w:t>J. Walker Martin</w:t>
      </w:r>
    </w:p>
    <w:p>
      <w:pPr>
        <w:spacing w:after="0" w:line="17" w:lineRule="exact"/>
        <w:rPr>
          <w:sz w:val="20"/>
          <w:szCs w:val="20"/>
          <w:color w:val="auto"/>
        </w:rPr>
      </w:pPr>
    </w:p>
    <w:p>
      <w:pPr>
        <w:ind w:left="960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420"/>
          </w:cols>
          <w:pgMar w:left="240" w:top="118"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21"/>
          <w:szCs w:val="21"/>
          <w:color w:val="auto"/>
        </w:rPr>
        <w:t>Exhibit 32.4</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Statement of Chief Financial Officer</w:t>
      </w:r>
    </w:p>
    <w:p>
      <w:pPr>
        <w:spacing w:after="0" w:line="237" w:lineRule="exact"/>
        <w:rPr>
          <w:sz w:val="20"/>
          <w:szCs w:val="20"/>
          <w:color w:val="auto"/>
        </w:rPr>
      </w:pPr>
    </w:p>
    <w:p>
      <w:pPr>
        <w:ind w:right="580"/>
        <w:spacing w:after="0" w:line="267" w:lineRule="auto"/>
        <w:rPr>
          <w:sz w:val="20"/>
          <w:szCs w:val="20"/>
          <w:color w:val="auto"/>
        </w:rPr>
      </w:pPr>
      <w:r>
        <w:rPr>
          <w:rFonts w:ascii="Arial" w:cs="Arial" w:eastAsia="Arial" w:hAnsi="Arial"/>
          <w:sz w:val="21"/>
          <w:szCs w:val="21"/>
          <w:color w:val="auto"/>
        </w:rPr>
        <w:t>Pursuant to 18 U.S.C. Sec 1350, as created by Section 906 of the Sarbanes-Oxley Act of 2002, the undersigned Chief Financial Officer of San Diego Gas &amp; Electric Company (the "Company") certifies that:</w:t>
      </w:r>
    </w:p>
    <w:p>
      <w:pPr>
        <w:spacing w:after="0" w:line="207" w:lineRule="exact"/>
        <w:rPr>
          <w:sz w:val="20"/>
          <w:szCs w:val="20"/>
          <w:color w:val="auto"/>
        </w:rPr>
      </w:pPr>
    </w:p>
    <w:p>
      <w:pPr>
        <w:ind w:left="1280" w:right="260" w:hanging="636"/>
        <w:spacing w:after="0" w:line="252" w:lineRule="auto"/>
        <w:tabs>
          <w:tab w:leader="none" w:pos="1280" w:val="left"/>
        </w:tabs>
        <w:numPr>
          <w:ilvl w:val="0"/>
          <w:numId w:val="177"/>
        </w:numPr>
        <w:rPr>
          <w:rFonts w:ascii="Arial" w:cs="Arial" w:eastAsia="Arial" w:hAnsi="Arial"/>
          <w:sz w:val="21"/>
          <w:szCs w:val="21"/>
          <w:color w:val="auto"/>
        </w:rPr>
      </w:pPr>
      <w:r>
        <w:rPr>
          <w:rFonts w:ascii="Arial" w:cs="Arial" w:eastAsia="Arial" w:hAnsi="Arial"/>
          <w:sz w:val="21"/>
          <w:szCs w:val="21"/>
          <w:color w:val="auto"/>
        </w:rPr>
        <w:t>the Quarterly Report on Form 10-Q of the Company filed with the Securities and Exchange Commission for the quarter ended September 30, 2014 (the "Quarterly Report") fully complies with the requirements of Section 13(a) or Section 15(d), as applicable, of the Securities Exchange Act of 1934, as amended; and</w:t>
      </w:r>
    </w:p>
    <w:p>
      <w:pPr>
        <w:spacing w:after="0" w:line="222" w:lineRule="exact"/>
        <w:rPr>
          <w:rFonts w:ascii="Arial" w:cs="Arial" w:eastAsia="Arial" w:hAnsi="Arial"/>
          <w:sz w:val="21"/>
          <w:szCs w:val="21"/>
          <w:color w:val="auto"/>
        </w:rPr>
      </w:pPr>
    </w:p>
    <w:p>
      <w:pPr>
        <w:ind w:left="1280" w:right="240" w:hanging="636"/>
        <w:spacing w:after="0" w:line="267" w:lineRule="auto"/>
        <w:tabs>
          <w:tab w:leader="none" w:pos="1280" w:val="left"/>
        </w:tabs>
        <w:numPr>
          <w:ilvl w:val="0"/>
          <w:numId w:val="177"/>
        </w:numPr>
        <w:rPr>
          <w:rFonts w:ascii="Arial" w:cs="Arial" w:eastAsia="Arial" w:hAnsi="Arial"/>
          <w:sz w:val="21"/>
          <w:szCs w:val="21"/>
          <w:color w:val="auto"/>
        </w:rPr>
      </w:pPr>
      <w:r>
        <w:rPr>
          <w:rFonts w:ascii="Arial" w:cs="Arial" w:eastAsia="Arial" w:hAnsi="Arial"/>
          <w:sz w:val="21"/>
          <w:szCs w:val="21"/>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1"/>
          <w:szCs w:val="21"/>
          <w:color w:val="auto"/>
        </w:rPr>
        <w:t>November 4, 2014</w:t>
      </w:r>
    </w:p>
    <w:p>
      <w:pPr>
        <w:spacing w:after="0" w:line="366" w:lineRule="exact"/>
        <w:rPr>
          <w:sz w:val="20"/>
          <w:szCs w:val="20"/>
          <w:color w:val="auto"/>
        </w:rPr>
      </w:pPr>
    </w:p>
    <w:p>
      <w:pPr>
        <w:ind w:left="9780"/>
        <w:spacing w:after="0"/>
        <w:rPr>
          <w:sz w:val="20"/>
          <w:szCs w:val="20"/>
          <w:color w:val="auto"/>
        </w:rPr>
      </w:pPr>
      <w:r>
        <w:rPr>
          <w:rFonts w:ascii="Arial" w:cs="Arial" w:eastAsia="Arial" w:hAnsi="Arial"/>
          <w:sz w:val="18"/>
          <w:szCs w:val="18"/>
          <w:color w:val="auto"/>
        </w:rPr>
        <w:t>/s/ 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4797425</wp:posOffset>
            </wp:positionH>
            <wp:positionV relativeFrom="paragraph">
              <wp:posOffset>11430</wp:posOffset>
            </wp:positionV>
            <wp:extent cx="245554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455545" cy="8255"/>
                    </a:xfrm>
                    <a:prstGeom prst="rect">
                      <a:avLst/>
                    </a:prstGeom>
                    <a:noFill/>
                  </pic:spPr>
                </pic:pic>
              </a:graphicData>
            </a:graphic>
          </wp:anchor>
        </w:drawing>
      </w:r>
    </w:p>
    <w:p>
      <w:pPr>
        <w:ind w:left="10040"/>
        <w:spacing w:after="0"/>
        <w:rPr>
          <w:sz w:val="20"/>
          <w:szCs w:val="20"/>
          <w:color w:val="auto"/>
        </w:rPr>
      </w:pPr>
      <w:r>
        <w:rPr>
          <w:rFonts w:ascii="Arial" w:cs="Arial" w:eastAsia="Arial" w:hAnsi="Arial"/>
          <w:sz w:val="17"/>
          <w:szCs w:val="17"/>
          <w:color w:val="auto"/>
        </w:rPr>
        <w:t>Robert M. Schlax</w:t>
      </w:r>
    </w:p>
    <w:p>
      <w:pPr>
        <w:spacing w:after="0" w:line="28" w:lineRule="exact"/>
        <w:rPr>
          <w:sz w:val="20"/>
          <w:szCs w:val="20"/>
          <w:color w:val="auto"/>
        </w:rPr>
      </w:pPr>
    </w:p>
    <w:p>
      <w:pPr>
        <w:ind w:left="96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18"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21"/>
          <w:szCs w:val="21"/>
          <w:color w:val="auto"/>
        </w:rPr>
        <w:t>Exhibit 32.5</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Statement of Chief Executive Officer</w:t>
      </w:r>
    </w:p>
    <w:p>
      <w:pPr>
        <w:spacing w:after="0" w:line="237" w:lineRule="exact"/>
        <w:rPr>
          <w:sz w:val="20"/>
          <w:szCs w:val="20"/>
          <w:color w:val="auto"/>
        </w:rPr>
      </w:pPr>
    </w:p>
    <w:p>
      <w:pPr>
        <w:ind w:right="520"/>
        <w:spacing w:after="0" w:line="267" w:lineRule="auto"/>
        <w:rPr>
          <w:sz w:val="20"/>
          <w:szCs w:val="20"/>
          <w:color w:val="auto"/>
        </w:rPr>
      </w:pPr>
      <w:r>
        <w:rPr>
          <w:rFonts w:ascii="Arial" w:cs="Arial" w:eastAsia="Arial" w:hAnsi="Arial"/>
          <w:sz w:val="21"/>
          <w:szCs w:val="21"/>
          <w:color w:val="auto"/>
        </w:rPr>
        <w:t>Pursuant to 18 U.S.C. Sec 1350, as created by Section 906 of the Sarbanes-Oxley Act of 2002, the undersigned Chief Executive Officer of Southern California Gas Company (the "Company") certifies that:</w:t>
      </w:r>
    </w:p>
    <w:p>
      <w:pPr>
        <w:spacing w:after="0" w:line="207" w:lineRule="exact"/>
        <w:rPr>
          <w:sz w:val="20"/>
          <w:szCs w:val="20"/>
          <w:color w:val="auto"/>
        </w:rPr>
      </w:pPr>
    </w:p>
    <w:p>
      <w:pPr>
        <w:ind w:left="1280" w:right="260" w:hanging="636"/>
        <w:spacing w:after="0" w:line="252" w:lineRule="auto"/>
        <w:tabs>
          <w:tab w:leader="none" w:pos="1280" w:val="left"/>
        </w:tabs>
        <w:numPr>
          <w:ilvl w:val="0"/>
          <w:numId w:val="178"/>
        </w:numPr>
        <w:rPr>
          <w:rFonts w:ascii="Arial" w:cs="Arial" w:eastAsia="Arial" w:hAnsi="Arial"/>
          <w:sz w:val="21"/>
          <w:szCs w:val="21"/>
          <w:color w:val="auto"/>
        </w:rPr>
      </w:pPr>
      <w:r>
        <w:rPr>
          <w:rFonts w:ascii="Arial" w:cs="Arial" w:eastAsia="Arial" w:hAnsi="Arial"/>
          <w:sz w:val="21"/>
          <w:szCs w:val="21"/>
          <w:color w:val="auto"/>
        </w:rPr>
        <w:t>the Quarterly Report on Form 10-Q of the Company filed with the Securities and Exchange Commission for the quarter ended September 30, 2014 (the "Quarterly Report") fully complies with the requirements of Section 13(a) or Section 15(d), as applicable, of the Securities Exchange Act of 1934, as amended; and</w:t>
      </w:r>
    </w:p>
    <w:p>
      <w:pPr>
        <w:spacing w:after="0" w:line="222" w:lineRule="exact"/>
        <w:rPr>
          <w:rFonts w:ascii="Arial" w:cs="Arial" w:eastAsia="Arial" w:hAnsi="Arial"/>
          <w:sz w:val="21"/>
          <w:szCs w:val="21"/>
          <w:color w:val="auto"/>
        </w:rPr>
      </w:pPr>
    </w:p>
    <w:p>
      <w:pPr>
        <w:ind w:left="1280" w:right="240" w:hanging="636"/>
        <w:spacing w:after="0" w:line="267" w:lineRule="auto"/>
        <w:tabs>
          <w:tab w:leader="none" w:pos="1280" w:val="left"/>
        </w:tabs>
        <w:numPr>
          <w:ilvl w:val="0"/>
          <w:numId w:val="178"/>
        </w:numPr>
        <w:rPr>
          <w:rFonts w:ascii="Arial" w:cs="Arial" w:eastAsia="Arial" w:hAnsi="Arial"/>
          <w:sz w:val="21"/>
          <w:szCs w:val="21"/>
          <w:color w:val="auto"/>
        </w:rPr>
      </w:pPr>
      <w:r>
        <w:rPr>
          <w:rFonts w:ascii="Arial" w:cs="Arial" w:eastAsia="Arial" w:hAnsi="Arial"/>
          <w:sz w:val="21"/>
          <w:szCs w:val="21"/>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1"/>
          <w:szCs w:val="21"/>
          <w:color w:val="auto"/>
        </w:rPr>
        <w:t>November 4, 2014</w:t>
      </w:r>
    </w:p>
    <w:p>
      <w:pPr>
        <w:spacing w:after="0" w:line="366" w:lineRule="exact"/>
        <w:rPr>
          <w:sz w:val="20"/>
          <w:szCs w:val="20"/>
          <w:color w:val="auto"/>
        </w:rPr>
      </w:pPr>
    </w:p>
    <w:p>
      <w:pPr>
        <w:ind w:left="9780"/>
        <w:spacing w:after="0"/>
        <w:rPr>
          <w:sz w:val="20"/>
          <w:szCs w:val="20"/>
          <w:color w:val="auto"/>
        </w:rPr>
      </w:pPr>
      <w:r>
        <w:rPr>
          <w:rFonts w:ascii="Arial" w:cs="Arial" w:eastAsia="Arial" w:hAnsi="Arial"/>
          <w:sz w:val="18"/>
          <w:szCs w:val="18"/>
          <w:color w:val="auto"/>
        </w:rPr>
        <w:t>/s/ Dennis V. Arriola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4847590</wp:posOffset>
            </wp:positionH>
            <wp:positionV relativeFrom="paragraph">
              <wp:posOffset>11430</wp:posOffset>
            </wp:positionV>
            <wp:extent cx="240474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404745" cy="8255"/>
                    </a:xfrm>
                    <a:prstGeom prst="rect">
                      <a:avLst/>
                    </a:prstGeom>
                    <a:noFill/>
                  </pic:spPr>
                </pic:pic>
              </a:graphicData>
            </a:graphic>
          </wp:anchor>
        </w:drawing>
      </w:r>
    </w:p>
    <w:p>
      <w:pPr>
        <w:ind w:left="10040"/>
        <w:spacing w:after="0"/>
        <w:rPr>
          <w:sz w:val="20"/>
          <w:szCs w:val="20"/>
          <w:color w:val="auto"/>
        </w:rPr>
      </w:pPr>
      <w:r>
        <w:rPr>
          <w:rFonts w:ascii="Arial" w:cs="Arial" w:eastAsia="Arial" w:hAnsi="Arial"/>
          <w:sz w:val="18"/>
          <w:szCs w:val="18"/>
          <w:color w:val="auto"/>
        </w:rPr>
        <w:t>Dennis V. Arriola</w:t>
      </w:r>
    </w:p>
    <w:p>
      <w:pPr>
        <w:spacing w:after="0" w:line="17" w:lineRule="exact"/>
        <w:rPr>
          <w:sz w:val="20"/>
          <w:szCs w:val="20"/>
          <w:color w:val="auto"/>
        </w:rPr>
      </w:pPr>
    </w:p>
    <w:p>
      <w:pPr>
        <w:ind w:left="960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420"/>
          </w:cols>
          <w:pgMar w:left="240" w:top="118"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21"/>
          <w:szCs w:val="21"/>
          <w:color w:val="auto"/>
        </w:rPr>
        <w:t>Exhibit 32.6</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Statement of Chief Financial Officer</w:t>
      </w:r>
    </w:p>
    <w:p>
      <w:pPr>
        <w:spacing w:after="0" w:line="237" w:lineRule="exact"/>
        <w:rPr>
          <w:sz w:val="20"/>
          <w:szCs w:val="20"/>
          <w:color w:val="auto"/>
        </w:rPr>
      </w:pPr>
    </w:p>
    <w:p>
      <w:pPr>
        <w:ind w:right="580"/>
        <w:spacing w:after="0" w:line="267" w:lineRule="auto"/>
        <w:rPr>
          <w:sz w:val="20"/>
          <w:szCs w:val="20"/>
          <w:color w:val="auto"/>
        </w:rPr>
      </w:pPr>
      <w:r>
        <w:rPr>
          <w:rFonts w:ascii="Arial" w:cs="Arial" w:eastAsia="Arial" w:hAnsi="Arial"/>
          <w:sz w:val="21"/>
          <w:szCs w:val="21"/>
          <w:color w:val="auto"/>
        </w:rPr>
        <w:t>Pursuant to 18 U.S.C. Sec 1350, as created by Section 906 of the Sarbanes-Oxley Act of 2002, the undersigned Chief Financial Officer of Southern California Gas Company (the "Company") certifies that:</w:t>
      </w:r>
    </w:p>
    <w:p>
      <w:pPr>
        <w:spacing w:after="0" w:line="207" w:lineRule="exact"/>
        <w:rPr>
          <w:sz w:val="20"/>
          <w:szCs w:val="20"/>
          <w:color w:val="auto"/>
        </w:rPr>
      </w:pPr>
    </w:p>
    <w:p>
      <w:pPr>
        <w:ind w:left="1280" w:right="260" w:hanging="636"/>
        <w:spacing w:after="0" w:line="252" w:lineRule="auto"/>
        <w:tabs>
          <w:tab w:leader="none" w:pos="1280" w:val="left"/>
        </w:tabs>
        <w:numPr>
          <w:ilvl w:val="0"/>
          <w:numId w:val="179"/>
        </w:numPr>
        <w:rPr>
          <w:rFonts w:ascii="Arial" w:cs="Arial" w:eastAsia="Arial" w:hAnsi="Arial"/>
          <w:sz w:val="21"/>
          <w:szCs w:val="21"/>
          <w:color w:val="auto"/>
        </w:rPr>
      </w:pPr>
      <w:r>
        <w:rPr>
          <w:rFonts w:ascii="Arial" w:cs="Arial" w:eastAsia="Arial" w:hAnsi="Arial"/>
          <w:sz w:val="21"/>
          <w:szCs w:val="21"/>
          <w:color w:val="auto"/>
        </w:rPr>
        <w:t>the Quarterly Report on Form 10-Q of the Company filed with the Securities and Exchange Commission for the quarter ended September 30, 2014 (the "Quarterly Report") fully complies with the requirements of Section 13(a) or Section 15(d), as applicable, of the Securities Exchange Act of 1934, as amended; and</w:t>
      </w:r>
    </w:p>
    <w:p>
      <w:pPr>
        <w:spacing w:after="0" w:line="222" w:lineRule="exact"/>
        <w:rPr>
          <w:rFonts w:ascii="Arial" w:cs="Arial" w:eastAsia="Arial" w:hAnsi="Arial"/>
          <w:sz w:val="21"/>
          <w:szCs w:val="21"/>
          <w:color w:val="auto"/>
        </w:rPr>
      </w:pPr>
    </w:p>
    <w:p>
      <w:pPr>
        <w:ind w:left="1280" w:right="240" w:hanging="636"/>
        <w:spacing w:after="0" w:line="267" w:lineRule="auto"/>
        <w:tabs>
          <w:tab w:leader="none" w:pos="1280" w:val="left"/>
        </w:tabs>
        <w:numPr>
          <w:ilvl w:val="0"/>
          <w:numId w:val="179"/>
        </w:numPr>
        <w:rPr>
          <w:rFonts w:ascii="Arial" w:cs="Arial" w:eastAsia="Arial" w:hAnsi="Arial"/>
          <w:sz w:val="21"/>
          <w:szCs w:val="21"/>
          <w:color w:val="auto"/>
        </w:rPr>
      </w:pPr>
      <w:r>
        <w:rPr>
          <w:rFonts w:ascii="Arial" w:cs="Arial" w:eastAsia="Arial" w:hAnsi="Arial"/>
          <w:sz w:val="21"/>
          <w:szCs w:val="21"/>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1"/>
          <w:szCs w:val="21"/>
          <w:color w:val="auto"/>
        </w:rPr>
        <w:t>November 4, 2014</w:t>
      </w:r>
    </w:p>
    <w:p>
      <w:pPr>
        <w:spacing w:after="0" w:line="366" w:lineRule="exact"/>
        <w:rPr>
          <w:sz w:val="20"/>
          <w:szCs w:val="20"/>
          <w:color w:val="auto"/>
        </w:rPr>
      </w:pPr>
    </w:p>
    <w:p>
      <w:pPr>
        <w:ind w:left="9780"/>
        <w:spacing w:after="0"/>
        <w:rPr>
          <w:sz w:val="20"/>
          <w:szCs w:val="20"/>
          <w:color w:val="auto"/>
        </w:rPr>
      </w:pPr>
      <w:r>
        <w:rPr>
          <w:rFonts w:ascii="Arial" w:cs="Arial" w:eastAsia="Arial" w:hAnsi="Arial"/>
          <w:sz w:val="18"/>
          <w:szCs w:val="18"/>
          <w:color w:val="auto"/>
        </w:rPr>
        <w:t>/s/ 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4847590</wp:posOffset>
            </wp:positionH>
            <wp:positionV relativeFrom="paragraph">
              <wp:posOffset>11430</wp:posOffset>
            </wp:positionV>
            <wp:extent cx="240474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404745" cy="8255"/>
                    </a:xfrm>
                    <a:prstGeom prst="rect">
                      <a:avLst/>
                    </a:prstGeom>
                    <a:noFill/>
                  </pic:spPr>
                </pic:pic>
              </a:graphicData>
            </a:graphic>
          </wp:anchor>
        </w:drawing>
      </w:r>
    </w:p>
    <w:p>
      <w:pPr>
        <w:ind w:left="10040"/>
        <w:spacing w:after="0"/>
        <w:rPr>
          <w:sz w:val="20"/>
          <w:szCs w:val="20"/>
          <w:color w:val="auto"/>
        </w:rPr>
      </w:pPr>
      <w:r>
        <w:rPr>
          <w:rFonts w:ascii="Arial" w:cs="Arial" w:eastAsia="Arial" w:hAnsi="Arial"/>
          <w:sz w:val="17"/>
          <w:szCs w:val="17"/>
          <w:color w:val="auto"/>
        </w:rPr>
        <w:t>Robert M. Schlax</w:t>
      </w:r>
    </w:p>
    <w:p>
      <w:pPr>
        <w:spacing w:after="0" w:line="28" w:lineRule="exact"/>
        <w:rPr>
          <w:sz w:val="20"/>
          <w:szCs w:val="20"/>
          <w:color w:val="auto"/>
        </w:rPr>
      </w:pPr>
    </w:p>
    <w:p>
      <w:pPr>
        <w:ind w:left="96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EBC550"/>
    <w:multiLevelType w:val="hybridMultilevel"/>
    <w:lvl w:ilvl="0">
      <w:lvlJc w:val="left"/>
      <w:lvlText w:val="[%1]"/>
      <w:numFmt w:val="upperLetter"/>
      <w:start w:val="24"/>
    </w:lvl>
  </w:abstractNum>
  <w:abstractNum w:abstractNumId="1">
    <w:nsid w:val="2DF6D648"/>
    <w:multiLevelType w:val="hybridMultilevel"/>
    <w:lvl w:ilvl="0">
      <w:lvlJc w:val="left"/>
      <w:lvlText w:val="["/>
      <w:numFmt w:val="bullet"/>
      <w:start w:val="1"/>
    </w:lvl>
  </w:abstractNum>
  <w:abstractNum w:abstractNumId="2">
    <w:nsid w:val="46B7D447"/>
    <w:multiLevelType w:val="hybridMultilevel"/>
    <w:lvl w:ilvl="0">
      <w:lvlJc w:val="left"/>
      <w:lvlText w:val="\endash "/>
      <w:numFmt w:val="bullet"/>
      <w:start w:val="1"/>
    </w:lvl>
  </w:abstractNum>
  <w:abstractNum w:abstractNumId="3">
    <w:nsid w:val="4A2AC315"/>
    <w:multiLevelType w:val="hybridMultilevel"/>
    <w:lvl w:ilvl="0">
      <w:lvlJc w:val="left"/>
      <w:lvlText w:val="§"/>
      <w:numFmt w:val="bullet"/>
      <w:start w:val="1"/>
    </w:lvl>
  </w:abstractNum>
  <w:abstractNum w:abstractNumId="4">
    <w:nsid w:val="39EE015C"/>
    <w:multiLevelType w:val="hybridMultilevel"/>
    <w:lvl w:ilvl="0">
      <w:lvlJc w:val="left"/>
      <w:lvlText w:val="§"/>
      <w:numFmt w:val="bullet"/>
      <w:start w:val="1"/>
    </w:lvl>
  </w:abstractNum>
  <w:abstractNum w:abstractNumId="5">
    <w:nsid w:val="57FC4FBB"/>
    <w:multiLevelType w:val="hybridMultilevel"/>
    <w:lvl w:ilvl="0">
      <w:lvlJc w:val="left"/>
      <w:lvlText w:val="(%1)"/>
      <w:numFmt w:val="decimal"/>
      <w:start w:val="1"/>
    </w:lvl>
  </w:abstractNum>
  <w:abstractNum w:abstractNumId="6">
    <w:nsid w:val="CC1016F"/>
    <w:multiLevelType w:val="hybridMultilevel"/>
    <w:lvl w:ilvl="0">
      <w:lvlJc w:val="left"/>
      <w:lvlText w:val="(%1)"/>
      <w:numFmt w:val="decimal"/>
      <w:start w:val="1"/>
    </w:lvl>
  </w:abstractNum>
  <w:abstractNum w:abstractNumId="7">
    <w:nsid w:val="43F18422"/>
    <w:multiLevelType w:val="hybridMultilevel"/>
    <w:lvl w:ilvl="0">
      <w:lvlJc w:val="left"/>
      <w:lvlText w:val="(%1)"/>
      <w:numFmt w:val="decimal"/>
      <w:start w:val="1"/>
    </w:lvl>
  </w:abstractNum>
  <w:abstractNum w:abstractNumId="8">
    <w:nsid w:val="60EF0119"/>
    <w:multiLevelType w:val="hybridMultilevel"/>
    <w:lvl w:ilvl="0">
      <w:lvlJc w:val="left"/>
      <w:lvlText w:val="§"/>
      <w:numFmt w:val="bullet"/>
      <w:start w:val="1"/>
    </w:lvl>
  </w:abstractNum>
  <w:abstractNum w:abstractNumId="9">
    <w:nsid w:val="26F324BA"/>
    <w:multiLevelType w:val="hybridMultilevel"/>
    <w:lvl w:ilvl="0">
      <w:lvlJc w:val="left"/>
      <w:lvlText w:val="(%1)"/>
      <w:numFmt w:val="decimal"/>
      <w:start w:val="1"/>
    </w:lvl>
  </w:abstractNum>
  <w:abstractNum w:abstractNumId="10">
    <w:nsid w:val="7F01579B"/>
    <w:multiLevelType w:val="hybridMultilevel"/>
    <w:lvl w:ilvl="0">
      <w:lvlJc w:val="left"/>
      <w:lvlText w:val="(%1)"/>
      <w:numFmt w:val="decimal"/>
      <w:start w:val="1"/>
    </w:lvl>
  </w:abstractNum>
  <w:abstractNum w:abstractNumId="11">
    <w:nsid w:val="49DA307D"/>
    <w:multiLevelType w:val="hybridMultilevel"/>
    <w:lvl w:ilvl="0">
      <w:lvlJc w:val="left"/>
      <w:lvlText w:val="§"/>
      <w:numFmt w:val="bullet"/>
      <w:start w:val="1"/>
    </w:lvl>
  </w:abstractNum>
  <w:abstractNum w:abstractNumId="12">
    <w:nsid w:val="7055A5F5"/>
    <w:multiLevelType w:val="hybridMultilevel"/>
    <w:lvl w:ilvl="0">
      <w:lvlJc w:val="left"/>
      <w:lvlText w:val="(%1)"/>
      <w:numFmt w:val="decimal"/>
      <w:start w:val="1"/>
    </w:lvl>
  </w:abstractNum>
  <w:abstractNum w:abstractNumId="13">
    <w:nsid w:val="5FB8370B"/>
    <w:multiLevelType w:val="hybridMultilevel"/>
    <w:lvl w:ilvl="0">
      <w:lvlJc w:val="left"/>
      <w:lvlText w:val="(%1)"/>
      <w:numFmt w:val="decimal"/>
      <w:start w:val="1"/>
    </w:lvl>
  </w:abstractNum>
  <w:abstractNum w:abstractNumId="14">
    <w:nsid w:val="50801EE1"/>
    <w:multiLevelType w:val="hybridMultilevel"/>
    <w:lvl w:ilvl="0">
      <w:lvlJc w:val="left"/>
      <w:lvlText w:val="(%1)"/>
      <w:numFmt w:val="decimal"/>
      <w:start w:val="1"/>
    </w:lvl>
  </w:abstractNum>
  <w:abstractNum w:abstractNumId="15">
    <w:nsid w:val="488AC1A"/>
    <w:multiLevelType w:val="hybridMultilevel"/>
    <w:lvl w:ilvl="0">
      <w:lvlJc w:val="left"/>
      <w:lvlText w:val="(%1)"/>
      <w:numFmt w:val="decimal"/>
      <w:start w:val="1"/>
    </w:lvl>
  </w:abstractNum>
  <w:abstractNum w:abstractNumId="16">
    <w:nsid w:val="5FB8011C"/>
    <w:multiLevelType w:val="hybridMultilevel"/>
    <w:lvl w:ilvl="0">
      <w:lvlJc w:val="left"/>
      <w:lvlText w:val="(%1)"/>
      <w:numFmt w:val="decimal"/>
      <w:start w:val="1"/>
    </w:lvl>
  </w:abstractNum>
  <w:abstractNum w:abstractNumId="17">
    <w:nsid w:val="6AA78F7F"/>
    <w:multiLevelType w:val="hybridMultilevel"/>
    <w:lvl w:ilvl="0">
      <w:lvlJc w:val="left"/>
      <w:lvlText w:val="(%1)"/>
      <w:numFmt w:val="decimal"/>
      <w:start w:val="1"/>
    </w:lvl>
  </w:abstractNum>
  <w:abstractNum w:abstractNumId="18">
    <w:nsid w:val="7672BD23"/>
    <w:multiLevelType w:val="hybridMultilevel"/>
    <w:lvl w:ilvl="0">
      <w:lvlJc w:val="left"/>
      <w:lvlText w:val="(%1)"/>
      <w:numFmt w:val="decimal"/>
      <w:start w:val="1"/>
    </w:lvl>
  </w:abstractNum>
  <w:abstractNum w:abstractNumId="19">
    <w:nsid w:val="6FC75AF8"/>
    <w:multiLevelType w:val="hybridMultilevel"/>
    <w:lvl w:ilvl="0">
      <w:lvlJc w:val="left"/>
      <w:lvlText w:val="(%1)"/>
      <w:numFmt w:val="decimal"/>
      <w:start w:val="1"/>
    </w:lvl>
  </w:abstractNum>
  <w:abstractNum w:abstractNumId="20">
    <w:nsid w:val="6A5F7029"/>
    <w:multiLevelType w:val="hybridMultilevel"/>
    <w:lvl w:ilvl="0">
      <w:lvlJc w:val="left"/>
      <w:lvlText w:val="(%1)"/>
      <w:numFmt w:val="decimal"/>
      <w:start w:val="1"/>
    </w:lvl>
  </w:abstractNum>
  <w:abstractNum w:abstractNumId="21">
    <w:nsid w:val="7D5E18F8"/>
    <w:multiLevelType w:val="hybridMultilevel"/>
    <w:lvl w:ilvl="0">
      <w:lvlJc w:val="left"/>
      <w:lvlText w:val="(%1)"/>
      <w:numFmt w:val="decimal"/>
      <w:start w:val="1"/>
    </w:lvl>
  </w:abstractNum>
  <w:abstractNum w:abstractNumId="22">
    <w:nsid w:val="5F3534A4"/>
    <w:multiLevelType w:val="hybridMultilevel"/>
    <w:lvl w:ilvl="0">
      <w:lvlJc w:val="left"/>
      <w:lvlText w:val="§"/>
      <w:numFmt w:val="bullet"/>
      <w:start w:val="1"/>
    </w:lvl>
  </w:abstractNum>
  <w:abstractNum w:abstractNumId="23">
    <w:nsid w:val="73A1821B"/>
    <w:multiLevelType w:val="hybridMultilevel"/>
    <w:lvl w:ilvl="0">
      <w:lvlJc w:val="left"/>
      <w:lvlText w:val="§"/>
      <w:numFmt w:val="bullet"/>
      <w:start w:val="1"/>
    </w:lvl>
  </w:abstractNum>
  <w:abstractNum w:abstractNumId="24">
    <w:nsid w:val="7DE67713"/>
    <w:multiLevelType w:val="hybridMultilevel"/>
    <w:lvl w:ilvl="0">
      <w:lvlJc w:val="left"/>
      <w:lvlText w:val="§"/>
      <w:numFmt w:val="bullet"/>
      <w:start w:val="1"/>
    </w:lvl>
  </w:abstractNum>
  <w:abstractNum w:abstractNumId="25">
    <w:nsid w:val="555C55B5"/>
    <w:multiLevelType w:val="hybridMultilevel"/>
    <w:lvl w:ilvl="0">
      <w:lvlJc w:val="left"/>
      <w:lvlText w:val="§"/>
      <w:numFmt w:val="bullet"/>
      <w:start w:val="1"/>
    </w:lvl>
  </w:abstractNum>
  <w:abstractNum w:abstractNumId="26">
    <w:nsid w:val="3FA62ACA"/>
    <w:multiLevelType w:val="hybridMultilevel"/>
    <w:lvl w:ilvl="0">
      <w:lvlJc w:val="left"/>
      <w:lvlText w:val="§"/>
      <w:numFmt w:val="bullet"/>
      <w:start w:val="1"/>
    </w:lvl>
  </w:abstractNum>
  <w:abstractNum w:abstractNumId="27">
    <w:nsid w:val="14FCE74E"/>
    <w:multiLevelType w:val="hybridMultilevel"/>
    <w:lvl w:ilvl="0">
      <w:lvlJc w:val="left"/>
      <w:lvlText w:val="§"/>
      <w:numFmt w:val="bullet"/>
      <w:start w:val="1"/>
    </w:lvl>
  </w:abstractNum>
  <w:abstractNum w:abstractNumId="28">
    <w:nsid w:val="6A3DD3E8"/>
    <w:multiLevelType w:val="hybridMultilevel"/>
    <w:lvl w:ilvl="0">
      <w:lvlJc w:val="left"/>
      <w:lvlText w:val="§"/>
      <w:numFmt w:val="bullet"/>
      <w:start w:val="1"/>
    </w:lvl>
  </w:abstractNum>
  <w:abstractNum w:abstractNumId="29">
    <w:nsid w:val="71C91298"/>
    <w:multiLevelType w:val="hybridMultilevel"/>
    <w:lvl w:ilvl="0">
      <w:lvlJc w:val="left"/>
      <w:lvlText w:val="§"/>
      <w:numFmt w:val="bullet"/>
      <w:start w:val="1"/>
    </w:lvl>
  </w:abstractNum>
  <w:abstractNum w:abstractNumId="30">
    <w:nsid w:val="9DAF632"/>
    <w:multiLevelType w:val="hybridMultilevel"/>
    <w:lvl w:ilvl="0">
      <w:lvlJc w:val="left"/>
      <w:lvlText w:val="§"/>
      <w:numFmt w:val="bullet"/>
      <w:start w:val="1"/>
    </w:lvl>
  </w:abstractNum>
  <w:abstractNum w:abstractNumId="31">
    <w:nsid w:val="53299938"/>
    <w:multiLevelType w:val="hybridMultilevel"/>
    <w:lvl w:ilvl="0">
      <w:lvlJc w:val="left"/>
      <w:lvlText w:val="§"/>
      <w:numFmt w:val="bullet"/>
      <w:start w:val="1"/>
    </w:lvl>
  </w:abstractNum>
  <w:abstractNum w:abstractNumId="32">
    <w:nsid w:val="1FBFE8E0"/>
    <w:multiLevelType w:val="hybridMultilevel"/>
    <w:lvl w:ilvl="0">
      <w:lvlJc w:val="left"/>
      <w:lvlText w:val="§"/>
      <w:numFmt w:val="bullet"/>
      <w:start w:val="1"/>
    </w:lvl>
  </w:abstractNum>
  <w:abstractNum w:abstractNumId="33">
    <w:nsid w:val="5092CA79"/>
    <w:multiLevelType w:val="hybridMultilevel"/>
    <w:lvl w:ilvl="0">
      <w:lvlJc w:val="left"/>
      <w:lvlText w:val="(%1)"/>
      <w:numFmt w:val="decimal"/>
      <w:start w:val="1"/>
    </w:lvl>
  </w:abstractNum>
  <w:abstractNum w:abstractNumId="34">
    <w:nsid w:val="1D545C4D"/>
    <w:multiLevelType w:val="hybridMultilevel"/>
    <w:lvl w:ilvl="0">
      <w:lvlJc w:val="left"/>
      <w:lvlText w:val="(%1)"/>
      <w:numFmt w:val="decimal"/>
      <w:start w:val="1"/>
    </w:lvl>
  </w:abstractNum>
  <w:abstractNum w:abstractNumId="35">
    <w:nsid w:val="59ADEA3D"/>
    <w:multiLevelType w:val="hybridMultilevel"/>
    <w:lvl w:ilvl="0">
      <w:lvlJc w:val="left"/>
      <w:lvlText w:val="(%1)"/>
      <w:numFmt w:val="decimal"/>
      <w:start w:val="1"/>
    </w:lvl>
  </w:abstractNum>
  <w:abstractNum w:abstractNumId="36">
    <w:nsid w:val="288F1A34"/>
    <w:multiLevelType w:val="hybridMultilevel"/>
    <w:lvl w:ilvl="0">
      <w:lvlJc w:val="left"/>
      <w:lvlText w:val="(%1)"/>
      <w:numFmt w:val="decimal"/>
      <w:start w:val="1"/>
    </w:lvl>
  </w:abstractNum>
  <w:abstractNum w:abstractNumId="37">
    <w:nsid w:val="2A155DBC"/>
    <w:multiLevelType w:val="hybridMultilevel"/>
    <w:lvl w:ilvl="0">
      <w:lvlJc w:val="left"/>
      <w:lvlText w:val="(%1)"/>
      <w:numFmt w:val="decimal"/>
      <w:start w:val="1"/>
    </w:lvl>
  </w:abstractNum>
  <w:abstractNum w:abstractNumId="38">
    <w:nsid w:val="1D9F6E5F"/>
    <w:multiLevelType w:val="hybridMultilevel"/>
    <w:lvl w:ilvl="0">
      <w:lvlJc w:val="left"/>
      <w:lvlText w:val="(%1)"/>
      <w:numFmt w:val="decimal"/>
      <w:start w:val="1"/>
    </w:lvl>
  </w:abstractNum>
  <w:abstractNum w:abstractNumId="39">
    <w:nsid w:val="97E1B4E"/>
    <w:multiLevelType w:val="hybridMultilevel"/>
    <w:lvl w:ilvl="0">
      <w:lvlJc w:val="left"/>
      <w:lvlText w:val="§"/>
      <w:numFmt w:val="bullet"/>
      <w:start w:val="1"/>
    </w:lvl>
  </w:abstractNum>
  <w:abstractNum w:abstractNumId="40">
    <w:nsid w:val="51088277"/>
    <w:multiLevelType w:val="hybridMultilevel"/>
    <w:lvl w:ilvl="0">
      <w:lvlJc w:val="left"/>
      <w:lvlText w:val="(%1)"/>
      <w:numFmt w:val="decimal"/>
      <w:start w:val="1"/>
    </w:lvl>
  </w:abstractNum>
  <w:abstractNum w:abstractNumId="41">
    <w:nsid w:val="1CA0C5FA"/>
    <w:multiLevelType w:val="hybridMultilevel"/>
    <w:lvl w:ilvl="0">
      <w:lvlJc w:val="left"/>
      <w:lvlText w:val="(%1)"/>
      <w:numFmt w:val="decimal"/>
      <w:start w:val="1"/>
    </w:lvl>
  </w:abstractNum>
  <w:abstractNum w:abstractNumId="42">
    <w:nsid w:val="53584BCB"/>
    <w:multiLevelType w:val="hybridMultilevel"/>
    <w:lvl w:ilvl="0">
      <w:lvlJc w:val="left"/>
      <w:lvlText w:val="(%1)"/>
      <w:numFmt w:val="decimal"/>
      <w:start w:val="1"/>
    </w:lvl>
  </w:abstractNum>
  <w:abstractNum w:abstractNumId="43">
    <w:nsid w:val="415E286C"/>
    <w:multiLevelType w:val="hybridMultilevel"/>
    <w:lvl w:ilvl="0">
      <w:lvlJc w:val="left"/>
      <w:lvlText w:val="(%1)"/>
      <w:numFmt w:val="decimal"/>
      <w:start w:val="1"/>
    </w:lvl>
  </w:abstractNum>
  <w:abstractNum w:abstractNumId="44">
    <w:nsid w:val="7C58FD05"/>
    <w:multiLevelType w:val="hybridMultilevel"/>
    <w:lvl w:ilvl="0">
      <w:lvlJc w:val="left"/>
      <w:lvlText w:val="(%1)"/>
      <w:numFmt w:val="decimal"/>
      <w:start w:val="1"/>
    </w:lvl>
  </w:abstractNum>
  <w:abstractNum w:abstractNumId="45">
    <w:nsid w:val="23D86AAC"/>
    <w:multiLevelType w:val="hybridMultilevel"/>
    <w:lvl w:ilvl="0">
      <w:lvlJc w:val="left"/>
      <w:lvlText w:val="§"/>
      <w:numFmt w:val="bullet"/>
      <w:start w:val="1"/>
    </w:lvl>
  </w:abstractNum>
  <w:abstractNum w:abstractNumId="46">
    <w:nsid w:val="45E6D486"/>
    <w:multiLevelType w:val="hybridMultilevel"/>
    <w:lvl w:ilvl="0">
      <w:lvlJc w:val="left"/>
      <w:lvlText w:val="□"/>
      <w:numFmt w:val="bullet"/>
      <w:start w:val="1"/>
    </w:lvl>
  </w:abstractNum>
  <w:abstractNum w:abstractNumId="47">
    <w:nsid w:val="5C10FE21"/>
    <w:multiLevelType w:val="hybridMultilevel"/>
    <w:lvl w:ilvl="0">
      <w:lvlJc w:val="left"/>
      <w:lvlText w:val="§"/>
      <w:numFmt w:val="bullet"/>
      <w:start w:val="1"/>
    </w:lvl>
  </w:abstractNum>
  <w:abstractNum w:abstractNumId="48">
    <w:nsid w:val="E7FFA2B"/>
    <w:multiLevelType w:val="hybridMultilevel"/>
    <w:lvl w:ilvl="0">
      <w:lvlJc w:val="left"/>
      <w:lvlText w:val="§"/>
      <w:numFmt w:val="bullet"/>
      <w:start w:val="1"/>
    </w:lvl>
  </w:abstractNum>
  <w:abstractNum w:abstractNumId="49">
    <w:nsid w:val="3C5991AA"/>
    <w:multiLevelType w:val="hybridMultilevel"/>
    <w:lvl w:ilvl="0">
      <w:lvlJc w:val="left"/>
      <w:lvlText w:val="§"/>
      <w:numFmt w:val="bullet"/>
      <w:start w:val="1"/>
    </w:lvl>
  </w:abstractNum>
  <w:abstractNum w:abstractNumId="50">
    <w:nsid w:val="4BD8591A"/>
    <w:multiLevelType w:val="hybridMultilevel"/>
    <w:lvl w:ilvl="0">
      <w:lvlJc w:val="left"/>
      <w:lvlText w:val="§"/>
      <w:numFmt w:val="bullet"/>
      <w:start w:val="1"/>
    </w:lvl>
  </w:abstractNum>
  <w:abstractNum w:abstractNumId="51">
    <w:nsid w:val="78DF6A55"/>
    <w:multiLevelType w:val="hybridMultilevel"/>
    <w:lvl w:ilvl="0">
      <w:lvlJc w:val="left"/>
      <w:lvlText w:val="(%1)"/>
      <w:numFmt w:val="decimal"/>
      <w:start w:val="1"/>
    </w:lvl>
  </w:abstractNum>
  <w:abstractNum w:abstractNumId="52">
    <w:nsid w:val="39B7AAA2"/>
    <w:multiLevelType w:val="hybridMultilevel"/>
    <w:lvl w:ilvl="0">
      <w:lvlJc w:val="left"/>
      <w:lvlText w:val="§"/>
      <w:numFmt w:val="bullet"/>
      <w:start w:val="1"/>
    </w:lvl>
    <w:lvl w:ilvl="1">
      <w:lvlJc w:val="left"/>
      <w:lvlText w:val="□"/>
      <w:numFmt w:val="bullet"/>
      <w:start w:val="1"/>
    </w:lvl>
  </w:abstractNum>
  <w:abstractNum w:abstractNumId="53">
    <w:nsid w:val="2B0D8DBE"/>
    <w:multiLevelType w:val="hybridMultilevel"/>
    <w:lvl w:ilvl="0">
      <w:lvlJc w:val="left"/>
      <w:lvlText w:val="□"/>
      <w:numFmt w:val="bullet"/>
      <w:start w:val="1"/>
    </w:lvl>
  </w:abstractNum>
  <w:abstractNum w:abstractNumId="54">
    <w:nsid w:val="6C80EC70"/>
    <w:multiLevelType w:val="hybridMultilevel"/>
    <w:lvl w:ilvl="0">
      <w:lvlJc w:val="left"/>
      <w:lvlText w:val="%1."/>
      <w:numFmt w:val="decimal"/>
      <w:start w:val="1"/>
    </w:lvl>
  </w:abstractNum>
  <w:abstractNum w:abstractNumId="55">
    <w:nsid w:val="379E21B5"/>
    <w:multiLevelType w:val="hybridMultilevel"/>
    <w:lvl w:ilvl="0">
      <w:lvlJc w:val="left"/>
      <w:lvlText w:val="(%1)"/>
      <w:numFmt w:val="decimal"/>
      <w:start w:val="1"/>
    </w:lvl>
  </w:abstractNum>
  <w:abstractNum w:abstractNumId="56">
    <w:nsid w:val="69E373"/>
    <w:multiLevelType w:val="hybridMultilevel"/>
    <w:lvl w:ilvl="0">
      <w:lvlJc w:val="left"/>
      <w:lvlText w:val="§"/>
      <w:numFmt w:val="bullet"/>
      <w:start w:val="1"/>
    </w:lvl>
  </w:abstractNum>
  <w:abstractNum w:abstractNumId="57">
    <w:nsid w:val="2C27173B"/>
    <w:multiLevelType w:val="hybridMultilevel"/>
    <w:lvl w:ilvl="0">
      <w:lvlJc w:val="left"/>
      <w:lvlText w:val="§"/>
      <w:numFmt w:val="bullet"/>
      <w:start w:val="1"/>
    </w:lvl>
  </w:abstractNum>
  <w:abstractNum w:abstractNumId="58">
    <w:nsid w:val="4C9B0904"/>
    <w:multiLevelType w:val="hybridMultilevel"/>
    <w:lvl w:ilvl="0">
      <w:lvlJc w:val="left"/>
      <w:lvlText w:val="§"/>
      <w:numFmt w:val="bullet"/>
      <w:start w:val="1"/>
    </w:lvl>
  </w:abstractNum>
  <w:abstractNum w:abstractNumId="59">
    <w:nsid w:val="6AA7B75C"/>
    <w:multiLevelType w:val="hybridMultilevel"/>
    <w:lvl w:ilvl="0">
      <w:lvlJc w:val="left"/>
      <w:lvlText w:val="§"/>
      <w:numFmt w:val="bullet"/>
      <w:start w:val="1"/>
    </w:lvl>
  </w:abstractNum>
  <w:abstractNum w:abstractNumId="60">
    <w:nsid w:val="1DF029D3"/>
    <w:multiLevelType w:val="hybridMultilevel"/>
    <w:lvl w:ilvl="0">
      <w:lvlJc w:val="left"/>
      <w:lvlText w:val="§"/>
      <w:numFmt w:val="bullet"/>
      <w:start w:val="1"/>
    </w:lvl>
  </w:abstractNum>
  <w:abstractNum w:abstractNumId="61">
    <w:nsid w:val="5675FF36"/>
    <w:multiLevelType w:val="hybridMultilevel"/>
    <w:lvl w:ilvl="0">
      <w:lvlJc w:val="left"/>
      <w:lvlText w:val="§"/>
      <w:numFmt w:val="bullet"/>
      <w:start w:val="1"/>
    </w:lvl>
  </w:abstractNum>
  <w:abstractNum w:abstractNumId="62">
    <w:nsid w:val="3DD15094"/>
    <w:multiLevelType w:val="hybridMultilevel"/>
    <w:lvl w:ilvl="0">
      <w:lvlJc w:val="left"/>
      <w:lvlText w:val="§"/>
      <w:numFmt w:val="bullet"/>
      <w:start w:val="1"/>
    </w:lvl>
  </w:abstractNum>
  <w:abstractNum w:abstractNumId="63">
    <w:nsid w:val="3DB012B3"/>
    <w:multiLevelType w:val="hybridMultilevel"/>
    <w:lvl w:ilvl="0">
      <w:lvlJc w:val="left"/>
      <w:lvlText w:val="(%1)"/>
      <w:numFmt w:val="decimal"/>
      <w:start w:val="1"/>
    </w:lvl>
  </w:abstractNum>
  <w:abstractNum w:abstractNumId="64">
    <w:nsid w:val="2708C9AF"/>
    <w:multiLevelType w:val="hybridMultilevel"/>
    <w:lvl w:ilvl="0">
      <w:lvlJc w:val="left"/>
      <w:lvlText w:val="§"/>
      <w:numFmt w:val="bullet"/>
      <w:start w:val="1"/>
    </w:lvl>
  </w:abstractNum>
  <w:abstractNum w:abstractNumId="65">
    <w:nsid w:val="5B25ACE2"/>
    <w:multiLevelType w:val="hybridMultilevel"/>
    <w:lvl w:ilvl="0">
      <w:lvlJc w:val="left"/>
      <w:lvlText w:val="§"/>
      <w:numFmt w:val="bullet"/>
      <w:start w:val="1"/>
    </w:lvl>
  </w:abstractNum>
  <w:abstractNum w:abstractNumId="66">
    <w:nsid w:val="175DFCF0"/>
    <w:multiLevelType w:val="hybridMultilevel"/>
    <w:lvl w:ilvl="0">
      <w:lvlJc w:val="left"/>
      <w:lvlText w:val="§"/>
      <w:numFmt w:val="bullet"/>
      <w:start w:val="1"/>
    </w:lvl>
  </w:abstractNum>
  <w:abstractNum w:abstractNumId="67">
    <w:nsid w:val="4F97E3E4"/>
    <w:multiLevelType w:val="hybridMultilevel"/>
    <w:lvl w:ilvl="0">
      <w:lvlJc w:val="left"/>
      <w:lvlText w:val="§"/>
      <w:numFmt w:val="bullet"/>
      <w:start w:val="1"/>
    </w:lvl>
  </w:abstractNum>
  <w:abstractNum w:abstractNumId="68">
    <w:nsid w:val="53B0A9E"/>
    <w:multiLevelType w:val="hybridMultilevel"/>
    <w:lvl w:ilvl="0">
      <w:lvlJc w:val="left"/>
      <w:lvlText w:val="§"/>
      <w:numFmt w:val="bullet"/>
      <w:start w:val="1"/>
    </w:lvl>
  </w:abstractNum>
  <w:abstractNum w:abstractNumId="69">
    <w:nsid w:val="34FD6B4F"/>
    <w:multiLevelType w:val="hybridMultilevel"/>
    <w:lvl w:ilvl="0">
      <w:lvlJc w:val="left"/>
      <w:lvlText w:val="§"/>
      <w:numFmt w:val="bullet"/>
      <w:start w:val="1"/>
    </w:lvl>
  </w:abstractNum>
  <w:abstractNum w:abstractNumId="70">
    <w:nsid w:val="5915FF32"/>
    <w:multiLevelType w:val="hybridMultilevel"/>
    <w:lvl w:ilvl="0">
      <w:lvlJc w:val="left"/>
      <w:lvlText w:val="§"/>
      <w:numFmt w:val="bullet"/>
      <w:start w:val="1"/>
    </w:lvl>
  </w:abstractNum>
  <w:abstractNum w:abstractNumId="71">
    <w:nsid w:val="56438D15"/>
    <w:multiLevelType w:val="hybridMultilevel"/>
    <w:lvl w:ilvl="0">
      <w:lvlJc w:val="left"/>
      <w:lvlText w:val="§"/>
      <w:numFmt w:val="bullet"/>
      <w:start w:val="1"/>
    </w:lvl>
  </w:abstractNum>
  <w:abstractNum w:abstractNumId="72">
    <w:nsid w:val="519E3149"/>
    <w:multiLevelType w:val="hybridMultilevel"/>
    <w:lvl w:ilvl="0">
      <w:lvlJc w:val="left"/>
      <w:lvlText w:val="§"/>
      <w:numFmt w:val="bullet"/>
      <w:start w:val="1"/>
    </w:lvl>
  </w:abstractNum>
  <w:abstractNum w:abstractNumId="73">
    <w:nsid w:val="2C6E4AFD"/>
    <w:multiLevelType w:val="hybridMultilevel"/>
    <w:lvl w:ilvl="0">
      <w:lvlJc w:val="left"/>
      <w:lvlText w:val="§"/>
      <w:numFmt w:val="bullet"/>
      <w:start w:val="1"/>
    </w:lvl>
  </w:abstractNum>
  <w:abstractNum w:abstractNumId="74">
    <w:nsid w:val="17A1B582"/>
    <w:multiLevelType w:val="hybridMultilevel"/>
    <w:lvl w:ilvl="0">
      <w:lvlJc w:val="left"/>
      <w:lvlText w:val="§"/>
      <w:numFmt w:val="bullet"/>
      <w:start w:val="1"/>
    </w:lvl>
  </w:abstractNum>
  <w:abstractNum w:abstractNumId="75">
    <w:nsid w:val="4DF72E4E"/>
    <w:multiLevelType w:val="hybridMultilevel"/>
    <w:lvl w:ilvl="0">
      <w:lvlJc w:val="left"/>
      <w:lvlText w:val="§"/>
      <w:numFmt w:val="bullet"/>
      <w:start w:val="1"/>
    </w:lvl>
  </w:abstractNum>
  <w:abstractNum w:abstractNumId="76">
    <w:nsid w:val="5046B5A9"/>
    <w:multiLevelType w:val="hybridMultilevel"/>
    <w:lvl w:ilvl="0">
      <w:lvlJc w:val="left"/>
      <w:lvlText w:val="§"/>
      <w:numFmt w:val="bullet"/>
      <w:start w:val="1"/>
    </w:lvl>
  </w:abstractNum>
  <w:abstractNum w:abstractNumId="77">
    <w:nsid w:val="5D888A08"/>
    <w:multiLevelType w:val="hybridMultilevel"/>
    <w:lvl w:ilvl="0">
      <w:lvlJc w:val="left"/>
      <w:lvlText w:val="§"/>
      <w:numFmt w:val="bullet"/>
      <w:start w:val="1"/>
    </w:lvl>
  </w:abstractNum>
  <w:abstractNum w:abstractNumId="78">
    <w:nsid w:val="2A082C70"/>
    <w:multiLevelType w:val="hybridMultilevel"/>
    <w:lvl w:ilvl="0">
      <w:lvlJc w:val="left"/>
      <w:lvlText w:val="§"/>
      <w:numFmt w:val="bullet"/>
      <w:start w:val="1"/>
    </w:lvl>
  </w:abstractNum>
  <w:abstractNum w:abstractNumId="79">
    <w:nsid w:val="5EC6AFD4"/>
    <w:multiLevelType w:val="hybridMultilevel"/>
    <w:lvl w:ilvl="0">
      <w:lvlJc w:val="left"/>
      <w:lvlText w:val="§"/>
      <w:numFmt w:val="bullet"/>
      <w:start w:val="1"/>
    </w:lvl>
  </w:abstractNum>
  <w:abstractNum w:abstractNumId="80">
    <w:nsid w:val="19E21BB2"/>
    <w:multiLevelType w:val="hybridMultilevel"/>
    <w:lvl w:ilvl="0">
      <w:lvlJc w:val="left"/>
      <w:lvlText w:val="§"/>
      <w:numFmt w:val="bullet"/>
      <w:start w:val="1"/>
    </w:lvl>
  </w:abstractNum>
  <w:abstractNum w:abstractNumId="81">
    <w:nsid w:val="75E0858A"/>
    <w:multiLevelType w:val="hybridMultilevel"/>
    <w:lvl w:ilvl="0">
      <w:lvlJc w:val="left"/>
      <w:lvlText w:val="§"/>
      <w:numFmt w:val="bullet"/>
      <w:start w:val="1"/>
    </w:lvl>
  </w:abstractNum>
  <w:abstractNum w:abstractNumId="82">
    <w:nsid w:val="57A61A29"/>
    <w:multiLevelType w:val="hybridMultilevel"/>
    <w:lvl w:ilvl="0">
      <w:lvlJc w:val="left"/>
      <w:lvlText w:val="§"/>
      <w:numFmt w:val="bullet"/>
      <w:start w:val="1"/>
    </w:lvl>
  </w:abstractNum>
  <w:abstractNum w:abstractNumId="83">
    <w:nsid w:val="5399C654"/>
    <w:multiLevelType w:val="hybridMultilevel"/>
    <w:lvl w:ilvl="0">
      <w:lvlJc w:val="left"/>
      <w:lvlText w:val="§"/>
      <w:numFmt w:val="bullet"/>
      <w:start w:val="1"/>
    </w:lvl>
  </w:abstractNum>
  <w:abstractNum w:abstractNumId="84">
    <w:nsid w:val="20EE1348"/>
    <w:multiLevelType w:val="hybridMultilevel"/>
    <w:lvl w:ilvl="0">
      <w:lvlJc w:val="left"/>
      <w:lvlText w:val="§"/>
      <w:numFmt w:val="bullet"/>
      <w:start w:val="1"/>
    </w:lvl>
  </w:abstractNum>
  <w:abstractNum w:abstractNumId="85">
    <w:nsid w:val="4427069A"/>
    <w:multiLevelType w:val="hybridMultilevel"/>
    <w:lvl w:ilvl="0">
      <w:lvlJc w:val="left"/>
      <w:lvlText w:val="§"/>
      <w:numFmt w:val="bullet"/>
      <w:start w:val="1"/>
    </w:lvl>
  </w:abstractNum>
  <w:abstractNum w:abstractNumId="86">
    <w:nsid w:val="B37E80A"/>
    <w:multiLevelType w:val="hybridMultilevel"/>
    <w:lvl w:ilvl="0">
      <w:lvlJc w:val="left"/>
      <w:lvlText w:val="§"/>
      <w:numFmt w:val="bullet"/>
      <w:start w:val="1"/>
    </w:lvl>
    <w:lvl w:ilvl="1">
      <w:lvlJc w:val="left"/>
      <w:lvlText w:val="□"/>
      <w:numFmt w:val="bullet"/>
      <w:start w:val="1"/>
    </w:lvl>
  </w:abstractNum>
  <w:abstractNum w:abstractNumId="87">
    <w:nsid w:val="2157F6BC"/>
    <w:multiLevelType w:val="hybridMultilevel"/>
    <w:lvl w:ilvl="0">
      <w:lvlJc w:val="left"/>
      <w:lvlText w:val="§"/>
      <w:numFmt w:val="bullet"/>
      <w:start w:val="1"/>
    </w:lvl>
  </w:abstractNum>
  <w:abstractNum w:abstractNumId="88">
    <w:nsid w:val="704E1DD5"/>
    <w:multiLevelType w:val="hybridMultilevel"/>
    <w:lvl w:ilvl="0">
      <w:lvlJc w:val="left"/>
      <w:lvlText w:val="§"/>
      <w:numFmt w:val="bullet"/>
      <w:start w:val="1"/>
    </w:lvl>
    <w:lvl w:ilvl="1">
      <w:lvlJc w:val="left"/>
      <w:lvlText w:val="□"/>
      <w:numFmt w:val="bullet"/>
      <w:start w:val="1"/>
    </w:lvl>
  </w:abstractNum>
  <w:abstractNum w:abstractNumId="89">
    <w:nsid w:val="57D2F10E"/>
    <w:multiLevelType w:val="hybridMultilevel"/>
    <w:lvl w:ilvl="0">
      <w:lvlJc w:val="left"/>
      <w:lvlText w:val="§"/>
      <w:numFmt w:val="bullet"/>
      <w:start w:val="1"/>
    </w:lvl>
    <w:lvl w:ilvl="1">
      <w:lvlJc w:val="left"/>
      <w:lvlText w:val="□"/>
      <w:numFmt w:val="bullet"/>
      <w:start w:val="1"/>
    </w:lvl>
  </w:abstractNum>
  <w:abstractNum w:abstractNumId="90">
    <w:nsid w:val="BFFAE18"/>
    <w:multiLevelType w:val="hybridMultilevel"/>
    <w:lvl w:ilvl="0">
      <w:lvlJc w:val="left"/>
      <w:lvlText w:val="§"/>
      <w:numFmt w:val="bullet"/>
      <w:start w:val="1"/>
    </w:lvl>
  </w:abstractNum>
  <w:abstractNum w:abstractNumId="91">
    <w:nsid w:val="E3E47A8"/>
    <w:multiLevelType w:val="hybridMultilevel"/>
    <w:lvl w:ilvl="0">
      <w:lvlJc w:val="left"/>
      <w:lvlText w:val="§"/>
      <w:numFmt w:val="bullet"/>
      <w:start w:val="1"/>
    </w:lvl>
  </w:abstractNum>
  <w:abstractNum w:abstractNumId="92">
    <w:nsid w:val="2E48F044"/>
    <w:multiLevelType w:val="hybridMultilevel"/>
    <w:lvl w:ilvl="0">
      <w:lvlJc w:val="left"/>
      <w:lvlText w:val="§"/>
      <w:numFmt w:val="bullet"/>
      <w:start w:val="1"/>
    </w:lvl>
  </w:abstractNum>
  <w:abstractNum w:abstractNumId="93">
    <w:nsid w:val="49D0FEAC"/>
    <w:multiLevelType w:val="hybridMultilevel"/>
    <w:lvl w:ilvl="0">
      <w:lvlJc w:val="left"/>
      <w:lvlText w:val="(%1)"/>
      <w:numFmt w:val="decimal"/>
      <w:start w:val="1"/>
    </w:lvl>
  </w:abstractNum>
  <w:abstractNum w:abstractNumId="94">
    <w:nsid w:val="4BEE5A5B"/>
    <w:multiLevelType w:val="hybridMultilevel"/>
    <w:lvl w:ilvl="0">
      <w:lvlJc w:val="left"/>
      <w:lvlText w:val="(%1)"/>
      <w:numFmt w:val="decimal"/>
      <w:start w:val="2"/>
    </w:lvl>
  </w:abstractNum>
  <w:abstractNum w:abstractNumId="95">
    <w:nsid w:val="5551B9F3"/>
    <w:multiLevelType w:val="hybridMultilevel"/>
    <w:lvl w:ilvl="0">
      <w:lvlJc w:val="left"/>
      <w:lvlText w:val="§"/>
      <w:numFmt w:val="bullet"/>
      <w:start w:val="1"/>
    </w:lvl>
  </w:abstractNum>
  <w:abstractNum w:abstractNumId="96">
    <w:nsid w:val="24F6AB8E"/>
    <w:multiLevelType w:val="hybridMultilevel"/>
    <w:lvl w:ilvl="0">
      <w:lvlJc w:val="left"/>
      <w:lvlText w:val="§"/>
      <w:numFmt w:val="bullet"/>
      <w:start w:val="1"/>
    </w:lvl>
    <w:lvl w:ilvl="1">
      <w:lvlJc w:val="left"/>
      <w:lvlText w:val="□"/>
      <w:numFmt w:val="bullet"/>
      <w:start w:val="1"/>
    </w:lvl>
  </w:abstractNum>
  <w:abstractNum w:abstractNumId="97">
    <w:nsid w:val="634C574C"/>
    <w:multiLevelType w:val="hybridMultilevel"/>
    <w:lvl w:ilvl="0">
      <w:lvlJc w:val="left"/>
      <w:lvlText w:val="(%1)"/>
      <w:numFmt w:val="decimal"/>
      <w:start w:val="1"/>
    </w:lvl>
  </w:abstractNum>
  <w:abstractNum w:abstractNumId="98">
    <w:nsid w:val="24E99DD7"/>
    <w:multiLevelType w:val="hybridMultilevel"/>
    <w:lvl w:ilvl="0">
      <w:lvlJc w:val="left"/>
      <w:lvlText w:val="§"/>
      <w:numFmt w:val="bullet"/>
      <w:start w:val="1"/>
    </w:lvl>
  </w:abstractNum>
  <w:abstractNum w:abstractNumId="99">
    <w:nsid w:val="2A31B62D"/>
    <w:multiLevelType w:val="hybridMultilevel"/>
    <w:lvl w:ilvl="0">
      <w:lvlJc w:val="left"/>
      <w:lvlText w:val="§"/>
      <w:numFmt w:val="bullet"/>
      <w:start w:val="1"/>
    </w:lvl>
  </w:abstractNum>
  <w:abstractNum w:abstractNumId="100">
    <w:nsid w:val="1849C29B"/>
    <w:multiLevelType w:val="hybridMultilevel"/>
    <w:lvl w:ilvl="0">
      <w:lvlJc w:val="left"/>
      <w:lvlText w:val="(%1)"/>
      <w:numFmt w:val="decimal"/>
      <w:start w:val="1"/>
    </w:lvl>
  </w:abstractNum>
  <w:abstractNum w:abstractNumId="101">
    <w:nsid w:val="7DFF9D09"/>
    <w:multiLevelType w:val="hybridMultilevel"/>
    <w:lvl w:ilvl="0">
      <w:lvlJc w:val="left"/>
      <w:lvlText w:val="§"/>
      <w:numFmt w:val="bullet"/>
      <w:start w:val="1"/>
    </w:lvl>
  </w:abstractNum>
  <w:abstractNum w:abstractNumId="102">
    <w:nsid w:val="754342"/>
    <w:multiLevelType w:val="hybridMultilevel"/>
    <w:lvl w:ilvl="0">
      <w:lvlJc w:val="left"/>
      <w:lvlText w:val="§"/>
      <w:numFmt w:val="bullet"/>
      <w:start w:val="1"/>
    </w:lvl>
  </w:abstractNum>
  <w:abstractNum w:abstractNumId="103">
    <w:nsid w:val="69E7F3E5"/>
    <w:multiLevelType w:val="hybridMultilevel"/>
    <w:lvl w:ilvl="0">
      <w:lvlJc w:val="left"/>
      <w:lvlText w:val="(%1)"/>
      <w:numFmt w:val="decimal"/>
      <w:start w:val="1"/>
    </w:lvl>
  </w:abstractNum>
  <w:abstractNum w:abstractNumId="104">
    <w:nsid w:val="2A6DE806"/>
    <w:multiLevelType w:val="hybridMultilevel"/>
    <w:lvl w:ilvl="0">
      <w:lvlJc w:val="left"/>
      <w:lvlText w:val="§"/>
      <w:numFmt w:val="bullet"/>
      <w:start w:val="1"/>
    </w:lvl>
  </w:abstractNum>
  <w:abstractNum w:abstractNumId="105">
    <w:nsid w:val="1816F8C4"/>
    <w:multiLevelType w:val="hybridMultilevel"/>
    <w:lvl w:ilvl="0">
      <w:lvlJc w:val="left"/>
      <w:lvlText w:val="§"/>
      <w:numFmt w:val="bullet"/>
      <w:start w:val="1"/>
    </w:lvl>
  </w:abstractNum>
  <w:abstractNum w:abstractNumId="106">
    <w:nsid w:val="37DF2233"/>
    <w:multiLevelType w:val="hybridMultilevel"/>
    <w:lvl w:ilvl="0">
      <w:lvlJc w:val="left"/>
      <w:lvlText w:val="§"/>
      <w:numFmt w:val="bullet"/>
      <w:start w:val="1"/>
    </w:lvl>
  </w:abstractNum>
  <w:abstractNum w:abstractNumId="107">
    <w:nsid w:val="7AB49DAF"/>
    <w:multiLevelType w:val="hybridMultilevel"/>
    <w:lvl w:ilvl="0">
      <w:lvlJc w:val="left"/>
      <w:lvlText w:val="§"/>
      <w:numFmt w:val="bullet"/>
      <w:start w:val="1"/>
    </w:lvl>
  </w:abstractNum>
  <w:abstractNum w:abstractNumId="108">
    <w:nsid w:val="759F82CD"/>
    <w:multiLevelType w:val="hybridMultilevel"/>
    <w:lvl w:ilvl="0">
      <w:lvlJc w:val="left"/>
      <w:lvlText w:val="§"/>
      <w:numFmt w:val="bullet"/>
      <w:start w:val="1"/>
    </w:lvl>
  </w:abstractNum>
  <w:abstractNum w:abstractNumId="109">
    <w:nsid w:val="61E74EA3"/>
    <w:multiLevelType w:val="hybridMultilevel"/>
    <w:lvl w:ilvl="0">
      <w:lvlJc w:val="left"/>
      <w:lvlText w:val="§"/>
      <w:numFmt w:val="bullet"/>
      <w:start w:val="1"/>
    </w:lvl>
  </w:abstractNum>
  <w:abstractNum w:abstractNumId="110">
    <w:nsid w:val="597B4D84"/>
    <w:multiLevelType w:val="hybridMultilevel"/>
    <w:lvl w:ilvl="0">
      <w:lvlJc w:val="left"/>
      <w:lvlText w:val="§"/>
      <w:numFmt w:val="bullet"/>
      <w:start w:val="1"/>
    </w:lvl>
  </w:abstractNum>
  <w:abstractNum w:abstractNumId="111">
    <w:nsid w:val="F819E7F"/>
    <w:multiLevelType w:val="hybridMultilevel"/>
    <w:lvl w:ilvl="0">
      <w:lvlJc w:val="left"/>
      <w:lvlText w:val="§"/>
      <w:numFmt w:val="bullet"/>
      <w:start w:val="1"/>
    </w:lvl>
  </w:abstractNum>
  <w:abstractNum w:abstractNumId="112">
    <w:nsid w:val="57C7D42D"/>
    <w:multiLevelType w:val="hybridMultilevel"/>
    <w:lvl w:ilvl="0">
      <w:lvlJc w:val="left"/>
      <w:lvlText w:val="§"/>
      <w:numFmt w:val="bullet"/>
      <w:start w:val="1"/>
    </w:lvl>
  </w:abstractNum>
  <w:abstractNum w:abstractNumId="113">
    <w:nsid w:val="312167AD"/>
    <w:multiLevelType w:val="hybridMultilevel"/>
    <w:lvl w:ilvl="0">
      <w:lvlJc w:val="left"/>
      <w:lvlText w:val="§"/>
      <w:numFmt w:val="bullet"/>
      <w:start w:val="1"/>
    </w:lvl>
  </w:abstractNum>
  <w:abstractNum w:abstractNumId="114">
    <w:nsid w:val="631B64D4"/>
    <w:multiLevelType w:val="hybridMultilevel"/>
    <w:lvl w:ilvl="0">
      <w:lvlJc w:val="left"/>
      <w:lvlText w:val="§"/>
      <w:numFmt w:val="bullet"/>
      <w:start w:val="1"/>
    </w:lvl>
  </w:abstractNum>
  <w:abstractNum w:abstractNumId="115">
    <w:nsid w:val="78B5E776"/>
    <w:multiLevelType w:val="hybridMultilevel"/>
    <w:lvl w:ilvl="0">
      <w:lvlJc w:val="left"/>
      <w:lvlText w:val="§"/>
      <w:numFmt w:val="bullet"/>
      <w:start w:val="1"/>
    </w:lvl>
  </w:abstractNum>
  <w:abstractNum w:abstractNumId="116">
    <w:nsid w:val="75486E47"/>
    <w:multiLevelType w:val="hybridMultilevel"/>
    <w:lvl w:ilvl="0">
      <w:lvlJc w:val="left"/>
      <w:lvlText w:val="§"/>
      <w:numFmt w:val="bullet"/>
      <w:start w:val="1"/>
    </w:lvl>
  </w:abstractNum>
  <w:abstractNum w:abstractNumId="117">
    <w:nsid w:val="6E534CDE"/>
    <w:multiLevelType w:val="hybridMultilevel"/>
    <w:lvl w:ilvl="0">
      <w:lvlJc w:val="left"/>
      <w:lvlText w:val="§"/>
      <w:numFmt w:val="bullet"/>
      <w:start w:val="1"/>
    </w:lvl>
  </w:abstractNum>
  <w:abstractNum w:abstractNumId="118">
    <w:nsid w:val="1A0DDE32"/>
    <w:multiLevelType w:val="hybridMultilevel"/>
    <w:lvl w:ilvl="0">
      <w:lvlJc w:val="left"/>
      <w:lvlText w:val="§"/>
      <w:numFmt w:val="bullet"/>
      <w:start w:val="1"/>
    </w:lvl>
  </w:abstractNum>
  <w:abstractNum w:abstractNumId="119">
    <w:nsid w:val="65968C1C"/>
    <w:multiLevelType w:val="hybridMultilevel"/>
    <w:lvl w:ilvl="0">
      <w:lvlJc w:val="left"/>
      <w:lvlText w:val="§"/>
      <w:numFmt w:val="bullet"/>
      <w:start w:val="1"/>
    </w:lvl>
  </w:abstractNum>
  <w:abstractNum w:abstractNumId="120">
    <w:nsid w:val="46263DEC"/>
    <w:multiLevelType w:val="hybridMultilevel"/>
    <w:lvl w:ilvl="0">
      <w:lvlJc w:val="left"/>
      <w:lvlText w:val="§"/>
      <w:numFmt w:val="bullet"/>
      <w:start w:val="1"/>
    </w:lvl>
  </w:abstractNum>
  <w:abstractNum w:abstractNumId="121">
    <w:nsid w:val="260D8C4A"/>
    <w:multiLevelType w:val="hybridMultilevel"/>
    <w:lvl w:ilvl="0">
      <w:lvlJc w:val="left"/>
      <w:lvlText w:val="§"/>
      <w:numFmt w:val="bullet"/>
      <w:start w:val="1"/>
    </w:lvl>
  </w:abstractNum>
  <w:abstractNum w:abstractNumId="122">
    <w:nsid w:val="73D4D3C4"/>
    <w:multiLevelType w:val="hybridMultilevel"/>
    <w:lvl w:ilvl="0">
      <w:lvlJc w:val="left"/>
      <w:lvlText w:val="§"/>
      <w:numFmt w:val="bullet"/>
      <w:start w:val="1"/>
    </w:lvl>
  </w:abstractNum>
  <w:abstractNum w:abstractNumId="123">
    <w:nsid w:val="746F2E30"/>
    <w:multiLevelType w:val="hybridMultilevel"/>
    <w:lvl w:ilvl="0">
      <w:lvlJc w:val="left"/>
      <w:lvlText w:val="§"/>
      <w:numFmt w:val="bullet"/>
      <w:start w:val="1"/>
    </w:lvl>
  </w:abstractNum>
  <w:abstractNum w:abstractNumId="124">
    <w:nsid w:val="6FDE8AF6"/>
    <w:multiLevelType w:val="hybridMultilevel"/>
    <w:lvl w:ilvl="0">
      <w:lvlJc w:val="left"/>
      <w:lvlText w:val="§"/>
      <w:numFmt w:val="bullet"/>
      <w:start w:val="1"/>
    </w:lvl>
  </w:abstractNum>
  <w:abstractNum w:abstractNumId="125">
    <w:nsid w:val="3FC32E20"/>
    <w:multiLevelType w:val="hybridMultilevel"/>
    <w:lvl w:ilvl="0">
      <w:lvlJc w:val="left"/>
      <w:lvlText w:val="(%1)"/>
      <w:numFmt w:val="decimal"/>
      <w:start w:val="1"/>
    </w:lvl>
  </w:abstractNum>
  <w:abstractNum w:abstractNumId="126">
    <w:nsid w:val="49C0E823"/>
    <w:multiLevelType w:val="hybridMultilevel"/>
    <w:lvl w:ilvl="0">
      <w:lvlJc w:val="left"/>
      <w:lvlText w:val="§"/>
      <w:numFmt w:val="bullet"/>
      <w:start w:val="1"/>
    </w:lvl>
  </w:abstractNum>
  <w:abstractNum w:abstractNumId="127">
    <w:nsid w:val="14D53685"/>
    <w:multiLevelType w:val="hybridMultilevel"/>
    <w:lvl w:ilvl="0">
      <w:lvlJc w:val="left"/>
      <w:lvlText w:val="§"/>
      <w:numFmt w:val="bullet"/>
      <w:start w:val="1"/>
    </w:lvl>
  </w:abstractNum>
  <w:abstractNum w:abstractNumId="128">
    <w:nsid w:val="230F856C"/>
    <w:multiLevelType w:val="hybridMultilevel"/>
    <w:lvl w:ilvl="0">
      <w:lvlJc w:val="left"/>
      <w:lvlText w:val="§"/>
      <w:numFmt w:val="bullet"/>
      <w:start w:val="1"/>
    </w:lvl>
  </w:abstractNum>
  <w:abstractNum w:abstractNumId="129">
    <w:nsid w:val="6EAA85FB"/>
    <w:multiLevelType w:val="hybridMultilevel"/>
    <w:lvl w:ilvl="0">
      <w:lvlJc w:val="left"/>
      <w:lvlText w:val="§"/>
      <w:numFmt w:val="bullet"/>
      <w:start w:val="1"/>
    </w:lvl>
  </w:abstractNum>
  <w:abstractNum w:abstractNumId="130">
    <w:nsid w:val="3F06ECB2"/>
    <w:multiLevelType w:val="hybridMultilevel"/>
    <w:lvl w:ilvl="0">
      <w:lvlJc w:val="left"/>
      <w:lvlText w:val="§"/>
      <w:numFmt w:val="bullet"/>
      <w:start w:val="1"/>
    </w:lvl>
    <w:lvl w:ilvl="1">
      <w:lvlJc w:val="left"/>
      <w:lvlText w:val="□"/>
      <w:numFmt w:val="bullet"/>
      <w:start w:val="1"/>
    </w:lvl>
  </w:abstractNum>
  <w:abstractNum w:abstractNumId="131">
    <w:nsid w:val="3B594807"/>
    <w:multiLevelType w:val="hybridMultilevel"/>
    <w:lvl w:ilvl="0">
      <w:lvlJc w:val="left"/>
      <w:lvlText w:val="§"/>
      <w:numFmt w:val="bullet"/>
      <w:start w:val="1"/>
    </w:lvl>
    <w:lvl w:ilvl="1">
      <w:lvlJc w:val="left"/>
      <w:lvlText w:val="□"/>
      <w:numFmt w:val="bullet"/>
      <w:start w:val="1"/>
    </w:lvl>
  </w:abstractNum>
  <w:abstractNum w:abstractNumId="132">
    <w:nsid w:val="6CAA2304"/>
    <w:multiLevelType w:val="hybridMultilevel"/>
    <w:lvl w:ilvl="0">
      <w:lvlJc w:val="left"/>
      <w:lvlText w:val="§"/>
      <w:numFmt w:val="bullet"/>
      <w:start w:val="1"/>
    </w:lvl>
  </w:abstractNum>
  <w:abstractNum w:abstractNumId="133">
    <w:nsid w:val="3F7C2FF4"/>
    <w:multiLevelType w:val="hybridMultilevel"/>
    <w:lvl w:ilvl="0">
      <w:lvlJc w:val="left"/>
      <w:lvlText w:val="§"/>
      <w:numFmt w:val="bullet"/>
      <w:start w:val="1"/>
    </w:lvl>
  </w:abstractNum>
  <w:abstractNum w:abstractNumId="134">
    <w:nsid w:val="25413BEC"/>
    <w:multiLevelType w:val="hybridMultilevel"/>
    <w:lvl w:ilvl="0">
      <w:lvlJc w:val="left"/>
      <w:lvlText w:val="§"/>
      <w:numFmt w:val="bullet"/>
      <w:start w:val="1"/>
    </w:lvl>
  </w:abstractNum>
  <w:abstractNum w:abstractNumId="135">
    <w:nsid w:val="17180B0B"/>
    <w:multiLevelType w:val="hybridMultilevel"/>
    <w:lvl w:ilvl="0">
      <w:lvlJc w:val="left"/>
      <w:lvlText w:val="§"/>
      <w:numFmt w:val="bullet"/>
      <w:start w:val="1"/>
    </w:lvl>
  </w:abstractNum>
  <w:abstractNum w:abstractNumId="136">
    <w:nsid w:val="579328B9"/>
    <w:multiLevelType w:val="hybridMultilevel"/>
    <w:lvl w:ilvl="0">
      <w:lvlJc w:val="left"/>
      <w:lvlText w:val="§"/>
      <w:numFmt w:val="bullet"/>
      <w:start w:val="1"/>
    </w:lvl>
  </w:abstractNum>
  <w:abstractNum w:abstractNumId="137">
    <w:nsid w:val="5D205E20"/>
    <w:multiLevelType w:val="hybridMultilevel"/>
    <w:lvl w:ilvl="0">
      <w:lvlJc w:val="left"/>
      <w:lvlText w:val="§"/>
      <w:numFmt w:val="bullet"/>
      <w:start w:val="1"/>
    </w:lvl>
  </w:abstractNum>
  <w:abstractNum w:abstractNumId="138">
    <w:nsid w:val="11CCA8BA"/>
    <w:multiLevelType w:val="hybridMultilevel"/>
    <w:lvl w:ilvl="0">
      <w:lvlJc w:val="left"/>
      <w:lvlText w:val="§"/>
      <w:numFmt w:val="bullet"/>
      <w:start w:val="1"/>
    </w:lvl>
  </w:abstractNum>
  <w:abstractNum w:abstractNumId="139">
    <w:nsid w:val="4D32AB86"/>
    <w:multiLevelType w:val="hybridMultilevel"/>
    <w:lvl w:ilvl="0">
      <w:lvlJc w:val="left"/>
      <w:lvlText w:val="§"/>
      <w:numFmt w:val="bullet"/>
      <w:start w:val="1"/>
    </w:lvl>
    <w:lvl w:ilvl="1">
      <w:lvlJc w:val="left"/>
      <w:lvlText w:val="□"/>
      <w:numFmt w:val="bullet"/>
      <w:start w:val="1"/>
    </w:lvl>
  </w:abstractNum>
  <w:abstractNum w:abstractNumId="140">
    <w:nsid w:val="3F07ACC3"/>
    <w:multiLevelType w:val="hybridMultilevel"/>
    <w:lvl w:ilvl="0">
      <w:lvlJc w:val="left"/>
      <w:lvlText w:val="§"/>
      <w:numFmt w:val="bullet"/>
      <w:start w:val="1"/>
    </w:lvl>
  </w:abstractNum>
  <w:abstractNum w:abstractNumId="141">
    <w:nsid w:val="6B47F63E"/>
    <w:multiLevelType w:val="hybridMultilevel"/>
    <w:lvl w:ilvl="0">
      <w:lvlJc w:val="left"/>
      <w:lvlText w:val="§"/>
      <w:numFmt w:val="bullet"/>
      <w:start w:val="1"/>
    </w:lvl>
  </w:abstractNum>
  <w:abstractNum w:abstractNumId="142">
    <w:nsid w:val="5CB44A05"/>
    <w:multiLevelType w:val="hybridMultilevel"/>
    <w:lvl w:ilvl="0">
      <w:lvlJc w:val="left"/>
      <w:lvlText w:val="§"/>
      <w:numFmt w:val="bullet"/>
      <w:start w:val="1"/>
    </w:lvl>
  </w:abstractNum>
  <w:abstractNum w:abstractNumId="143">
    <w:nsid w:val="16CF80F1"/>
    <w:multiLevelType w:val="hybridMultilevel"/>
    <w:lvl w:ilvl="0">
      <w:lvlJc w:val="left"/>
      <w:lvlText w:val="§"/>
      <w:numFmt w:val="bullet"/>
      <w:start w:val="1"/>
    </w:lvl>
  </w:abstractNum>
  <w:abstractNum w:abstractNumId="144">
    <w:nsid w:val="1C695DEC"/>
    <w:multiLevelType w:val="hybridMultilevel"/>
    <w:lvl w:ilvl="0">
      <w:lvlJc w:val="left"/>
      <w:lvlText w:val="§"/>
      <w:numFmt w:val="bullet"/>
      <w:start w:val="1"/>
    </w:lvl>
  </w:abstractNum>
  <w:abstractNum w:abstractNumId="145">
    <w:nsid w:val="3FCFAED9"/>
    <w:multiLevelType w:val="hybridMultilevel"/>
    <w:lvl w:ilvl="0">
      <w:lvlJc w:val="left"/>
      <w:lvlText w:val="§"/>
      <w:numFmt w:val="bullet"/>
      <w:start w:val="1"/>
    </w:lvl>
    <w:lvl w:ilvl="1">
      <w:lvlJc w:val="left"/>
      <w:lvlText w:val="▢"/>
      <w:numFmt w:val="bullet"/>
      <w:start w:val="1"/>
    </w:lvl>
  </w:abstractNum>
  <w:abstractNum w:abstractNumId="146">
    <w:nsid w:val="F856867"/>
    <w:multiLevelType w:val="hybridMultilevel"/>
    <w:lvl w:ilvl="0">
      <w:lvlJc w:val="left"/>
      <w:lvlText w:val="§"/>
      <w:numFmt w:val="bullet"/>
      <w:start w:val="1"/>
    </w:lvl>
  </w:abstractNum>
  <w:abstractNum w:abstractNumId="147">
    <w:nsid w:val="11B1CC33"/>
    <w:multiLevelType w:val="hybridMultilevel"/>
    <w:lvl w:ilvl="0">
      <w:lvlJc w:val="left"/>
      <w:lvlText w:val="§"/>
      <w:numFmt w:val="bullet"/>
      <w:start w:val="1"/>
    </w:lvl>
  </w:abstractNum>
  <w:abstractNum w:abstractNumId="148">
    <w:nsid w:val="2E22FBB7"/>
    <w:multiLevelType w:val="hybridMultilevel"/>
    <w:lvl w:ilvl="0">
      <w:lvlJc w:val="left"/>
      <w:lvlText w:val="§"/>
      <w:numFmt w:val="bullet"/>
      <w:start w:val="1"/>
    </w:lvl>
  </w:abstractNum>
  <w:abstractNum w:abstractNumId="149">
    <w:nsid w:val="29934699"/>
    <w:multiLevelType w:val="hybridMultilevel"/>
    <w:lvl w:ilvl="0">
      <w:lvlJc w:val="left"/>
      <w:lvlText w:val="(%1)"/>
      <w:numFmt w:val="decimal"/>
      <w:start w:val="1"/>
    </w:lvl>
  </w:abstractNum>
  <w:abstractNum w:abstractNumId="150">
    <w:nsid w:val="77485850"/>
    <w:multiLevelType w:val="hybridMultilevel"/>
    <w:lvl w:ilvl="0">
      <w:lvlJc w:val="left"/>
      <w:lvlText w:val="%1."/>
      <w:numFmt w:val="decimal"/>
      <w:start w:val="1"/>
    </w:lvl>
  </w:abstractNum>
  <w:abstractNum w:abstractNumId="151">
    <w:nsid w:val="744939A3"/>
    <w:multiLevelType w:val="hybridMultilevel"/>
    <w:lvl w:ilvl="0">
      <w:lvlJc w:val="left"/>
      <w:lvlText w:val="%1."/>
      <w:numFmt w:val="decimal"/>
      <w:start w:val="2"/>
    </w:lvl>
  </w:abstractNum>
  <w:abstractNum w:abstractNumId="152">
    <w:nsid w:val="4FA0D2E3"/>
    <w:multiLevelType w:val="hybridMultilevel"/>
    <w:lvl w:ilvl="0">
      <w:lvlJc w:val="left"/>
      <w:lvlText w:val="%1."/>
      <w:numFmt w:val="decimal"/>
      <w:start w:val="3"/>
    </w:lvl>
  </w:abstractNum>
  <w:abstractNum w:abstractNumId="153">
    <w:nsid w:val="6B1D2C14"/>
    <w:multiLevelType w:val="hybridMultilevel"/>
    <w:lvl w:ilvl="0">
      <w:lvlJc w:val="left"/>
      <w:lvlText w:val="%1."/>
      <w:numFmt w:val="decimal"/>
      <w:start w:val="1"/>
    </w:lvl>
  </w:abstractNum>
  <w:abstractNum w:abstractNumId="154">
    <w:nsid w:val="68B867D3"/>
    <w:multiLevelType w:val="hybridMultilevel"/>
    <w:lvl w:ilvl="0">
      <w:lvlJc w:val="left"/>
      <w:lvlText w:val="%1."/>
      <w:numFmt w:val="decimal"/>
      <w:start w:val="1"/>
    </w:lvl>
  </w:abstractNum>
  <w:abstractNum w:abstractNumId="155">
    <w:nsid w:val="3F7F5DD9"/>
    <w:multiLevelType w:val="hybridMultilevel"/>
    <w:lvl w:ilvl="0">
      <w:lvlJc w:val="left"/>
      <w:lvlText w:val="%1."/>
      <w:numFmt w:val="decimal"/>
      <w:start w:val="3"/>
    </w:lvl>
  </w:abstractNum>
  <w:abstractNum w:abstractNumId="156">
    <w:nsid w:val="2AE05A34"/>
    <w:multiLevelType w:val="hybridMultilevel"/>
    <w:lvl w:ilvl="0">
      <w:lvlJc w:val="left"/>
      <w:lvlText w:val="%1)"/>
      <w:numFmt w:val="decimal"/>
      <w:start w:val="1"/>
    </w:lvl>
  </w:abstractNum>
  <w:abstractNum w:abstractNumId="157">
    <w:nsid w:val="32794FF7"/>
    <w:multiLevelType w:val="hybridMultilevel"/>
    <w:lvl w:ilvl="0">
      <w:lvlJc w:val="left"/>
      <w:lvlText w:val="%1."/>
      <w:numFmt w:val="decimal"/>
      <w:start w:val="1"/>
    </w:lvl>
  </w:abstractNum>
  <w:abstractNum w:abstractNumId="158">
    <w:nsid w:val="5454945E"/>
    <w:multiLevelType w:val="hybridMultilevel"/>
    <w:lvl w:ilvl="0">
      <w:lvlJc w:val="left"/>
      <w:lvlText w:val="%1."/>
      <w:numFmt w:val="decimal"/>
      <w:start w:val="2"/>
    </w:lvl>
  </w:abstractNum>
  <w:abstractNum w:abstractNumId="159">
    <w:nsid w:val="4DEFDFA0"/>
    <w:multiLevelType w:val="hybridMultilevel"/>
    <w:lvl w:ilvl="0">
      <w:lvlJc w:val="left"/>
      <w:lvlText w:val="%1."/>
      <w:numFmt w:val="decimal"/>
      <w:start w:val="3"/>
    </w:lvl>
  </w:abstractNum>
  <w:abstractNum w:abstractNumId="160">
    <w:nsid w:val="2123D5F2"/>
    <w:multiLevelType w:val="hybridMultilevel"/>
    <w:lvl w:ilvl="0">
      <w:lvlJc w:val="left"/>
      <w:lvlText w:val="%1."/>
      <w:numFmt w:val="decimal"/>
      <w:start w:val="1"/>
    </w:lvl>
  </w:abstractNum>
  <w:abstractNum w:abstractNumId="161">
    <w:nsid w:val="135B8110"/>
    <w:multiLevelType w:val="hybridMultilevel"/>
    <w:lvl w:ilvl="0">
      <w:lvlJc w:val="left"/>
      <w:lvlText w:val="%1."/>
      <w:numFmt w:val="decimal"/>
      <w:start w:val="1"/>
    </w:lvl>
  </w:abstractNum>
  <w:abstractNum w:abstractNumId="162">
    <w:nsid w:val="94927A8"/>
    <w:multiLevelType w:val="hybridMultilevel"/>
    <w:lvl w:ilvl="0">
      <w:lvlJc w:val="left"/>
      <w:lvlText w:val="%1."/>
      <w:numFmt w:val="decimal"/>
      <w:start w:val="3"/>
    </w:lvl>
  </w:abstractNum>
  <w:abstractNum w:abstractNumId="163">
    <w:nsid w:val="DCDF8F6"/>
    <w:multiLevelType w:val="hybridMultilevel"/>
    <w:lvl w:ilvl="0">
      <w:lvlJc w:val="left"/>
      <w:lvlText w:val="%1)"/>
      <w:numFmt w:val="decimal"/>
      <w:start w:val="1"/>
    </w:lvl>
  </w:abstractNum>
  <w:abstractNum w:abstractNumId="164">
    <w:nsid w:val="52D7B105"/>
    <w:multiLevelType w:val="hybridMultilevel"/>
    <w:lvl w:ilvl="0">
      <w:lvlJc w:val="left"/>
      <w:lvlText w:val="(%1)"/>
      <w:numFmt w:val="decimal"/>
      <w:start w:val="1"/>
    </w:lvl>
  </w:abstractNum>
  <w:abstractNum w:abstractNumId="165">
    <w:nsid w:val="2E8A6394"/>
    <w:multiLevelType w:val="hybridMultilevel"/>
    <w:lvl w:ilvl="0">
      <w:lvlJc w:val="left"/>
      <w:lvlText w:val="(%1)"/>
      <w:numFmt w:val="decimal"/>
      <w:start w:val="1"/>
    </w:lvl>
  </w:abstractNum>
  <w:abstractNum w:abstractNumId="166">
    <w:nsid w:val="24E60401"/>
    <w:multiLevelType w:val="hybridMultilevel"/>
    <w:lvl w:ilvl="0">
      <w:lvlJc w:val="left"/>
      <w:lvlText w:val="(%1)"/>
      <w:numFmt w:val="decimal"/>
      <w:start w:val="1"/>
    </w:lvl>
  </w:abstractNum>
  <w:abstractNum w:abstractNumId="167">
    <w:nsid w:val="2A6AD9BE"/>
    <w:multiLevelType w:val="hybridMultilevel"/>
    <w:lvl w:ilvl="0">
      <w:lvlJc w:val="left"/>
      <w:lvlText w:val="%1."/>
      <w:numFmt w:val="decimal"/>
      <w:start w:val="1"/>
    </w:lvl>
    <w:lvl w:ilvl="1">
      <w:lvlJc w:val="left"/>
      <w:lvlText w:val="%2)"/>
      <w:numFmt w:val="lowerLetter"/>
      <w:start w:val="1"/>
    </w:lvl>
  </w:abstractNum>
  <w:abstractNum w:abstractNumId="168">
    <w:nsid w:val="BAAC1B4"/>
    <w:multiLevelType w:val="hybridMultilevel"/>
    <w:lvl w:ilvl="0">
      <w:lvlJc w:val="left"/>
      <w:lvlText w:val="%1."/>
      <w:numFmt w:val="decimal"/>
      <w:start w:val="1"/>
    </w:lvl>
    <w:lvl w:ilvl="1">
      <w:lvlJc w:val="left"/>
      <w:lvlText w:val="%2)"/>
      <w:numFmt w:val="lowerLetter"/>
      <w:start w:val="1"/>
    </w:lvl>
  </w:abstractNum>
  <w:abstractNum w:abstractNumId="169">
    <w:nsid w:val="36B2ACBC"/>
    <w:multiLevelType w:val="hybridMultilevel"/>
    <w:lvl w:ilvl="0">
      <w:lvlJc w:val="left"/>
      <w:lvlText w:val="%1."/>
      <w:numFmt w:val="decimal"/>
      <w:start w:val="1"/>
    </w:lvl>
    <w:lvl w:ilvl="1">
      <w:lvlJc w:val="left"/>
      <w:lvlText w:val="%2)"/>
      <w:numFmt w:val="lowerLetter"/>
      <w:start w:val="1"/>
    </w:lvl>
  </w:abstractNum>
  <w:abstractNum w:abstractNumId="170">
    <w:nsid w:val="779D8544"/>
    <w:multiLevelType w:val="hybridMultilevel"/>
    <w:lvl w:ilvl="0">
      <w:lvlJc w:val="left"/>
      <w:lvlText w:val="%1."/>
      <w:numFmt w:val="decimal"/>
      <w:start w:val="1"/>
    </w:lvl>
    <w:lvl w:ilvl="1">
      <w:lvlJc w:val="left"/>
      <w:lvlText w:val="%2)"/>
      <w:numFmt w:val="lowerLetter"/>
      <w:start w:val="1"/>
    </w:lvl>
  </w:abstractNum>
  <w:abstractNum w:abstractNumId="171">
    <w:nsid w:val="4AB26E78"/>
    <w:multiLevelType w:val="hybridMultilevel"/>
    <w:lvl w:ilvl="0">
      <w:lvlJc w:val="left"/>
      <w:lvlText w:val="%1."/>
      <w:numFmt w:val="decimal"/>
      <w:start w:val="1"/>
    </w:lvl>
    <w:lvl w:ilvl="1">
      <w:lvlJc w:val="left"/>
      <w:lvlText w:val="%2)"/>
      <w:numFmt w:val="lowerLetter"/>
      <w:start w:val="1"/>
    </w:lvl>
  </w:abstractNum>
  <w:abstractNum w:abstractNumId="172">
    <w:nsid w:val="21FAA2FA"/>
    <w:multiLevelType w:val="hybridMultilevel"/>
    <w:lvl w:ilvl="0">
      <w:lvlJc w:val="left"/>
      <w:lvlText w:val="%1."/>
      <w:numFmt w:val="decimal"/>
      <w:start w:val="1"/>
    </w:lvl>
    <w:lvl w:ilvl="1">
      <w:lvlJc w:val="left"/>
      <w:lvlText w:val="%2)"/>
      <w:numFmt w:val="lowerLetter"/>
      <w:start w:val="1"/>
    </w:lvl>
  </w:abstractNum>
  <w:abstractNum w:abstractNumId="173">
    <w:nsid w:val="5451CF49"/>
    <w:multiLevelType w:val="hybridMultilevel"/>
    <w:lvl w:ilvl="0">
      <w:lvlJc w:val="left"/>
      <w:lvlText w:val="(%1)"/>
      <w:numFmt w:val="lowerRoman"/>
      <w:start w:val="1"/>
    </w:lvl>
  </w:abstractNum>
  <w:abstractNum w:abstractNumId="174">
    <w:nsid w:val="6181EF69"/>
    <w:multiLevelType w:val="hybridMultilevel"/>
    <w:lvl w:ilvl="0">
      <w:lvlJc w:val="left"/>
      <w:lvlText w:val="(%1)"/>
      <w:numFmt w:val="lowerRoman"/>
      <w:start w:val="1"/>
    </w:lvl>
  </w:abstractNum>
  <w:abstractNum w:abstractNumId="175">
    <w:nsid w:val="3E6400E6"/>
    <w:multiLevelType w:val="hybridMultilevel"/>
    <w:lvl w:ilvl="0">
      <w:lvlJc w:val="left"/>
      <w:lvlText w:val="(%1)"/>
      <w:numFmt w:val="lowerRoman"/>
      <w:start w:val="1"/>
    </w:lvl>
  </w:abstractNum>
  <w:abstractNum w:abstractNumId="176">
    <w:nsid w:val="14217E23"/>
    <w:multiLevelType w:val="hybridMultilevel"/>
    <w:lvl w:ilvl="0">
      <w:lvlJc w:val="left"/>
      <w:lvlText w:val="(%1)"/>
      <w:numFmt w:val="lowerRoman"/>
      <w:start w:val="1"/>
    </w:lvl>
  </w:abstractNum>
  <w:abstractNum w:abstractNumId="177">
    <w:nsid w:val="710757D0"/>
    <w:multiLevelType w:val="hybridMultilevel"/>
    <w:lvl w:ilvl="0">
      <w:lvlJc w:val="left"/>
      <w:lvlText w:val="(%1)"/>
      <w:numFmt w:val="lowerRoman"/>
      <w:start w:val="1"/>
    </w:lvl>
  </w:abstractNum>
  <w:abstractNum w:abstractNumId="178">
    <w:nsid w:val="5015CD1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2019-12-06T16:37:50Z</dcterms:created>
  <dcterms:modified xsi:type="dcterms:W3CDTF">2019-12-06T16:37:50Z</dcterms:modified>
</cp:coreProperties>
</file>