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3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offer</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Registration No. 333-295948</w:t>
            </w:r>
          </w:p>
        </w:tc>
        <w:tc>
          <w:tcPr>
            <w:tcW w:w="0" w:type="dxa"/>
            <w:vAlign w:val="bottom"/>
          </w:tcPr>
          <w:p>
            <w:pPr>
              <w:spacing w:after="0"/>
              <w:rPr>
                <w:sz w:val="1"/>
                <w:szCs w:val="1"/>
                <w:color w:val="auto"/>
              </w:rPr>
            </w:pPr>
          </w:p>
        </w:tc>
      </w:tr>
      <w:tr>
        <w:trPr>
          <w:trHeight w:val="463"/>
        </w:trPr>
        <w:tc>
          <w:tcPr>
            <w:tcW w:w="3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9"/>
            <w:vMerge w:val="restart"/>
          </w:tcPr>
          <w:p>
            <w:pPr>
              <w:jc w:val="center"/>
              <w:ind w:left="1086"/>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JUNE 4, 2026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gridSpan w:val="9"/>
            <w:vMerge w:val="continue"/>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300" w:type="dxa"/>
            <w:vAlign w:val="bottom"/>
            <w:vMerge w:val="restart"/>
            <w:textDirection w:val="btLr"/>
          </w:tcPr>
          <w:p>
            <w:pPr>
              <w:ind w:left="162"/>
              <w:spacing w:after="0"/>
              <w:rPr>
                <w:sz w:val="20"/>
                <w:szCs w:val="20"/>
                <w:color w:val="auto"/>
              </w:rPr>
            </w:pPr>
            <w:r>
              <w:rPr>
                <w:rFonts w:ascii="Times New Roman" w:cs="Times New Roman" w:eastAsia="Times New Roman" w:hAnsi="Times New Roman"/>
                <w:sz w:val="12"/>
                <w:szCs w:val="12"/>
                <w:b w:val="1"/>
                <w:bCs w:val="1"/>
                <w:color w:val="FF4338"/>
                <w:w w:val="75"/>
              </w:rPr>
              <w:t>preliminaryprospectussupplement and the</w:t>
            </w:r>
          </w:p>
        </w:tc>
        <w:tc>
          <w:tcPr>
            <w:tcW w:w="220" w:type="dxa"/>
            <w:vAlign w:val="bottom"/>
            <w:vMerge w:val="restart"/>
            <w:textDirection w:val="btLr"/>
          </w:tcPr>
          <w:p>
            <w:pPr>
              <w:ind w:left="71"/>
              <w:spacing w:after="0"/>
              <w:rPr>
                <w:sz w:val="20"/>
                <w:szCs w:val="20"/>
                <w:color w:val="auto"/>
              </w:rPr>
            </w:pPr>
            <w:r>
              <w:rPr>
                <w:rFonts w:ascii="Times New Roman" w:cs="Times New Roman" w:eastAsia="Times New Roman" w:hAnsi="Times New Roman"/>
                <w:sz w:val="13"/>
                <w:szCs w:val="13"/>
                <w:b w:val="1"/>
                <w:bCs w:val="1"/>
                <w:color w:val="FF4338"/>
                <w:w w:val="74"/>
              </w:rPr>
              <w:t>thesesecuritiesinanyjurisdiction where the</w:t>
            </w:r>
          </w:p>
        </w:tc>
        <w:tc>
          <w:tcPr>
            <w:tcW w:w="240" w:type="dxa"/>
            <w:vAlign w:val="bottom"/>
          </w:tcPr>
          <w:p>
            <w:pPr>
              <w:spacing w:after="0"/>
              <w:rPr>
                <w:sz w:val="24"/>
                <w:szCs w:val="24"/>
                <w:color w:val="auto"/>
              </w:rPr>
            </w:pPr>
          </w:p>
        </w:tc>
        <w:tc>
          <w:tcPr>
            <w:tcW w:w="460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(To Prospectus dated May 15, 2026)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9"/>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vMerge w:val="restart"/>
          </w:tcPr>
          <w:p>
            <w:pPr>
              <w:ind w:left="1220"/>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25"/>
                <w:szCs w:val="25"/>
                <w:b w:val="1"/>
                <w:bCs w:val="1"/>
                <w:color w:val="auto"/>
                <w:w w:val="71"/>
              </w:rPr>
              <w:t> </w:t>
            </w:r>
          </w:p>
        </w:tc>
        <w:tc>
          <w:tcPr>
            <w:tcW w:w="4020" w:type="dxa"/>
            <w:vAlign w:val="bottom"/>
            <w:gridSpan w:val="6"/>
            <w:vMerge w:val="restart"/>
          </w:tcPr>
          <w:p>
            <w:pPr>
              <w:ind w:left="80"/>
              <w:spacing w:after="0"/>
              <w:rPr>
                <w:sz w:val="20"/>
                <w:szCs w:val="20"/>
                <w:color w:val="auto"/>
              </w:rPr>
            </w:pPr>
            <w:r>
              <w:rPr>
                <w:rFonts w:ascii="Times New Roman" w:cs="Times New Roman" w:eastAsia="Times New Roman" w:hAnsi="Times New Roman"/>
                <w:sz w:val="29"/>
                <w:szCs w:val="29"/>
                <w:b w:val="1"/>
                <w:bCs w:val="1"/>
                <w:color w:val="auto"/>
                <w:w w:val="96"/>
              </w:rPr>
              <w:t>   Floating Rate Notes due 2028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402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4"/>
          </w:tcPr>
          <w:p>
            <w:pPr>
              <w:spacing w:after="0"/>
              <w:rPr>
                <w:sz w:val="19"/>
                <w:szCs w:val="19"/>
                <w:color w:val="auto"/>
              </w:rPr>
            </w:pPr>
          </w:p>
        </w:tc>
        <w:tc>
          <w:tcPr>
            <w:tcW w:w="192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60" w:type="dxa"/>
            <w:vAlign w:val="bottom"/>
            <w:gridSpan w:val="15"/>
          </w:tcPr>
          <w:p>
            <w:pPr>
              <w:ind w:left="380"/>
              <w:spacing w:after="0"/>
              <w:rPr>
                <w:sz w:val="20"/>
                <w:szCs w:val="20"/>
                <w:color w:val="auto"/>
              </w:rPr>
            </w:pPr>
            <w:r>
              <w:rPr>
                <w:rFonts w:ascii="Times New Roman" w:cs="Times New Roman" w:eastAsia="Times New Roman" w:hAnsi="Times New Roman"/>
                <w:sz w:val="18"/>
                <w:szCs w:val="18"/>
                <w:color w:val="auto"/>
              </w:rPr>
              <w:t>We are offering $            aggregate principal amount of our Floating Rate Notes due 2028 (the “notes”).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13"/>
          </w:tcPr>
          <w:p>
            <w:pPr>
              <w:ind w:left="380"/>
              <w:spacing w:after="0"/>
              <w:rPr>
                <w:sz w:val="20"/>
                <w:szCs w:val="20"/>
                <w:color w:val="auto"/>
              </w:rPr>
            </w:pPr>
            <w:r>
              <w:rPr>
                <w:rFonts w:ascii="Times New Roman" w:cs="Times New Roman" w:eastAsia="Times New Roman" w:hAnsi="Times New Roman"/>
                <w:sz w:val="18"/>
                <w:szCs w:val="18"/>
                <w:color w:val="auto"/>
                <w:w w:val="98"/>
              </w:rPr>
              <w:t>The notes will bear interest at a floating rate equal to Compounded SOFR (as defined below) plus </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basis points per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8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annum, as further described under the heading “Description of the Notes—Interest Rate and Maturity,” and mature on January 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w w:val="97"/>
              </w:rPr>
              <w:t>2028. Interest on the notes will accrue from  </w:t>
            </w:r>
          </w:p>
        </w:tc>
        <w:tc>
          <w:tcPr>
            <w:tcW w:w="704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         , 2026 and will be payable quarterly in arrears on October 7, January 7, April 7</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and July 7 of each year, beginning on October 7, 2026.</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vMerge w:val="restart"/>
            <w:textDirection w:val="btLr"/>
          </w:tcPr>
          <w:p>
            <w:pPr>
              <w:ind w:left="174"/>
              <w:spacing w:after="0"/>
              <w:rPr>
                <w:sz w:val="20"/>
                <w:szCs w:val="20"/>
                <w:color w:val="auto"/>
              </w:rPr>
            </w:pPr>
            <w:r>
              <w:rPr>
                <w:rFonts w:ascii="Times New Roman" w:cs="Times New Roman" w:eastAsia="Times New Roman" w:hAnsi="Times New Roman"/>
                <w:sz w:val="11"/>
                <w:szCs w:val="11"/>
                <w:b w:val="1"/>
                <w:bCs w:val="1"/>
                <w:color w:val="FF4338"/>
                <w:w w:val="74"/>
              </w:rPr>
              <w:t>maybechanged.This</w:t>
            </w:r>
          </w:p>
        </w:tc>
        <w:tc>
          <w:tcPr>
            <w:tcW w:w="220" w:type="dxa"/>
            <w:vAlign w:val="bottom"/>
            <w:vMerge w:val="restart"/>
            <w:textDirection w:val="btLr"/>
          </w:tcPr>
          <w:p>
            <w:pPr>
              <w:ind w:left="82"/>
              <w:spacing w:after="0"/>
              <w:rPr>
                <w:sz w:val="20"/>
                <w:szCs w:val="20"/>
                <w:color w:val="auto"/>
              </w:rPr>
            </w:pPr>
            <w:r>
              <w:rPr>
                <w:rFonts w:ascii="Times New Roman" w:cs="Times New Roman" w:eastAsia="Times New Roman" w:hAnsi="Times New Roman"/>
                <w:sz w:val="12"/>
                <w:szCs w:val="12"/>
                <w:b w:val="1"/>
                <w:bCs w:val="1"/>
                <w:color w:val="FF4338"/>
                <w:w w:val="70"/>
              </w:rPr>
              <w:t>solicitingofferstobuy</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8"/>
          </w:tcPr>
          <w:p>
            <w:pPr>
              <w:ind w:left="380"/>
              <w:spacing w:after="0"/>
              <w:rPr>
                <w:sz w:val="20"/>
                <w:szCs w:val="20"/>
                <w:color w:val="auto"/>
              </w:rPr>
            </w:pPr>
            <w:r>
              <w:rPr>
                <w:rFonts w:ascii="Times New Roman" w:cs="Times New Roman" w:eastAsia="Times New Roman" w:hAnsi="Times New Roman"/>
                <w:sz w:val="18"/>
                <w:szCs w:val="18"/>
                <w:color w:val="auto"/>
              </w:rPr>
              <w:t>The notes are not redeemable by us prior to maturity.</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The notes will be our unsecured and unsubordinated obligations and will rank equally in right of payment with all of our other</w:t>
            </w:r>
          </w:p>
        </w:tc>
        <w:tc>
          <w:tcPr>
            <w:tcW w:w="0" w:type="dxa"/>
            <w:vAlign w:val="bottom"/>
          </w:tcPr>
          <w:p>
            <w:pPr>
              <w:spacing w:after="0"/>
              <w:rPr>
                <w:sz w:val="1"/>
                <w:szCs w:val="1"/>
                <w:color w:val="auto"/>
              </w:rPr>
            </w:pPr>
          </w:p>
        </w:tc>
      </w:tr>
      <w:tr>
        <w:trPr>
          <w:trHeight w:val="180"/>
        </w:trPr>
        <w:tc>
          <w:tcPr>
            <w:tcW w:w="3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360" w:type="dxa"/>
            <w:vAlign w:val="bottom"/>
            <w:gridSpan w:val="13"/>
            <w:vMerge w:val="restart"/>
          </w:tcPr>
          <w:p>
            <w:pPr>
              <w:ind w:left="40"/>
              <w:spacing w:after="0"/>
              <w:rPr>
                <w:sz w:val="20"/>
                <w:szCs w:val="20"/>
                <w:color w:val="auto"/>
              </w:rPr>
            </w:pPr>
            <w:r>
              <w:rPr>
                <w:rFonts w:ascii="Times New Roman" w:cs="Times New Roman" w:eastAsia="Times New Roman" w:hAnsi="Times New Roman"/>
                <w:sz w:val="18"/>
                <w:szCs w:val="18"/>
                <w:color w:val="auto"/>
              </w:rPr>
              <w:t>existing and future unsecured and unsubordinated indebtedness and guarantees.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360" w:type="dxa"/>
            <w:vAlign w:val="bottom"/>
            <w:gridSpan w:val="13"/>
            <w:vMerge w:val="continue"/>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the listing or trading of</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8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the notes on any securities exchange or trading facility or for inclusion of the notes in any automated quotation system.</w:t>
            </w:r>
          </w:p>
        </w:tc>
        <w:tc>
          <w:tcPr>
            <w:tcW w:w="0" w:type="dxa"/>
            <w:vAlign w:val="bottom"/>
          </w:tcPr>
          <w:p>
            <w:pPr>
              <w:spacing w:after="0"/>
              <w:rPr>
                <w:sz w:val="1"/>
                <w:szCs w:val="1"/>
                <w:color w:val="auto"/>
              </w:rPr>
            </w:pPr>
          </w:p>
        </w:tc>
      </w:tr>
      <w:tr>
        <w:trPr>
          <w:trHeight w:val="302"/>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ind w:left="380"/>
              <w:spacing w:after="0"/>
              <w:rPr>
                <w:sz w:val="20"/>
                <w:szCs w:val="20"/>
                <w:color w:val="auto"/>
              </w:rPr>
            </w:pPr>
            <w:r>
              <w:rPr>
                <w:rFonts w:ascii="Times New Roman" w:cs="Times New Roman" w:eastAsia="Times New Roman" w:hAnsi="Times New Roman"/>
                <w:sz w:val="18"/>
                <w:szCs w:val="18"/>
                <w:b w:val="1"/>
                <w:bCs w:val="1"/>
                <w:color w:val="auto"/>
              </w:rPr>
              <w:t>This prospectus supplement and the accompanying prospectus are not intended to constitute an offer to, and the notes</w:t>
            </w:r>
          </w:p>
        </w:tc>
        <w:tc>
          <w:tcPr>
            <w:tcW w:w="0" w:type="dxa"/>
            <w:vAlign w:val="bottom"/>
          </w:tcPr>
          <w:p>
            <w:pPr>
              <w:spacing w:after="0"/>
              <w:rPr>
                <w:sz w:val="1"/>
                <w:szCs w:val="1"/>
                <w:color w:val="auto"/>
              </w:rPr>
            </w:pPr>
          </w:p>
        </w:tc>
      </w:tr>
      <w:tr>
        <w:trPr>
          <w:trHeight w:val="216"/>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6"/>
              </w:rPr>
              <w:t>and</w:t>
            </w: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5"/>
              </w:rPr>
              <w:t>not</w:t>
            </w:r>
          </w:p>
        </w:tc>
        <w:tc>
          <w:tcPr>
            <w:tcW w:w="240" w:type="dxa"/>
            <w:vAlign w:val="bottom"/>
          </w:tcPr>
          <w:p>
            <w:pPr>
              <w:spacing w:after="0"/>
              <w:rPr>
                <w:sz w:val="18"/>
                <w:szCs w:val="18"/>
                <w:color w:val="auto"/>
              </w:rPr>
            </w:pPr>
          </w:p>
        </w:tc>
        <w:tc>
          <w:tcPr>
            <w:tcW w:w="10380" w:type="dxa"/>
            <w:vAlign w:val="bottom"/>
            <w:gridSpan w:val="18"/>
          </w:tcPr>
          <w:p>
            <w:pPr>
              <w:ind w:left="40"/>
              <w:spacing w:after="0"/>
              <w:rPr>
                <w:sz w:val="20"/>
                <w:szCs w:val="20"/>
                <w:color w:val="auto"/>
              </w:rPr>
            </w:pPr>
            <w:r>
              <w:rPr>
                <w:rFonts w:ascii="Times New Roman" w:cs="Times New Roman" w:eastAsia="Times New Roman" w:hAnsi="Times New Roman"/>
                <w:sz w:val="18"/>
                <w:szCs w:val="18"/>
                <w:b w:val="1"/>
                <w:bCs w:val="1"/>
                <w:color w:val="auto"/>
              </w:rPr>
              <w:t>should not be purchased, held or otherwise acquired, directly or indirectly, by a “specified foreign entity” as defined in</w:t>
            </w:r>
          </w:p>
        </w:tc>
        <w:tc>
          <w:tcPr>
            <w:tcW w:w="0" w:type="dxa"/>
            <w:vAlign w:val="bottom"/>
          </w:tcPr>
          <w:p>
            <w:pPr>
              <w:spacing w:after="0"/>
              <w:rPr>
                <w:sz w:val="1"/>
                <w:szCs w:val="1"/>
                <w:color w:val="auto"/>
              </w:rPr>
            </w:pPr>
          </w:p>
        </w:tc>
      </w:tr>
      <w:tr>
        <w:trPr>
          <w:trHeight w:val="207"/>
        </w:trPr>
        <w:tc>
          <w:tcPr>
            <w:tcW w:w="3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380" w:type="dxa"/>
            <w:vAlign w:val="bottom"/>
            <w:gridSpan w:val="18"/>
          </w:tcPr>
          <w:p>
            <w:pPr>
              <w:ind w:left="40"/>
              <w:spacing w:after="0"/>
              <w:rPr>
                <w:sz w:val="20"/>
                <w:szCs w:val="20"/>
                <w:color w:val="auto"/>
              </w:rPr>
            </w:pPr>
            <w:r>
              <w:rPr>
                <w:rFonts w:ascii="Times New Roman" w:cs="Times New Roman" w:eastAsia="Times New Roman" w:hAnsi="Times New Roman"/>
                <w:sz w:val="18"/>
                <w:szCs w:val="18"/>
                <w:b w:val="1"/>
                <w:bCs w:val="1"/>
                <w:color w:val="auto"/>
              </w:rPr>
              <w:t>Section 7701(a)(51)(B) of the Internal Revenue Code of 1986, as amended (“specified foreign entity”). Each purchaser of the</w:t>
            </w:r>
          </w:p>
        </w:tc>
        <w:tc>
          <w:tcPr>
            <w:tcW w:w="0" w:type="dxa"/>
            <w:vAlign w:val="bottom"/>
          </w:tcPr>
          <w:p>
            <w:pPr>
              <w:spacing w:after="0"/>
              <w:rPr>
                <w:sz w:val="1"/>
                <w:szCs w:val="1"/>
                <w:color w:val="auto"/>
              </w:rPr>
            </w:pPr>
          </w:p>
        </w:tc>
      </w:tr>
      <w:tr>
        <w:trPr>
          <w:trHeight w:val="225"/>
        </w:trPr>
        <w:tc>
          <w:tcPr>
            <w:tcW w:w="300" w:type="dxa"/>
            <w:vAlign w:val="bottom"/>
            <w:vMerge w:val="restart"/>
            <w:textDirection w:val="btLr"/>
          </w:tcPr>
          <w:p>
            <w:pPr>
              <w:ind w:left="277"/>
              <w:spacing w:after="0"/>
              <w:rPr>
                <w:sz w:val="20"/>
                <w:szCs w:val="20"/>
                <w:color w:val="auto"/>
              </w:rPr>
            </w:pPr>
            <w:r>
              <w:rPr>
                <w:rFonts w:ascii="Times New Roman" w:cs="Times New Roman" w:eastAsia="Times New Roman" w:hAnsi="Times New Roman"/>
                <w:sz w:val="2"/>
                <w:szCs w:val="2"/>
                <w:b w:val="1"/>
                <w:bCs w:val="1"/>
                <w:color w:val="FF4338"/>
                <w:w w:val="70"/>
              </w:rPr>
              <w:t>Theinformationinthispreliminaryprospectussupplementisnotcomplete</w:t>
            </w:r>
          </w:p>
        </w:tc>
        <w:tc>
          <w:tcPr>
            <w:tcW w:w="220" w:type="dxa"/>
            <w:vAlign w:val="bottom"/>
            <w:vMerge w:val="restart"/>
            <w:textDirection w:val="btLr"/>
          </w:tcPr>
          <w:p>
            <w:pPr>
              <w:ind w:left="197"/>
              <w:spacing w:after="0"/>
              <w:rPr>
                <w:sz w:val="20"/>
                <w:szCs w:val="20"/>
                <w:color w:val="auto"/>
              </w:rPr>
            </w:pPr>
            <w:r>
              <w:rPr>
                <w:rFonts w:ascii="Times New Roman" w:cs="Times New Roman" w:eastAsia="Times New Roman" w:hAnsi="Times New Roman"/>
                <w:sz w:val="2"/>
                <w:szCs w:val="2"/>
                <w:b w:val="1"/>
                <w:bCs w:val="1"/>
                <w:color w:val="FF4338"/>
                <w:w w:val="71"/>
              </w:rPr>
              <w:t>accompanyingprospectusarenotanoffertosellthesesecuritiesandweare</w:t>
            </w:r>
          </w:p>
        </w:tc>
        <w:tc>
          <w:tcPr>
            <w:tcW w:w="240" w:type="dxa"/>
            <w:vAlign w:val="bottom"/>
            <w:vMerge w:val="restart"/>
            <w:textDirection w:val="btLr"/>
          </w:tcPr>
          <w:p>
            <w:pPr>
              <w:ind w:left="171"/>
              <w:spacing w:after="0"/>
              <w:rPr>
                <w:sz w:val="20"/>
                <w:szCs w:val="20"/>
                <w:color w:val="auto"/>
              </w:rPr>
            </w:pPr>
            <w:r>
              <w:rPr>
                <w:rFonts w:ascii="Times New Roman" w:cs="Times New Roman" w:eastAsia="Times New Roman" w:hAnsi="Times New Roman"/>
                <w:sz w:val="6"/>
                <w:szCs w:val="6"/>
                <w:b w:val="1"/>
                <w:bCs w:val="1"/>
                <w:color w:val="FF4338"/>
                <w:w w:val="76"/>
              </w:rPr>
              <w:t>orsaleisnotpermitted.</w:t>
            </w:r>
          </w:p>
        </w:tc>
        <w:tc>
          <w:tcPr>
            <w:tcW w:w="10380" w:type="dxa"/>
            <w:vAlign w:val="bottom"/>
            <w:gridSpan w:val="18"/>
          </w:tcPr>
          <w:p>
            <w:pPr>
              <w:ind w:left="40"/>
              <w:spacing w:after="0"/>
              <w:rPr>
                <w:sz w:val="20"/>
                <w:szCs w:val="20"/>
                <w:color w:val="auto"/>
              </w:rPr>
            </w:pPr>
            <w:r>
              <w:rPr>
                <w:rFonts w:ascii="Times New Roman" w:cs="Times New Roman" w:eastAsia="Times New Roman" w:hAnsi="Times New Roman"/>
                <w:sz w:val="18"/>
                <w:szCs w:val="18"/>
                <w:b w:val="1"/>
                <w:bCs w:val="1"/>
                <w:color w:val="auto"/>
              </w:rPr>
              <w:t>notes (including all affiliated entities that participate in such purchase), by accepting such notes, will be deemed to have</w:t>
            </w:r>
          </w:p>
        </w:tc>
        <w:tc>
          <w:tcPr>
            <w:tcW w:w="0" w:type="dxa"/>
            <w:vAlign w:val="bottom"/>
          </w:tcPr>
          <w:p>
            <w:pPr>
              <w:spacing w:after="0"/>
              <w:rPr>
                <w:sz w:val="1"/>
                <w:szCs w:val="1"/>
                <w:color w:val="auto"/>
              </w:rPr>
            </w:pPr>
          </w:p>
        </w:tc>
      </w:tr>
      <w:tr>
        <w:trPr>
          <w:trHeight w:val="184"/>
        </w:trPr>
        <w:tc>
          <w:tcPr>
            <w:tcW w:w="3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380" w:type="dxa"/>
            <w:vAlign w:val="bottom"/>
            <w:gridSpan w:val="18"/>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represented, warranted and agreed that it is not, and will not be, for its taxable year that includes the date of the original</w:t>
            </w: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380" w:type="dxa"/>
            <w:vAlign w:val="bottom"/>
            <w:gridSpan w:val="1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issuance of the notes, a “specified foreign entity.”</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4"/>
          </w:tcPr>
          <w:p>
            <w:pPr>
              <w:spacing w:after="0"/>
              <w:rPr>
                <w:sz w:val="19"/>
                <w:szCs w:val="19"/>
                <w:color w:val="auto"/>
              </w:rPr>
            </w:pPr>
          </w:p>
        </w:tc>
        <w:tc>
          <w:tcPr>
            <w:tcW w:w="192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660" w:type="dxa"/>
            <w:vAlign w:val="bottom"/>
            <w:gridSpan w:val="2"/>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ind w:left="380"/>
              <w:spacing w:after="0"/>
              <w:rPr>
                <w:sz w:val="20"/>
                <w:szCs w:val="20"/>
                <w:color w:val="auto"/>
              </w:rPr>
            </w:pPr>
            <w:r>
              <w:rPr>
                <w:rFonts w:ascii="Times New Roman" w:cs="Times New Roman" w:eastAsia="Times New Roman" w:hAnsi="Times New Roman"/>
                <w:sz w:val="22"/>
                <w:szCs w:val="22"/>
                <w:b w:val="1"/>
                <w:bCs w:val="1"/>
                <w:color w:val="auto"/>
              </w:rPr>
              <w:t>Investing in the notes involves risks. See the “</w:t>
            </w:r>
            <w:r>
              <w:rPr>
                <w:rFonts w:ascii="Times New Roman" w:cs="Times New Roman" w:eastAsia="Times New Roman" w:hAnsi="Times New Roman"/>
                <w:sz w:val="22"/>
                <w:szCs w:val="22"/>
                <w:b w:val="1"/>
                <w:bCs w:val="1"/>
                <w:color w:val="0000EE"/>
              </w:rPr>
              <w:t>Risk Factors</w:t>
            </w:r>
            <w:r>
              <w:rPr>
                <w:rFonts w:ascii="Times New Roman" w:cs="Times New Roman" w:eastAsia="Times New Roman" w:hAnsi="Times New Roman"/>
                <w:sz w:val="22"/>
                <w:szCs w:val="22"/>
                <w:b w:val="1"/>
                <w:bCs w:val="1"/>
                <w:color w:val="auto"/>
              </w:rPr>
              <w:t>” beginning on page S-9 of this prospectus</w:t>
            </w:r>
          </w:p>
        </w:tc>
        <w:tc>
          <w:tcPr>
            <w:tcW w:w="0" w:type="dxa"/>
            <w:vAlign w:val="bottom"/>
          </w:tcPr>
          <w:p>
            <w:pPr>
              <w:spacing w:after="0"/>
              <w:rPr>
                <w:sz w:val="1"/>
                <w:szCs w:val="1"/>
                <w:color w:val="auto"/>
              </w:rPr>
            </w:pPr>
          </w:p>
        </w:tc>
      </w:tr>
      <w:tr>
        <w:trPr>
          <w:trHeight w:val="275"/>
        </w:trPr>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22"/>
                <w:szCs w:val="22"/>
                <w:b w:val="1"/>
                <w:bCs w:val="1"/>
                <w:color w:val="auto"/>
              </w:rPr>
              <w:t>supplement.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Public Offering Price</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4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Proceeds to Sempra (before expenses)</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right w:val="single" w:sz="8" w:color="CCEEFF"/>
            </w:tcBorders>
            <w:shd w:val="clear" w:color="auto" w:fill="CCEEFF"/>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bottom w:val="single" w:sz="8" w:color="auto"/>
            </w:tcBorders>
            <w:gridSpan w:val="2"/>
          </w:tcPr>
          <w:p>
            <w:pPr>
              <w:spacing w:after="0"/>
              <w:rPr>
                <w:sz w:val="12"/>
                <w:szCs w:val="12"/>
                <w:color w:val="auto"/>
              </w:rPr>
            </w:pPr>
          </w:p>
        </w:tc>
        <w:tc>
          <w:tcPr>
            <w:tcW w:w="17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4"/>
          </w:tcPr>
          <w:p>
            <w:pPr>
              <w:spacing w:after="0"/>
              <w:rPr>
                <w:sz w:val="12"/>
                <w:szCs w:val="12"/>
                <w:color w:val="auto"/>
              </w:rPr>
            </w:pPr>
          </w:p>
        </w:tc>
        <w:tc>
          <w:tcPr>
            <w:tcW w:w="15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xml:space="preserve">(1)  Plus accrued interest from 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3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2026, if settlement occurs after that date.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ind w:left="380"/>
              <w:spacing w:after="0"/>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80" w:type="dxa"/>
            <w:vAlign w:val="bottom"/>
            <w:gridSpan w:val="18"/>
          </w:tcPr>
          <w:p>
            <w:pPr>
              <w:ind w:left="40"/>
              <w:spacing w:after="0"/>
              <w:rPr>
                <w:sz w:val="20"/>
                <w:szCs w:val="20"/>
                <w:color w:val="auto"/>
              </w:rPr>
            </w:pPr>
            <w:r>
              <w:rPr>
                <w:rFonts w:ascii="Times New Roman" w:cs="Times New Roman" w:eastAsia="Times New Roman" w:hAnsi="Times New Roman"/>
                <w:sz w:val="18"/>
                <w:szCs w:val="18"/>
                <w:b w:val="1"/>
                <w:bCs w:val="1"/>
                <w:color w:val="auto"/>
              </w:rPr>
              <w:t>of these securities or determined if this prospectus supplement or the accompanying prospectus is truthful or complete. Any</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representation to the contrary is a criminal offense.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The underwriters expect to deliver the notes in book-entry form through the facilities of The Depository Trust Company for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8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accounts of its participants, including Clearstream Banking S.A. and Euroclear Bank SA/NV, as operator of the Euroclear System,</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 xml:space="preserve">against payment in New York, New York on or about           </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2026.</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gridSpan w:val="6"/>
          </w:tcPr>
          <w:p>
            <w:pPr>
              <w:jc w:val="center"/>
              <w:ind w:right="922"/>
              <w:spacing w:after="0"/>
              <w:rPr>
                <w:sz w:val="20"/>
                <w:szCs w:val="20"/>
                <w:color w:val="auto"/>
              </w:rPr>
            </w:pPr>
            <w:r>
              <w:rPr>
                <w:rFonts w:ascii="Times New Roman" w:cs="Times New Roman" w:eastAsia="Times New Roman" w:hAnsi="Times New Roman"/>
                <w:sz w:val="18"/>
                <w:szCs w:val="18"/>
                <w:b w:val="1"/>
                <w:bCs w:val="1"/>
                <w:i w:val="1"/>
                <w:iCs w:val="1"/>
                <w:color w:val="auto"/>
                <w:w w:val="99"/>
              </w:rPr>
              <w:t>Joint Book-Running Managers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29"/>
                <w:szCs w:val="29"/>
                <w:b w:val="1"/>
                <w:bCs w:val="1"/>
                <w:color w:val="auto"/>
                <w:w w:val="99"/>
              </w:rPr>
              <w:t>BMO Capital Markets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20" w:type="dxa"/>
            <w:vAlign w:val="bottom"/>
            <w:gridSpan w:val="6"/>
          </w:tcPr>
          <w:p>
            <w:pPr>
              <w:ind w:left="200"/>
              <w:spacing w:after="0"/>
              <w:rPr>
                <w:sz w:val="20"/>
                <w:szCs w:val="20"/>
                <w:color w:val="auto"/>
              </w:rPr>
            </w:pPr>
            <w:r>
              <w:rPr>
                <w:rFonts w:ascii="Times New Roman" w:cs="Times New Roman" w:eastAsia="Times New Roman" w:hAnsi="Times New Roman"/>
                <w:sz w:val="29"/>
                <w:szCs w:val="29"/>
                <w:b w:val="1"/>
                <w:bCs w:val="1"/>
                <w:color w:val="auto"/>
              </w:rPr>
              <w:t>Academy Securities</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      , 2026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-6960235</wp:posOffset>
            </wp:positionV>
            <wp:extent cx="169735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35115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0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tcPr>
          <w:p>
            <w:pPr>
              <w:jc w:val="right"/>
              <w:ind w:right="413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r>
      <w:tr>
        <w:trPr>
          <w:trHeight w:val="418"/>
        </w:trPr>
        <w:tc>
          <w:tcPr>
            <w:tcW w:w="12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420" w:type="dxa"/>
            <w:vAlign w:val="bottom"/>
            <w:gridSpan w:val="4"/>
          </w:tcPr>
          <w:p>
            <w:pPr>
              <w:spacing w:after="0"/>
              <w:rPr>
                <w:sz w:val="24"/>
                <w:szCs w:val="24"/>
                <w:color w:val="auto"/>
              </w:rPr>
            </w:pP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3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 and Market Data</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660" w:type="dxa"/>
            <w:vAlign w:val="bottom"/>
            <w:tcBorders>
              <w:top w:val="single" w:sz="8" w:color="0000EE"/>
            </w:tcBorders>
            <w:gridSpan w:val="8"/>
          </w:tcPr>
          <w:p>
            <w:pPr>
              <w:spacing w:after="0"/>
              <w:rPr>
                <w:sz w:val="17"/>
                <w:szCs w:val="17"/>
                <w:color w:val="auto"/>
              </w:rPr>
            </w:pPr>
          </w:p>
        </w:tc>
        <w:tc>
          <w:tcPr>
            <w:tcW w:w="600" w:type="dxa"/>
            <w:vAlign w:val="bottom"/>
            <w:gridSpan w:val="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3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2200" w:type="dxa"/>
            <w:vAlign w:val="bottom"/>
            <w:gridSpan w:val="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20" w:type="dxa"/>
            <w:vAlign w:val="bottom"/>
          </w:tcPr>
          <w:p>
            <w:pPr>
              <w:spacing w:after="0"/>
              <w:rPr>
                <w:sz w:val="17"/>
                <w:szCs w:val="17"/>
                <w:color w:val="auto"/>
              </w:rPr>
            </w:pPr>
          </w:p>
        </w:tc>
        <w:tc>
          <w:tcPr>
            <w:tcW w:w="36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United States Federal Tax Considerations</w:t>
            </w:r>
          </w:p>
        </w:tc>
        <w:tc>
          <w:tcPr>
            <w:tcW w:w="320" w:type="dxa"/>
            <w:vAlign w:val="bottom"/>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20" w:type="dxa"/>
            <w:vAlign w:val="bottom"/>
          </w:tcPr>
          <w:p>
            <w:pPr>
              <w:spacing w:after="0"/>
              <w:rPr>
                <w:sz w:val="17"/>
                <w:szCs w:val="17"/>
                <w:color w:val="auto"/>
              </w:rPr>
            </w:pPr>
          </w:p>
        </w:tc>
        <w:tc>
          <w:tcPr>
            <w:tcW w:w="3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196"/>
        </w:trPr>
        <w:tc>
          <w:tcPr>
            <w:tcW w:w="120" w:type="dxa"/>
            <w:vAlign w:val="bottom"/>
          </w:tcPr>
          <w:p>
            <w:pPr>
              <w:spacing w:after="0"/>
              <w:rPr>
                <w:sz w:val="17"/>
                <w:szCs w:val="17"/>
                <w:color w:val="auto"/>
              </w:rPr>
            </w:pPr>
          </w:p>
        </w:tc>
        <w:tc>
          <w:tcPr>
            <w:tcW w:w="25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1400" w:type="dxa"/>
            <w:vAlign w:val="bottom"/>
            <w:gridSpan w:val="3"/>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gridSpan w:val="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20" w:type="dxa"/>
            <w:vAlign w:val="bottom"/>
          </w:tcPr>
          <w:p>
            <w:pPr>
              <w:jc w:val="right"/>
              <w:ind w:right="477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18"/>
        </w:trPr>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500" w:type="dxa"/>
            <w:vAlign w:val="bottom"/>
            <w:gridSpan w:val="6"/>
          </w:tcPr>
          <w:p>
            <w:pPr>
              <w:spacing w:after="0"/>
              <w:rPr>
                <w:sz w:val="24"/>
                <w:szCs w:val="24"/>
                <w:color w:val="auto"/>
              </w:rPr>
            </w:pP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 and Market Data</w:t>
            </w: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3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80" w:type="dxa"/>
            <w:vAlign w:val="bottom"/>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8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Sempra</w:t>
            </w:r>
          </w:p>
        </w:tc>
        <w:tc>
          <w:tcPr>
            <w:tcW w:w="1280" w:type="dxa"/>
            <w:vAlign w:val="bottom"/>
            <w:gridSpan w:val="2"/>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960" w:type="dxa"/>
            <w:vAlign w:val="bottom"/>
            <w:gridSpan w:val="4"/>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2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Other Securities</w:t>
            </w:r>
          </w:p>
        </w:tc>
        <w:tc>
          <w:tcPr>
            <w:tcW w:w="1900" w:type="dxa"/>
            <w:vAlign w:val="bottom"/>
            <w:gridSpan w:val="3"/>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4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20" w:type="dxa"/>
            <w:vAlign w:val="bottom"/>
            <w:gridSpan w:val="7"/>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140" w:type="dxa"/>
            <w:vAlign w:val="bottom"/>
            <w:gridSpan w:val="10"/>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the notes and also adds to and updates information contained in the accompanying prospectus and the documents incorporated by reference in this prospectus supplement and the accompanying prospectus. The second part is the accompanying prospectus, which gives more general information, some of which does not apply to the notes. If the description of the notes or this offering of the notes varies between this prospectus supplement and the accompanying prospectus, you should rely on the information in this prospectus supplement.</w:t>
      </w:r>
    </w:p>
    <w:p>
      <w:pPr>
        <w:spacing w:after="0" w:line="18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the accompanying prospectus and any related free writing prospectus issued by us. We have not, and the underwriters have not, authorized anyone to provide you with different information. If anyone provides you with different or inconsistent information, you should not rely on it. We are offering to sell the notes and seeking offers to buy the notes only in jurisdictions where offers and sales are permitted. You should assume that the information contained in this prospectus supplement, the accompanying prospectus and any such free writing prospectus is accurate only as of their respective dates (or such other dates specified therein) and the information contained in documents incorporated by reference is accurate only as of the respective dates (or such other dates specified therein) of those documents, in each case regardless of the time of delivery of this prospectus supplement or the accompanying prospectus or any such free writing prospectus or any sale of the notes. Our business, financial condition, results of operations and prospects may have changed since those dates.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the accompanying prospectus and any related free writing prospectus filed with the U.S. Securities and Exchange Commission (the “SEC”) and this offering of the notes in certain jurisdictions may be restricted by law. Persons into whose possession this prospectus supplement, the accompanying prospectus and any such free writing prospectus come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(each, an “EEA Qualified Investor”). Accordingly, any person making or intending to make an offer in any Member State of the EEA of notes which are the subject of the offering contemplated in this prospectus supplement, the accompanying prospectus and any related free writing prospectus may only do so with respect to EEA Qualified Investors. Neither Sempra nor the underwriters have authorized, nor do they authorize, the making of any offer of notes in the EEA other than to EEA Qualified Investors.</w:t>
      </w:r>
    </w:p>
    <w:p>
      <w:pPr>
        <w:spacing w:after="0" w:line="16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PROHIBITION OF SALES TO EEA RETAIL INVESTORS </w:t>
      </w:r>
      <w:r>
        <w:rPr>
          <w:rFonts w:ascii="Times New Roman" w:cs="Times New Roman" w:eastAsia="Times New Roman" w:hAnsi="Times New Roman"/>
          <w:sz w:val="18"/>
          <w:szCs w:val="18"/>
          <w:color w:val="auto"/>
        </w:rPr>
        <w:t>– The notes are not intended to be offered, sold or otherwise made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should not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an EEA Qualified Investor. Consequently, no key information document required by Regulation (EU) No 1286/2014, as amended (the “PRIIPs Regulation”) for offering or selling the notes or otherwise making</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them available to retail investors in the EEA has been prepared and therefore offering or selling the notes or otherwise making them available to any retail investor in the EEA may be unlawful under the PRIIPs Regulation.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have been prepared on the basis that any offer of notes in the United Kingdom will only be made to a legal entity which is a qualified investor as defined in paragraph 15 of Schedule 1 to the United Kingdom’s Public Offers and Admissions to Trading Regulations 2024 (each, a “UK Qualified Investor”). Accordingly, any person making or intending to make an offer in the United Kingdom of notes which are the subject of the offering contemplated in this prospectus supplement, the accompanying prospectus and any related free writing prospectus may only do so with respect to UK Qualified Investors. Neither Sempra nor the underwriters have authorized, nor do they authorize, the making of any offer of notes in the United Kingdom other than to UK Qualified Investors.</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PROHIBITION OF SALES TO UNITED KINGDOM RETAIL INVESTORS </w:t>
      </w:r>
      <w:r>
        <w:rPr>
          <w:rFonts w:ascii="Times New Roman" w:cs="Times New Roman" w:eastAsia="Times New Roman" w:hAnsi="Times New Roman"/>
          <w:sz w:val="18"/>
          <w:szCs w:val="18"/>
          <w:color w:val="auto"/>
        </w:rPr>
        <w:t>– The notes are not intended to be offered, sold, distributed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made available to and should not be offered, sold, distributed or otherwise made available to any retail investor in the United Kingdom. For these purposes, a “retail investor” means a person who is either one (or both) of the following: (i) not a professional client, as defined in point (8) of Article 2(1) of Regulation (EU) No 600/2014 as it forms part of domestic law in the United Kingdom (“UK MiFIR”); or (ii) not a UK Qualified Investor. Consequently, no disclosure document required by the FCA Product Disclosure Sourcebook (“DISC”) for offering, selling or distributing the notes or otherwise making them available to retail investors in the United Kingdom has been prepared and therefore offering or selling the notes or otherwise making them available to any retail investor in the United Kingdom may be unlawful under DISC and the Consumer Composite Investments (Designated Activities) Regulations 2024.</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United Kingdom’s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any other persons to whom it may otherwise lawfully be communicated or distributed under the Financial Promotion Order (all such persons together being referred to as “relevant persons”). This prospectus supplement, the accompanying prospectus, any related free writing prospectus and such other documents and/or related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notes offered hereby or any of their contents.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they incorporate by reference contain, and any related free writing prospectus issued by us may contain,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Factors, among others, that could cause actual results and events to differ materially from those expressed or implied in any forward-looking statement include:</w:t>
      </w:r>
    </w:p>
    <w:p>
      <w:pPr>
        <w:spacing w:after="0" w:line="67" w:lineRule="exact"/>
        <w:rPr>
          <w:sz w:val="20"/>
          <w:szCs w:val="20"/>
          <w:color w:val="auto"/>
        </w:rPr>
      </w:pPr>
    </w:p>
    <w:p>
      <w:pPr>
        <w:ind w:left="1080" w:right="1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57"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Nacional de Energía, California Public Utilities Commission, U.S.</w:t>
      </w:r>
    </w:p>
    <w:p>
      <w:pPr>
        <w:spacing w:after="0" w:line="1" w:lineRule="exact"/>
        <w:rPr>
          <w:rFonts w:ascii="Times New Roman" w:cs="Times New Roman" w:eastAsia="Times New Roman" w:hAnsi="Times New Roman"/>
          <w:sz w:val="18"/>
          <w:szCs w:val="18"/>
          <w:color w:val="auto"/>
        </w:rPr>
      </w:pP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of Energy, U.S. Federal Energy Regulatory Commission, U.S. Internal Revenue Service, Public Utility Commission of Texas and other regulatory bodies and (ii) U.S., Mexico and states, counties, cities and other jurisdictions therein and in other countries where we do business;</w:t>
      </w:r>
    </w:p>
    <w:p>
      <w:pPr>
        <w:spacing w:after="0" w:line="91" w:lineRule="exact"/>
        <w:rPr>
          <w:rFonts w:ascii="Times New Roman" w:cs="Times New Roman" w:eastAsia="Times New Roman" w:hAnsi="Times New Roman"/>
          <w:sz w:val="18"/>
          <w:szCs w:val="18"/>
          <w:color w:val="auto"/>
        </w:rPr>
      </w:pPr>
    </w:p>
    <w:p>
      <w:pPr>
        <w:ind w:left="1080" w:right="20" w:hanging="424"/>
        <w:spacing w:after="0" w:line="270"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business development efforts, construction projects, acquisitions, divestitures, and other significant transactions, such as the planned sale of a portion of our equity interest in Sempra Infrastructure Partners, LP,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w:t>
      </w:r>
    </w:p>
    <w:p>
      <w:pPr>
        <w:spacing w:after="0" w:line="2" w:lineRule="exact"/>
        <w:rPr>
          <w:rFonts w:ascii="Times New Roman" w:cs="Times New Roman" w:eastAsia="Times New Roman" w:hAnsi="Times New Roman"/>
          <w:sz w:val="17"/>
          <w:szCs w:val="17"/>
          <w:color w:val="auto"/>
        </w:rPr>
      </w:pPr>
    </w:p>
    <w:p>
      <w:pPr>
        <w:ind w:left="1080" w:righ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obtaining regulatory and other approvals and (vi) third parties honoring their contracts and commitments, including with respect to closing or post-closing payments;</w:t>
      </w:r>
    </w:p>
    <w:p>
      <w:pPr>
        <w:spacing w:after="0" w:line="86"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capital expenditure plans and their potential impact on rate base or other growth;</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arbitration, property disputes and other proceedings;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including by nation-state actors, of ransomware or other attacks on our systems, the energy grid or our other infrastructure, or the systems of third parties with which we conduct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9"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spacing w:after="0" w:line="63"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efforts to increase affordability of U.S. utility customer rates on our ability to obtain cost recovery from applicable regulators, our capital expenditure and other growth plans and our ability to advance statewide policies;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Oncor Electric Delivery Company LLC’s (“Oncor”) ability to reduce or eliminate its quarterly dividends due to regulatory and governance requirements and commitments, including by actions of Oncor’s independent directors or a minority member director;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uncertainties, some of which are difficult to predict and beyond our control.</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caution you not to rely unduly on any forward-looking statements. You should review and consider carefully the risks, uncertainties and other factors that affect our businesses as described herein, in our Annual Report on Form 10-K for the year ended December 31, 2025, in our Quarterly Report on Form 10-Q for the quarter ended March 31, 2026, and in other reports and documents we file with the SEC that are incorporated by reference in this prospectus supplement and the accompanying prospectus and any related free writing prospectus issued by us. You may obtain copies of these reports and documents as described under “Where You Can Find More Information” in the accompanying prospectus.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the documents incorporated and deemed to be incorporated by reference in this prospectus supplement and the accompanying prospectus and any related free writing prospectus issued by us in connection with this offering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supplement, the accompanying prospectus, the documents incorporated and deemed to be incorporated by reference in this prospectus supplement and the accompanying prospectus and 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related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supplement, the accompanying prospectus, any related free writing prospectus, and documents that are incorporated or deemed to be incorporated by reference in this prospectus supplement and the accompanying prospectus. Accordingly, you should not place undue reliance on any of this information.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40"/>
          </w:cols>
          <w:pgMar w:left="320" w:top="455"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5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information supplements, and should be read together with, the information contained in the accompanying prospectus and the documents incorporated or deemed to be incorporated by reference herein and therein. You should carefully read this prospectus supplement and the accompanying prospectus, as well as the documents they incorporate by reference and any related free writing prospectus issued by us, before making an investment decision. In this prospectus supplement, references to “Sempra,” “we,” “us,” “our” and similar terms mean, unless otherwise specified or the context otherwise requires, Sempra together with its consolidated entities, and references to currency amounts are in U.S. dollars.</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Sempra</w:t>
      </w:r>
    </w:p>
    <w:p>
      <w:pPr>
        <w:spacing w:after="0" w:line="229"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Sempra is a holding company whose principal businesses are regulated utilities in California and Texas. Our businesses invest in and operate electric and gas utilities and other energy infrastructure that provide energy services to customers. Sempra was formed in 1998 through a business combination of Enova Corporation and Pacific Enterprises, the holding companies of our regulated public utilities in California: SDG&amp;E, which began operations in 1881, and SoCalGas, which began operations in 1867. We have since expanded our regulated public utility presence into Texas through our 80.25% interest in Oncor and 50% interest in Sharyland Utilities, L.L.C. Sempra Infrastructure’s assets include investments in the U.S. and Mexico with a focus on liquefied natural gas, energy networks and low carbon solutions. Our mission is to build America’s leading utility growth business. We are primarily focused on the largest economies in the U.S., California and Texas, where we are investing in regulated utilities with a view toward producing stable cash flows and improved earnings visibility. Our goal is to deliver safe, reliable and affordable energy to customers while increasing shareholder value. For additional information concerning us, you should refer to the information under the heading “Where You Can Find More Information” in the accompanying prospectus.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488 8th Avenue, San Diego, California 92101, and our telephone number is (619) 696-2000.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http://www.sempra.com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Except for documents that are incorporated by reference in the accompanying prospectus as described therein under “Where You Can Find More Information” and that are available on the SEC website at www.sec.gov, the information contained on, or that can be accessed through, our website or any other website referenced herein is not a part of or incorporated by reference in this prospectus supplement, the accompanying prospectus or any document incorporated or deemed to be incorporated herein or therein.</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93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this offering. It does not contain all the information that is important to you. You should carefully read this prospectus supplement and the accompanying prospectus, the documents incorporated and deemed to be incorporated by reference in this prospectus supplement and the accompanying prospectus and any free writing prospectus we may provide you in connection with this offering before making an investment decision.</w:t>
      </w:r>
    </w:p>
    <w:p>
      <w:pPr>
        <w:spacing w:after="0" w:line="180" w:lineRule="exact"/>
        <w:rPr>
          <w:sz w:val="20"/>
          <w:szCs w:val="20"/>
          <w:color w:val="auto"/>
        </w:rPr>
      </w:pPr>
    </w:p>
    <w:p>
      <w:pPr>
        <w:ind w:left="300" w:right="62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references to “Sempra,” “we,” “us,” “our” and similar terms mean, unless otherwise specified or the context otherwise requires, Sempra excluding its consolidated entities.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18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Sempra.</w:t>
            </w:r>
          </w:p>
        </w:tc>
        <w:tc>
          <w:tcPr>
            <w:tcW w:w="6040" w:type="dxa"/>
            <w:vAlign w:val="bottom"/>
          </w:tcPr>
          <w:p>
            <w:pPr>
              <w:spacing w:after="0"/>
              <w:rPr>
                <w:sz w:val="20"/>
                <w:szCs w:val="20"/>
                <w:color w:val="auto"/>
              </w:rPr>
            </w:pPr>
          </w:p>
        </w:tc>
      </w:tr>
      <w:tr>
        <w:trPr>
          <w:trHeight w:val="47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of Notes Offered</w:t>
            </w:r>
          </w:p>
        </w:tc>
        <w:tc>
          <w:tcPr>
            <w:tcW w:w="18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          </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principal amount of Floating Rate Notes due 2028 (the “notes”).</w:t>
            </w:r>
          </w:p>
        </w:tc>
      </w:tr>
      <w:tr>
        <w:trPr>
          <w:trHeight w:val="47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January 7, 2028.</w:t>
            </w:r>
          </w:p>
        </w:tc>
      </w:tr>
      <w:tr>
        <w:trPr>
          <w:trHeight w:val="45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notes will bear interest at a rate equivalent to Compounded SOFR (as defined herein)</w:t>
            </w:r>
          </w:p>
        </w:tc>
      </w:tr>
      <w:tr>
        <w:trPr>
          <w:trHeight w:val="216"/>
        </w:trPr>
        <w:tc>
          <w:tcPr>
            <w:tcW w:w="3120" w:type="dxa"/>
            <w:vAlign w:val="bottom"/>
          </w:tcPr>
          <w:p>
            <w:pPr>
              <w:spacing w:after="0"/>
              <w:rPr>
                <w:sz w:val="18"/>
                <w:szCs w:val="18"/>
                <w:color w:val="auto"/>
              </w:rPr>
            </w:pPr>
          </w:p>
        </w:tc>
        <w:tc>
          <w:tcPr>
            <w:tcW w:w="18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plus       </w:t>
            </w: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per annum; provided that in no event will the interest rate on the notes be</w:t>
            </w:r>
          </w:p>
        </w:tc>
      </w:tr>
      <w:tr>
        <w:trPr>
          <w:trHeight w:val="234"/>
        </w:trPr>
        <w:tc>
          <w:tcPr>
            <w:tcW w:w="3120" w:type="dxa"/>
            <w:vAlign w:val="bottom"/>
          </w:tcPr>
          <w:p>
            <w:pPr>
              <w:spacing w:after="0"/>
              <w:rPr>
                <w:sz w:val="20"/>
                <w:szCs w:val="20"/>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less than zero.</w:t>
            </w:r>
          </w:p>
        </w:tc>
      </w:tr>
      <w:tr>
        <w:trPr>
          <w:trHeight w:val="45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October 7, January 7, April 7 and July 7 of each year, beginning on October 7, 2026.</w:t>
            </w:r>
          </w:p>
        </w:tc>
      </w:tr>
      <w:tr>
        <w:trPr>
          <w:trHeight w:val="45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notes will be our unsecured and unsubordinated obligations and will rank equally in</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right of payment with all of our other existing and future unsecured and unsubordinated</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indebtedness and guarantees. The notes will rank senior in right of payment to all of our</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existing and future indebtedness that is subordinated to the notes. The notes will be</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effectively subordinated in right of payment to any secured indebtedness we have or may</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incur (to the extent of the value of the collateral securing such secured indebtedness) and</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will also be effectively subordinated in right of payment to all existing and future</w:t>
            </w:r>
          </w:p>
        </w:tc>
      </w:tr>
      <w:tr>
        <w:trPr>
          <w:trHeight w:val="234"/>
        </w:trPr>
        <w:tc>
          <w:tcPr>
            <w:tcW w:w="3120" w:type="dxa"/>
            <w:vAlign w:val="bottom"/>
          </w:tcPr>
          <w:p>
            <w:pPr>
              <w:spacing w:after="0"/>
              <w:rPr>
                <w:sz w:val="20"/>
                <w:szCs w:val="20"/>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indebtedness and other liabilities and any preferred equity of our subsidiaries.</w:t>
            </w:r>
          </w:p>
        </w:tc>
      </w:tr>
      <w:tr>
        <w:trPr>
          <w:trHeight w:val="45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notes will not be redeemable at our option prior to maturity.</w:t>
            </w:r>
          </w:p>
        </w:tc>
      </w:tr>
      <w:tr>
        <w:trPr>
          <w:trHeight w:val="45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notes will not, and the related indenture does not, limit the amount of indebtedness or</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other liabilities that Sempra or any of its subsidiaries may incur, and will not contain any</w:t>
            </w:r>
          </w:p>
        </w:tc>
      </w:tr>
      <w:tr>
        <w:trPr>
          <w:trHeight w:val="234"/>
        </w:trPr>
        <w:tc>
          <w:tcPr>
            <w:tcW w:w="3120" w:type="dxa"/>
            <w:vAlign w:val="bottom"/>
          </w:tcPr>
          <w:p>
            <w:pPr>
              <w:spacing w:after="0"/>
              <w:rPr>
                <w:sz w:val="20"/>
                <w:szCs w:val="20"/>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financial or other similar restrictive covenants.</w:t>
            </w:r>
          </w:p>
        </w:tc>
      </w:tr>
      <w:tr>
        <w:trPr>
          <w:trHeight w:val="441"/>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We estimate that the net proceeds to us from the sale of the notes will be approximately</w:t>
            </w:r>
          </w:p>
        </w:tc>
      </w:tr>
      <w:tr>
        <w:trPr>
          <w:trHeight w:val="216"/>
        </w:trPr>
        <w:tc>
          <w:tcPr>
            <w:tcW w:w="3120" w:type="dxa"/>
            <w:vAlign w:val="bottom"/>
          </w:tcPr>
          <w:p>
            <w:pPr>
              <w:spacing w:after="0"/>
              <w:rPr>
                <w:sz w:val="18"/>
                <w:szCs w:val="18"/>
                <w:color w:val="auto"/>
              </w:rPr>
            </w:pPr>
          </w:p>
        </w:tc>
        <w:tc>
          <w:tcPr>
            <w:tcW w:w="18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          </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million after deducting the underwriting discount but before deducting</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estimated offering expenses payable by us. We intend to use a substantial portion of the net</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proceeds from this offering to repay outstanding commercial paper and potentially other</w:t>
            </w:r>
          </w:p>
        </w:tc>
      </w:tr>
      <w:tr>
        <w:trPr>
          <w:trHeight w:val="234"/>
        </w:trPr>
        <w:tc>
          <w:tcPr>
            <w:tcW w:w="3120" w:type="dxa"/>
            <w:vAlign w:val="bottom"/>
          </w:tcPr>
          <w:p>
            <w:pPr>
              <w:spacing w:after="0"/>
              <w:rPr>
                <w:sz w:val="20"/>
                <w:szCs w:val="20"/>
                <w:color w:val="auto"/>
              </w:rPr>
            </w:pPr>
          </w:p>
        </w:tc>
        <w:tc>
          <w:tcPr>
            <w:tcW w:w="79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indebtedness and to use any remaining net proceeds for other general corporate purposes.</w:t>
            </w:r>
          </w:p>
        </w:tc>
      </w:tr>
      <w:tr>
        <w:trPr>
          <w:trHeight w:val="172"/>
        </w:trPr>
        <w:tc>
          <w:tcPr>
            <w:tcW w:w="3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6040" w:type="dxa"/>
            <w:vAlign w:val="bottom"/>
            <w:tcBorders>
              <w:bottom w:val="single" w:sz="8" w:color="auto"/>
            </w:tcBorders>
          </w:tcPr>
          <w:p>
            <w:pPr>
              <w:spacing w:after="0"/>
              <w:rPr>
                <w:sz w:val="14"/>
                <w:szCs w:val="14"/>
                <w:color w:val="auto"/>
              </w:rPr>
            </w:pPr>
          </w:p>
        </w:tc>
      </w:tr>
      <w:tr>
        <w:trPr>
          <w:trHeight w:val="361"/>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0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94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For information regarding certain conflicts of interest that may arise from the use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proceeds from the sale of the notes, see “Use of Proceeds,” “Underwriting (Conflicts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Interest)—Other Relationships” and “Underwriting (Conflicts of Interest)—Conflicts of</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Interest” in this prospectus supplement.</w:t>
            </w:r>
          </w:p>
        </w:tc>
      </w:tr>
      <w:tr>
        <w:trPr>
          <w:trHeight w:val="441"/>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 and Form</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registered form and in denominations of $2,000 and integral</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multiples of $1,000 in excess thereof. The notes initially will be issued in book-entry form</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and represented by one or more global notes deposited with, or on behalf of, The</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Depository Trust Company, as depositary (the “Depositary”).</w:t>
            </w:r>
          </w:p>
        </w:tc>
      </w:tr>
      <w:tr>
        <w:trPr>
          <w:trHeight w:val="441"/>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Listing</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intend to apply for the listing or trading of the notes on any securities exchange or trading</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facility or for inclusion of the notes in any automated quotation system.</w:t>
            </w:r>
          </w:p>
        </w:tc>
      </w:tr>
      <w:tr>
        <w:trPr>
          <w:trHeight w:val="441"/>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See “Risk Factors” in this prospectus supplement and the accompanying prospectus and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other information incorporated by reference in this prospectus supplement and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accompanying prospectus for a discussion of some of the risks and other factors you should</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consider carefully before deciding to invest in the notes.</w:t>
            </w:r>
          </w:p>
        </w:tc>
      </w:tr>
      <w:tr>
        <w:trPr>
          <w:trHeight w:val="172"/>
        </w:trPr>
        <w:tc>
          <w:tcPr>
            <w:tcW w:w="3080" w:type="dxa"/>
            <w:vAlign w:val="bottom"/>
            <w:tcBorders>
              <w:left w:val="single" w:sz="8" w:color="auto"/>
              <w:bottom w:val="single" w:sz="8" w:color="auto"/>
            </w:tcBorders>
          </w:tcPr>
          <w:p>
            <w:pPr>
              <w:spacing w:after="0"/>
              <w:rPr>
                <w:sz w:val="14"/>
                <w:szCs w:val="14"/>
                <w:color w:val="auto"/>
              </w:rPr>
            </w:pPr>
          </w:p>
        </w:tc>
        <w:tc>
          <w:tcPr>
            <w:tcW w:w="7940" w:type="dxa"/>
            <w:vAlign w:val="bottom"/>
            <w:tcBorders>
              <w:bottom w:val="single" w:sz="8" w:color="auto"/>
              <w:right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Investing in the notes involves risks. Before deciding whether to purchase any of the notes, you should review and consider carefully the risks described below and the risk factors and other cautionary language incorporated in this prospectus supplement and the accompanying prospectus by reference to our most recent Annual Report on Form 10-K, any subsequent Quarterly Reports on Form 10-Q and any Current Reports on Form 8-K filed (and not furnished) by us with the SEC subsequent to the last day of the fiscal year covered by our most recent Annual Report on Form 10-K and all other information contained or incorporated by reference in this prospectus supplement and the accompanying prospectus, as updated by our subsequent filings under the Securities Exchange Act of 1934, as amended (the “Exchange Act”), that are incorporated by reference in this prospectus supplement and the accompanying prospectus, as well as any free writing prospectus we may provide you in connection with this offering. Please also carefully read the information under the heading “Forward-Looking Statements and Market Data” or any similar headings in this prospectus supplement, the accompanying prospectus, our most recent Annual Report on Form 10-K and any subsequent Quarterly Reports on Form 10-Q and Current Reports on Form 8-K filed (and not furnished) by us with the SEC subsequent to the last day of the fiscal year covered by our most recent Annual Report on Form 10-K. There may be other risks and uncertainties not known to us or that we deem immaterial that also could impair our business operations, financial results and the value of our securities. The occurrence of any of these risks could have a material adverse effect on our results of operations, financial condition, cash flows and/or prospects and might cause you to lose all or part of your investment in the notes. In that regard, unless otherwise expressly stated or the context otherwise requires, references to our indebtedness generally or our senior indebtedness appearing under this heading “Risk Factors” and similar headings in our most recent Annual Report on Form 10-K include the notes offered hereby.</w:t>
      </w:r>
    </w:p>
    <w:p>
      <w:pPr>
        <w:spacing w:after="0" w:line="300"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in right of payment to all indebtedness and other liabilities and any preferred equity of Sempra’s subsidiaries, and the indenture under which the notes will be issued does not limit the aggregate amount of indebtedness and other liabilities that Sempra and its subsidiaries may incur.</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notes will be the unsecured and unsubordinated obligations of Sempra, and will be obligations of Sempra exclusively and will not be the obligations of any of its consolidated entities, equity method investees or other affiliates. Because Sempra is a holding company and substantially all the assets that produce Sempra’s earnings are owned by its consolidated subsidiaries or its equity method investees, which are entities Sempra does not control, the notes will be effectively subordinated in right of payment to all existing and future indebtedness and other liabilities and any preferred equity of Sempra’s subsidiaries. At March 31, 2026, Sempra’s consolidated subsidiaries had total indebtedness and other liabilities of approximately $53.6 billion owing to unaffiliated third parties, to which the notes would be effectively subordinated in right of payment. The notes will also be effectively subordinated in right of payment to any secured indebtedness we have or may incur (to the extent of the value of the collateral securing such secured indebtedness).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indenture under which the notes will be issued does not limit the amount of indebtedness (including secured indebtedness) and other liabilities that may be incurred by Sempra or any of its subsidiaries. The incurrence by Sempra or its subsidiaries of additional indebtedness and liabilities may have adverse consequences for you as a holder of the notes, including making it more difficult for Sempra to satisfy its obligations with respect to the notes, a loss of all or part of the trading value of your notes and the risk that one or more of the credit ratings on the notes could be lowered or withdrawn. Both Sempra and its subsidiaries expect to incur substantial amounts of additional indebtedness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SOFR (as defined below) may be more volatile than other benchmark or market rates.</w:t>
      </w:r>
    </w:p>
    <w:p>
      <w:pPr>
        <w:spacing w:after="0" w:line="121"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Since the initial publication of SOFR, daily changes in SOFR have, on occasion, been more volatile than daily changes in other benchmark or market rates, such as United States dollar London Inter-bank Offered Rate. Although changes in Compounded SOFR generally are not expected to be as volatile as changes in daily levels of SOFR, the return on and value of the notes may fluctuate more than floating rate debt securities that are linked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less volatile rates. In addition, the volatility of SOFR has reflected the underlying volatility of the overnight United States Treasury repurchase agreement (“repo”) market. The Federal Reserve Bank of New York has at times conducted operations in the overnight United States Treasury repo market in order to help maintain the federal funds rate within a target range. The Federal Reserve Bank of New York may not continue to conduct such operations in the future, and the duration and extent of any such operations is inherently uncertain. The effect of any such operations, or of the cessation of such operations to the extent they are commenced, is uncertain and could be materially adverse to investors in the notes.</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 on the notes is based on a Compounded SOFR rate and the SOFR Index (as defined below), both of which have a limited history in the marketplace.</w:t>
      </w:r>
    </w:p>
    <w:p>
      <w:pPr>
        <w:spacing w:after="0" w:line="51"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For each Interest Period (as defined below), the interest rate on the notes is based on Compounded SOFR, which is calculated using the SOFR Index published by the Federal Reserve Bank of New York according to the specific formula described under the heading “Description of the Notes— Compounded SOFR and the SOFR Index,” not the SOFR rate published on or in respect of a particular date during such Interest Period or an arithmetic average of SOFR rates during such period. For this and other reasons, the interest rate on the notes during any Interest Period will not necessarily be the same as the interest rate on other SOFR-linked investments that use an alternative basis to determine the applicable interest rate. Further, if the SOFR rate in respect of a particular date during an Interest Period is negative, its contribution to the SOFR Index will be less than one, resulting in a reduction to Compounded SOFR used to calculate the interest payable on the notes on the Interest Payment Date (as defined below) for such Interest Period.</w:t>
      </w:r>
    </w:p>
    <w:p>
      <w:pPr>
        <w:spacing w:after="0" w:line="17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Limited market precedent exists for securities that use SOFR as part of the interest rate calculation and the method for calculating an interest rate based upon SOFR in those precedents varies. In addition, the Federal Reserve Bank of New York only began publishing the SOFR Index in March 2020. Accordingly, the use of the SOFR Index or the specific formula for the Compounded SOFR rate used in the notes may not continue to be utilized by other market participants. If the market adopts a different calculation method, that would likely adversely affect the liquidity and market value of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Compounded SOFR with respect to a particular Interest Period will only be determinable near the end of the relevant Interest Period.</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level of Compounded SOFR applicable to a particular Interest Period and, therefore, the amount of interest payable with respect to such Interest Period will be determined on the Interest Payment Determination Date (as defined below) for such Interest Period. Because each such date is near the end of such Interest Period, investors will not know the amount of interest payable with respect to a particular Interest Period until shortly prior to the related Interest Payment Date and it may be difficult for an investor to reliably estimate the amount of interest that will be payable on each such Interest Payment Date.</w:t>
      </w:r>
    </w:p>
    <w:p>
      <w:pPr>
        <w:spacing w:after="0" w:line="28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SOFR Index may be modified or discontinued and the notes may bear interest by reference to a rate other than Compounded SOFR, which could adversely affect the notes.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SOFR Index is published by the Federal Reserve Bank of New York based on data received by it from sources other than Sempra, and Sempra has no control over its methods of calculation, publication schedule, rate revision practices or availability of the SOFR Index at any time. Particularly given its relatively recent introduction, the SOFR Index may be discontinued or fundamentally altered in a manner that is materially adverse to the interests of investors in the notes. If the manner in which the SOFR Index is calculated, including the manner in which SOFR is calculated, is changed, that change may result in a reduction in the amount of interest payable on the notes and the trading prices of the notes. In addition, the Federal Reserve Bank of New York may withdraw, modify or amend the published SOFR Index or SOFR data in its sole discretion and without notice. The interest rate for any Interest Period will not be adjusted for any modifications or amendments to the SOFR Index or SOFR data that the Federal Reserve Bank of New York may publish after the interest rate for that Interest Period has been determined.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Sempra (or its designee (which may be an independent financial advisor or any other designee of Sempra) (any of such entities, a “Designee”)) determines that a Benchmark Transition Event (as defined below) and its related Benchmark Replacement Date (as defined below) have occurred with respect to determining Compounded SOFR, then the interest rate on the notes will no longer be determined by reference to the SOFR Index, but instead will be determined by reference to a different rate, plus a spread adjustment, which is referred to as a “Benchmark Replacement” (as defined below), as further described under the heading “Description of the Notes—Effect of Benchmark Transition Event.” If a particular Benchmark Replacement or Benchmark Replacement Adjustment (as defined below) cannot be determined, then the next-available Benchmark Replacement or Benchmark Replacement Adjustment will apply. These replacement rates and adjustments may be selected, recommended or formulated by (i) the Relevant Governmental Body (as defined below) (such as the Alternative Reference Rates Committee), (ii) the International Swaps and Derivatives Association (the “ISDA”) or (iii) in certain circumstances, Sempra (or its Designee). Upon the occurrence of a Benchmark Transition Event and its related Benchmark Replacement Date, the terms of the notes expressly authorize Sempra (or its Designee), without approval of the holders of the notes, to make Benchmark Replacement Conforming Changes (as defined below) with respect to, among other things, changes to the definition or interpretation of “Interest Period,” the timing and frequency of determining rates and making payments of interest, rounding of amounts or tenors and other administrative matters. The determination of a Benchmark Replacement, the calculation of the interest rate on the notes by reference to a Benchmark Replacement (including the application of a Benchmark Replacement Adjustment), any implementation of Benchmark Replacement Conforming Changes and any other determinations, decisions or elections that may be made under the terms of the notes in connection with a Benchmark Transition Event could adversely affect the value of the notes, the return on the notes and the price at which an investor can sell the notes.</w:t>
      </w:r>
    </w:p>
    <w:p>
      <w:pPr>
        <w:spacing w:after="0" w:line="19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(i) the composition and characteristics of the Benchmark Replacement will not be the same as those of Compounded SOFR, the Benchmark Replacement may not be the economic equivalent of Compounded SOFR, the Benchmark Replacement may not perform in the same way as Compounded SOFR would have performed at any time and the Benchmark Replacement may not be a comparable substitute for Compounded SOFR (each of which means that a Benchmark Transition Event could adversely affect the value of the notes, the return on the notes and the price at which an investor can sell the notes), (ii) any failure of the Benchmark Replacement to gain market acceptance could adversely affect the value of the notes,</w:t>
      </w:r>
    </w:p>
    <w:p>
      <w:pPr>
        <w:spacing w:after="0" w:line="3" w:lineRule="exact"/>
        <w:rPr>
          <w:sz w:val="20"/>
          <w:szCs w:val="20"/>
          <w:color w:val="auto"/>
        </w:rPr>
      </w:pPr>
    </w:p>
    <w:p>
      <w:pPr>
        <w:ind w:left="120" w:right="280" w:hanging="4"/>
        <w:spacing w:after="0" w:line="253"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Benchmark Replacement may have a very limited history and the future performance of the Benchmark Replacement may not be predictable based on historical performance, (iv) the secondary trading market for notes linked to the Benchmark Replacement may be limited and (v) the administrator of the Benchmark Replacement may make changes that could change the value of the Benchmark Replacement or discontinue the Benchmark Replacement and has no obligation to consider investors’ interests in doing so.</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the occurrence of a Benchmark Transition Event and its related Benchmark Replacement Date, Sempra (or its Designee) will make certain determinations with respect to the notes, which determinations may adversely affect the notes.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a Benchmark Transition Event and its related Benchmark Replacement Date have occurred, Sempra (or its Designee) will make certain determinations with respect to the notes in its (or its Designee’s) sole discretion as further described under the heading “Description of the Notes— Effect of Benchmark Transition Event.” Any determination, decision or election pursuant to the benchmark replacement provisions not made by Sempra’s Designee will be made by Sempra. Any of these determinations may adversely affect the value of the notes, the return on the notes and the price at which an investor can sell the notes. Moreover, certain determinations may require the exercise of discretion and the making of subjective judgments, such as with respect to Compounded SOFR or the occurrence or non-occurrence of a Benchmark Transition Event and any Benchmark Replacement Conforming Changes. These potentially subjective determinations may adversely affect the value of the notes, the return on the notes and the price at which an investor can sell the notes. For further information regarding these types of determinations, see “Description of the Notes—Effect of Benchmark Transition Event.”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to us from the sale of the notes will be approximately $        million after deducting the underwriting discount but before deducting estimated offering expenses payable by us. We intend to use a substantial portion of the net proceeds from this offering to repay outstanding commercial paper and potentially other indebtedness and to use any remaining net proceeds for other general corporate purposes. As of June 3, 2026, such commercial paper bore interest at rates of 4.186% per annum or less and will mature at various dates in June 2026. We estimate that our expenses for this offering, excluding the underwriting discount, will be approximately $1.7 million.</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Pending application of the net proceeds from this offering for the foregoing intended purposes, we expect to invest such net proceeds in various instruments which may include, but would not be limited to, short- and intermediate-term, interest-bearing obligations, including bank deposits and certificates of deposit with financial institutions having investment-grade ratings, U.S. government obligations or money market funds primarily invested in securities issued by the U.S. government or its agencies.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we intend to use a substantial portion of the net proceeds from this offering to repay outstanding commercial paper and potentially other indebtedness and to use any remaining net proceeds for other general corporate purposes. None of the underwriters participating in this offering and/or their affiliates hold a position in our commercial paper but may hold positions in other indebtedness of ours, one of the underwriters acts as a dealer under our commercial paper program, and affiliates of one of the underwriters participating in this offering are lenders under our credit facilities. To the extent that net proceeds from this offering are applied to repay any of our outstanding indebtedness (including commercial paper, bank loans or other indebtedness) held by any of the underwriters or their affiliates, they will receive proceeds from this offering through the repayment of that indebtedness. If the amount of such proceeds so received by any underwriter or its affiliates is 5% or more of the net proceeds of this offering (not including the underwriting discount), such underwriter would be deemed to have a conflict of interest within the meaning of Financial Industry Regulatory Authority, Inc. (“FINRA”) Rule 5121. In such event, this offering would be conducted in compliance with FINRA Rule 5121 and such underwriter would not be permitted to make sales in this offering to any discretionary account without the prior written approval of the customer. Pursuant to that rule, the appointment of a “qualified independent underwriter” would not be required in connection with this offering, as the notes are “investment grade rated” (as defined in FINRA Rule 5121). See “Underwriting (Conflicts of Interest)—Other Relationships” and “Underwriting (Conflicts of Interest)—Conflicts of Interest.”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notes will be a series of our senior debt securities issued under an indenture between Sempra, as issuer, and U.S. Bank Trust Company, National Association, as successor in interest to U.S. Bank National Association, as successor in interest to U.S. Bank Trust National Association, as trustee (the “trustee”), dated as of February 23, 2000 (the “indenture”). In this section and under the heading “Description of Debt Securities” in the accompanying prospectus, references to “Sempra,” “we,” “us,” “our” and similar terms mean, unless otherwise specified or the context otherwise requires, Sempra excluding its consolidated entities.</w:t>
      </w:r>
    </w:p>
    <w:p>
      <w:pPr>
        <w:spacing w:after="0" w:line="183"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indenture is the “senior indenture” referred to under “Description of Debt Securities” in the accompanying prospectus and the notes are a series of our senior debt securities referred to under such heading. The summary of selected provisions of the notes and the indenture appearing below supplements, and to the extent inconsistent, supersedes and replaces, the description of the general terms and provisions of the senior debt securities and the indenture contained in the accompanying prospectus. This summary is not complete and is qualified by reference to the provisions of the notes and the indenture. Forms of the notes and the indenture have been or will be filed with the SEC and you may obtain copies as described under “Where You Can Find More Information” in the accompanying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notes will constitute a separate series of our senior debt securities under the indenture and will be issued in the aggregate principal amount of $        . As described below under “—Other,” we may, from time to time, without notice to or consent of the holders of the notes, issue additional notes, and any such additional notes shall form a single series under the indenture with the notes offered by this prospectus supplement, provided that such additional notes shall be fungible with the notes previously issued for United States federal income tax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and Maturity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mature on January 7, 2028. The notes will not be redeemable at our option prior to maturity.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Interest on the notes will accrue from        , 2026 (the “Original Issue Date”) and will be payable quarterly in arrears on October 7, January 7, April 7 and July 7 of each year (each, an “Interest Payment Date”), beginning on October 7, 2026, to the holders of record of the notes at the close of business (i) on the business day immediately preceding such Interest Payment Date if the notes are in book-entry only form, or (ii) on the immediately preceding September 22, December 23, March 23, and June 22 (whether or not a business day), respectively, if the notes are not in book-entry only form.</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notes will bear interest at an annual rate equal to Compounded SOFR, determined as described below, plus        basis points (the “Margin”). Interest on the notes will accrue from and including the Original Issue Date to but excluding the first Interest Payment Date. Starting on the first Interest Payment Date, interest on the notes will accrue from and including the last Interest Payment Date on which we have paid, or duly provided for the payment of, interest on the notes to but excluding the next succeeding Interest Payment Date. No interest will accrue on the notes for the day that the notes mature.</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amount of interest payable for any period will be computed on the basis of a 360-day year and the actual number of days in the Observation Period (as defined below).</w:t>
      </w:r>
    </w:p>
    <w:p>
      <w:pPr>
        <w:spacing w:after="0" w:line="16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falls on a day that is not a business day, we will be required to make the interest payment on the next succeeding business day unless that business day is in the next succeeding calendar month, in which case (other than in the case of the maturity date) we will be required to make the interest payment on the immediately preceding business day. If an interest payment is made on the next succeeding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business day, no interest will accrue as a result of the delay in payment. If the maturity date of the notes falls on a day that is not a business day, the payment due on such date will be postponed to the next succeeding business day, and no further interest will accrue in respect of such postponement. As used in this section, “business day,” when used with respect to any place of payment, means a day other than (i) a Saturday or a Sunday or (ii) a day on which banking institutions in that place of payment are authorized or obligated by law or executive order to remain closed.</w:t>
      </w:r>
    </w:p>
    <w:p>
      <w:pPr>
        <w:spacing w:after="0" w:line="180"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As further described below, on each Interest Payment Determination Date relating to the applicable Interest Payment Date, the Calculation Agent (as defined below) will calculate the amount of accrued interest payable on the notes by multiplying (i) the outstanding principal amount of the notes by</w:t>
      </w:r>
    </w:p>
    <w:p>
      <w:pPr>
        <w:spacing w:after="0" w:line="1" w:lineRule="exact"/>
        <w:rPr>
          <w:sz w:val="20"/>
          <w:szCs w:val="20"/>
          <w:color w:val="auto"/>
        </w:rPr>
      </w:pPr>
    </w:p>
    <w:p>
      <w:pPr>
        <w:ind w:left="120" w:right="620" w:hanging="4"/>
        <w:spacing w:after="0" w:line="260" w:lineRule="auto"/>
        <w:tabs>
          <w:tab w:leader="none" w:pos="3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the interest rate for the relevant Interest Period multiplied by (b) the quotient of the actual number of calendar days in such Observation Period divided by 360. In no event will the interest rate on the notes be less than zero.</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term “Interest Period” means the period commencing on any Interest Payment Date (or, with respect to the initial Interest Period only, commencing on the Original Issue Date) to, but excluding, the next succeeding Interest Payment Date and, in the case of the last such period, the period from and including the Interest Payment Date immediately preceding the maturity date to, but excluding, the maturity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Compounded SOFR and the SOFR Index</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SOFR is published by the Federal Reserve Bank of New York and is intended to be a broad measure of the cost of borrowing cash overnight collateralized by United States Treasury securities.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SOFR Index is published by the Federal Reserve Bank of New York and measures the cumulative impact of compounding SOFR on a unit of investment over time, with the initial value set to 1.00000000 on April 2, 2018, the first value date of SOFR. The SOFR Index value reflects the effect of compounding SOFR each business day and allows the calculation of compounded SOFR averages over custom time periods.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Federal Reserve Bank of New York notes on its publication page for the SOFR Index that use of the SOFR Index is subject to important limitations, indemnification obligations and disclaimers, including that the Federal Reserve Bank of New York may alter the methods of calculation, publication schedule, rate revision practices or availability of the SOFR Index at any time without notice. The interest rate for any Interest Period will not be adjusted for any modifications or amendments to the SOFR Index or SOFR data that the Federal Reserve Bank of New York may publish after the interest rate for that Interest Period has been determined.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Compounded SOFR</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“Compounded SOFR” will be determined by the Calculation Agent in accordance with the following formula (and the resulting percentage will be rounded, if necessary, to the nearest one hundred-thousandth of a percentage point):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Compounded SOFR = ((SOFR IndexEnd / SOFR IndexStart)—1) × (360 / dc)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“SOFR IndexStart” = For periods other than the initial Interest Period, the SOFR Index value on the preceding Interest Payment Determination Date, and, for the initial Interest Period, the SOFR Index value two United States Government Securities Business Days (as defined below) before the Original Issue Date;</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“SOFR IndexEnd” = The SOFR Index value on the Interest Payment Determination Date relating to the applicable Interest Payment Date (or, in the final Interest Period, relating to the maturity date);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“dc” is the number of calendar days in the relevant Observation Period.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determining Compounded SOFR:</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“Interest Payment Determination Date” means the date that is two United States Government Securities Business Days before each Interest Payment Date.</w:t>
      </w:r>
    </w:p>
    <w:p>
      <w:pPr>
        <w:spacing w:after="0" w:line="162"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“Observation Period” means, in respect of each Interest Period, the period from, and including, the date that is two United States Government Securities Business Days preceding the first date in such Interest Period to, but excluding, the date that is two United States Government Securities Business Days preceding the Interest Payment Date for such Interest Period (or in the final Interest Period, preceding the maturity date).</w:t>
      </w:r>
    </w:p>
    <w:p>
      <w:pPr>
        <w:spacing w:after="0" w:line="158"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“SOFR Index” means, with respect to any United States Government Securities Business Day: (1) the SOFR Index value as published by the SOFR Administrator as such index appears on the SOFR Administrator’s Website at 3:00 p.m. (New York City time) on such United States Government Securities Business Day (the “SOFR Index Determination Time”); provided that: (2) if a SOFR Index value does not so appear as specified in clause</w:t>
      </w:r>
    </w:p>
    <w:p>
      <w:pPr>
        <w:spacing w:after="0" w:line="2" w:lineRule="exact"/>
        <w:rPr>
          <w:sz w:val="20"/>
          <w:szCs w:val="20"/>
          <w:color w:val="auto"/>
        </w:rPr>
      </w:pPr>
    </w:p>
    <w:p>
      <w:pPr>
        <w:ind w:left="380" w:hanging="26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at the SOFR Index Determination Time, then: (i) if a Benchmark Transition Event and its related Benchmark Replacement Date have not</w:t>
      </w:r>
    </w:p>
    <w:p>
      <w:pPr>
        <w:spacing w:after="0" w:line="9" w:lineRule="exact"/>
        <w:rPr>
          <w:rFonts w:ascii="Times New Roman" w:cs="Times New Roman" w:eastAsia="Times New Roman" w:hAnsi="Times New Roman"/>
          <w:sz w:val="18"/>
          <w:szCs w:val="18"/>
          <w:color w:val="auto"/>
        </w:rPr>
      </w:pPr>
    </w:p>
    <w:p>
      <w:pPr>
        <w:ind w:left="12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 with respect to SOFR, then Compounded SOFR shall be the rate determined pursuant to the “SOFR Index Unavailable Provisions” described below; or (ii) if a Benchmark Transition Event and its related Benchmark Replacement Date have occurred with respect to SOFR, then Compounded SOFR shall be the rate determined pursuant to the “Effect of Benchmark Transition Event” provisions described below.</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“SOFR” means the daily secured overnight financing rate as provided by the SOFR Administrator on the SOFR Administrator’s Website.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“SOFR Administrator” means the Federal Reserve Bank of New York (or a successor administrator of SOFR).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“SOFR Administrator’s Website” means the website of the Federal Reserve Bank of New York, currently at http://www.newyorkfed.org, or any successor source.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“United States Government Securities Business Day” means any day except for a Saturday, a Sunday or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the documentation relating to the notes, if we (or our Designee) determine on or prior to the relevant Reference Time (as defined below) that a Benchmark Transition Event and its related Benchmark Replacement Date have occurred with respect to determining Compounded SOFR, then the benchmark replacement provisions set forth below under “Effect of Benchmark Transition Event” will thereafter apply to all determinations of the rate of interest payable on the notes; provided, however, that the Calculation Agent shall use the interest rate in effect for the immediately prior interest period if we (or our Designee) have not notified the Calculation Agent of a Benchmark Replacement in accordance with the provisions of the indenture and the terms of notes within 30 days prior to the next Interest Payment Date.</w:t>
      </w:r>
    </w:p>
    <w:p>
      <w:pPr>
        <w:spacing w:after="0" w:line="187"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in accordance with the benchmark replacement provisions, after a Benchmark Transition Event and its related Benchmark Replacement Date have occurred, the interest rate for each Interest Period on the notes will be an annual rate equal to the sum of the Benchmark Replacement and the Margin.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SOFR Index Unavailable Provisions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a SOFR IndexStart or SOFR IndexEnd is not published on the associated Interest Payment Determination Date and a Benchmark Transition Event and its related Benchmark Replacement Date have not occurred with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respect to SOFR, then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currently located at https://www.newyorkfed.org/markets/reference-rates/additional-information-about-reference-rates. For the purposes of this provision, references in the SOFR Averages compounding formula and related definitions to “calculation period” shall be replaced with “Observation Period” and the words “that is, 30-, 90-, or 180-calendar days” shall be removed. If SOFR does not so appear for any day, “i” in the Observation Period, SOFRi for such day “i” shall be SOFR published in respect of the first preceding United States Government Securities Business Day for which SOFR was published on the SOFR Administrator’s Website.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 of Benchmark Transition Event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Benchmark Replacement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(or our Designee) determine that a Benchmark Transition Event and its related Benchmark Replacement Date have occurred prior to the Reference Time in respect of any determination of the Benchmark on any date, the Benchmark Replacement will replace the then-current Benchmark for all purposes relating to the notes in respect of such determination on such date and all determinations on all subsequent dates.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Benchmark Replacement Conforming Changes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implementation of a Benchmark Replacement, we (or our Designee) will have the right to make Benchmark Replacement Conforming Changes from time to time.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Decisions, Determinations and Elections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Any determination, decision or election that may be made by us (or our Designee) pursuant to this subsection “Effect of Benchmark Transition Event,”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our (or our Designee’s) sole discretion, and, notwithstanding anything to the contrary in any documentation relating to the notes, shall become effective without consent from the holders of the notes or any other party.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Defined Terms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subsection “Effect of Benchmark Transition Event,” the following terms have the following meanings:</w:t>
      </w:r>
    </w:p>
    <w:p>
      <w:pPr>
        <w:spacing w:after="0" w:line="22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“Benchmark” means, initially, Compounded SOFR, as such term is defined above; provided that if a Benchmark Transition Event and its related Benchmark Replacement Date have occurred with respect to Compounded SOFR (or the published SOFR Index used in the calculation thereof) or the then-current Benchmark, then “Benchmark” means the applicable Benchmark Replacement.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“Benchmark Replacement” means the first alternative set forth in the order below that can be determined by us (or our Designee) as of the Benchmark Replacement Date: (1) the sum of: (a) the alternate rate of interest that has been selected or recommended by the Relevant Governmental Body as the replacement for the then-current Benchmark and (b) the Benchmark Replacement Adjustment; (2) the sum of: (a) the ISDA Fallback Rate (as defined below) and (b) the Benchmark Replacement Adjustment; and (3) the sum of: (a) the alternate rate of interest that has been selected by us (or our Designee) as the replacement for the then-current Benchmark giving due consideration to any industry-accepted rate of interest as a replacement for the then-current Benchmark for United States dollar denominated floating rate notes at such time and (b) the Benchmark Replacement Adjustment.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“Benchmark Replacement Adjustment” means the first alternative set forth in the order below that can be determined by us (or our Designee) as of the Benchmark Replacement Date: (1) the spread adjustment, or method for calculating or determining such spread adjustment (which may be a positive or negative value or zero) that has been selected or recommended by the Relevant Governmental Body for the applicable Unadjusted Benchmark Replacement (as defined below); (2) if the applicable Unadjusted Benchmark Replacement is equivalent to the ISDA Fallback Rate, then the ISDA Fallback Adjustment; and (3) the spread adjustment (which may be a positive or negative value or zero) that has been selected by us (or our Designee) giving due consideration to any industry-accepted spread adjustment, or method for calculating or determining such spread adjustment, for the replacement of the then-current Benchmark with the applicable Unadjusted Benchmark Replacement for United States dollar denominated floating rate notes at such time. The Benchmark Replacement Adjustment shall not include the Margin specified in this prospectus supplement and such Margin shall be applied to the Benchmark Replacement to determine the interest payable on the notes.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“Benchmark Replacement Conforming Changes” means, with respect to any Benchmark Replacement, any technical, administrative or operational changes (including changes to the definition or interpretation of “Interest Period,” timing and frequency of determining rates and making payments of interest, rounding of amounts or tenor, and other administrative matters), or any other changes to any other terms or provisions of the notes, in each case that we (or our Designee) decides may be appropriate to reflect the adoption of such Benchmark Replacement in a manner substantially consistent with market practice (or, if we (or our Designee) decides that adoption of any portion of such market practice is not administratively feasible or if we (or our Designee) determines that no market practice for use of the Benchmark Replacement exists, in such other manner as we (or our Designee) determines is reasonably necessary or practicable).</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“Benchmark Replacement Date” means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(2) in the case of clause (3) of the definition of “Benchmark Transition Event,” the date of the public statement or publication of information referenced therein. 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 (including the daily published component used in the calculation thereof): (1) 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 (2) 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 (3) a public statement or publication of information by the regulatory supervisor for the administrator of the Benchmark announcing that the Benchmark is no longer representative.</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“ISDA Definitions” means the 2021 ISDA Definitions published by the ISDA or any successor thereto, as amended or supplemented from time to time, or any successor definitional booklet for interest rate derivatives published from time to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140" w:lineRule="exact"/>
        <w:rPr>
          <w:sz w:val="20"/>
          <w:szCs w:val="20"/>
          <w:color w:val="auto"/>
        </w:rPr>
      </w:pPr>
    </w:p>
    <w:p>
      <w:pPr>
        <w:jc w:val="both"/>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4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“Reference Time” with respect to any determination of the Benchmark means (1) if the Benchmark is Compounded SOFR, the SOFR Index Determination Time, as such time is defined above, and (2) if the Benchmark is not Compounded SOFR, the time determined by us (or our Designee) in accordance with the Benchmark Replacement Conforming Changes.</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“Unadjusted Benchmark Replacement” means the Benchmark Replacement excluding the Benchmark Replacement Adjustment.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Calculation of the Floating Interest Rate</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“Calculation Agent” means a banking institution or trust company appointed by us to act as calculation agent, initially U.S. Bank Trust Company, National Association.</w:t>
      </w:r>
    </w:p>
    <w:p>
      <w:pPr>
        <w:spacing w:after="0" w:line="162" w:lineRule="exact"/>
        <w:rPr>
          <w:sz w:val="20"/>
          <w:szCs w:val="20"/>
          <w:color w:val="auto"/>
        </w:rPr>
      </w:pPr>
    </w:p>
    <w:p>
      <w:pPr>
        <w:jc w:val="both"/>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Absent wilful misconduct, bad faith or manifest error, the calculation of the applicable interest rate for each Interest Period by the Calculation Agent, or in certain circumstances described above, by us (or our Designee), will be final and binding on us, the trustee and the holders of the notes.</w:t>
      </w:r>
    </w:p>
    <w:p>
      <w:pPr>
        <w:spacing w:after="0" w:line="140"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None of the trustee, paying agent, registrar or Calculation Agent shall be under any obligation (i) to monitor, determine or verify the unavailability or cessation of SOFR, the SOFR Index or any applicable Benchmark, or whether or when there has occurred, or to give notice to any other transaction party of the occurrence of, any Benchmark Transition Event or related Benchmark Replacement Date, (ii) to select, determine or designate any alternative method, Benchmark Replacement or alternative index, or other successor or replacement alternative index, or whether any conditions to the designation of such a rate or index have been satisfied, (iii) to select, determine or designate any Benchmark Replacement Adjustment, or other modifier to any replacement or successor index, or (iv) to determine whether or what Benchmark Replacement Conforming Changes with respect to such alternative method, Benchmark Replacement or alternative index are necessary or advisable, if any, in connection with any of the foregoing.</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None of the trustee, paying agent, registrar or Calculation Agent shall be (i) liable for any inability, failure or delay on its part to perform any of its duties described in this prospectus supplement and the accompanying prospectus as a result of the unavailability of SOFR, the SOFR Index or other applicable Benchmark Replacement, including as a result of any failure, inability, delay, error or inaccuracy on the part of any other transaction party in providing any direction, instruction, notice or information contemplated by this prospectus supplement and the accompanying prospectus and reasonably required for the performance of such duties or (ii) required to succeed to, assume or otherwise perform any of our duties or our Designee’s duties in connection with the foregoing, or to appoint a successor or replacement in the event of its resignation or removal, or to remove and replace us or our Designee in the event of a default, breach or failure of performance on the part of us or our Designee with respect to the duties and obligations under the indenture and the notes.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Listing</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the listing or trading of the notes on any securities exchange or trading facility or for inclusion of the notes in any automated quotation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notes will be our unsecured and unsubordinated obligations and will rank equally in right of payment with all of our other existing and future unsecured and unsubordinated indebtedness and guarantees. The notes will rank senior in right of payment to all of our existing and future indebtedness that is subordinated to the notes. The notes will be effectively subordinated in right of payment to any secured indebtedness we have or may incur (to the extent of the value of the collateral securing such secured indebtedness). The notes are our obligations exclusively and are not the obligations of any of our consolidated entities, equity method investees or other affiliates. Because we are a holding company and substantially all the assets that produce our earnings are owned by our consolidated subsidiaries or our equity method investees, which are entities we do not control, the notes will be effectively subordinated in right of payment to all existing and future indebtedness and other liabilities and any preferred equity of our subsidiaries. At March 31, 2026, our consolidated subsidiaries had total indebtedness and other liabilities of approximately $53.6 billion owing to unaffiliated third parties. In addition, at March 31, 2026, our consolidated subsidiaries had approximately $1.9 billion of liabilities owed to us. The indenture does not limit the amount of secured indebtedness that may be incurred by us or the amount of other indebtedness or liabilities that may be incurred by us or any of our subsidiaries. For additional information, see “Risk Factors—The notes will be effectively subordinated in right of payment to all indebtedness and other liabilities and any preferred equity of Sempra’s subsidiaries, and the indenture under which the notes will be issued does not limit the aggregate amount of indebtedness and other liabilities that Sempra and its subsidiaries may incur” in this prospectus supplement and “Description of Debt Securities— Holding Company Structure” in the accompanying prospectus and “Risk Factors—Risks Related to Sempra—Operational and Structural Risks— Sempra’s ability to pay dividends and meet its obligations largely depends on the performance of its subsidiaries and entities accounted for as equity method investments” in our Annual Report on Form 10-K for the year ended December 31, 2025, incorporated by reference in this prospectus supplement and the accompanying prospectus.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redeemable at our option prior to maturity.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occurs with respect to the notes if:</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any interest on any note when it becomes due and payable and such default continues for 30 days;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any principal of or premium, if any, on any note on the due date;</w:t>
      </w:r>
    </w:p>
    <w:p>
      <w:pPr>
        <w:spacing w:after="0" w:line="130" w:lineRule="exact"/>
        <w:rPr>
          <w:rFonts w:ascii="Times New Roman" w:cs="Times New Roman" w:eastAsia="Times New Roman" w:hAnsi="Times New Roman"/>
          <w:sz w:val="18"/>
          <w:szCs w:val="18"/>
          <w:color w:val="auto"/>
        </w:rPr>
      </w:pPr>
    </w:p>
    <w:p>
      <w:pPr>
        <w:ind w:left="1080" w:hanging="532"/>
        <w:spacing w:after="0" w:line="281"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remain in default in the performance, or breach, of any other covenant or warranty in the indenture (excluding covenants and warranties solely applicable to another series of debt securities issued under the indenture) or the notes for 60 days after there has been given to us, by registered or certified mail, a written notice of default specifying such default or breach and requiring remedy of the default or breach; the notice must be sent by either the trustee or registered holders of at least 33% of the principal amount of the outstanding notes; or</w:t>
      </w:r>
    </w:p>
    <w:p>
      <w:pPr>
        <w:spacing w:after="0" w:line="69" w:lineRule="exact"/>
        <w:rPr>
          <w:rFonts w:ascii="Times New Roman" w:cs="Times New Roman" w:eastAsia="Times New Roman" w:hAnsi="Times New Roman"/>
          <w:sz w:val="17"/>
          <w:szCs w:val="17"/>
          <w:color w:val="auto"/>
        </w:rPr>
      </w:pPr>
    </w:p>
    <w:p>
      <w:pPr>
        <w:ind w:left="1080" w:right="5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files for bankruptcy or other specified events of bankruptcy, insolvency, receivership or reorganization occur with respect to Sempra.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the notes will necessarily constitute an event of default with respect to the debt securities of any other series issued under the indenture, and no event of default with respect to any other series of debt securities issued under the indenture will necessarily constitute an event of default with respect to the notes.</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description set forth under this heading “—Events of Default” supersedes and replaces, insofar as it relates to the notes, the description set forth under the heading “Description of Debt Securities—Events of Default” (other than the last paragraph under such heading) in the accompanying prospectus. As of March 31, 2026, we had approximately $750 million aggregate principal amount of outstanding prior senior debt securities (as such term is defined in the last paragraph under the heading “Description of Debt Securities—Events of Default” in the accompanying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Acceleration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described under “—Events of Default” above occurs and is continuing with respect to the notes, then either the trustee or the registered holders of at least 33% in principal amount of the outstanding notes may declare the principal amount of all of the notes, together with accrued and unpaid interest thereon, to be due and payable immediately, and upon any such declaration the principal of and accrued and unpaid interest on the notes shall become immediately due and payable.</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description set forth under this heading “—Acceleration” supersedes and replaces, insofar as it relates to the notes, the description set forth under the heading “Description of Debt Securities—Remedies—Acceleration” in the accompanying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Proceedings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language supersedes and replaces, insofar as it relates to the notes, the fourth full paragraph (i.e., the paragraph beginning with the words “In addition, each indenture provides…”) under the heading “Description of Debt Securities—Remedies—Control by Registered Holders; Limitations” in the accompanying prospectus and shall apply to the notes instead of such paragraph: “In addition, the indenture provides that no registered holder of notes will have any right to institute any proceeding, judicial or otherwise, with respect to the indenture or for the appointment of a receiver or trustee or for any other remedy thereunder unless: (a) the registered holder has previously given the trustee written notice of a continuing event of default with respect to the notes; (b) the registered holders of at least 33% in principal amount of the outstanding notes have made written request to the trustee to institute proceedings in respect of that event of default and have offered the trustee reasonable indemnity against costs, expenses and liabilities incurred in complying with the request; and (c) for 60 days after receipt of the notice, the trustee has failed to institute a proceeding and no direction inconsistent with the request has been given to the trustee during such 60-day period by the registered holders of a majority in principal amount of the outstanding notes. Furthermore, no registered holder of notes will be entitled to institute any action if and to the extent that the action would disturb or prejudice the rights of other registered holders of the notes under the indenture.”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notes will not be subject to a sinking fund or entitled to any guarantees and you will not be permitted to require us to redeem or repurchase the notes at your option.</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We will pay the principal of and premium, if any, on the notes at the maturity date for the notes or as otherwise required, upon presentation of the notes at the office of the trustee, as our paying agent. In our discretion, we may appoint one or more additional paying agents and security registrars for the notes and change or designate one or more additional places for payment and for registration of transfer of the notes, but we must at all times maintain a place of payment for the notes and a place for registration of transfer of the notes in the Borough of Manhattan, The City of New York.</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notes, increase the principal amount of the notes offered hereby and issue such increased principal amount, or any portion thereof. Any additional notes so issued shall have the same form and terms (other than the offering price, the Original Issue Date and, under certain circumstances, the date from which interest thereon shall begin to accrue and the first Interest Payment Date), and shall carry the same right to receive accrued and unpaid interest, as the notes previously issued and such additional notes shall form a single series under the indenture with the notes offered by this prospectus supplement, provided that such additional notes shall be fungible with the notes previously issued for United States federal income tax purposes.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initially will be issued in book-entry form and represented by one or more global notes deposited with, or on behalf of, The Depository Trust Company, as Depositary, and registered in the name of Cede &amp; Co., its nominee. This means that you will not be entitled to receive a certificate for the notes that you purchase except in limited circumstances described in the accompanying prospectus under the heading “Global Securities.” The notes will be issued only in fully registered form without coupons, in denominations of $2,000 and integral multiples of $1,000 in excess thereof. We expect that payments due on notes in book-entry form will be paid by wire transfer of funds to the Depositary or its nominee. For additional information regarding notes in global form and the book-entry system, see “Global Securities” in the accompanying prospectus.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TAX CONSIDERATIONS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certain material United States federal income tax considerations relating to the ownership and disposition of the notes,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each as of the date hereof. These authorities may be changed, perhaps retroactively, so as to result in United States federal income tax consequences different from those set forth below. We have not sought any ruling from the Internal Revenue Service (the “IRS”) or an opinion of counsel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This summary is limited to holders who purchase the notes upon their initial issuance at their initial “issue price” within the meaning of Section 1273 of the Code (i.e., the first price at which a substantial amount of notes is sold to the public for cash, not including sales to bond houses, brokers or similar persons or organizations acting in the capacity of underwriters, placement agents or wholesalers) and who hold the notes as “capital assets” within the meaning of Section 1221 of the Code (generally, property held for investment).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address United States federal tax laws other than income tax laws, and it does not address tax considerations arising under the laws of any foreign, state or local jurisdiction. In addition, this discussion does not address all tax considerations that may be applicable to a holder’s particular circumstances, including the impact of the Medicare contribution tax on net investment income or the alternative minimum tax, or to holders that may be subject to special tax rules, including, without limitation:</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commodities;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persons or entities (except to the extent specifically set forth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 partnerships or other pass-through entities or arrangements (and investors therein);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their use of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United States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 notes as a position in a hedging transaction, “straddle,” “conversion transaction” or other risk reduction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the constructive sale provisions of the Code;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notes being taken into account in an “applicable financial statement” (within the meaning of Section 451(b) of the Code).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United States federal income tax purposes holds notes, the tax treatment of a partner in the partnership generally will depend upon the status of the partner, the activities of the partnership, and certain determinations made at the partner level. Accordingly, partnerships holding our notes and the partners in such partnerships should consult their tax advisors regarding the tax consequences of the purchase, ownership and disposition of the notes.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OF CERTAIN MATERIAL UNITED STATES FEDERAL INCOME TAX CONSIDERATIONS IS FOR GENERAL INFORMATION ONLY AND IS NOT TAX ADVICE. YOU ARE URGED TO CONSULT YOUR TAX ADVISOR WITH RESPECT TO THE APPLICATION OF UNITED STATES FEDERAL INCOME TAX LAWS TO YOUR PARTICULAR SITUATION AS WELL AS ANY TAX CONSEQUENCES OF THE OWNERSHIP AND DISPOSITION OF THE NOTES ARISING UNDER OTHER UNITED STATES FEDERAL TAX RULES OR UNDER THE LAWS OF ANY STATE, LOCAL, FOREIGN OR OTHER TAXING JURISDICTION OR UNDER ANY APPLICABLE TAX TREATY.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to U.S. Holders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Times New Roman" w:cs="Times New Roman" w:eastAsia="Times New Roman" w:hAnsi="Times New Roman"/>
          <w:sz w:val="18"/>
          <w:szCs w:val="18"/>
          <w:color w:val="auto"/>
        </w:rPr>
        <w:t>The following is a summary of certain material United States federal income tax consequences that will apply to you if you are a U.S. holder (as defined below) of the notes. Certain consequences to non-U.S. holders (as defined below) of the notes are described under “—Consequences to Non-U.S. Holders” below. The term “U.S. holder” means a beneficial owner of a note that, for United States federal income tax purposes, is or is treated as:</w:t>
      </w:r>
    </w:p>
    <w:p>
      <w:pPr>
        <w:spacing w:after="0" w:line="30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of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United States court and the control of one or more “United States persons” (within the meaning of Section 7701(a)(30) of the Code), or (ii) has a valid election in effect under applicable Treasury Regulations to be treated as a United States person for United States federal income tax purposes.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of Interest</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You generally will be required to recognize any stated interest as ordinary income at the time it is paid or accrued on the notes in accordance with your regular method of accounting for United States federal income tax purposes.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Notes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You generally will recognize capital gain or loss upon the sale, exchange, redemption or other taxable disposition of a note in an amount equal to the difference between (i) the sum of cash plus the fair market value of all other property received on such disposition (except to the extent such cash or property is attributable to accrued but unpaid interest not previously included in income, which generally will be taxable as ordinary income as discussed above in “—Consequences to U.S. Holders—Payments of Interest”) and (ii) your adjusted tax basis in the note. Your adjusted tax basis in a note generally will equal the amount you paid for the note. Under current law, if you are a non-corporate U.S. holder, including an individual, and have held the note for more than one year at the time of disposition, such capital gain generally will be taxable at a reduced rate. Your ability to deduct capital losses may be limited.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19" w:lineRule="exact"/>
        <w:rPr>
          <w:sz w:val="20"/>
          <w:szCs w:val="20"/>
          <w:color w:val="auto"/>
        </w:rPr>
      </w:pPr>
    </w:p>
    <w:p>
      <w:pPr>
        <w:jc w:val="both"/>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Payments of interest and principal on notes held by U.S. holders and the proceeds received upon the sale, exchange, redemption or other disposition of the notes may be subject to information reporting and backup withholding. Payments to certain holders (including, among others, corporations and certain tax-exempt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organizations) are generally not subject to information reporting or backup withholding. If you are a U.S. holder and you are not otherwise exempt, payments to you will be subject to backup withholding if:</w:t>
      </w:r>
    </w:p>
    <w:p>
      <w:pPr>
        <w:spacing w:after="0" w:line="67" w:lineRule="exact"/>
        <w:rPr>
          <w:sz w:val="20"/>
          <w:szCs w:val="20"/>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fail to furnish your taxpayer identification number (“TIN”), which, for an individual, is ordinarily his or her social security number, in the manner required by the Code and applicable Treasury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agent (or other payor) are notified by the IRS that the TIN you furnished is incorrect;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“notified payee underreporting” with respect to interest or dividends paid to you, as described in the Code;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failed to certify under penalty of perjury that you have furnished a correct TIN and that you are not subject to backup withholding under the Code.</w:t>
      </w:r>
    </w:p>
    <w:p>
      <w:pPr>
        <w:spacing w:after="0" w:line="162"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You should consult your tax advisor regarding your qualification for an exemption from backup withholding and information reporting and the procedures for obtaining such an exemption, if applicable. Backup withholding is not an additional tax, and you may use amounts withheld under the backup withholding rules as a credit against your United States federal income tax liability or may claim a refund as long as you provide the required information to the IRS in a timely manner.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to Non-U.S. Holders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material United States federal income tax consequences that will apply to you if you are a non-U.S. holder of notes. The term “non-U.S. holder” means a beneficial owner of a note that is not a partnership (or other entity or arrangement treated as a partnership for United States federal income tax purposes) or a U.S. holder.</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Special rules may apply to certain non-U.S. holders such as “controlled foreign corporations,” “foreign controlled foreign corporations” and “passive foreign investment companies.” Such entities should consult their tax advisors to determine the United States federal, state, local and other tax consequences that may be relevant to them.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of Interest</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 of backup withholding and information reporting and FATCA below, United States federal withholding tax will not apply to any payment to you of interest on a note provided that such interest is not effectively connected with your conduct of a United States trade or business and:</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the total combined voting power of all classes of our stock entitled to vote;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with respect to which we are, directly or indirectly, a “related person”;</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its trade or business;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you provide your name and address, and certify, under penalties of perjury, that you are not a United States person (which certification may be made on an IRS Form W-8BEN or IRS Form W-8BEN-E, as applicable (or substitute Form W-8BEN or Form W-8BEN-E, or the appropriate successor form for either form)) or (b) a securities clearing organization, bank, or other financial institution that holds customers’ securities in the ordinary course of its business holds the note on your behalf and certifies, under penalties of perjury, that it has received IRS Form W-8BEN or IRS Form W-8BEN-E, as applicable (or substitute Form W-8BEN or Form W-8BEN-E, or the appropriate successor form for either form), from you or from another qualifying financial institution intermediary,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and, in certain circumstances, provides a copy of the IRS Form W-8BEN or IRS Form W-8BEN-E, as applicable (or substitute Form W-8BEN or Form W-8BEN-E, or the appropriate successor form for either form). If you hold your notes through certain foreign intermediaries or certain foreign partnerships, such foreign intermediaries or partnerships must also satisfy the certification requirements of applicable Treasury Regulations.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you cannot satisfy the requirements described above, you will be subject to a 30% United States federal withholding tax with respect to payments of interest on the notes, unless you provide us with a properly executed (1) IRS Form W-8BEN or IRS Form W-8BEN-E, as applicable (or substitute Form W-8BEN or Form W-8BEN-E, or the appropriate successor form for either form) claiming an exemption from or reduction in withholding under the benefit of an applicable United States income tax treaty or (2) IRS Form W-8ECI (or successor form) stating that the interest paid on the note is not subject to withholding tax because it is effectively connected with your conduct of a trade or business in the United States.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you are engaged in a trade or business in the United States and interest on a note is effectively connected with your conduct of that trade or business (and, if required by an applicable income tax treaty, such interest is attributable to a permanent establishment maintained by you in the United States), you will be subject to United States federal income tax on that interest on a net income basis (although you will be exempt from the 30% withholding tax, provided the certification requirements described above are satisfied) in the same manner as if you were a United States person as defined under the Code. In addition, if you are a foreign corporation, you may be subject to a branch profits tax equal to 30% (or lower applicable treaty rate) of your earnings and profits for the taxable year, subject to adjustments, that are effectively connected with your conduct of a trade or business in the United States. For this purpose, interest will be included in the earnings and profits of such foreign corporation.</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Notes</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of backup withholding and information reporting and FATCA below, any gain realized upon the sale, exchange, redemption or other taxable disposition of a note (other than any amount allocable to accrued and unpaid interest, which will be taxable as interest and may be subject to the rules discussed above in “—Consequences to Non-U.S. Holders—Payments of Interest”) generally will not be subject to United States federal income tax unless:</w:t>
      </w:r>
    </w:p>
    <w:p>
      <w:pPr>
        <w:spacing w:after="0" w:line="85" w:lineRule="exact"/>
        <w:rPr>
          <w:sz w:val="20"/>
          <w:szCs w:val="20"/>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gain is effectively connected with your conduct of a trade or business in the United States (and, if an income tax treaty applies, such gain is attributable to a permanent establishment maintained by you in the United States);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that disposition, and certain other conditions are met.</w:t>
      </w:r>
    </w:p>
    <w:p>
      <w:pPr>
        <w:spacing w:after="0" w:line="162" w:lineRule="exact"/>
        <w:rPr>
          <w:sz w:val="20"/>
          <w:szCs w:val="20"/>
          <w:color w:val="auto"/>
        </w:rPr>
      </w:pPr>
    </w:p>
    <w:p>
      <w:pPr>
        <w:jc w:val="both"/>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If your gain is effectively connected with your conduct of a United States trade or business (and, if required by an applicable income tax treaty, such gain is attributable to a permanent establishment maintained by you in the United States), you generally will be subject to United States federal income tax on the net gain derived from the sale, exchange, redemption or other disposition in the same manner as if you were a United States person (as defined under the Code). If you are a corporation, any such effectively connected gain received by you may also, under certain circumstances, be subject to the branch profits tax at a 30% rate (or such lower rate as may be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prescribed under an applicable United States income tax treaty). If you are described in the second bullet point above, you will be subject to United States federal income tax on the gain derived from the sale, exchange, redemption or other disposition at a 30% rate (or such lower rate as may be prescribed under an applicable United States income tax treaty), which gain may be offset by United States source capital losses, even though you are not considered a resident of the United States, provided you have timely filed U.S. federal income tax returns with respect to such losses. Non-U.S. holders should consult their tax advisors regarding any applicable income tax treaties that may provide for different rules.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Payments to a non-U.S. holder of interest on a note, and amounts withheld from such payments, if any, generally will be required to be reported to the IRS and the non-U.S. holder. Copies of the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are a non-U.S. holder, you will generally not be subject to backup withholding and information reporting with respect to the proceeds of the sale of a note within the United States or conducted through certain United States-related financial intermediaries, if the payor receives the statement described above under “—Consequences to Non-U.S. Holders—Payments of Interest” and does not have actual knowledge or reason to know that you are a United States person, as defined under the Code, or you otherwise establish an exemption.</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Proceeds of a disposition of a note paid outside the United States and conducted through a non-U.S. office of a non-U.S. broker generally will not be subject to backup withholding or information reporting.</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You generally will be entitled to credit any amounts withheld under the backup withholding rules against your United States federal income tax liability provided that the required information is furnished to the IRS in a timely manner.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legislation commonly referred to as “FATCA” and regulations promulgated thereunder, payments to foreign entities of interest on, or (subject to the proposed U.S. Treasury Regulations discussed below) gross proceeds from the sale or other disposition of debt obligations of a U.S. issuer will be subject to a withholding tax (separate and apart from, but without duplication of, the withholding tax described above) at a rate of 30%, unless (1) a foreign financial institution that is a payee undertakes certain diligence and reporting obligations, (2) a non-financial foreign entity that is a payee either certifies it does not have any “substantial United States owners” (as defined in the Code) or furnishes identifying information regarding each substantial United States owner, or (3) a foreign financial institution or non-financial foreign entity that is a payee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2"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interest on a note. While withholding under FATCA would have applied also to payments of gross proceeds from the sale or other disposition of notes, proposed U.S. Treasury Regulations eliminate FATCA withholding on payments of gross proceeds entirely. Taxpayers generally may rely on these proposed U.S.</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Treasury Regulations until final U.S. Treasury Regulations are issued. You should consult your tax advisor regarding the possible effect of FATCA on your investment in the notes.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BMO Capital Markets Corp. and Academy Securities, Inc. are acting as representatives of the underwriters named below.</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each underwriter named below has severally agreed to purchase, and we have agreed to sell to that underwriter, the principal amount of notes set forth below opposite the underwriter’s name.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6500" w:type="dxa"/>
            <w:vAlign w:val="bottom"/>
            <w:gridSpan w:val="3"/>
            <w:vMerge w:val="continue"/>
          </w:tcPr>
          <w:p>
            <w:pPr>
              <w:spacing w:after="0"/>
              <w:rPr>
                <w:sz w:val="13"/>
                <w:szCs w:val="13"/>
                <w:color w:val="auto"/>
              </w:rPr>
            </w:pPr>
          </w:p>
        </w:tc>
        <w:tc>
          <w:tcPr>
            <w:tcW w:w="9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of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BMO Capital Markets Corp.</w:t>
            </w:r>
          </w:p>
        </w:tc>
        <w:tc>
          <w:tcPr>
            <w:tcW w:w="9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purchase the notes included in this offering are subject to approval of certain legal matters by counsel and to other conditions. The underwriters are obligated to purchase all of the notes if they purchase any of the notes. This offering of the notes by the underwriters is subject to receipt and acceptance and to the underwriters’ right to reject any order in whole or in part.</w:t>
      </w:r>
    </w:p>
    <w:p>
      <w:pPr>
        <w:spacing w:after="0" w:line="180"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underwriters propose to offer the notes directly to the public initially at the public offering price set forth on the cover page of this prospectus supplement. Notes sold by the underwriters to dealers may be sold at the public offering price less a concession not to exceed  % of the principal amount of the notes. The underwriters may allow, and such dealers may reallow, a concession not to exceed  % of the principal amount of the notes on sales to other dealers. After the initial offering of the notes to the public, the representatives may change the public offering price and concessions.</w:t>
      </w:r>
    </w:p>
    <w:p>
      <w:pPr>
        <w:spacing w:after="0" w:line="16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and we do not intend to apply for the listing or trading of the notes on any securities exchange or trading facility or for inclusion of the notes in any automated quotation system. There can be no assurance that there will be a secondary market for the notes or the continued liquidity of such market if one develops. The underwriters have advised us that they intend to make a market in the notes, but they are not obligated to do so and may discontinue market making at any time without notice.</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a percentage of the principal amount of the notes).</w:t>
      </w:r>
    </w:p>
    <w:p>
      <w:pPr>
        <w:spacing w:after="0" w:line="18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Paid by Sempra 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ind w:left="1880"/>
        <w:spacing w:after="0"/>
        <w:tabs>
          <w:tab w:leader="none" w:pos="8960" w:val="left"/>
        </w:tabs>
        <w:rPr>
          <w:sz w:val="20"/>
          <w:szCs w:val="20"/>
          <w:color w:val="auto"/>
        </w:rPr>
      </w:pPr>
      <w:r>
        <w:rPr>
          <w:rFonts w:ascii="Times New Roman" w:cs="Times New Roman" w:eastAsia="Times New Roman" w:hAnsi="Times New Roman"/>
          <w:sz w:val="18"/>
          <w:szCs w:val="18"/>
          <w:color w:val="auto"/>
        </w:rPr>
        <w:t>Per note</w:t>
      </w:r>
      <w:r>
        <w:rPr>
          <w:sz w:val="20"/>
          <w:szCs w:val="20"/>
          <w:color w:val="auto"/>
        </w:rPr>
        <w:tab/>
      </w:r>
      <w:r>
        <w:rPr>
          <w:rFonts w:ascii="Times New Roman" w:cs="Times New Roman" w:eastAsia="Times New Roman" w:hAnsi="Times New Roman"/>
          <w:sz w:val="13"/>
          <w:szCs w:val="13"/>
          <w:color w:val="auto"/>
        </w:rPr>
        <w:t>   %</w:t>
      </w:r>
    </w:p>
    <w:p>
      <w:pPr>
        <w:spacing w:after="0" w:line="2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the date specified in the last paragraph of the cover page of this prospectus supplement, which will be the third business day following the date of the pricing of the notes. Under Rule 15c6-1 under the Securities Exchange Act of 1934, as amended, trades in the secondary market generally are required to settle in one business day, unless the parties to any such trade expressly agree otherwise. Accordingly, purchasers who wish to trade the notes before the first business day prior to the closing of this offering will be required, by virtue of the fact that the normal settlement date for that trade would occur prior to the closing date for the issuance of the notes, to specify alternative settlement arrangements to prevent a failed settlement, and should consult their own advisers with respect to these matters.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from us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prices of the notes while this offering is in progress.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prices of the notes. They may also cause the market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 without notice.</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any of the transactions described above, if commenced, may have on the market price of the notes. In addition, neither we nor any of the underwriters makes any representation that any of these transactions will be engaged in or that the transactions, if commenced, will not be discontinued without notice.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estimate that our total expenses for this offering, excluding the underwriting discount, will be approximately $1.7 million. We have agreed to indemnify the several underwriters against certain liabilities, including liabilities under the Securities Act of 1933, as amended, or to contribute to payments the underwriters may be required to make because of any of those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representatives, we will not, during the period beginning on and including the date of this prospectus supplement and ending on and including the later of (i) the termination of trading restrictions for the notes as notified to us by the representatives (but only if the representatives have notified us in writing on the Original Issue Date of the notes that such trading restrictions have not been terminated) and (ii) the Original Issue Date of the notes, offer, sell, contract to sell, grant any option for the sale of or otherwise dispose of any notes, any debt securities of Sempra which are substantially similar to the notes (“Similar Securities”) or any securities convertible into, exchangeable into or exercisable for any notes or Similar Securities, provided that this agreement shall not apply to the offer, issuance or sale of, or any contract to sell, (i) the notes to the underwriters pursuant to the underwriting agreement or (ii) commercial paper or other debt securities with scheduled maturities of less than one year. For purposes of clarity, it is understood and agreed that the term Similar Securities, as used in this paragraph, excludes commercial paper or other debt securities with scheduled maturities of less than one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trustee and brokerage activities. Some or all of the underwriters and/or their affiliates have in the past acted and/or are acting and/or may in the future act as lenders to, and/or have from time to time in the past performed and/or are performing and/or may in the future perform certain investment banking, advisory, general financing, trustee and commercial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banking and other commercial transactions and services for, us and/or our affiliates for which they have received and in the future may receive customary fees and expenses. The underwriters and their affiliates may, from time to time, engage in other transactions with or perform other services for us and our affiliates in the ordinary course of their business for which they receive customary fees and expenses. In addition, affiliates of all of the underwriters are lenders under our credit facilities.</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may consist of either the purchase of credit default swaps or the creation of short positions in our securities, including potentially the notes offered hereby. Any such credit default swaps or short positions could adversely affect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described in this prospectus supplement under “Use of Proceeds,” we intend to use a substantial portion of the net proceeds from this offering to repay outstanding commercial paper and potentially other indebtedness and to use any remaining net proceeds for other general corporate purposes. None of the underwriters participating in this offering and/or their affiliates hold a position in our commercial paper but may hold positions in other indebtedness of ours, one of the underwriters acts as a dealer under our commercial paper program, and affiliates of one of the underwriters participating in this offering are lenders under our credit facilities. To the extent that net proceeds from this offering are applied to repay any of our outstanding indebtedness (including commercial paper, bank loans or other indebtedness) held by any of the underwriters or their affiliates, they will receive proceeds from this offering through the repayment of that indebtedness. If the amount of such proceeds so received by any underwriter or its affiliates is 5% or more of the net proceeds of this offering (not including the underwriting discount), such underwriter would be deemed to have a conflict of interest within the meaning of FINRA Rule 5121. In such event, this offering would be conducted in compliance with FINRA Rule 5121 and such underwriter would not be permitted to make sales in this offering to any discretionary account without the prior written approval of the customer. Pursuant to that rule, the appointment of a “qualified independent underwriter” would not be required in connection with this offering, as the notes are “investment grade rated” (as defined in FINRA Rule 5121).</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Prohibition of Sales to EEA Retail Investors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shall not be offered, sold or otherwise made available to any retail investor in the EEA. For the purposes of this provision:</w:t>
      </w:r>
    </w:p>
    <w:p>
      <w:pPr>
        <w:spacing w:after="0" w:line="131"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MiFID II, or</w:t>
      </w:r>
    </w:p>
    <w:p>
      <w:pPr>
        <w:spacing w:after="0" w:line="130" w:lineRule="exact"/>
        <w:rPr>
          <w:rFonts w:ascii="Times New Roman" w:cs="Times New Roman" w:eastAsia="Times New Roman" w:hAnsi="Times New Roman"/>
          <w:sz w:val="18"/>
          <w:szCs w:val="18"/>
          <w:color w:val="auto"/>
        </w:rPr>
      </w:pPr>
    </w:p>
    <w:p>
      <w:pPr>
        <w:ind w:left="1540" w:right="400" w:hanging="439"/>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Insurance Distribution Directive, where that customer would not qualify as a professional client as defined in point (10) of Article 4(1) of MiFID II;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 EEA Qualified Investor, and</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Prohibition of Sales to United Kingdom Retail Investors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notes shall not be offered, sold, distributed or otherwise made available to any retail investor in the United Kingdom. For the purposes of this provision:</w:t>
      </w:r>
    </w:p>
    <w:p>
      <w:pPr>
        <w:spacing w:after="0" w:line="67"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either one (or both) of the following:</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professional client, as defined in point (8) of Article 2(1) of UK MiFIR;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UK Qualified Investor; and</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buy or subscribe for the notes.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Regulatory Restrictions in the United Kingdom</w:t>
      </w:r>
    </w:p>
    <w:p>
      <w:pPr>
        <w:spacing w:after="0" w:line="11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Sempra.</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of anything done by any person in relation to the notes in, from or otherwise involving the United Kingdom.</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Securities Act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(Law No. 25 of 1948, as amended) (the “Financial Instruments and Exchange Law”), and accordingly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56" w:lineRule="auto"/>
        <w:rPr>
          <w:sz w:val="20"/>
          <w:szCs w:val="20"/>
          <w:color w:val="auto"/>
        </w:rPr>
      </w:pPr>
      <w:r>
        <w:rPr>
          <w:rFonts w:ascii="Times New Roman" w:cs="Times New Roman" w:eastAsia="Times New Roman" w:hAnsi="Times New Roman"/>
          <w:sz w:val="18"/>
          <w:szCs w:val="18"/>
          <w:color w:val="auto"/>
        </w:rPr>
        <w:t>notes have not been offered or sold and will not be offered or sold, directly or indirectly, in Japan or to, or for the account or benefit of, any resident of Japan (which term as used herein means any person resident in Japan, including any corporation or other entity organized under the laws of Japan), or for the account or benefit of, others for re-offering or resale, directly or indirectly, in Japan or to, or for the account or benefit of any resident of Japan, except pursuant to an exemption from the registration requirements of, and otherwise in compliance with, the Financial Instruments and Exchange Law and any other applicable laws, regulations and guidelines promulgated by the relevant Japanese governmental and regulatory authorities and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Korea</w:t>
      </w:r>
    </w:p>
    <w:p>
      <w:pPr>
        <w:spacing w:after="0" w:line="11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(the “FIEA”)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FIEA and its subordinate decrees and regulations) in connection with the purchase of the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and will not be registered as a prospectus under the Securities and Futures Act 2001 (the “SFA”) by the Monetary Authority of Singapore, and the offer of the notes in Singapore is made primarily pursuant to the exemptions under Sections 274 and 275 of the SFA.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It is a condition of the offer that where the notes are subscribed for or acquired pursuant to an offer made in reliance on Section 275 of the SFA by a Relevant Person which is:</w:t>
      </w:r>
    </w:p>
    <w:p>
      <w:pPr>
        <w:spacing w:after="0" w:line="67" w:lineRule="exact"/>
        <w:rPr>
          <w:sz w:val="20"/>
          <w:szCs w:val="20"/>
          <w:color w:val="auto"/>
        </w:rPr>
      </w:pPr>
    </w:p>
    <w:p>
      <w:pPr>
        <w:ind w:left="1080" w:right="1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notes except:</w:t>
      </w:r>
    </w:p>
    <w:p>
      <w:pPr>
        <w:spacing w:after="0" w:line="81" w:lineRule="exact"/>
        <w:rPr>
          <w:sz w:val="20"/>
          <w:szCs w:val="20"/>
          <w:color w:val="auto"/>
        </w:rPr>
      </w:pPr>
    </w:p>
    <w:p>
      <w:pPr>
        <w:ind w:left="1080" w:right="20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or other Relevant Person, or which arises from an offer referred to in Section 275(1A) of the SFA (in the case of that corporation) or Section 276(4)(c)(ii) of the SFA (in the case of that trust);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occurs by operation of law;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Singapore’s Securities and Futures Act Product Classification</w:t>
      </w:r>
      <w:r>
        <w:rPr>
          <w:rFonts w:ascii="Times New Roman" w:cs="Times New Roman" w:eastAsia="Times New Roman" w:hAnsi="Times New Roman"/>
          <w:sz w:val="18"/>
          <w:szCs w:val="18"/>
          <w:color w:val="auto"/>
        </w:rPr>
        <w:t>—Solely for the purposes of its obligations pursuant to Sections 309B(1)(a)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309B(1)(c) of the SFA, Sempra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19"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w:t>
      </w:r>
    </w:p>
    <w:p>
      <w:pPr>
        <w:spacing w:after="0" w:line="2"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the validity of the notes and various other legal matters relating to the issuance and sale of the notes on behalf of Sempra. Sidley Austin LLP will act as counsel for the underwriters. Sidley Austin LLP from time to time represents Sempra and certain of its subsidiaries in connection with certain legal matters.</w:t>
      </w:r>
    </w:p>
    <w:p>
      <w:pPr>
        <w:spacing w:after="0" w:line="3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Sempra incorporated by reference in this prospectus supplement and the accompanying prospectus and the effectiveness of Sempra’s internal control over financial reporting have been audited by Deloitte &amp; Touche LLP, an independent registered public accounting firm, as stated in their reports. Such financial statements are incorporated by reference in reliance upon the reports of such firm given upon their authority as experts in accounting and auditing.</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Oncor Electric Delivery Holdings Company LLC incorporated by reference in this prospectus supplement and the accompanying prospectus have been audited by Deloitte &amp; Touche LLP, independent auditors, as stated in their report. Such financial statements are incorporated by reference in reliance upon the report of such firm given upon their authority as experts in accounting and auditing.</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00"/>
          </w:cols>
          <w:pgMar w:left="320" w:top="455" w:right="5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173990</wp:posOffset>
            </wp:positionV>
            <wp:extent cx="1731645" cy="351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3164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offer and sell our common stock, preferred stock, debt securities, purchase contracts, units, depositary shares and warrants from time to time in one or more offerings. This prospectus provides you with a general description of the securities we may offer.</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Each time we offer and sell securities pursuant to this prospectus, we will provide a supplement to this prospectus that contains specific information about the offering and the amounts, prices and terms of the particular securities being offered at that time.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offer and sale of any of the securities, their names and any applicable purchase price, fee, commission or discount arrangement between or among them will be set forth, or will be calculable from the information set forth, in the applicable prospectus supplement. See the information under the headings “About this Prospectus” and “Plan of Distribution” for more detail. No securities may be sold without delivery of this prospectus and the applicable prospectus supplement describing the method and terms of the offering of such securities.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trading symbol “SRE.” On May 14, 2026, the last reported sale price of our common stock on the New York Stock Exchange was $92.86 per share. Our 5.75% Junior Subordinated Notes Due 2079, which we refer to as the “junior subordinated notes” in this prospectus, are listed on the New York Stock Exchange under the trading symbol “SREA.” On May 14, 2026, the last reported sale price of the junior subordinated notes on the New York Stock Exchange was $21.55 per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7 of this prospectus, and the information under any similar heading in the applicable prospectus supplement.</w:t>
      </w:r>
    </w:p>
    <w:p>
      <w:pPr>
        <w:spacing w:after="0" w:line="159"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15, 2026.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320" w:type="dxa"/>
            <w:vAlign w:val="bottom"/>
            <w:gridSpan w:val="6"/>
            <w:vMerge w:val="restart"/>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gridSpan w:val="7"/>
            <w:vMerge w:val="continue"/>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67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 and Market Data</w:t>
            </w: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00" w:type="dxa"/>
            <w:vAlign w:val="bottom"/>
          </w:tcPr>
          <w:p>
            <w:pPr>
              <w:spacing w:after="0"/>
              <w:rPr>
                <w:sz w:val="17"/>
                <w:szCs w:val="17"/>
                <w:color w:val="auto"/>
              </w:rPr>
            </w:pP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Sempra</w:t>
            </w:r>
          </w:p>
        </w:tc>
        <w:tc>
          <w:tcPr>
            <w:tcW w:w="1100" w:type="dxa"/>
            <w:vAlign w:val="bottom"/>
            <w:gridSpan w:val="2"/>
          </w:tcPr>
          <w:p>
            <w:pPr>
              <w:spacing w:after="0"/>
              <w:rPr>
                <w:sz w:val="17"/>
                <w:szCs w:val="17"/>
                <w:color w:val="auto"/>
              </w:rPr>
            </w:pP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780" w:type="dxa"/>
            <w:vAlign w:val="bottom"/>
            <w:gridSpan w:val="4"/>
          </w:tcPr>
          <w:p>
            <w:pPr>
              <w:spacing w:after="0"/>
              <w:rPr>
                <w:sz w:val="17"/>
                <w:szCs w:val="17"/>
                <w:color w:val="auto"/>
              </w:rPr>
            </w:pP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Other Securities</w:t>
            </w:r>
          </w:p>
        </w:tc>
        <w:tc>
          <w:tcPr>
            <w:tcW w:w="1720" w:type="dxa"/>
            <w:vAlign w:val="bottom"/>
            <w:gridSpan w:val="3"/>
          </w:tcPr>
          <w:p>
            <w:pPr>
              <w:spacing w:after="0"/>
              <w:rPr>
                <w:sz w:val="17"/>
                <w:szCs w:val="17"/>
                <w:color w:val="auto"/>
              </w:rPr>
            </w:pP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9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gridSpan w:val="7"/>
          </w:tcPr>
          <w:p>
            <w:pPr>
              <w:spacing w:after="0"/>
              <w:rPr>
                <w:sz w:val="17"/>
                <w:szCs w:val="17"/>
                <w:color w:val="auto"/>
              </w:rPr>
            </w:pP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gridSpan w:val="10"/>
          </w:tcPr>
          <w:p>
            <w:pPr>
              <w:spacing w:after="0"/>
              <w:rPr>
                <w:sz w:val="17"/>
                <w:szCs w:val="17"/>
                <w:color w:val="auto"/>
              </w:rPr>
            </w:pPr>
          </w:p>
        </w:tc>
        <w:tc>
          <w:tcPr>
            <w:tcW w:w="7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U.S. Securities and Exchange Commission, or the “SEC,” as a “well-known seasoned issuer” as defined in Rule 405 under the Securities Act of 1933, as amended. By using a shelf registration statement, we may sell the securities described in this prospectus from time to time and in one or more offerings. This prospectus only provides you with a general description of the securities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that offering.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 together with the additional information under the heading “Where You Can Find More Information.”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provide no assurance as to the reliability of, any other information that others may give you. We will not make an offer to sell securities in any jurisdiction where the offer or sale is not permitted. You should assume that the information contained in this prospectus and any applicable prospectus supplement to this prospectus is accurate only as of the date on its respective cover, that the information contained in any applicable free writing prospectus is accurate only as of the date of that free writing prospectus, and that any information contained in documents incorporated by reference is accurate only as of the dates of those respective documents, unless we indicate otherwise. Our business, financial condition, results of operations and prospects may have changed since those dates.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Factors, among others, that could cause actual results and events to differ materially from those expressed or implied in any forward-looking statement include:</w:t>
      </w:r>
    </w:p>
    <w:p>
      <w:pPr>
        <w:spacing w:after="0" w:line="67" w:lineRule="exact"/>
        <w:rPr>
          <w:sz w:val="20"/>
          <w:szCs w:val="20"/>
          <w:color w:val="auto"/>
        </w:rPr>
      </w:pPr>
    </w:p>
    <w:p>
      <w:pPr>
        <w:ind w:left="1080" w:right="1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5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Nacional de Energía, California Public Utilities Commission, U.S.</w:t>
      </w:r>
    </w:p>
    <w:p>
      <w:pPr>
        <w:spacing w:after="0" w:line="1" w:lineRule="exact"/>
        <w:rPr>
          <w:rFonts w:ascii="Times New Roman" w:cs="Times New Roman" w:eastAsia="Times New Roman" w:hAnsi="Times New Roman"/>
          <w:sz w:val="18"/>
          <w:szCs w:val="18"/>
          <w:color w:val="auto"/>
        </w:rPr>
      </w:pP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of Energy, U.S. Federal Energy Regulatory Commission, U.S. Internal Revenue Service, Public Utility Commission of Texas and other regulatory bodies and (ii) U.S., Mexico and states, counties, cities and other jurisdictions therein and in other countries where we do business;</w:t>
      </w:r>
    </w:p>
    <w:p>
      <w:pPr>
        <w:spacing w:after="0" w:line="91" w:lineRule="exact"/>
        <w:rPr>
          <w:rFonts w:ascii="Times New Roman" w:cs="Times New Roman" w:eastAsia="Times New Roman" w:hAnsi="Times New Roman"/>
          <w:sz w:val="18"/>
          <w:szCs w:val="18"/>
          <w:color w:val="auto"/>
        </w:rPr>
      </w:pPr>
    </w:p>
    <w:p>
      <w:pPr>
        <w:ind w:left="1080" w:right="20" w:hanging="424"/>
        <w:spacing w:after="0" w:line="270" w:lineRule="auto"/>
        <w:tabs>
          <w:tab w:leader="none" w:pos="10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business development efforts, construction projects, acquisitions, divestitures, and other significant transactions, such as the planned sale of a portion of our equity interest in Sempra Infrastructure Partners, LP,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w:t>
      </w:r>
    </w:p>
    <w:p>
      <w:pPr>
        <w:spacing w:after="0" w:line="2" w:lineRule="exact"/>
        <w:rPr>
          <w:rFonts w:ascii="Times New Roman" w:cs="Times New Roman" w:eastAsia="Times New Roman" w:hAnsi="Times New Roman"/>
          <w:sz w:val="17"/>
          <w:szCs w:val="17"/>
          <w:color w:val="auto"/>
        </w:rPr>
      </w:pPr>
    </w:p>
    <w:p>
      <w:pPr>
        <w:ind w:left="1080" w:righ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obtaining regulatory and other approvals and (vi) third parties honoring their contracts and commitments, including with respect to closing or post-closing payments;</w:t>
      </w:r>
    </w:p>
    <w:p>
      <w:pPr>
        <w:spacing w:after="0" w:line="86"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capital expenditure plans and their potential impact on rate base or other growth;</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arbitration, property disputes and other proceedings;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including by nation-state actors, of ransomware or other attacks on our systems, the energy grid or our other infrastructure, or the systems of third parties with which we conduct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9"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spacing w:after="0" w:line="63"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efforts to increase affordability of U.S. utility customer rates on our ability to obtain cost recovery from applicable regulators, our capital expenditure and other growth plans and our ability to advance statewide policies;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Oncor Electric Delivery Company LLC’s (“Oncor”) ability to reduce or eliminate its quarterly dividends due to regulatory and governance requirements and commitments, including by actions of Oncor’s independent directors or a minority member director;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uncertainties, some of which are difficult to predict and beyond our control.</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caution you not to rely unduly on any forward-looking statements. You should review and consider carefully the risks, uncertainties and other factors that affect our businesses as described herein, in our most recent Annual Report on Form 10-K and in other reports and documents we file with the SEC that are incorporated by reference in this prospectus, any prospectus supplement, and any related free writing prospectus issued by us. You may obtain copies of these reports and documents as described under “Where You Can Find More Information” in this prospectus.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incorporates by reference, and any prospectus supplement or free writing prospectus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any prospectus supplement or any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the applicable prospectus supplement, any related free writing prospectus, and documents that are incorporated or deemed to be incorporated by reference in this prospectus and the applicable prospectus supplement. Accordingly, you should not place undue reliance on any of this information.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site that contains reports, proxy and information statements and other information about issuers, such as us, who file electronically with the SEC. The address of that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from us, as indicated below. Forms of the indentures and other documents establishing the terms of the securities we may offer are or will be filed as exhibits to the registration statement or documents incorporated by reference in the registration statement. Statements in this prospectus or any prospectus supplement about these documents are not complete and each statement is qualified in all respects by reference to the document to which it refers. You should refer to the actual documents for a more complete description of the relevant matters. You may inspect a copy of the registration statement through the SEC’s Internet site, as provided above.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that is also incorporated or deemed to be incorporated by reference in this prospectus will automatically update and, to the extent inconsistent, supersede the prior information. Any statement contained in this prospectus or a previously filed document incorporated by reference herein shall be deemed to be modified or superseded for purposes of this prospectus to the extent that a statement contained in this prospectus, any applicable prospectus supplement or any subsequently filed document that is incorporated or deemed to be incorporated by reference in this prospectus modifies or replaces that statement.</w:t>
      </w:r>
    </w:p>
    <w:p>
      <w:pPr>
        <w:spacing w:after="0" w:line="18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all documents that we file with the SEC pursuant to Sections 13(a), 13(c), 14 or 15(d) of the Securities Exchange Act of 1934, as amended, which we refer to as the “Exchange Act” in this prospectus, after the date of this prospectus through the termination of the offering of the securities described in this prospectus. Notwithstanding anything herein to the contrary, we are not, however, incorporating by reference any documents or portions thereof or exhibits thereto, whether specifically listed below or filed in the future, that are not deemed “filed” with the SEC, including, without limitation, our Compensation and Talent Development Committee report, Audit Committee report and performance graph required under SEC Regulation S-K Item 201(e) and any information furnished pursuant to Items 2.02 or 7.01 of Form 8-K or related exhibits furnished pursuant to Item 9.01 of Form 8-K.</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and any applicable prospectus supplement incorporate by reference the documents set forth below that have previously been filed with the SEC:</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SEC Filings (File No. 1-14201)</w:t>
            </w:r>
          </w:p>
        </w:tc>
        <w:tc>
          <w:tcPr>
            <w:tcW w:w="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 or Filing Date</w:t>
            </w:r>
          </w:p>
        </w:tc>
      </w:tr>
      <w:tr>
        <w:trPr>
          <w:trHeight w:val="169"/>
        </w:trPr>
        <w:tc>
          <w:tcPr>
            <w:tcW w:w="5460" w:type="dxa"/>
            <w:vAlign w:val="bottom"/>
            <w:gridSpan w:val="7"/>
          </w:tcPr>
          <w:p>
            <w:pPr>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6">
              <w:r>
                <w:rPr>
                  <w:rFonts w:ascii="Times New Roman" w:cs="Times New Roman" w:eastAsia="Times New Roman" w:hAnsi="Times New Roman"/>
                  <w:sz w:val="18"/>
                  <w:szCs w:val="18"/>
                  <w:color w:val="0000EE"/>
                </w:rPr>
                <w:t>Form 10-K</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(including the information incorporated by</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Year ended December 31, 2025, filed on February 26, 2026</w:t>
            </w:r>
          </w:p>
        </w:tc>
      </w:tr>
      <w:tr>
        <w:trPr>
          <w:trHeight w:val="20"/>
        </w:trPr>
        <w:tc>
          <w:tcPr>
            <w:tcW w:w="1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96"/>
        </w:trPr>
        <w:tc>
          <w:tcPr>
            <w:tcW w:w="5460" w:type="dxa"/>
            <w:vAlign w:val="bottom"/>
            <w:gridSpan w:val="7"/>
          </w:tcPr>
          <w:p>
            <w:pPr>
              <w:spacing w:after="0" w:line="196"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reference therein from our Definitive Proxy Statement on </w:t>
            </w:r>
            <w:hyperlink r:id="rId57">
              <w:r>
                <w:rPr>
                  <w:rFonts w:ascii="Times New Roman" w:cs="Times New Roman" w:eastAsia="Times New Roman" w:hAnsi="Times New Roman"/>
                  <w:sz w:val="18"/>
                  <w:szCs w:val="18"/>
                  <w:color w:val="0000EE"/>
                  <w:w w:val="99"/>
                </w:rPr>
                <w:t>Schedule 14A</w:t>
              </w:r>
              <w:r>
                <w:rPr>
                  <w:rFonts w:ascii="Times New Roman" w:cs="Times New Roman" w:eastAsia="Times New Roman" w:hAnsi="Times New Roman"/>
                  <w:sz w:val="18"/>
                  <w:szCs w:val="18"/>
                  <w:color w:val="auto"/>
                  <w:w w:val="99"/>
                </w:rPr>
                <w:t xml:space="preserve"> </w:t>
              </w:r>
            </w:hyperlink>
            <w:r>
              <w:rPr>
                <w:rFonts w:ascii="Times New Roman" w:cs="Times New Roman" w:eastAsia="Times New Roman" w:hAnsi="Times New Roman"/>
                <w:sz w:val="18"/>
                <w:szCs w:val="18"/>
                <w:color w:val="auto"/>
                <w:w w:val="99"/>
              </w:rPr>
              <w:t>for</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
        </w:trPr>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18"/>
        </w:trPr>
        <w:tc>
          <w:tcPr>
            <w:tcW w:w="5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our 2026 Annual Shareholders Meeting filed with the SEC on March 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83"/>
        </w:trPr>
        <w:tc>
          <w:tcPr>
            <w:tcW w:w="546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58">
              <w:r>
                <w:rPr>
                  <w:rFonts w:ascii="Times New Roman" w:cs="Times New Roman" w:eastAsia="Times New Roman" w:hAnsi="Times New Roman"/>
                  <w:sz w:val="18"/>
                  <w:szCs w:val="18"/>
                  <w:color w:val="0000EE"/>
                </w:rPr>
                <w:t>Form 10-Q</w:t>
              </w:r>
            </w:hyperlink>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March 31, 2026, filed on May 7, 2026</w:t>
            </w:r>
          </w:p>
        </w:tc>
      </w:tr>
      <w:tr>
        <w:trPr>
          <w:trHeight w:val="385"/>
        </w:trPr>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4</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SEC Filings (File No. 1-14201)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333" w:lineRule="exact"/>
        <w:rPr>
          <w:sz w:val="20"/>
          <w:szCs w:val="20"/>
          <w:color w:val="auto"/>
        </w:rPr>
      </w:pPr>
    </w:p>
    <w:p>
      <w:pPr>
        <w:jc w:val="both"/>
        <w:ind w:left="12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Description of our common stock contained in our Registration Statement on </w:t>
      </w:r>
      <w:hyperlink r:id="rId6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updated by</w:t>
      </w:r>
      <w:r>
        <w:rPr>
          <w:rFonts w:ascii="Times New Roman" w:cs="Times New Roman" w:eastAsia="Times New Roman" w:hAnsi="Times New Roman"/>
          <w:sz w:val="18"/>
          <w:szCs w:val="18"/>
          <w:color w:val="0000EE"/>
        </w:rPr>
        <w:t xml:space="preserve"> </w:t>
      </w:r>
      <w:hyperlink r:id="rId62">
        <w:r>
          <w:rPr>
            <w:rFonts w:ascii="Times New Roman" w:cs="Times New Roman" w:eastAsia="Times New Roman" w:hAnsi="Times New Roman"/>
            <w:sz w:val="18"/>
            <w:szCs w:val="18"/>
            <w:u w:val="single" w:color="auto"/>
            <w:color w:val="0000EE"/>
          </w:rPr>
          <w:t xml:space="preserve">Exhibit 4.2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 ended December 31, 2025 and any amendment or report filed with the SEC for purposes of updating such description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Period or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5" w:lineRule="exact"/>
        <w:rPr>
          <w:sz w:val="20"/>
          <w:szCs w:val="20"/>
          <w:color w:val="auto"/>
        </w:rPr>
      </w:pPr>
    </w:p>
    <w:p>
      <w:pPr>
        <w:ind w:right="60"/>
        <w:spacing w:after="0" w:line="282" w:lineRule="auto"/>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u w:val="single" w:color="auto"/>
            <w:color w:val="0000EE"/>
          </w:rPr>
          <w:t>March 13,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May 14, 2026</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date of June 5, 1998</w:t>
      </w:r>
    </w:p>
    <w:p>
      <w:pPr>
        <w:spacing w:after="0" w:line="873" w:lineRule="exact"/>
        <w:rPr>
          <w:sz w:val="20"/>
          <w:szCs w:val="20"/>
          <w:color w:val="auto"/>
        </w:rPr>
      </w:pPr>
    </w:p>
    <w:p>
      <w:pPr>
        <w:sectPr>
          <w:pgSz w:w="11900" w:h="16838" w:orient="portrait"/>
          <w:cols w:equalWidth="0" w:num="2">
            <w:col w:w="5660" w:space="300"/>
            <w:col w:w="5140"/>
          </w:cols>
          <w:pgMar w:left="320" w:top="455" w:right="479" w:bottom="1440" w:gutter="0" w:footer="0" w:header="0"/>
          <w:type w:val="continuous"/>
        </w:sect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provide, upon written or oral request and without charge, to each person, including any beneficial owner, to whom a copy of this prospectus has been delivered a copy of any of the documents incorporated by reference in this prospectus. You may submit such a request by writing or calling us at the following address or telephone number:</w:t>
      </w:r>
    </w:p>
    <w:p>
      <w:pPr>
        <w:spacing w:after="0" w:line="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Sempra</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488 8th Avenue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San Diego, California 92101</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Telephone: (619) 696-2000</w:t>
      </w:r>
    </w:p>
    <w:p>
      <w:pPr>
        <w:spacing w:after="0" w:line="20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applicable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SEMPRA</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Sempra is a holding company whose principal businesses are regulated utilities in California and Texas. Our businesses invest in and operate electric and gas utilities and other energy infrastructure that provide energy services to customers. For additional information concerning us, you should refer to the information under the heading “Where You Can Find More Information” in this prospectus.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488 8th Avenue, San Diego, California 92101, and our telephone number is (619) 696-2000. Our website is </w:t>
      </w:r>
      <w:r>
        <w:rPr>
          <w:rFonts w:ascii="Times New Roman" w:cs="Times New Roman" w:eastAsia="Times New Roman" w:hAnsi="Times New Roman"/>
          <w:sz w:val="18"/>
          <w:szCs w:val="18"/>
          <w:i w:val="1"/>
          <w:iCs w:val="1"/>
          <w:color w:val="auto"/>
        </w:rPr>
        <w:t>http://www.sempra.com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for documents that are incorporated by reference in this prospectus as described under the heading “Where You Can Find More Information” and that are available 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contained on, or that can be accessed through, our website or any other website referenced herein is not a part of or incorporated by reference in this prospectus or any document incorporated or deemed to be incorporated herein.</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this prospectus, references to “Sempra,” “we,” “us,” “our” and similar terms mean, unless otherwise specified or the context otherwise requires, Sempra together with its consolidated entities; and references to “you” mean the potential purchasers of the applicable securities offered hereby.</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any offered securities, you should carefully consider the risk factors and other cautionary language incorporated in this prospectus and the applicable prospectus supplement by reference to our most recent Annual Report on Form 10-K and any Quarterly Reports on Form 10-Q and Current Reports on Form 8-K filed (and not furnished) by us with the SEC subsequent to the last day of the fiscal year covered by our most recent Annual Report on Form 10-K and all other information contained or incorporated by reference in this prospectus, as updated by our subsequent filings under the Exchange Act that are also incorporated by reference in this prospectus, and the risk factors and other information contained and incorporated by reference in the applicable prospectus supplement and any applicable free writing prospectus. Please also carefully read the information under the heading “Forward-Looking Statements and Market Data” and any similar headings in this prospectus, our most recent Annual Report on Form 10-K and any subsequent Quarterly Reports on Form 10-Q and Current Reports on Form 8-K. There may be other risks and uncertainties not known to us or that we deem immaterial that also could impair our business operations, financial results and the value of any securities offered pursuant to this prospectus. The occurrence of any of these risks could have a material adverse effect on our results of operations, financial condition, cash flows and/or prospects and might cause you to lose all or part of your investment in the offered securities.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45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general description of some of the terms and provisions of the common stock and preferred stock Sempra may offer and sell under this prospectus. Under this heading “Description of Capital Stock,” references to “Sempra,” “we,” “us,” “our” and similar terms mean, unless otherwise specified or the context otherwise requires, Sempra excluding its consolidated entities.</w:t>
      </w:r>
    </w:p>
    <w:p>
      <w:pPr>
        <w:spacing w:after="0" w:line="17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and any preferred stock we may issue in the future will be, governed by our restated articles of incorporation and bylaws and applicable California law. Our restated articles of incorporation give us broad authority to set the particular terms of each series of preferred stock. The particular terms of a series of preferred stock will be described in the applicable prospectus supplement, or a free writing prospectus, relating to such series of preferred stock.</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restated articles of incorporation and bylaws contain the full legal text of the matters described under this heading “Description of Capital Stock.” The following description of certain provisions of our restated articles of incorporation and bylaws is not complete and is qualified in its entirety by reference to all the provisions of our restated articles of incorporation, including the certificate of determination of preferences for any series of preferred stock that may be issued and outstanding in the future, and bylaws, copies of which have been or will be filed or incorporated by reference as exhibits to the registration statement of which this prospectus is a part or to a document incorporated by reference in this prospectus and which may be obtained as described under “Where You Can Find More Information.” Whenever we refer to particular sections or defined terms of our restated articles of incorporation, including any applicable certificate of determination of preferences, or bylaws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preferred stock described in the applicable prospectus supplement or free writing prospectus related to any offering of such series of preferred stock.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currently authorized to issue (i) 1,125,000,000 shares of common stock, without par value, and (ii) 50,000,000 shares of preferred stock. As of May 14, 2026, there were 653,707,401 outstanding shares of our common stock and no outstanding shares of our preferred stock. No other classes of capital stock are authorized under our restated articles of incorporation.</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in the future amend our restated articles of incorporation to increase the authorized number of shares of our authorized common stock or preferred stock or to authorize shares of one or more additional classes of stock. Any such amendment would require approval by our board of directors and approval by our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holders of our common stock are entitled to receive, ratably, such dividends as our board of directors may from time to time declare, subject to any rights of holders of outstanding shares of any series of our preferred stock to receive dividends before dividends may be paid on our common stock.</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Sempra, whether voluntary or involuntary, the holders of shares of our common stock are entitled, subject to any rights of the holders of outstanding shares of any series of our preferred stock to receive distributions in such event before any distributions are made to holders of our common stock, to receive, ratably, any of our remaining assets after the discharge of our liabilities.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law, each holder of our common stock is entitled to one vote per share on each matter submitted to a vote of our shareholders, subject to the voting rights, if any, of holders of outstanding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shares of any series of our preferred stock, which could include the right to vote separately as a class or series, or the right to vote together with the common stock as a single class.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At each annual meeting of our shareholders, each director will be elected to hold office until the next annual meeting of shareholders and until a successor has been elected and qualified or until such director’s earlier resignation or removal. Pursuant to our bylaws, directors standing for election in an uncontested election (as defined below) will be elected by the affirmative vote of a majority of the shares entitled to vote for them represented and voting at a duly held meeting at which a quorum is present (and such affirmative votes must also represent more than 25% of the outstanding shares entitled to vote in the election of such directors). In any election of directors that is not an uncontested election, the candidates receiving the highest number of affirmative votes of the shares entitled to vote for them, up to the number of directors to be elected by those shares, will be elected and votes against a director and votes withheld will have no effect. The rights of holders of our common stock to elect directors are subject to the voting rights, if any, of holders of outstanding shares of any series of our preferred stock, which could include: (i) voting as a separate class or series, the right to elect one or more directors, or (ii) voting together with our common stock as a single class, the right to vote in the election of directors generally. Our bylaws define an “uncontested election” as, in general, an election of directors in which the number of candidates for election does not exceed the number of directors to be elected by our shareholders at that election, determined at the times specified in our bylaws. Our restated articles of incorporation provide that none of our shareholders may cumulate votes in the election of directors.</w:t>
      </w:r>
    </w:p>
    <w:p>
      <w:pPr>
        <w:spacing w:after="0" w:line="19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does not contain any conversion rights or sinking fund or redemption provisions. Holders of our common stock are not entitled to preemptive rights to subscribe for or purchase any part of any new or additional issue of stock or securities convertible into stock.</w:t>
      </w:r>
    </w:p>
    <w:p>
      <w:pPr>
        <w:spacing w:after="0" w:line="16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is expressly authorized to make, amend or repeal our bylaws, without any action on the part of the shareholders, except as otherwise required by applicable California law, solely by the affirmative vote of at least two-thirds of the authorized number of directors. Our bylaws may also be amended or repealed by our shareholders, by the approval of the outstanding shares (as defined in Section 152 of the Corporations Code of the State of California) of Sempra.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preferred stock is issuable in series. Subject to the maximum number of shares of preferred stock authorized by our restated articles of incorporation, our board of directors is authorized, without the need for a vote or other action of our shareholders, to cause the issuance of shares of our preferred stock from time to time in one or more series, to determine the number of shares and designation of the preferred stock of any series, to increase or decrease (but not below the number of shares of such series then outstanding) the number of shares of any such series subsequent to the issuance of shares of that series, and to determine or alter the rights, preferences, privileges and restrictions granted to or imposed upon any wholly unissued series of preferred stock, which may include, among other things, dividend and liquidation rights and preferences, including with respect to relative ranking; rights to convert such shares into common stock; any rights and terms of redemption, including sinking fund provisions; any voting rights; and any other specific terms, preferences, rights, limitations or restrictions; in each case in accordance with our restated articles of incorporation. Accordingly, our board of directors could cause the issuance of one or more series of our preferred stock ranking senior to our common stock with respect to dividends or distributions in the event of our liquidation, dissolution or winding up or with voting or other rights that could dilute or otherwise adversely affect the voting or other rights and economic interests of holders of our common stock. Likewise, our board of directors could cause the issuance of one or more series of our preferred stock ranking on parity with or senior to one or more other series of our preferred stock (subject to the terms of any one or more other series of our preferred stock, if any, then outstanding) with respect to dividends or distributions in the event of our liquidation, dissolution or winding up or with voting or other rights that could dilute or otherwise adversely affect any voting rights or the other rights and economic interests of the holders of any such other series of preferred stock.</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issue any series of preferred stock pursuant to this prospectus, we will describe the terms of such series of preferred stock in a prospectus supplement to this prospectus and, if applicable, a free writing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Restated Articles of Incorporation and Bylaws</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our restated articles of incorporation and bylaws could have the effect of delaying, deterring or preventing another party from acquiring or seeking to acquire control of us. These provisions are intended to discourage certain types of coercive takeover practices and inadequate takeover bids and to encourage anyone seeking to acquire control of us to negotiate first with our board of directors. However, these provisions could also delay, deter or prevent a change of control or other takeover of our company that our shareholders might consider to be in their best interests, including transactions that might result in a premium being paid over the market prices of our common stock and any outstanding preferred stock, and may also limit the prices that investors are willing to pay in the future for our common stock and any outstanding preferred stock. These provisions may also have the effect of preventing changes in our management. Certain provisions of our restated articles of incorporation and bylaws include anti-takeover provisions that:</w:t>
      </w:r>
    </w:p>
    <w:p>
      <w:pPr>
        <w:spacing w:after="0" w:line="97" w:lineRule="exact"/>
        <w:rPr>
          <w:sz w:val="20"/>
          <w:szCs w:val="20"/>
          <w:color w:val="auto"/>
        </w:rPr>
      </w:pPr>
    </w:p>
    <w:p>
      <w:pPr>
        <w:ind w:left="1080" w:right="40" w:hanging="424"/>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a vote or other action by our shareholders, to cause the issuance of preferred stock in one or more series and, with respect to each series, to fix the number of shares constituting that series and to establish the rights, preferences, privileges and restrictions of that series, which may include, among other things, dividend and liquidation rights and preferences, rights to convert such shares into common stock, voting rights and other rights which may dilute or otherwise adversely affect the voting or other rights and the economic interests of holders of our common stock or one or more other series of our preferred stock, if any, then outstanding;</w:t>
      </w:r>
    </w:p>
    <w:p>
      <w:pPr>
        <w:spacing w:after="0" w:line="88"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and procedures for shareholders to submit nominations of candidates for election to our board of directors and to propose other business to be brought before a shareholders’ meeting;</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in our board of directors, including vacancies created by the removal of any director, may be filled by a majority of the directors then in office or by a sole remaining director;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no shareholder may cumulate votes in the election of directors, which means that the holders of a majority of our outstanding shares of common stock can elect all directors standing for election by our common shareholders;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shareholders must be taken either (i) at a duly called annual or special meeting of shareholders or (ii) by the unanimous written consent of all of our shareholders, unless our board of directors, by resolution adopted by two-thirds of the authorized number of directors, waives the foregoing provision in any particular circumstance;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action by shareholders holding not less than 1/10th of the voting power of our capital stock in order for our shareholders to call a special meeting of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restated articles of incorporation provide that the liability of our directors for monetary damages shall be eliminated to the fullest extent permissible under California law. Section 317 of the Corporations Code of the State of California permits a corporation to provide indemnification to its directors, officers and agents under certain circumstances. Our bylaws provide for mandatory indemnification of our directors and officers, subject to the limitations set forth therein. In addition, our restated articles of incorporation provide us with the power, by bylaw, agreement or otherwise, to provide indemnification of our directors, officers and other agents to the fullest extent permissible under California law and, subject to certain limitations, in excess of the indemnification expressly permitted under Section 317 of the Corporations Code of the State of California. We believe that this limitation of liability and these indemnification provisions are useful to attract and retain qualified directors and officers.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Our common stock is listed on the New York Stock Exchange under the trading symbol “SRE”.</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Registrar and Transfer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registrar and transfer agent for our common stock is Computershare Trust Company, N.A..</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39"/>
          </w:cols>
          <w:pgMar w:left="320" w:top="45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is a general description of some of the terms and provisions of the debt securities we may offer and sell under this prospectus. To the extent the terms and provisions of any series of debt securities modify the general terms and provisions described below, such modifications will be described in a prospectus supplement or free writing prospectus relating to such series. The debt securities may be issued as senior debt securities or subordinated debt securities (which may include junior subordinated debt securities, senior subordinated debt securities and subordinated debt securities of any other relative ranking). Under this heading “Description of Debt Securities,” references to “senior indenture” mean the indenture dated as of February 23, 2000 between us and U.S. Bank Trust Company, National Association, as successor trustee; references to “subordinated indenture” mean the subordinated indenture dated as of June 26, 2019 between us and U.S. Bank Trust Company, National Association, as successor trustee; references to “indentures” or “indenture” mean the senior indenture and/or the subordinated indenture; and references to “Sempra,” “we,” “us,” “our” and similar terms mean, unless otherwise specified or the context otherwise requires, Sempra excluding its consolidated entities.</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senior debt securities will be governed by the senior indenture and the subordinated debt securities will be governed by the subordinated indenture. Each indenture gives us broad authority to set the particular terms of each series of debt securities, including the right to modify certain of the terms contained in the indenture. The particular terms of a series of debt securities and the extent, if any, to which the particular terms of the series modify the terms of the applicable indenture will be described in the applicable prospectus supplement, or a free writing prospectus, relating to such series of debt securities.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indenture contains the full legal text of the matters described under this heading “Description of Debt Securities.” The following description of certain provisions of the indentures and our debt securities is not complete and is subject to and qualified in its entirety by reference to all the provisions of the applicable indenture, including definitions of terms used in such indenture, and the certificates evidencing the debt securities of each series, copies of which have been or will be filed or incorporated by reference as exhibits to the registration statement of which this prospectus is a part or to a document incorporated by reference in this prospectus and which may be obtained as described under the heading “Where You Can Find More Information.” We also include references in parentheses to particular sections of the applicable indenture. Whenever we refer to particular sections or defined terms of the indentures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debt securities described in the applicable prospectus supplement or free writing prospectus related to any offering of such series of debt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may issue an unlimited amount of debt securities under the indentures in one or more series. We are not required to issue all debt securities of one series at the same time and, unless otherwise provided for a particular series of debt securities in the applicable prospectus supplement or a free writing prospectus, We may, without notice to or consent of the holders of the debt securities of any series, increase the aggregate principal amount of the debt securities of any series and issue additional debt securities of such series up to the maximum aggregate principal amount authorized with respect to such series as increased from time to time. Any additional debt securities so issued shall have the same form and terms (other than offering price, the date of issuance and, under certain circumstances, the date from which interest thereon shall begin to accrue and the first interest payment date) and shall carry the same right to receive accrued and unpaid interest as the debt securities previously issued, and such additional debt securities shall form a single series with the debt securities previously issued under the applicable indenture, provided that such additional debt securities of such series shall be fungible with the debt securities of such series previously issued for United States federal income tax purposes.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a prospectus supplement or free writing prospectus, our debt securities will not be subject to a sinking fund or entitled to any guarantees and you will not be permitted to require us to redeem or repurchase the debt securities at your option.</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a prospectus supplement or free writing prospectus, the applicable trustee shall serve as the initial paying agent and security registrar for our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debt securities will be our unsecured obligations.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Prior to the issuance of each series of debt securities, the terms of the particular series of debt securities will be specified in either a supplemental indenture or a board resolution and one or more officers’ certificates. We refer you to the applicable prospectus supplement or free writing prospectus for a description of the following terms of each series of debt securities:</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shall be payable, if other than the person in whose name that security is registered;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is payable or the method of determining such date and any right to shorten or extend the date on which the principal is payable and the conditions to any such change;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or method of determination of interest; the date or dates from which interest will accrue; the dates on which interest will be payable, which we refer to as the “interest payment dates”; the manner (if any) of determination of such interest payment dates; and any record dates for the interest payable on the interest payment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the interest payment periods or defer the payment of interest and the terms of such extension or deferral;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any premium and interest on the debt securities will be payable and whether, if acceptable to the trustee, any principal of such debt securities will be payable without presentation or surrender thereof;</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or the date or dates on which, the price or prices at which and the terms and conditions upon which Sempra may redeem the debt securities, in whole or in part, and the manner in which any election by Sempra to redeem the debt securities shall be evidenced;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debt securities pursuant to any sinking fund, purchase fund or analogous provision, or any option of the registered holder to require us to redeem or purchase debt securities, and the terms and conditions upon which the debt securities will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issuable (if, for senior debt securities, other than denominations of $1,000 and any integral multiples thereof, or for subordinated debt securities, other than denominations of $2,000 and any integral multiples of $1,000 in excess thereof);</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of or any premium or interest on any debt securities may be determined with reference to an index or pursuant to a formula and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principal of and any premium or interest on the debt securities will be payable, if other than United States dollars, and the manner of determining the equivalent thereof in United States dollars;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our election or the election of the registered holder, the payments of principal of or any premium or interest on the debt securities will be payable in one or more currencies or currency units other than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those in which the debt securities are stated to be payable, the terms and conditions upon which such election is to be made and the manner in which such amounts shall be determined;</w:t>
      </w:r>
    </w:p>
    <w:p>
      <w:pPr>
        <w:spacing w:after="0" w:line="67" w:lineRule="exact"/>
        <w:rPr>
          <w:sz w:val="20"/>
          <w:szCs w:val="20"/>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the debt securities that will be payable upon declaration of acceleration of the maturity date, if other than the entire principal amount;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will be deemed to be the principal amount of the debt securities as of any date or dates before the stated maturity date, if the principal amount will not be determinable as of any such date or dates prior to the stated maturity date, including the principal amount which will be due and payable or outstanding as of any such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sections of the indenture providing for defeasance do not apply to the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the debt securities are to be issued in whole or in part in the form of one or more global securities and, in such case, the identity of the depositary for the global securities;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modification or deletion of any events of default or covenants provided in the applicable indenture and any change in the acceleration provisions;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the indenture;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the definition of “Senior Indebtedness” and the subordination provisions applicable thereto (if other than those described below under “—Subordination”) or, if the definition of “Senior Indebtedness” or the subordination provisions described below under “—Subordination” shall be applicable to the subordinated debt securities of such series, any additions to, modifications of or deletions from the definition of “Senior Indebtedness” and the subordination provisions described below under “— Subordination” with respect to the subordinated debt securities of such series; and</w:t>
      </w:r>
    </w:p>
    <w:p>
      <w:pPr>
        <w:spacing w:after="0" w:line="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if the debt securities are subordinated debt securities, any other additions to, modifications of or deletions from the subordinated indenture with respect to the subordinated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301.)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senior debt securities will be our unsecured and unsubordinated obligations. The indebtedness represented by the senior debt securities will rank equally in right of payment with all of our other unsecured and unsubordinated indebtedness. The indebtedness represented by the subordinated debt securities will rank junior and subordinate in right of payment to the prior payment in full of our existing and future Senior Indebtedness (as defined with respect to each series of subordinated debt securities), to the extent and in the manner set forth below under “—Subordination” or as may be set forth in the applicable prospectus supplement or free writing prospectus. In addition, the subordinated debt securities will be effectively subordinated in right of payment to any secured indebtedness we may have or may incur (to the extent of the value of the collateral securing such secured indebtedness). The term “Senior Indebtedness,” when used with respect to the subordinated debt securities of any series, has the meaning set forth below under “—Subordination” unless a different definition shall be set forth in the applicable prospectus supplement or a free writing prospectus relating to the subordinated debt securities of such series. The debt securities are the obligations of Sempra exclusively, and are not the obligations of any of our consolidated entities, equity method investees or other affiliates. Because we are a holding company and substantially all the assets that produce our earnings are owned by our consolidated subsidiaries or our equity method investees, which are entities we do not control, the debt securities will be effectively subordinated to all existing and future indebtedness and other liabilities and any preferred equity of our subsidiaries. In addition, to secure the trustee’s right to compensation, reimbursement and indemnity, the senior indenture and the subordinated indenture each create a first priority lien prior to the debt securities on all property and funds held by the trustee other than funds held in trust for the benefit of debt security 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a holding company and substantially all the assets that produce our earnings are owned by our consolidated subsidiaries or our equity method investees, which are entities we do not control. Our ability to meet our obligations under our debt securities largely depends on distributions from our subsidiaries and equity method investees, which in turn depend on their ability to execute their business strategies and generate cash flows in excess of their own expenditures, dividend payments to third-party owners (if any) and debt and other obligations. Our subsidiaries and equity method investees are all separate and distinct legal entities that are not obligated to pay dividends or make loans or distributions to us and could be precluded from doing so by legislation, regulation or contractual restrictions, in times of financial distress or in other circumstances, and they have no obligation to pay any amounts due on our debt securities or to make any funds available for payment of amounts due on our debt securities.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our obligations under the debt securities will be structurally subordinated to all existing and future indebtedness and other liabilities and any preferred equity of our subsidiaries. Therefore, our rights and the rights of our creditors, including the rights of the holders of our debt securities, to participate in the assets of any subsidiary upon the liquidation or reorganization of the subsidiary will be subject to the prior claims of the subsidiary’s creditors. To the extent that we may ourselves be a creditor with recognized claims against any of our subsidiaries, our claims would still be effectively subordinated to any security interest in, or mortgages or other liens on, the assets of the subsidiary and would be subordinated to any indebtedness or other liabilities of the subsidiary that are senior to our claims. We expect to incur, and expect that our subsidiaries will incur, substantial additional amounts of indebtedness.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Debt Securities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will pay interest on the debt securities on each interest payment date to the person in whose name the debt securities are registered as of the close of business on the regular record date relating to the interest payment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if we default in paying interest on a debt security, we will pay defaulted interest, at our election, in either of the two following ways:</w:t>
      </w:r>
    </w:p>
    <w:p>
      <w:pPr>
        <w:spacing w:after="0" w:line="131" w:lineRule="exact"/>
        <w:rPr>
          <w:sz w:val="20"/>
          <w:szCs w:val="20"/>
          <w:color w:val="auto"/>
        </w:rPr>
      </w:pPr>
    </w:p>
    <w:p>
      <w:pPr>
        <w:ind w:left="1080" w:hanging="424"/>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first propose to the trustee a payment date for the defaulted interest, and at the same time we will deposit with the trustee an amount to be paid in respect of the defaulted interest or make arrangements satisfactory to the trustee for such deposit before the date of the proposed payment. Next, the trustee will choose a special record date for determining which registered holders are entitled to the payment and cause notice to be given to each registered holder of the debt securities at least 10 days before the special record date. The special record date will be between 10 and 15 days before the proposed payment date. Finally, the defaulted interest will be paid on the payment date to the registered holder of the debt security as of the close of business on the special record date.</w:t>
      </w:r>
    </w:p>
    <w:p>
      <w:pPr>
        <w:spacing w:after="0" w:line="92"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can propose to the trustee any other lawful manner of payment that is not inconsistent with the requirements of any securities exchange on which the debt securities are listed for trading. If the trustee thinks the proposal is practicable, payment will be made as proposed.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307.)</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pay principal of and any premium on the debt securities at stated maturity, upon redemption or as otherwise required, upon presentation of the debt securities at the office of the paying agent, which initially will be the trustee or such other paying agent designated in accordance with the applicable indenture. Any other paying agent initially designated for the debt securities of a particular series will be named in the applicable prospectus supplement or free writing prospectus. In our discretion, we may remove and/or appoint one or more additional paying agents and change or designate one or more additional places for payment. A place for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the debt securities will be provided in the Borough of Manhattan, The City of New York, New York. (See Section 1002.)</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any interest payment date, redemption date or the maturity date of the debt securities is not a business day at any place of payment, then payment of the principal and premium, if any, or interest, as applicable, may be made on the next business day at that place of payment. In that case, no interest will accrue on the amount payable for the period from and after the applicable interest payment date, redemption date or maturity date, as the case may be (See Section 113.)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Transfers; Exchanges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debt securities initially will be issued in book-entry form and represented by one or more global securities deposited with, or on behalf of, The Depository Trust Company, New York, New York, as depositary, which we refer to as “DTC” or the “depositary” in this prospectus, and registered in the name of Cede &amp; Co., its nominee. This means that you will not be entitled to receive a certificate for the debt securities that you purchase except under the limited circumstances described below under the heading “Global Securities.” If any of the debt securities are issued in certificated form, they will be issued only in fully registered form without coupons, in denominations of, with respect to senior debt securities, $1,000 or integral multiples thereof or, in the case of subordinated debt securities, $2,000 or integral multiples of $1,000 in excess thereof. (See Section 302.)</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You will receive payments and may transfer debt securities in book-entry form only through the facilities of DTC and its direct and indirect participants as described below under the heading “Global Securities.” We will maintain an office or agency in the Borough of Manhattan, The City of New York where notices and demands in respect of the debt securities and the indentures may be delivered to us and where certificated debt securities may be surrendered for payment, registration of transfer or exchange. That office or agency will initially be an office of the trustee, which is currently located at 100 Wall Street, Suite 1600, New York, New York 10005. (See Section 1002).</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may have your certificated debt securities divided into debt securities of smaller authorized denominations or combined into debt securities of larger authorized denominations, as long as the total principal amount is not changed. This is called an “exchange.” (See Section 305.)</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may exchange or transfer certificated debt securities at the office of the trustee, as security registrar. The security registrar acts as our agent for registering debt securities in the names of holders and transferring and exchanging debt securities. (See Section 305.)</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our discretion, we may change the place for registration of transfer and exchange of the debt securities and for delivery of notices and demands in respect of the debt securities and the applicable indenture and we may remove and/or appoint one or more additional security registrars or act as our own agent for this purpose. (See Sections 305 and 1002.)</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There will be no service charge for any transfer or exchange of the debt securities, but you may be required to pay a sum sufficient to cover any tax or other governmental charge payable in connection with the transfer or exchange. We may block the transfer or exchange of (i) any debt securities during a period of 15 days before mailing any notice of redemption of such senior debt securities or (ii) any debt security selected for redemption in whole or in part, except the unredeemed portion of any debt security being redeemed in part. (See Section 305.)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redemption provisions, if any, applicable to the debt securities of any series will be set forth in the applicable prospectus supplement or free writing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mail notice of any redemption at least 30 days, but not more than 60 days, before the redemption date to each registered holder of the debt securities to be redeemed. Once notice of redemption is mailed, the debt securities called for redemption will become due and payable on the redemption date and at the applicable redemption price, plus any accrued and unpaid interest to the redemption date. If we elect to redeem all or a portion of the debt securities, that redemption will not be conditional upon receipt by the trustee or other paying agent of monies sufficient to pay the redemption price. (See Section 1104.)</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we default in payment of the redemption price and accrued interest, if any, from and after the redemption date the debt securities or portions thereof called for redemption will cease to bear interest. We will pay the redemption price and any accrued interest once the debt securities are surrendered for redemption. (See Section 1105.) If only part of a debt security is redeemed, the trustee will deliver new debt securities of the same series for the remaining portion without charge. (See Section 1106.)</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we elect to redeem only a portion of the debt securities, the debt securities to be redeemed will be selected in accordance with the procedures of DTC, in the case of debt securities represented by one or more global securities, or by the trustee as set forth in the applicable indenture, in the case of debt securities that are not represented by one or more global securities. (See Section 1103.)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occurs with respect to the debt securities of any series if:</w:t>
      </w:r>
    </w:p>
    <w:p>
      <w:pPr>
        <w:spacing w:after="0" w:line="131" w:lineRule="exact"/>
        <w:rPr>
          <w:sz w:val="20"/>
          <w:szCs w:val="20"/>
          <w:color w:val="auto"/>
        </w:rPr>
      </w:pPr>
    </w:p>
    <w:p>
      <w:pPr>
        <w:ind w:left="1080" w:hanging="424"/>
        <w:spacing w:after="0" w:line="254"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any interest on any debt securities of such series when it becomes due and payable and such default continues for 30 days (whether or not, if such debt securities are subordinated debt securities, such payment is prohibited by the subordination provisions applicable to such subordinated debt securities); provided, however, that, if we are permitted by the terms of the debt securities of such series to extend or defer the payment of interest on such debt securities and if we have elected such an extension or deferral in accordance with the terms of such debt securities, then a failure to pay interest prior to the end of such extension period or deferral period, as the case may be, shall not constitute an event of default with respect to the debt securities of such series unless we are required, by the terms of the debt securities of such series, to make a payment of interest on a redemption date or other date during such extension or deferral period and fails to make such payment within 30 days of the due date, in which case such failure shall be an event of default with respect to the debt securities of such series;</w:t>
      </w:r>
    </w:p>
    <w:p>
      <w:pPr>
        <w:spacing w:after="0" w:line="93"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any principal of or premium on any debt securities of such series at maturity with respect to senior debt securities or when it becomes due and payable in the case of subordinated debt securities (whether or not, if such debt securities are subordinated debt securities, such payment is prohibited by the subordination provisions applicable to such subordinated debt securities);</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make a sinking fund payment with respect to any debt securities of such series when and as due and, in the case of subordinated debt securities, such default continues for 60 days (whether or not, if such debt securities are subordinated debt securities, such payment is prohibited by the subordination provisions applicable to such subordinated debt securities);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default in the performance or breach of any other covenant or warranty in the applicable indenture (excluding covenants and warranties solely applicable to one or more other series of debt securities issued under the applicable indenture) or the debt securities of such series for 60 days after there has been given to us, by registered or certified mail, a written notice of default specifying such default or breach and requiring its remedy; the notice must be sent by either the trustee or registered holders of at least 25% in principal amount of the outstanding debt securities of such series;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senior debt securities, a default occurs under any bond, note, debenture or other instrument evidencing any indebtedness for money borrowed by us (including a default with respect to any other series of debt securities issued under the applicable indenture),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140"/>
        <w:spacing w:after="0" w:line="266" w:lineRule="auto"/>
        <w:rPr>
          <w:sz w:val="20"/>
          <w:szCs w:val="20"/>
          <w:color w:val="auto"/>
        </w:rPr>
      </w:pPr>
      <w:r>
        <w:rPr>
          <w:rFonts w:ascii="Times New Roman" w:cs="Times New Roman" w:eastAsia="Times New Roman" w:hAnsi="Times New Roman"/>
          <w:sz w:val="18"/>
          <w:szCs w:val="18"/>
          <w:color w:val="auto"/>
        </w:rPr>
        <w:t>under any mortgage, indenture or other instrument under which there may be issued or by which there may be secured or evidenced any indebtedness for money borrowed by us (or the payment of which is guaranteed by us), whether such indebtedness or guarantee exists on the date of the applicable indenture or is issued or entered into following the date of the applicable indenture, if:</w:t>
      </w:r>
    </w:p>
    <w:p>
      <w:pPr>
        <w:spacing w:after="0" w:line="81" w:lineRule="exact"/>
        <w:rPr>
          <w:sz w:val="20"/>
          <w:szCs w:val="20"/>
          <w:color w:val="auto"/>
        </w:rPr>
      </w:pPr>
    </w:p>
    <w:p>
      <w:pPr>
        <w:ind w:left="1540" w:hanging="331"/>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 results from the failure to pay any such indebtedness when due; or</w:t>
      </w:r>
    </w:p>
    <w:p>
      <w:pPr>
        <w:spacing w:after="0" w:line="21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such default the maturity of such indebtedness has been accelerated prior to its expressed maturity; and</w:t>
      </w:r>
    </w:p>
    <w:p>
      <w:pPr>
        <w:spacing w:after="0" w:line="211"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indebtedness, together with the principal amount of any other such indebtedness in default for failure to pay any such indebtedness when due or the maturity of which has been so accelerated, aggregates at least $25 million;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other specified events of bankruptcy, insolvency, receivership or reorganization occur with respect to us;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the applicable prospectus supplement or free writing prospectus with respect to a particular series of debt securities occurs.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501.)</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event of default with respect to a series of debt securities necessarily constitutes an event of default with respect to the debt securities of any other series issued under the applicable indenture.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March 31, 2026, the terms of approximately $750 million aggregate principal amount of outstanding senior debt securities that we previously issued under the senior indenture (the “prior senior debt securities”) included the event of default described in the fifth bullet listed in the first paragraph under “—Events of Default” (a so-called “cross-default” event of default), with a threshold amount of at least $25 million. However, we anticipate that future senior debt securities offered by us will not include the event of default described in the fifth bullet listed in the first paragraph under “—Events of Default” or any other “cross-default” event of default. Accordingly, if a series of debt securities offered hereby does not include a “cross-default” event of default, then the principal of and interest on the prior senior debt securities may be declared due and payable immediately upon the occurrence of a “cross-default” event of default, while the holders of the senior debt securities of such series offered hereby will not be entitled to accelerate such debt securities as a result of such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Acceleration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any series of debt securities, then either the trustee or the registered holders of at least 25% in principal amount of the outstanding debt securities of that series may declare the principal amount of all of the debt securities of that series, together with accrued and unpaid interest thereon, to be due and payable immediately, and upon any such declaration the principal of and accrued and unpaid interest on the debt securities of that series shall become immediately due and payable (notwithstanding, in the case of subordinated debt securities, if the terms of the subordinated debt securities of such series permit us to defer or extend the payment of interest thereon, any such extension or deferral). (See Section 502.)</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Rescission of Acceleration</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After the declaration of acceleration has been made with respect to any series of debt securities and before the trustee has obtained a judgment or decree for payment of the money due, the event of default giving rise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declaration will be deemed to have been waived and the declaration and its consequences will be rescinded and annulled, if:</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deposit with the trustee a sum sufficient to pay: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the debt securities of that series, other than interest which has become due by declaration of acceleration;</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any premium on the debt securities of that series which have become due otherwise than by the declaration of acceleration, and overdue interest on these amounts to the extent lawful;</w:t>
      </w:r>
    </w:p>
    <w:p>
      <w:pPr>
        <w:spacing w:after="0" w:line="67"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overdue interest, other than interest which has become due by declaration of acceleration, on the debt securities of that series to the extent lawful;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to the trustee under the applicable indenture;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the debt securities of that series, other than the nonpayment of the principal and interest which has become due solely by the declaration of acceleration, have been cured or waived as provided in the applicable indenture.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502.)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as to waiver of defaults, see “—Waiver of Default and of Compliance” below.</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Control by Registered Holders; Limitations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with respect to the debt securities of any series occurs and is continuing, the registered holders of a majority in principal amount of the outstanding debt securities of that series, voting as a single class without regard to the holders of outstanding debt securities of any other series that may also be in default, will have the right to direct the time, method and place of:</w:t>
      </w:r>
    </w:p>
    <w:p>
      <w:pPr>
        <w:spacing w:after="0" w:line="81" w:lineRule="exact"/>
        <w:rPr>
          <w:sz w:val="20"/>
          <w:szCs w:val="20"/>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with respect to the debt securities of that series;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with respect to the debt securities of that series.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rights of registered holders to give directions are subject to the following limitations:</w:t>
      </w:r>
    </w:p>
    <w:p>
      <w:pPr>
        <w:spacing w:after="0" w:line="131" w:lineRule="exact"/>
        <w:rPr>
          <w:sz w:val="20"/>
          <w:szCs w:val="20"/>
          <w:color w:val="auto"/>
        </w:rPr>
      </w:pPr>
    </w:p>
    <w:p>
      <w:pPr>
        <w:ind w:left="1540" w:hanging="331"/>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directions do not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is not unduly prejudicial to the rights of holders of the debt securities of that series who do not join in that action.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trustee may also take any other action it deems proper which is not inconsistent with the registered holders’ direction. (See Sections 512 and</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603.)</w:t>
      </w:r>
    </w:p>
    <w:p>
      <w:pPr>
        <w:spacing w:after="0" w:line="207"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In addition, each indenture provides that no registered holder of debt securities of any series will have any right to institute any proceeding, judicial or otherwise, with respect to the applicable indenture or for the appointment of a receiver or for any other remedy under the indenture unless:</w:t>
      </w:r>
    </w:p>
    <w:p>
      <w:pPr>
        <w:spacing w:after="0" w:line="45" w:lineRule="exact"/>
        <w:rPr>
          <w:sz w:val="20"/>
          <w:szCs w:val="20"/>
          <w:color w:val="auto"/>
        </w:rPr>
      </w:pPr>
    </w:p>
    <w:p>
      <w:pPr>
        <w:ind w:left="1540" w:right="520" w:hanging="331"/>
        <w:spacing w:after="0" w:line="282"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registered holder has previously given the trustee written notice of a continuing event of default with respect to the debt securities of that series;</w:t>
      </w:r>
    </w:p>
    <w:p>
      <w:pPr>
        <w:spacing w:after="0" w:line="67"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at least 25% in principal amount of the outstanding debt securities of that series have made written request to the trustee to institute proceedings in respect of that event of default and have offered the trustee reasonable indemnity against costs, expenses and liabilities incurred in complying with the request; and</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320" w:top="455" w:right="5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0" w:hanging="331"/>
        <w:spacing w:after="0" w:line="266"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60 days after receipt of the notice, the trustee has failed to institute a proceeding and no direction inconsistent with the request has been given to the trustee during the 60-day period by the registered holders of a majority in principal amount of outstanding debt securities of that series.</w:t>
      </w:r>
    </w:p>
    <w:p>
      <w:pPr>
        <w:spacing w:after="0" w:line="176" w:lineRule="exact"/>
        <w:rPr>
          <w:sz w:val="20"/>
          <w:szCs w:val="20"/>
          <w:color w:val="auto"/>
        </w:rPr>
      </w:pPr>
    </w:p>
    <w:p>
      <w:pPr>
        <w:jc w:val="both"/>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Furthermore, no registered holder will be entitled to institute any action if and to the extent that the action would affect, disturb or prejudice the rights of other registered holders of debt securities under the applicable indenture. (See Section 507.)</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However, each registered holder has an absolute and unconditional right to receive payment when due and to bring a suit to enforce that right. (See Section 508.)</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Notice of Default</w:t>
      </w:r>
    </w:p>
    <w:p>
      <w:pPr>
        <w:spacing w:after="0" w:line="119" w:lineRule="exact"/>
        <w:rPr>
          <w:sz w:val="20"/>
          <w:szCs w:val="20"/>
          <w:color w:val="auto"/>
        </w:rPr>
      </w:pPr>
    </w:p>
    <w:p>
      <w:pPr>
        <w:jc w:val="both"/>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The trustee is required to give the registered holders of debt securities of the affected series notice of any default under the applicable indenture with respect to the debt securities of that series to the extent required by the Trust Indenture Act; except that, in the case of an event of default of the character specified above the fourth bullet listed under “—Events of Default,” no notice will be given to such registered holders until at least 30 days after the occurrence of the default. (See Section 602.) The Trust Indenture Act currently permits the trustee to withhold notices of default (except for certain payment defaults) if the trustee in good faith determines the withholding of the notice to be in the interests of the registered holders.</w:t>
      </w:r>
    </w:p>
    <w:p>
      <w:pPr>
        <w:spacing w:after="0" w:line="16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will furnish the trustee with an annual statement of whether we are in default in the performance or observance of any of the terms, provisions and conditions in the applicable indenture. (See Section 1005.)</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Waiver of Default and of Compliance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registered holders of a majority in principal amount of the outstanding debt securities of any series, voting as a single class without regard to the holders of outstanding debt securities of any other series, may waive, on behalf of all registered holders of the debt securities of that series, any past default under the applicable indenture, except a default in the payment of principal, premium (if any) or interest, or with respect to compliance with certain covenants or provisions of the applicable indenture that cannot be modified or amended without the consent of the registered holder of each outstanding debt security of that series. (See Section 513.)</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Compliance with certain covenants in the applicable indenture or otherwise provided with respect to debt securities of any series may be waived before the time specified for compliance by the registered holders of a majority in principal amount of the outstanding debt securities of such series. (See Section 1006.)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Conveyance of Assets as an Entirety; No Financial Covenants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have agreed not to consolidate or merge with or into any other entity, or to sell, transfer, lease or otherwise convey our properties and assets as an entirety or substantially as an entirety to any other entity, unless:</w:t>
      </w:r>
    </w:p>
    <w:p>
      <w:pPr>
        <w:spacing w:after="0" w:line="67" w:lineRule="exact"/>
        <w:rPr>
          <w:sz w:val="20"/>
          <w:szCs w:val="20"/>
          <w:color w:val="auto"/>
        </w:rPr>
      </w:pPr>
    </w:p>
    <w:p>
      <w:pPr>
        <w:ind w:left="1540" w:hanging="331"/>
        <w:spacing w:after="0" w:line="256"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we are the continuing entity (in the case of a merger) or (ii) the successor entity formed by such consolidation or into which we are merged or which acquires by sale, transfer, lease or other conveyance our properties and assets, as an entirety or substantially as an entirety, is a corporation organized and existing under the laws of the United States of America or any State thereof or the District of Columbia and expressly assumes, by supplemental indenture, the due and punctual payment of the principal, premium (if any) and interest on all the debt securities outstanding under the applicable indenture and the performance of every obligation in that indenture and such outstanding debt securities to be performed by us;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0" w:hanging="331"/>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under the applicable indenture, has or will have occurred and be continuing.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Neither of the indentures nor the debt securities contain any financial or other similar restrictive covenants.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801.)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Without Registered Holder Consent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any registered holders of debt securities outstanding under an indenture, we and the trustee may enter into one or more supplemental indentures to such indenture for any of the following purposes:</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entity to us;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one or more covenants of ours for the benefit of the holders of all or any series of debt securities issued under such indenture or to surrender any right or power conferred upon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all or any series of debt securities issued under such indenture; or</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of the provisions of such indenture to the extent necessary to permit or facilitate the issuance of debt securities in bearer form or to facilitate the issuance of debt securities in uncertificated form;</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 of such indenture so long as the change or elimination does not apply to any debt securities entitled to the benefit of such provision or to add any new provision to such indenture provided that any such addition does not apply to any outstanding debt securities issued under such indenture;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security for the debt securities of any series issued under such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 issued under such indenture, as permitted by such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of a separate or successor trustee;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or to make any other changes that do not adversely affect the interests of the holders of debt securities of any series under such indenture in any material respect;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of any series, to conform the terms of such debt securities, any officers’ certificate or supplemental indenture establishing the form or terms of such series of debt securities or, insofar as relates to such series of debt securities, the subordinated indenture to any terms set forth in the description of such debt securities appearing under the heading “Description of Debt Securities,” “Description of Notes” or other similar headings in the offering memorandum, prospectus supplement, free writing prospectus or other like offering document relating to the initial offering of such debt securities.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901.)</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With Registered Holder Consent</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following sentence, we and the trustee may, with some exceptions, amend or modify the applicable indenture with the consent of the registered holders of a majority in principal amount of the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securities of each series affected by the amendment or modification. However, no amendment or modification may, without the consent of the registered holder of each outstanding debt security affected thereby:</w:t>
      </w:r>
    </w:p>
    <w:p>
      <w:pPr>
        <w:spacing w:after="0" w:line="67" w:lineRule="exact"/>
        <w:rPr>
          <w:sz w:val="20"/>
          <w:szCs w:val="20"/>
          <w:color w:val="auto"/>
        </w:rPr>
      </w:pPr>
    </w:p>
    <w:p>
      <w:pPr>
        <w:ind w:left="1540" w:hanging="331"/>
        <w:spacing w:after="0" w:line="258"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premium (if any) or interest on any debt security or reduce the principal amount, interest or any premium payable or change any place of payment where or the currency in which any debt security is payable, or impair the right to bring suit to enforce any payment, or, in the case of any subordinated debt security, if we have the right to extend or defer the payment of interest on such debt security, to increase the maximum time period of any such extension or deferral or increase the maximum number of times we may extend or defer any such interest payment;</w:t>
      </w:r>
    </w:p>
    <w:p>
      <w:pPr>
        <w:spacing w:after="0" w:line="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percentages of registered holders whose consent is required for any supplemental indenture or waiver;</w:t>
      </w:r>
    </w:p>
    <w:p>
      <w:pPr>
        <w:spacing w:after="0" w:line="130"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modifications to certain provisions in the applicable indenture relating to supplemental indentures and waivers of certain covenants and past defaults;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subordinated indenture, modify, delete or supplement any of the subordination provisions or the definition of Senior Indebtedness applicable to the subordinated debt securities of any series then outstanding in a manner adverse to the holders of such subordinated debt securities.</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the applicable indenture expressly included solely for the benefit of holders of debt securities of one or more particular series will be deemed not to affect the rights under the applicable indenture of the holders of debt securities of any other series.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902.)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Each indenture provides, unless the terms of the particular series of debt securities provide otherwise, that we may, upon satisfying several conditions, cause ourselves to be discharged from our obligations, with some exceptions, with respect to any series of debt securities under such indenture, which we refer to as “defeasance.”</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One condition we must satisfy is the irrevocable deposit with the trustee, in trust, of money and/or government obligations which, through the scheduled payment of principal and interest on those obligations, would provide sufficient moneys to pay the principal of and any premium and interest on the debt securities of the applicable series on the maturity dates of the payments or upon redemption.</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addition, we will be required to deliver an opinion of counsel to the effect that a holder of debt securities of the applicable series will not recognize income, gain or loss for federal income tax purposes as a result of the defeasance and will be subject to federal income tax on the same amounts, at the same times and in the same manner as if that defeasance had not occurred. The opinion of counsel must be based upon a ruling of the Internal Revenue Service or a change in law after the date of the applicable indenture.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Article XIII.)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applicable indenture will cease to be of further effect with respect to any series of debt securities, and we will be deemed to have satisfied and discharged all of our obligations under the applicable indenture with respect to the debt securities of such series, except as noted below, when:</w:t>
      </w:r>
    </w:p>
    <w:p>
      <w:pPr>
        <w:spacing w:after="0" w:line="67" w:lineRule="exact"/>
        <w:rPr>
          <w:sz w:val="20"/>
          <w:szCs w:val="20"/>
          <w:color w:val="auto"/>
        </w:rPr>
      </w:pPr>
    </w:p>
    <w:p>
      <w:pPr>
        <w:ind w:left="1540" w:hanging="331"/>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jc w:val="center"/>
        <w:ind w:left="5540" w:right="1880" w:hanging="3885"/>
        <w:spacing w:after="0" w:line="454" w:lineRule="auto"/>
        <w:tabs>
          <w:tab w:leader="none" w:pos="22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such series have been delivered to the trustee for cancellation; or 23</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200" w:right="180" w:hanging="545"/>
        <w:spacing w:after="0" w:line="258" w:lineRule="auto"/>
        <w:tabs>
          <w:tab w:leader="none" w:pos="22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such series not delivered to the trustee for cancellation have become due and payable or will become due and payable within one year at their stated maturity or on a redemption date and we have deposited with the trustee, in trust, funds that are sufficient to pay and discharge the entire indebtedness on such debt securities, for principal and any premium and interest to the date of such deposit (in the case such outstanding debt securities have become due and payable) or to the stated maturity or redemption date, as the case may be;</w:t>
      </w:r>
    </w:p>
    <w:p>
      <w:pPr>
        <w:spacing w:after="0" w:line="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in the indenture relating to the satisfaction and discharge of the indenture as to such series have been complied with.</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the applicable indenture with respect to any series of debt securities, we will remain obligated to pay amounts due under certain provisions of the applicable indenture and to perform certain ministerial tasks as described in the applicable indenture.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401.)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the Trustee; Deemed Resignation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trustee with respect to any series of debt securities may resign at any time by giving written notice to us. The trustee may also be removed with respect to the debt securities of any series by the registered holders of a majority in principal amount of the outstanding debt securities of such series. No resignation or removal of the trustee and no appointment of a successor trustee will become effective until the acceptance of appointment by a successor trustee in accordance with the requirements of the applicable indenture. (See Section 610.)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subordinated debt securities of each series will be subordinated in right of payment to the prior payment in full of all our Senior Indebtedness (as defined with respect to such series). This means that, with respect to the subordinated debt securities of any series, upon:</w:t>
      </w:r>
    </w:p>
    <w:p>
      <w:pPr>
        <w:spacing w:after="0" w:line="67" w:lineRule="exact"/>
        <w:rPr>
          <w:sz w:val="20"/>
          <w:szCs w:val="20"/>
          <w:color w:val="auto"/>
        </w:rPr>
      </w:pPr>
    </w:p>
    <w:p>
      <w:pPr>
        <w:ind w:left="1540" w:right="540" w:hanging="331"/>
        <w:spacing w:after="0" w:line="282"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us, or any distribution of our assets, upon our dissolution, winding-up, liquidation or reorganization, whether voluntary or involuntary or in bankruptcy, insolvency, receivership or other proceedings; or</w:t>
      </w:r>
    </w:p>
    <w:p>
      <w:pPr>
        <w:spacing w:after="0" w:line="67"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any principal, interest or other monetary amounts due on any of our Senior Indebtedness (as defined with respect to the subordinated debt securities of such series) when due and continuance of that default beyond any applicable grace period;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maturity of any such Senior Indebtedness as a result of a default;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holders of all of our Senior Indebtedness (as defined with respect to the subordinated debt securities of such series) will be entitled to receive:</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first bullet listed above, payment of all amounts due or to become due on all such Senior Indebtedness;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second and third bullets listed above, payment of all amounts due on all such Senior Indebtedness,</w:t>
      </w:r>
    </w:p>
    <w:p>
      <w:pPr>
        <w:spacing w:after="0" w:line="225"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before the holders of any of the subordinated debt securities of such series are entitled to receive any payment. So long as any of the events in the first three bullets listed above has occurred and is continuing, any amounts payable or assets distributable on the subordinated debt securities of such series will instead be paid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distributed, as the case may be, directly to the holders of such Senior Indebtedness (as defined with respect to the subordinated debt securities of such series) to the extent necessary to pay, in the case of the first bullet listed above, all amounts due or to become due upon all such Senior Indebtedness, or, in the case of the second and third bullets listed above, all amounts due on all such Senior Indebtedness, and, if any such payment or distribution is received by the trustee under the subordinated indenture in respect of the subordinated debt securities of such series or by the holders of any of the subordinated debt securities of such series before all such Senior Indebtedness due and to become due or due, as applicable, is paid, the payment or distribution must be paid over to the holders of such unpaid Senior Indebtedness. Subject to paying the applicable Senior Indebtedness due and to become due in the case of the first bullet listed above or the Senior Indebtedness due in the case of the second and third bullets listed above, the holders of the subordinated debt securities of such series will be subrogated to the rights of the holders of such Senior Indebtedness to receive payments applicable to such Senior Indebtedness until the subordinated debt securities of such series are paid in full. (See Sections 1401 and 1403.)</w:t>
      </w:r>
    </w:p>
    <w:p>
      <w:pPr>
        <w:spacing w:after="0" w:line="188"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“Senior Indebtedness” means, with respect to the subordinated debt securities of any series, (i) our indebtedness, whether outstanding at the date of the subordinated debt indenture or incurred, created or assumed after such date, (a) in respect of money borrowed by us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us; (ii) all our finance lease obligations; (iii) all our obligations issued or assumed as the deferred purchase price of property, all our conditional sale obligations and all our obligations under any title retention agreement (but excluding, for the avoidance of doubt, trade accounts payable arising in the ordinary course of business and long-term purchase obligations); (iv) all our obligations for the reimbursement of any letter of credit, banker’s acceptance, security purchase facility or similar credit transaction; and (v) all obligations of the type referred to in clauses (i) through (iv) above of other persons for the payment of which we are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subordinated debt securities of such series. (See Section 101.)</w:t>
      </w:r>
    </w:p>
    <w:p>
      <w:pPr>
        <w:spacing w:after="0" w:line="19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Due to the subordination, if our assets are distributed upon our dissolution, winding-up, liquidation or reorganization, holders of our Senior Indebtedness and other indebtedness and obligations that are not equal or junior to subordinated debt securities in right of payment will likely recover more, ratably, than holders of subordinated debt securities and it is possible that no payments will be made to the holders of subordinated debt securities.</w:t>
      </w:r>
    </w:p>
    <w:p>
      <w:pPr>
        <w:spacing w:after="0" w:line="158"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subordination provisions applicable to the subordinated debt securities of any series will cease to apply in the event of defeasance or satisfaction and discharge with respect to the subordinated debt securities of such series. (See Section 1307.)</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subordinated debt securities and the subordinated indenture do not limit us or any of our subsidiaries’ ability to incur additional indebtedness, including, in our case of, Senior Indebtedness. We expect that we will incur, and that our subsidiaries will incur, substantial additional amounts of indebtedness, including, in our case, Senior Indebtedness, in the future. The subordinated debt securities will be structurally subordinated to all indebtedness and other liabilities of our subsidiaries. (See Section 301.)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and conditions of any series of debt securities being offered that are convertible into our common stock or other equity securities will be set forth in the applicable prospectus supplement or free writing prospectus. These terms will include the conversion price, the conversion period, provisions as to whether conversion will be at the option of the holder or us, the events requiring an adjustment of the conversion price and provisions affecting conversion if such series of debt securities are redeemed.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indenture provides that certain debt securities, including those for which payment or redemption money has been deposited or set aside in trust as described under “—Satisfaction and Discharge” above, will not be deemed to be “outstanding” in determining whether the registered holders of the requisite principal amount of the outstanding debt securities have given or taken any demand, direction, consent or other action under the indenture as of any date. (See Section 101.)</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be entitled to set any day as a record date for the purpose of determining the registered holders of outstanding debt securities of any series entitled to give or take any demand, direction, consent or other action under the applicable indenture, in the manner and subject to the limitations provided in the applicable indenture. In certain circumstances, the trustee also will be entitled to set a record date for action by registered holders of any series of outstanding debt securities. If a record date is set for any action to be taken by registered holders of particular debt securities, the action may be taken only by persons who are registered holders of the respective debt securities on the record date. (See Section 104.)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Each indenture and the debt securities will be governed by and construed in accordance with the laws of the State of New York, without regard to conflicts of laws principles thereof. (See Section 112.)</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purchase contracts, units, depositary shares or warrants that may be offered and sold pursuant to this prospectus.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55"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Under this heading “Global Securities,” references to “Sempra,” “we,” “us,” “our” and similar terms mean, unless otherwise specified or the context otherwise requires, Sempra excluding its consolidated entities; and references to the “securities” mean the debt securities offered under this prospectus and the applicable prospectus supplement or free writing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debt securities of each series initially will be issued in book-entry form and represented by one or more global debt securities, which we refer to as “global securities.” The global securities will be deposited with, or on behalf of, DTC, as depositary (which we sometimes refer to as the “depositary”), and registered in the name of Cede &amp; Co., the nominee of DTC. Unless and until it is exchanged for definitive debt securities in certificated form registered in the names of persons other than the depositary or its nominee, which we refer to as “certificated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Indirect access to the DTC system is also available to others, which we sometimes refer to as “indirect participants,” that clear transactions through or maintain a custodial relationship with a direct participant, either directly or indirectly. The rules applicable to DTC and its participants are on file with the SEC.</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nominee, Cede &amp; Co., or such other name as may be requested by an authorized representative of DTC. The deposit of securities with DTC and their registration in the name of Cede &amp; Co.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global securities of a particular series are being redeemed, DTC’s practice is to determine by lot the amount of the beneficial interest of each direct participant in the global securities of such series to be redeemed.</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any case where a consent or vote may be required with respect to any securities, neither DTC nor Cede &amp; Co. (or such other DTC nominee) will consent or vote with respect to the applicable global securities. Under its usual procedures, DTC will mail an omnibus proxy to us as soon as possible after the record date. The omnibus proxy assigns the consenting or voting rights of Cede &amp; Co. (or such other DTC nominee) to those direct participants to whose accounts beneficial interests in such global securities are credited on the record date, identified in a listing attached to the omnibus proxy.</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certificated securities are issued under the limited circumstances described below, we will have the option of making payments by check mailed to the addresses of the persons entitled to payment as such addresses shall appear in the security register or by wire transfer at such places and to such accounts at such banking institutions in the United States as may be designated in writing to the applicable trustee at least 15 days before the applicable payment date by the persons entitled to payment.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DTC’s practice is to credit direct participants’ accounts upon DTC’s receipt of funds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the principal of, premium (if any) and interest on the global securities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applicable indenture.</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2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for the global security or securities representing such series of securities or if DTC ceases to be a clearing agency registered under the Exchange Act at a time when it is required to be registered and a successor depositary is not appointed by us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the securities of such series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(as defined) under the applicable indenture has occurred and is continuing with respect to the securities of such series,</w:t>
      </w:r>
    </w:p>
    <w:p>
      <w:pPr>
        <w:spacing w:after="0" w:line="225"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certificated securities of such series in exchange for beneficial interests in the global securities. Any beneficial interest in a global security that is exchangeable under the circumstances described in the preceding sentence will be exchangeable for certificated securities of such series in definitive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Euroclear and Clearstream</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4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information under this heading “Global Securities”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nor any broker, dealer, underwriter or agent of ours involved in the offer or sale of any securities, has any control over those entities and none of us or them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the trustee nor any agent of ours or of the trustee, nor any broker, dealer, underwriter or agent of ours involved in the offer or sale of any securities, will have any responsibility for the performance or nonperformance by DTC, Clearstream and Euroclear or their respective participants of these or any other rules or procedures governing their respective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offered pursuant to this prospectus from time to time:</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foregoing methods of sale.</w:t>
      </w:r>
    </w:p>
    <w:p>
      <w:pPr>
        <w:spacing w:after="0" w:line="225" w:lineRule="exact"/>
        <w:rPr>
          <w:sz w:val="20"/>
          <w:szCs w:val="20"/>
          <w:color w:val="auto"/>
        </w:rPr>
      </w:pPr>
    </w:p>
    <w:p>
      <w:pPr>
        <w:ind w:left="120" w:right="19" w:firstLine="44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respective compensation, in the applicable prospectus supplement.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139"/>
          </w:cols>
          <w:pgMar w:left="320" w:top="455"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Sempra.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Sempra incorporated by reference in this prospectus and the effectiveness of Sempra’s internal control over financial reporting, have been audited by Deloitte &amp; Touche LLP, an independent registered public accounting firm, as stated in their reports. Such financial statements are incorporated in reliance upon the reports of such firm given upon their authority as experts in accounting and auditing.</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Oncor Electric Delivery Holdings Company LLC incorporated by reference in this prospectus, have been audited by Deloitte &amp; Touche LLP, independent auditors, as stated in their report. Such financial statements are incorporated in reliance upon the report of such firm given upon their authority as experts in accounting and auditing.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40"/>
          </w:cols>
          <w:pgMar w:left="320" w:top="455" w:right="5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652780</wp:posOffset>
            </wp:positionV>
            <wp:extent cx="1697355" cy="342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1697355" cy="342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            Floating Rate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2390140</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BMO Capital Markets</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Academy Securities</w:t>
      </w:r>
    </w:p>
    <w:p>
      <w:pPr>
        <w:spacing w:after="0" w:line="200" w:lineRule="exact"/>
        <w:rPr>
          <w:sz w:val="20"/>
          <w:szCs w:val="20"/>
          <w:color w:val="auto"/>
        </w:rPr>
      </w:pPr>
    </w:p>
    <w:p>
      <w:pPr>
        <w:spacing w:after="0" w:line="25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Roman"/>
      <w:start w:val="3"/>
    </w:lvl>
  </w:abstractNum>
  <w:abstractNum w:abstractNumId="3">
    <w:nsid w:val="2D1D5AE9"/>
    <w:multiLevelType w:val="hybridMultilevel"/>
    <w:lvl w:ilvl="0">
      <w:lvlJc w:val="left"/>
      <w:lvlText w:val="(%1)"/>
      <w:numFmt w:val="lowerRoman"/>
      <w:start w:val="2"/>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Letter"/>
      <w:start w:val="1"/>
    </w:lvl>
    <w:lvl w:ilvl="1">
      <w:lvlJc w:val="left"/>
      <w:lvlText w:val="(%2)"/>
      <w:numFmt w:val="lowerRoman"/>
      <w:start w:val="1"/>
    </w:lvl>
  </w:abstractNum>
  <w:abstractNum w:abstractNumId="12">
    <w:nsid w:val="71F32454"/>
    <w:multiLevelType w:val="hybridMultilevel"/>
    <w:lvl w:ilvl="0">
      <w:lvlJc w:val="left"/>
      <w:lvlText w:val="%1"/>
      <w:numFmt w:val="lowerLetter"/>
      <w:start w:val="1"/>
    </w:lvl>
    <w:lvl w:ilvl="1">
      <w:lvlJc w:val="left"/>
      <w:lvlText w:val="(%2)"/>
      <w:numFmt w:val="lowerLetter"/>
      <w:start w:val="61"/>
    </w:lvl>
  </w:abstractNum>
  <w:abstractNum w:abstractNumId="13">
    <w:nsid w:val="2CA88611"/>
    <w:multiLevelType w:val="hybridMultilevel"/>
    <w:lvl w:ilvl="0">
      <w:lvlJc w:val="left"/>
      <w:lvlText w:val="(%1)"/>
      <w:numFmt w:val="lowerLetter"/>
      <w:start w:val="2"/>
    </w:lvl>
    <w:lvl w:ilvl="1">
      <w:lvlJc w:val="left"/>
      <w:lvlText w:val="%2"/>
      <w:numFmt w:val="lowerLetter"/>
      <w:start w:val="1"/>
    </w:lvl>
  </w:abstractNum>
  <w:abstractNum w:abstractNumId="14">
    <w:nsid w:val="836C40E"/>
    <w:multiLevelType w:val="hybridMultilevel"/>
    <w:lvl w:ilvl="0">
      <w:lvlJc w:val="left"/>
      <w:lvlText w:val="(%1)"/>
      <w:numFmt w:val="lowerLetter"/>
      <w:start w:val="1"/>
    </w:lvl>
    <w:lvl w:ilvl="1">
      <w:lvlJc w:val="left"/>
      <w:lvlText w:val="(%2)"/>
      <w:numFmt w:val="lowerRoman"/>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lvl w:ilvl="1">
      <w:lvlJc w:val="left"/>
      <w:lvlText w:val="•"/>
      <w:numFmt w:val="bullet"/>
      <w:start w:val="1"/>
    </w:lvl>
    <w:lvl w:ilvl="2">
      <w:lvlJc w:val="left"/>
      <w:lvlText w:val=" "/>
      <w:numFmt w:val="bullet"/>
      <w:start w:val="1"/>
    </w:lvl>
  </w:abstractNum>
  <w:abstractNum w:abstractNumId="26">
    <w:nsid w:val="419AC241"/>
    <w:multiLevelType w:val="hybridMultilevel"/>
    <w:lvl w:ilvl="0">
      <w:lvlJc w:val="left"/>
      <w:lvlText w:val="•"/>
      <w:numFmt w:val="bullet"/>
      <w:start w:val="1"/>
    </w:lvl>
    <w:lvl w:ilvl="1">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lvl w:ilvl="1">
      <w:lvlJc w:val="left"/>
      <w:lvlText w:val="•"/>
      <w:numFmt w:val="bullet"/>
      <w:start w:val="1"/>
    </w:lvl>
  </w:abstractNum>
  <w:abstractNum w:abstractNumId="36">
    <w:nsid w:val="51EAD36B"/>
    <w:multiLevelType w:val="hybridMultilevel"/>
    <w:lvl w:ilvl="0">
      <w:lvlJc w:val="left"/>
      <w:lvlText w:val="•"/>
      <w:numFmt w:val="bullet"/>
      <w:start w:val="1"/>
    </w:lvl>
    <w:lvl w:ilvl="1">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3"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jpe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56" Type="http://schemas.openxmlformats.org/officeDocument/2006/relationships/hyperlink" Target="http://www.sec.gov/ix?doc=/Archives/edgar/data/0001032208/000103220826000010/sre-20251231.htm" TargetMode="External"/><Relationship Id="rId57" Type="http://schemas.openxmlformats.org/officeDocument/2006/relationships/hyperlink" Target="http://www.sec.gov/ix?doc=/Archives/edgar/data/0001032208/000119312526127603/d90144ddef14a.htm" TargetMode="External"/><Relationship Id="rId58" Type="http://schemas.openxmlformats.org/officeDocument/2006/relationships/hyperlink" Target="http://www.sec.gov/ix?doc=/Archives/edgar/data/0001032208/000103220826000030/sre-20260331.htm" TargetMode="External"/><Relationship Id="rId61" Type="http://schemas.openxmlformats.org/officeDocument/2006/relationships/hyperlink" Target="http://www.sec.gov/Archives/edgar/data/1032208/0000950172-98-000549.txt" TargetMode="External"/><Relationship Id="rId62" Type="http://schemas.openxmlformats.org/officeDocument/2006/relationships/hyperlink" Target="http://www.sec.gov/Archives/edgar/data/86521/000103220826000010/sempra-123125xex42.htm" TargetMode="External"/><Relationship Id="rId64" Type="http://schemas.openxmlformats.org/officeDocument/2006/relationships/hyperlink" Target="http://www.sec.gov/ix?doc=/Archives/edgar/data/0001032208/000119312526219514/d12678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2026-06-04T08:29:00Z</dcterms:created>
  <dcterms:modified xsi:type="dcterms:W3CDTF">2026-06-04T08:29:00Z</dcterms:modified>
</cp:coreProperties>
</file>