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7493ddefa14a.htm"/>
      <w:bookmarkStart w:id="1" w:name="ksd12749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 xml:space="preserve">SCHEDULE 14A </w:t>
      </w:r>
    </w:p>
    <w:p>
      <w:pPr>
        <w:pStyle w:val="TextBody"/>
        <w:bidi w:val="0"/>
        <w:spacing w:before="0" w:after="0"/>
        <w:jc w:val="center"/>
        <w:rPr>
          <w:rFonts w:ascii="Arial" w:hAnsi="Arial"/>
          <w:b/>
          <w:sz w:val="24"/>
        </w:rPr>
      </w:pPr>
      <w:r>
        <w:rPr>
          <w:rFonts w:ascii="Arial" w:hAnsi="Arial"/>
          <w:b/>
          <w:sz w:val="24"/>
        </w:rPr>
        <w:t xml:space="preserve">Proxy Statement Pursuant to Section 14(a) of the </w:t>
      </w:r>
    </w:p>
    <w:p>
      <w:pPr>
        <w:pStyle w:val="TextBody"/>
        <w:bidi w:val="0"/>
        <w:spacing w:before="0" w:after="0"/>
        <w:jc w:val="center"/>
        <w:rPr>
          <w:rFonts w:ascii="Arial" w:hAnsi="Arial"/>
          <w:b/>
          <w:sz w:val="24"/>
        </w:rPr>
      </w:pPr>
      <w:r>
        <w:rPr>
          <w:rFonts w:ascii="Arial" w:hAnsi="Arial"/>
          <w:b/>
          <w:sz w:val="24"/>
        </w:rPr>
        <w:t xml:space="preserve">Securities Exchange Act of 1934 </w:t>
      </w:r>
    </w:p>
    <w:p>
      <w:pPr>
        <w:pStyle w:val="TextBody"/>
        <w:bidi w:val="0"/>
        <w:spacing w:before="0" w:after="0"/>
        <w:jc w:val="center"/>
        <w:rPr>
          <w:rFonts w:ascii="Arial" w:hAnsi="Arial"/>
          <w:b/>
          <w:sz w:val="24"/>
        </w:rPr>
      </w:pPr>
      <w:r>
        <w:rPr>
          <w:rFonts w:ascii="Arial" w:hAnsi="Arial"/>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20"/>
        </w:rPr>
      </w:pPr>
      <w:r>
        <w:rPr>
          <w:rFonts w:ascii="Arial" w:hAnsi="Arial"/>
          <w:sz w:val="20"/>
        </w:rPr>
        <w:t xml:space="preserve">Filed by the Registrant ☑ </w:t>
      </w:r>
    </w:p>
    <w:p>
      <w:pPr>
        <w:pStyle w:val="TextBody"/>
        <w:bidi w:val="0"/>
        <w:spacing w:before="240" w:after="0"/>
        <w:jc w:val="left"/>
        <w:rPr>
          <w:rFonts w:ascii="Arial" w:hAnsi="Arial"/>
          <w:sz w:val="20"/>
        </w:rPr>
      </w:pPr>
      <w:r>
        <w:rPr>
          <w:rFonts w:ascii="Arial" w:hAnsi="Arial"/>
          <w:sz w:val="20"/>
        </w:rPr>
        <w:t xml:space="preserve">Filed by a Party other than the Registrant ☐ </w:t>
      </w:r>
    </w:p>
    <w:p>
      <w:pPr>
        <w:pStyle w:val="TextBody"/>
        <w:bidi w:val="0"/>
        <w:spacing w:before="48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20"/>
              </w:rPr>
            </w:pPr>
            <w:r>
              <w:rPr>
                <w:rFonts w:ascii="Arial" w:hAnsi="Arial"/>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Soliciting Material Pursuant to Section 240.14a-11(c) or Section 240.14a-12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 xml:space="preserve">Southern California Gas Company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20"/>
        </w:rPr>
      </w:pPr>
      <w:r>
        <w:rPr>
          <w:rFonts w:ascii="Arial" w:hAnsi="Arial"/>
          <w:b/>
          <w:sz w:val="20"/>
        </w:rPr>
        <w:t xml:space="preserve">(Name of Person(s) Filing Proxy Statement, if other than the Registrant) </w:t>
      </w:r>
    </w:p>
    <w:p>
      <w:pPr>
        <w:pStyle w:val="TextBody"/>
        <w:bidi w:val="0"/>
        <w:spacing w:before="240" w:after="0"/>
        <w:jc w:val="left"/>
        <w:rPr>
          <w:rFonts w:ascii="Arial" w:hAnsi="Arial"/>
          <w:sz w:val="20"/>
        </w:rPr>
      </w:pPr>
      <w:r>
        <w:rPr>
          <w:rFonts w:ascii="Arial" w:hAnsi="Arial"/>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20"/>
              </w:rPr>
            </w:pPr>
            <w:r>
              <w:rPr>
                <w:rFonts w:ascii="Arial" w:hAnsi="Arial"/>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20"/>
              </w:rPr>
            </w:pPr>
            <w:r>
              <w:rPr>
                <w:rFonts w:ascii="Arial" w:hAnsi="Arial"/>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033"/>
        <w:gridCol w:w="2024"/>
        <w:gridCol w:w="60"/>
        <w:gridCol w:w="3025"/>
        <w:gridCol w:w="63"/>
      </w:tblGrid>
      <w:tr>
        <w:trPr/>
        <w:tc>
          <w:tcPr>
            <w:tcW w:w="5033" w:type="dxa"/>
            <w:tcBorders/>
            <w:vAlign w:val="center"/>
          </w:tcPr>
          <w:p>
            <w:pPr>
              <w:pStyle w:val="TableContents"/>
              <w:bidi w:val="0"/>
              <w:spacing w:before="0" w:after="283"/>
              <w:jc w:val="left"/>
              <w:rPr>
                <w:sz w:val="4"/>
                <w:szCs w:val="4"/>
              </w:rPr>
            </w:pPr>
            <w:r>
              <w:rPr>
                <w:sz w:val="4"/>
                <w:szCs w:val="4"/>
              </w:rPr>
            </w:r>
          </w:p>
        </w:tc>
        <w:tc>
          <w:tcPr>
            <w:tcW w:w="20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33" w:type="dxa"/>
            <w:tcBorders/>
          </w:tcPr>
          <w:p>
            <w:pPr>
              <w:pStyle w:val="TableContents"/>
              <w:bidi w:val="0"/>
              <w:spacing w:before="0" w:after="0"/>
              <w:jc w:val="left"/>
              <w:rPr/>
            </w:pPr>
            <w:r>
              <w:rPr/>
              <w:drawing>
                <wp:inline distT="0" distB="0" distL="0" distR="0">
                  <wp:extent cx="1493520" cy="5867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3520" cy="586740"/>
                          </a:xfrm>
                          <a:prstGeom prst="rect">
                            <a:avLst/>
                          </a:prstGeom>
                        </pic:spPr>
                      </pic:pic>
                    </a:graphicData>
                  </a:graphic>
                </wp:inline>
              </w:drawing>
            </w:r>
            <w:r>
              <w:rPr/>
              <w:t xml:space="preserve"> </w:t>
            </w:r>
          </w:p>
        </w:tc>
        <w:tc>
          <w:tcPr>
            <w:tcW w:w="20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25" w:type="dxa"/>
            <w:tcBorders/>
            <w:vAlign w:val="bottom"/>
          </w:tcPr>
          <w:p>
            <w:pPr>
              <w:pStyle w:val="TableContents"/>
              <w:bidi w:val="0"/>
              <w:jc w:val="right"/>
              <w:rPr/>
            </w:pPr>
            <w:r>
              <w:rPr/>
              <w:t>555 West 5th Street</w:t>
            </w:r>
          </w:p>
          <w:p>
            <w:pPr>
              <w:pStyle w:val="TableContents"/>
              <w:bidi w:val="0"/>
              <w:spacing w:before="0" w:after="20"/>
              <w:jc w:val="right"/>
              <w:rPr>
                <w:rFonts w:ascii="Arial" w:hAnsi="Arial"/>
                <w:sz w:val="22"/>
              </w:rPr>
            </w:pPr>
            <w:r>
              <w:rPr>
                <w:rFonts w:ascii="Arial" w:hAnsi="Arial"/>
                <w:sz w:val="22"/>
              </w:rPr>
              <w:t>Los Angeles, California, 90013</w:t>
            </w:r>
          </w:p>
        </w:tc>
        <w:tc>
          <w:tcPr>
            <w:tcW w:w="63" w:type="dxa"/>
            <w:tcBorders/>
            <w:vAlign w:val="bottom"/>
          </w:tcPr>
          <w:p>
            <w:pPr>
              <w:pStyle w:val="TableContents"/>
              <w:bidi w:val="0"/>
              <w:jc w:val="left"/>
              <w:rPr/>
            </w:pPr>
            <w:r>
              <w:rPr/>
              <w:t> </w:t>
            </w:r>
          </w:p>
          <w:p>
            <w:pPr>
              <w:pStyle w:val="TableContents"/>
              <w:bidi w:val="0"/>
              <w:spacing w:before="0" w:after="20"/>
              <w:jc w:val="left"/>
              <w:rPr/>
            </w:pPr>
            <w:r>
              <w:rPr/>
              <w:t> </w:t>
            </w:r>
          </w:p>
        </w:tc>
      </w:tr>
    </w:tbl>
    <w:p>
      <w:pPr>
        <w:pStyle w:val="TextBody"/>
        <w:bidi w:val="0"/>
        <w:spacing w:before="360" w:after="0"/>
        <w:jc w:val="center"/>
        <w:rPr>
          <w:rFonts w:ascii="Arial" w:hAnsi="Arial"/>
          <w:b/>
          <w:color w:val="FF0200"/>
          <w:sz w:val="22"/>
        </w:rPr>
      </w:pPr>
      <w:r>
        <w:rPr>
          <w:rFonts w:ascii="Arial" w:hAnsi="Arial"/>
          <w:b/>
          <w:color w:val="FF0200"/>
          <w:sz w:val="22"/>
        </w:rPr>
        <w:t xml:space="preserve">DEADLINE APPROACHING </w:t>
      </w:r>
    </w:p>
    <w:p>
      <w:pPr>
        <w:pStyle w:val="TextBody"/>
        <w:bidi w:val="0"/>
        <w:spacing w:before="240" w:after="0"/>
        <w:jc w:val="center"/>
        <w:rPr>
          <w:rFonts w:ascii="Arial" w:hAnsi="Arial"/>
          <w:b/>
          <w:color w:val="FF0200"/>
          <w:sz w:val="22"/>
        </w:rPr>
      </w:pPr>
      <w:r>
        <w:rPr>
          <w:rFonts w:ascii="Arial" w:hAnsi="Arial"/>
          <w:b/>
          <w:color w:val="FF0200"/>
          <w:sz w:val="22"/>
        </w:rPr>
        <w:t xml:space="preserve">PLEASE VOTE FOR CASH PAYMENT TODAY! </w:t>
      </w:r>
    </w:p>
    <w:p>
      <w:pPr>
        <w:pStyle w:val="TextBody"/>
        <w:bidi w:val="0"/>
        <w:spacing w:before="240" w:after="0"/>
        <w:jc w:val="right"/>
        <w:rPr>
          <w:rFonts w:ascii="Arial" w:hAnsi="Arial"/>
          <w:sz w:val="22"/>
        </w:rPr>
      </w:pPr>
      <w:r>
        <w:rPr>
          <w:rFonts w:ascii="Arial" w:hAnsi="Arial"/>
          <w:sz w:val="22"/>
        </w:rPr>
        <w:t xml:space="preserve">July 27, 2026 </w:t>
      </w:r>
    </w:p>
    <w:p>
      <w:pPr>
        <w:pStyle w:val="TextBody"/>
        <w:bidi w:val="0"/>
        <w:spacing w:before="120" w:after="0"/>
        <w:jc w:val="left"/>
        <w:rPr>
          <w:rFonts w:ascii="Arial" w:hAnsi="Arial"/>
          <w:sz w:val="22"/>
        </w:rPr>
      </w:pPr>
      <w:r>
        <w:rPr>
          <w:rFonts w:ascii="Arial" w:hAnsi="Arial"/>
          <w:sz w:val="22"/>
        </w:rPr>
        <w:t xml:space="preserve">Dear Shareholder: </w:t>
      </w:r>
    </w:p>
    <w:p>
      <w:pPr>
        <w:pStyle w:val="TextBody"/>
        <w:bidi w:val="0"/>
        <w:spacing w:before="240" w:after="0"/>
        <w:jc w:val="left"/>
        <w:rPr>
          <w:rFonts w:ascii="Arial" w:hAnsi="Arial"/>
          <w:sz w:val="22"/>
        </w:rPr>
      </w:pPr>
      <w:r>
        <w:rPr>
          <w:rFonts w:ascii="Arial" w:hAnsi="Arial"/>
          <w:sz w:val="22"/>
        </w:rPr>
        <w:t xml:space="preserve">The Special Meeting of Shareholders of Southern California Gas Company (SoCalGas) is fast approaching on Thursday, August 6, 2026. Our recent records show that you have not yet voted your shares. </w:t>
      </w:r>
      <w:r>
        <w:rPr>
          <w:rFonts w:ascii="Arial" w:hAnsi="Arial"/>
          <w:b/>
          <w:sz w:val="22"/>
        </w:rPr>
        <w:t>Your vote is very important!</w:t>
      </w:r>
      <w:r>
        <w:rPr>
          <w:rFonts w:ascii="Arial" w:hAnsi="Arial"/>
          <w:sz w:val="22"/>
        </w:rPr>
        <w:t xml:space="preserve"> Please vote promptly to participate in the meeting’s important agenda and the future of your investment. Telephone and Internet voting are available to register your vote. </w:t>
      </w:r>
    </w:p>
    <w:p>
      <w:pPr>
        <w:pStyle w:val="TextBody"/>
        <w:bidi w:val="0"/>
        <w:spacing w:before="240" w:after="0"/>
        <w:jc w:val="left"/>
        <w:rPr>
          <w:rFonts w:ascii="Arial" w:hAnsi="Arial"/>
          <w:sz w:val="22"/>
        </w:rPr>
      </w:pPr>
      <w:r>
        <w:rPr>
          <w:rFonts w:ascii="Arial" w:hAnsi="Arial"/>
          <w:sz w:val="22"/>
        </w:rPr>
        <w:t xml:space="preserve">The Board of Directors of SoCalGas recommends that shareholders vote “FOR” each proposal on the meeting agenda.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7"/>
        <w:gridCol w:w="204"/>
        <w:gridCol w:w="9084"/>
      </w:tblGrid>
      <w:tr>
        <w:trPr/>
        <w:tc>
          <w:tcPr>
            <w:tcW w:w="91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084" w:type="dxa"/>
            <w:tcBorders/>
            <w:vAlign w:val="center"/>
          </w:tcPr>
          <w:p>
            <w:pPr>
              <w:pStyle w:val="TableContents"/>
              <w:bidi w:val="0"/>
              <w:spacing w:before="0" w:after="283"/>
              <w:jc w:val="left"/>
              <w:rPr>
                <w:sz w:val="4"/>
                <w:szCs w:val="4"/>
              </w:rPr>
            </w:pPr>
            <w:r>
              <w:rPr>
                <w:sz w:val="4"/>
                <w:szCs w:val="4"/>
              </w:rPr>
            </w:r>
          </w:p>
        </w:tc>
      </w:tr>
      <w:tr>
        <w:trPr/>
        <w:tc>
          <w:tcPr>
            <w:tcW w:w="917" w:type="dxa"/>
            <w:tcBorders>
              <w:top w:val="single" w:sz="2" w:space="0" w:color="001C71"/>
              <w:left w:val="single" w:sz="2" w:space="0" w:color="001C71"/>
              <w:bottom w:val="single" w:sz="2" w:space="0" w:color="000000"/>
            </w:tcBorders>
            <w:shd w:fill="F2F2F2" w:val="clear"/>
            <w:tcMar>
              <w:top w:w="28" w:type="dxa"/>
              <w:left w:w="160" w:type="dxa"/>
              <w:bottom w:w="240" w:type="dxa"/>
            </w:tcMar>
          </w:tcPr>
          <w:p>
            <w:pPr>
              <w:pStyle w:val="TableContents"/>
              <w:bidi w:val="0"/>
              <w:spacing w:before="0" w:after="0"/>
              <w:jc w:val="left"/>
              <w:rPr/>
            </w:pPr>
            <w:r>
              <w:rPr/>
              <w:t> </w:t>
            </w:r>
          </w:p>
          <w:p>
            <w:pPr>
              <w:pStyle w:val="TableContents"/>
              <w:bidi w:val="0"/>
              <w:spacing w:before="0" w:after="0"/>
              <w:jc w:val="center"/>
              <w:rPr/>
            </w:pPr>
            <w:r>
              <w:rPr/>
              <w:t xml:space="preserve">  </w:t>
            </w:r>
            <w:r>
              <w:rPr/>
              <w:drawing>
                <wp:inline distT="0" distB="0" distL="0" distR="0">
                  <wp:extent cx="438150"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38150" cy="409575"/>
                          </a:xfrm>
                          <a:prstGeom prst="rect">
                            <a:avLst/>
                          </a:prstGeom>
                        </pic:spPr>
                      </pic:pic>
                    </a:graphicData>
                  </a:graphic>
                </wp:inline>
              </w:drawing>
            </w:r>
            <w:r>
              <w:rPr/>
              <w:t xml:space="preserve"> </w:t>
            </w:r>
          </w:p>
        </w:tc>
        <w:tc>
          <w:tcPr>
            <w:tcW w:w="204" w:type="dxa"/>
            <w:tcBorders>
              <w:top w:val="single" w:sz="2" w:space="0" w:color="001C71"/>
              <w:bottom w:val="single" w:sz="2" w:space="0" w:color="000000"/>
            </w:tcBorders>
            <w:shd w:fill="F2F2F2" w:val="clear"/>
            <w:tcMar>
              <w:top w:w="28" w:type="dxa"/>
              <w:bottom w:w="28" w:type="dxa"/>
            </w:tcMar>
            <w:vAlign w:val="bottom"/>
          </w:tcPr>
          <w:p>
            <w:pPr>
              <w:pStyle w:val="TableContents"/>
              <w:bidi w:val="0"/>
              <w:spacing w:before="0" w:after="283"/>
              <w:jc w:val="left"/>
              <w:rPr/>
            </w:pPr>
            <w:r>
              <w:rPr/>
              <w:t>  </w:t>
            </w:r>
          </w:p>
        </w:tc>
        <w:tc>
          <w:tcPr>
            <w:tcW w:w="9084" w:type="dxa"/>
            <w:tcBorders>
              <w:top w:val="single" w:sz="2" w:space="0" w:color="001C71"/>
              <w:bottom w:val="single" w:sz="2" w:space="0" w:color="000000"/>
              <w:right w:val="single" w:sz="2" w:space="0" w:color="001C71"/>
            </w:tcBorders>
            <w:shd w:fill="F2F2F2" w:val="clear"/>
            <w:tcMar>
              <w:top w:w="28" w:type="dxa"/>
              <w:bottom w:w="240" w:type="dxa"/>
              <w:right w:w="40" w:type="dxa"/>
            </w:tcMar>
          </w:tcPr>
          <w:p>
            <w:pPr>
              <w:pStyle w:val="TableContents"/>
              <w:bidi w:val="0"/>
              <w:spacing w:before="0" w:after="0"/>
              <w:jc w:val="left"/>
              <w:rPr/>
            </w:pPr>
            <w:r>
              <w:rPr/>
              <w:t> </w:t>
            </w:r>
          </w:p>
          <w:p>
            <w:pPr>
              <w:pStyle w:val="TableContents"/>
              <w:bidi w:val="0"/>
              <w:spacing w:before="0" w:after="20"/>
              <w:jc w:val="left"/>
              <w:rPr>
                <w:rFonts w:ascii="Arial" w:hAnsi="Arial"/>
                <w:sz w:val="22"/>
              </w:rPr>
            </w:pPr>
            <w:r>
              <w:rPr>
                <w:rFonts w:ascii="Arial" w:hAnsi="Arial"/>
                <w:sz w:val="22"/>
              </w:rPr>
              <w:t>Leading independent proxy advisory firm Glass Lewis recommends that shareholders vote “</w:t>
            </w:r>
            <w:r>
              <w:rPr>
                <w:rFonts w:ascii="Arial" w:hAnsi="Arial"/>
                <w:b/>
                <w:sz w:val="22"/>
              </w:rPr>
              <w:t>FOR”</w:t>
            </w:r>
            <w:r>
              <w:rPr>
                <w:rFonts w:ascii="Arial" w:hAnsi="Arial"/>
                <w:sz w:val="22"/>
              </w:rPr>
              <w:t xml:space="preserve"> both proposals.</w:t>
            </w:r>
          </w:p>
        </w:tc>
      </w:tr>
    </w:tbl>
    <w:p>
      <w:pPr>
        <w:pStyle w:val="TextBody"/>
        <w:bidi w:val="0"/>
        <w:spacing w:before="240" w:after="0"/>
        <w:jc w:val="left"/>
        <w:rPr>
          <w:rFonts w:ascii="Arial" w:hAnsi="Arial"/>
          <w:b/>
          <w:sz w:val="22"/>
        </w:rPr>
      </w:pPr>
      <w:r>
        <w:rPr>
          <w:rFonts w:ascii="Arial" w:hAnsi="Arial"/>
          <w:b/>
          <w:sz w:val="22"/>
        </w:rPr>
        <w:t xml:space="preserve">The Board of Directors believes it is in the best interests of our company and our shareholders to simplify our capital structure by retiring our two outstanding classes of preferred stock for a cash payment. The trading prices of the preferred stock have materially declined in recent years, and low trading volume, low liquidity and higher brokerage fees reduce shareholders’ ability to liquidate their positions (most of which are relatively small) to pursue more attractive investment opportunities. Receipt of the cash payment, which represents a premium of more than 20% over the recent market prices, estimated fair value and par value of these shares, would allow shareholders to choose other investments that better align with their investment objectives. </w:t>
      </w:r>
    </w:p>
    <w:p>
      <w:pPr>
        <w:pStyle w:val="TextBody"/>
        <w:bidi w:val="0"/>
        <w:spacing w:before="240" w:after="0"/>
        <w:jc w:val="left"/>
        <w:rPr>
          <w:rFonts w:ascii="Arial" w:hAnsi="Arial"/>
          <w:sz w:val="22"/>
        </w:rPr>
      </w:pPr>
      <w:r>
        <w:rPr>
          <w:rFonts w:ascii="Arial" w:hAnsi="Arial"/>
          <w:sz w:val="22"/>
        </w:rPr>
        <w:t xml:space="preserve">Please vote your shares today. Internet and telephone voting are available to promptly register your vote. Please follow the instructions on the proxy card or voting instruction form previously sent to you or visit proxyvote.com in order to vote electronically. </w:t>
      </w:r>
    </w:p>
    <w:p>
      <w:pPr>
        <w:pStyle w:val="TextBody"/>
        <w:bidi w:val="0"/>
        <w:spacing w:before="240" w:after="0"/>
        <w:jc w:val="left"/>
        <w:rPr>
          <w:rFonts w:ascii="Arial" w:hAnsi="Arial"/>
          <w:sz w:val="22"/>
        </w:rPr>
      </w:pPr>
      <w:r>
        <w:rPr>
          <w:rFonts w:ascii="Arial" w:hAnsi="Arial"/>
          <w:sz w:val="22"/>
        </w:rPr>
        <w:t xml:space="preserve">If you need assistance voting your shares, please contact D.F. King &amp; Co., Inc., which is providing assistance in connection with the Special Meeting, toll free at (800) 769-7666. </w:t>
      </w:r>
    </w:p>
    <w:p>
      <w:pPr>
        <w:pStyle w:val="TextBody"/>
        <w:bidi w:val="0"/>
        <w:spacing w:before="240" w:after="0"/>
        <w:jc w:val="left"/>
        <w:rPr>
          <w:rFonts w:ascii="Arial" w:hAnsi="Arial"/>
          <w:sz w:val="22"/>
        </w:rPr>
      </w:pPr>
      <w:r>
        <w:rPr>
          <w:rFonts w:ascii="Arial" w:hAnsi="Arial"/>
          <w:sz w:val="22"/>
        </w:rPr>
        <w:t xml:space="preserve">On behalf of your Board of Directors, thank you for your participation and continued support. </w:t>
      </w:r>
    </w:p>
    <w:p>
      <w:pPr>
        <w:pStyle w:val="TextBody"/>
        <w:bidi w:val="0"/>
        <w:spacing w:before="480" w:after="0"/>
        <w:jc w:val="left"/>
        <w:rPr>
          <w:rFonts w:ascii="Arial" w:hAnsi="Arial"/>
          <w:sz w:val="22"/>
        </w:rPr>
      </w:pPr>
      <w:r>
        <w:rPr>
          <w:rFonts w:ascii="Arial" w:hAnsi="Arial"/>
          <w:sz w:val="22"/>
        </w:rPr>
        <w:t xml:space="preserve">Sincerely, </w:t>
      </w:r>
    </w:p>
    <w:p>
      <w:pPr>
        <w:pStyle w:val="TextBody"/>
        <w:bidi w:val="0"/>
        <w:spacing w:before="360" w:after="0"/>
        <w:jc w:val="left"/>
        <w:rPr>
          <w:rFonts w:ascii="Arial" w:hAnsi="Arial"/>
          <w:sz w:val="22"/>
        </w:rPr>
      </w:pPr>
      <w:r>
        <w:rPr>
          <w:rFonts w:ascii="Arial" w:hAnsi="Arial"/>
          <w:sz w:val="22"/>
        </w:rPr>
        <w:t xml:space="preserve">/s/ Jason W. Egan </w:t>
      </w:r>
    </w:p>
    <w:p>
      <w:pPr>
        <w:pStyle w:val="TextBody"/>
        <w:bidi w:val="0"/>
        <w:spacing w:before="0" w:after="0"/>
        <w:jc w:val="left"/>
        <w:rPr>
          <w:rFonts w:ascii="Arial" w:hAnsi="Arial"/>
          <w:sz w:val="22"/>
        </w:rPr>
      </w:pPr>
      <w:r>
        <w:rPr>
          <w:rFonts w:ascii="Arial" w:hAnsi="Arial"/>
          <w:sz w:val="22"/>
        </w:rPr>
        <w:t xml:space="preserve">Corporate Secretary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464</Words>
  <Characters>2555</Characters>
  <CharactersWithSpaces>3045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