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California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155575</wp:posOffset>
            </wp:positionV>
            <wp:extent cx="55168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16880" cy="7620"/>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178435</wp:posOffset>
            </wp:positionV>
            <wp:extent cx="55168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16880" cy="762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SECURITIES AND EXCHANGE COMMISSION</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155575</wp:posOffset>
            </wp:positionV>
            <wp:extent cx="55168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16880" cy="7620"/>
                    </a:xfrm>
                    <a:prstGeom prst="rect">
                      <a:avLst/>
                    </a:prstGeom>
                    <a:noFill/>
                  </pic:spPr>
                </pic:pic>
              </a:graphicData>
            </a:graphic>
          </wp:anchor>
        </w:drawing>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10-Q</w:t>
      </w:r>
    </w:p>
    <w:p>
      <w:pPr>
        <w:spacing w:after="0" w:line="252" w:lineRule="exact"/>
        <w:rPr>
          <w:sz w:val="24"/>
          <w:szCs w:val="24"/>
          <w:color w:val="auto"/>
        </w:rPr>
      </w:pPr>
    </w:p>
    <w:p>
      <w:pPr>
        <w:ind w:left="260"/>
        <w:spacing w:after="0"/>
        <w:rPr>
          <w:sz w:val="20"/>
          <w:szCs w:val="20"/>
          <w:color w:val="auto"/>
        </w:rPr>
      </w:pPr>
      <w:r>
        <w:rPr>
          <w:rFonts w:ascii="Arial" w:cs="Arial" w:eastAsia="Arial" w:hAnsi="Arial"/>
          <w:sz w:val="16"/>
          <w:szCs w:val="16"/>
          <w:color w:val="auto"/>
        </w:rPr>
        <w:t>(Mark One)</w:t>
      </w:r>
    </w:p>
    <w:p>
      <w:pPr>
        <w:spacing w:after="0" w:line="28" w:lineRule="exact"/>
        <w:rPr>
          <w:sz w:val="24"/>
          <w:szCs w:val="24"/>
          <w:color w:val="auto"/>
        </w:rPr>
      </w:pPr>
    </w:p>
    <w:p>
      <w:pPr>
        <w:ind w:left="1020" w:right="419" w:hanging="758"/>
        <w:spacing w:after="0" w:line="286" w:lineRule="auto"/>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645160</wp:posOffset>
            </wp:positionH>
            <wp:positionV relativeFrom="paragraph">
              <wp:posOffset>-277495</wp:posOffset>
            </wp:positionV>
            <wp:extent cx="76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0" cy="274320"/>
                    </a:xfrm>
                    <a:prstGeom prst="rect">
                      <a:avLst/>
                    </a:prstGeom>
                    <a:noFill/>
                  </pic:spPr>
                </pic:pic>
              </a:graphicData>
            </a:graphic>
          </wp:anchor>
        </w:drawing>
      </w:r>
    </w:p>
    <w:tbl>
      <w:tblPr>
        <w:tblLayout w:type="fixed"/>
        <w:tblInd w:w="1020" w:type="dxa"/>
        <w:tblCellMar>
          <w:top w:w="0" w:type="dxa"/>
          <w:left w:w="0" w:type="dxa"/>
          <w:bottom w:w="0" w:type="dxa"/>
          <w:right w:w="0" w:type="dxa"/>
        </w:tblCellMar>
      </w:tblPr>
      <w:tr>
        <w:trPr>
          <w:trHeight w:val="210"/>
        </w:trPr>
        <w:tc>
          <w:tcPr>
            <w:tcW w:w="3680" w:type="dxa"/>
            <w:vAlign w:val="bottom"/>
            <w:tcBorders>
              <w:right w:val="single" w:sz="8" w:color="EEEEEE"/>
            </w:tcBorders>
          </w:tcPr>
          <w:p>
            <w:pPr>
              <w:spacing w:after="0"/>
              <w:rPr>
                <w:sz w:val="20"/>
                <w:szCs w:val="20"/>
                <w:color w:val="auto"/>
              </w:rPr>
            </w:pPr>
            <w:r>
              <w:rPr>
                <w:rFonts w:ascii="Arial" w:cs="Arial" w:eastAsia="Arial" w:hAnsi="Arial"/>
                <w:sz w:val="16"/>
                <w:szCs w:val="16"/>
                <w:color w:val="auto"/>
              </w:rPr>
              <w:t>For the quarterly period ended</w:t>
            </w:r>
          </w:p>
        </w:tc>
        <w:tc>
          <w:tcPr>
            <w:tcW w:w="41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September 30, 2010</w:t>
            </w:r>
          </w:p>
        </w:tc>
      </w:tr>
    </w:tbl>
    <w:p>
      <w:pPr>
        <w:spacing w:after="0" w:line="207" w:lineRule="exact"/>
        <w:rPr>
          <w:sz w:val="24"/>
          <w:szCs w:val="24"/>
          <w:color w:val="auto"/>
        </w:rPr>
      </w:pPr>
    </w:p>
    <w:p>
      <w:pPr>
        <w:ind w:left="4840"/>
        <w:spacing w:after="0"/>
        <w:rPr>
          <w:sz w:val="20"/>
          <w:szCs w:val="20"/>
          <w:color w:val="auto"/>
        </w:rPr>
      </w:pPr>
      <w:r>
        <w:rPr>
          <w:rFonts w:ascii="Arial" w:cs="Arial" w:eastAsia="Arial" w:hAnsi="Arial"/>
          <w:sz w:val="16"/>
          <w:szCs w:val="16"/>
          <w:color w:val="auto"/>
        </w:rPr>
        <w:t>or</w:t>
      </w:r>
    </w:p>
    <w:p>
      <w:pPr>
        <w:spacing w:after="0" w:line="244" w:lineRule="exact"/>
        <w:rPr>
          <w:sz w:val="24"/>
          <w:szCs w:val="24"/>
          <w:color w:val="auto"/>
        </w:rPr>
      </w:pPr>
    </w:p>
    <w:p>
      <w:pPr>
        <w:ind w:left="1020" w:right="419" w:hanging="758"/>
        <w:spacing w:after="0" w:line="284" w:lineRule="auto"/>
        <w:tabs>
          <w:tab w:leader="none" w:pos="441"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180" w:type="dxa"/>
        <w:tblCellMar>
          <w:top w:w="0" w:type="dxa"/>
          <w:left w:w="0" w:type="dxa"/>
          <w:bottom w:w="0" w:type="dxa"/>
          <w:right w:w="0" w:type="dxa"/>
        </w:tblCellMar>
      </w:tblPr>
      <w:tr>
        <w:trPr>
          <w:trHeight w:val="206"/>
        </w:trPr>
        <w:tc>
          <w:tcPr>
            <w:tcW w:w="4500" w:type="dxa"/>
            <w:vAlign w:val="bottom"/>
            <w:gridSpan w:val="3"/>
          </w:tcPr>
          <w:p>
            <w:pPr>
              <w:ind w:left="840"/>
              <w:spacing w:after="0"/>
              <w:rPr>
                <w:sz w:val="20"/>
                <w:szCs w:val="20"/>
                <w:color w:val="auto"/>
              </w:rPr>
            </w:pPr>
            <w:r>
              <w:rPr>
                <w:rFonts w:ascii="Arial" w:cs="Arial" w:eastAsia="Arial" w:hAnsi="Arial"/>
                <w:sz w:val="16"/>
                <w:szCs w:val="16"/>
                <w:color w:val="auto"/>
              </w:rPr>
              <w:t>For the transition period from</w:t>
            </w:r>
          </w:p>
        </w:tc>
        <w:tc>
          <w:tcPr>
            <w:tcW w:w="1440" w:type="dxa"/>
            <w:vAlign w:val="bottom"/>
          </w:tcPr>
          <w:p>
            <w:pPr>
              <w:jc w:val="right"/>
              <w:ind w:right="762"/>
              <w:spacing w:after="0"/>
              <w:rPr>
                <w:sz w:val="20"/>
                <w:szCs w:val="20"/>
                <w:color w:val="auto"/>
              </w:rPr>
            </w:pPr>
            <w:r>
              <w:rPr>
                <w:rFonts w:ascii="Arial" w:cs="Arial" w:eastAsia="Arial" w:hAnsi="Arial"/>
                <w:sz w:val="16"/>
                <w:szCs w:val="16"/>
                <w:color w:val="auto"/>
              </w:rPr>
              <w:t>to</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3"/>
        </w:trPr>
        <w:tc>
          <w:tcPr>
            <w:tcW w:w="1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5"/>
              </w:rPr>
              <w:t>Former name,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7"/>
              </w:rPr>
              <w:t>former address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70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Exact Name of Registrants as</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and former fiscal</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70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Specified in their Charters, Address</w:t>
            </w:r>
          </w:p>
        </w:tc>
        <w:tc>
          <w:tcPr>
            <w:tcW w:w="1440" w:type="dxa"/>
            <w:vAlign w:val="bottom"/>
          </w:tcPr>
          <w:p>
            <w:pPr>
              <w:jc w:val="center"/>
              <w:ind w:right="22"/>
              <w:spacing w:after="0"/>
              <w:rPr>
                <w:sz w:val="20"/>
                <w:szCs w:val="20"/>
                <w:color w:val="auto"/>
              </w:rPr>
            </w:pPr>
            <w:r>
              <w:rPr>
                <w:rFonts w:ascii="Arial" w:cs="Arial" w:eastAsia="Arial" w:hAnsi="Arial"/>
                <w:sz w:val="16"/>
                <w:szCs w:val="16"/>
                <w:color w:val="auto"/>
                <w:w w:val="85"/>
              </w:rPr>
              <w:t>States of</w:t>
            </w:r>
          </w:p>
        </w:tc>
        <w:tc>
          <w:tcPr>
            <w:tcW w:w="1360" w:type="dxa"/>
            <w:vAlign w:val="bottom"/>
          </w:tcPr>
          <w:p>
            <w:pPr>
              <w:jc w:val="center"/>
              <w:ind w:right="22"/>
              <w:spacing w:after="0"/>
              <w:rPr>
                <w:sz w:val="20"/>
                <w:szCs w:val="20"/>
                <w:color w:val="auto"/>
              </w:rPr>
            </w:pPr>
            <w:r>
              <w:rPr>
                <w:rFonts w:ascii="Arial" w:cs="Arial" w:eastAsia="Arial" w:hAnsi="Arial"/>
                <w:sz w:val="16"/>
                <w:szCs w:val="16"/>
                <w:color w:val="auto"/>
                <w:w w:val="91"/>
              </w:rPr>
              <w:t>I.R.S. Employer</w:t>
            </w:r>
          </w:p>
        </w:tc>
        <w:tc>
          <w:tcPr>
            <w:tcW w:w="1380" w:type="dxa"/>
            <w:vAlign w:val="bottom"/>
          </w:tcPr>
          <w:p>
            <w:pPr>
              <w:jc w:val="center"/>
              <w:spacing w:after="0"/>
              <w:rPr>
                <w:sz w:val="20"/>
                <w:szCs w:val="20"/>
                <w:color w:val="auto"/>
              </w:rPr>
            </w:pPr>
            <w:r>
              <w:rPr>
                <w:rFonts w:ascii="Arial" w:cs="Arial" w:eastAsia="Arial" w:hAnsi="Arial"/>
                <w:sz w:val="16"/>
                <w:szCs w:val="16"/>
                <w:color w:val="auto"/>
                <w:w w:val="86"/>
              </w:rPr>
              <w:t>year, if changed</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Commission File No.</w:t>
            </w:r>
          </w:p>
        </w:tc>
        <w:tc>
          <w:tcPr>
            <w:tcW w:w="2700" w:type="dxa"/>
            <w:vAlign w:val="bottom"/>
            <w:tcBorders>
              <w:bottom w:val="single" w:sz="8" w:color="EEEEEE"/>
            </w:tcBorders>
            <w:gridSpan w:val="2"/>
          </w:tcPr>
          <w:p>
            <w:pPr>
              <w:jc w:val="center"/>
              <w:ind w:right="80"/>
              <w:spacing w:after="0"/>
              <w:rPr>
                <w:sz w:val="20"/>
                <w:szCs w:val="20"/>
                <w:color w:val="auto"/>
              </w:rPr>
            </w:pPr>
            <w:r>
              <w:rPr>
                <w:rFonts w:ascii="Arial" w:cs="Arial" w:eastAsia="Arial" w:hAnsi="Arial"/>
                <w:sz w:val="16"/>
                <w:szCs w:val="16"/>
                <w:color w:val="auto"/>
                <w:w w:val="86"/>
              </w:rPr>
              <w:t>and Telephone Number</w:t>
            </w:r>
          </w:p>
        </w:tc>
        <w:tc>
          <w:tcPr>
            <w:tcW w:w="144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color w:val="auto"/>
                <w:w w:val="92"/>
              </w:rPr>
              <w:t>Incorporation</w:t>
            </w:r>
          </w:p>
        </w:tc>
        <w:tc>
          <w:tcPr>
            <w:tcW w:w="136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color w:val="auto"/>
                <w:w w:val="91"/>
              </w:rPr>
              <w:t>Identification Nos.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6"/>
              </w:rPr>
              <w:t>since last report</w:t>
            </w:r>
          </w:p>
        </w:tc>
        <w:tc>
          <w:tcPr>
            <w:tcW w:w="0" w:type="dxa"/>
            <w:vAlign w:val="bottom"/>
          </w:tcPr>
          <w:p>
            <w:pPr>
              <w:spacing w:after="0"/>
              <w:rPr>
                <w:sz w:val="1"/>
                <w:szCs w:val="1"/>
                <w:color w:val="auto"/>
              </w:rPr>
            </w:pPr>
          </w:p>
        </w:tc>
      </w:tr>
      <w:tr>
        <w:trPr>
          <w:trHeight w:val="201"/>
        </w:trPr>
        <w:tc>
          <w:tcPr>
            <w:tcW w:w="1800" w:type="dxa"/>
            <w:vAlign w:val="bottom"/>
          </w:tcPr>
          <w:p>
            <w:pPr>
              <w:ind w:left="80"/>
              <w:spacing w:after="0"/>
              <w:rPr>
                <w:sz w:val="20"/>
                <w:szCs w:val="20"/>
                <w:color w:val="auto"/>
              </w:rPr>
            </w:pPr>
            <w:r>
              <w:rPr>
                <w:rFonts w:ascii="Arial" w:cs="Arial" w:eastAsia="Arial" w:hAnsi="Arial"/>
                <w:sz w:val="16"/>
                <w:szCs w:val="16"/>
                <w:color w:val="auto"/>
              </w:rPr>
              <w:t>1-14201</w:t>
            </w: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SEMPRA ENERGY</w:t>
            </w:r>
          </w:p>
        </w:tc>
        <w:tc>
          <w:tcPr>
            <w:tcW w:w="1440" w:type="dxa"/>
            <w:vAlign w:val="bottom"/>
          </w:tcPr>
          <w:p>
            <w:pPr>
              <w:jc w:val="center"/>
              <w:ind w:right="22"/>
              <w:spacing w:after="0"/>
              <w:rPr>
                <w:sz w:val="20"/>
                <w:szCs w:val="20"/>
                <w:color w:val="auto"/>
              </w:rPr>
            </w:pPr>
            <w:r>
              <w:rPr>
                <w:rFonts w:ascii="Arial" w:cs="Arial" w:eastAsia="Arial" w:hAnsi="Arial"/>
                <w:sz w:val="16"/>
                <w:szCs w:val="16"/>
                <w:color w:val="auto"/>
                <w:w w:val="91"/>
              </w:rPr>
              <w:t>California</w:t>
            </w:r>
          </w:p>
        </w:tc>
        <w:tc>
          <w:tcPr>
            <w:tcW w:w="1360" w:type="dxa"/>
            <w:vAlign w:val="bottom"/>
          </w:tcPr>
          <w:p>
            <w:pPr>
              <w:jc w:val="center"/>
              <w:ind w:right="2"/>
              <w:spacing w:after="0"/>
              <w:rPr>
                <w:sz w:val="20"/>
                <w:szCs w:val="20"/>
                <w:color w:val="auto"/>
              </w:rPr>
            </w:pPr>
            <w:r>
              <w:rPr>
                <w:rFonts w:ascii="Arial" w:cs="Arial" w:eastAsia="Arial" w:hAnsi="Arial"/>
                <w:sz w:val="16"/>
                <w:szCs w:val="16"/>
                <w:color w:val="auto"/>
                <w:w w:val="88"/>
              </w:rPr>
              <w:t>33-0732627</w:t>
            </w:r>
          </w:p>
        </w:tc>
        <w:tc>
          <w:tcPr>
            <w:tcW w:w="1380" w:type="dxa"/>
            <w:vAlign w:val="bottom"/>
          </w:tcPr>
          <w:p>
            <w:pPr>
              <w:ind w:left="380"/>
              <w:spacing w:after="0"/>
              <w:rPr>
                <w:sz w:val="20"/>
                <w:szCs w:val="20"/>
                <w:color w:val="auto"/>
              </w:rPr>
            </w:pPr>
            <w:r>
              <w:rPr>
                <w:rFonts w:ascii="Arial" w:cs="Arial" w:eastAsia="Arial" w:hAnsi="Arial"/>
                <w:sz w:val="16"/>
                <w:szCs w:val="16"/>
                <w:color w:val="auto"/>
              </w:rPr>
              <w:t>No change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101 Ash Street</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San Diego, California 92101</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6"/>
                <w:szCs w:val="16"/>
                <w:color w:val="auto"/>
              </w:rPr>
              <w:t>(619)696-2034</w:t>
            </w: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800" w:type="dxa"/>
            <w:vAlign w:val="bottom"/>
          </w:tcPr>
          <w:p>
            <w:pPr>
              <w:ind w:left="80"/>
              <w:spacing w:after="0"/>
              <w:rPr>
                <w:sz w:val="20"/>
                <w:szCs w:val="20"/>
                <w:color w:val="auto"/>
              </w:rPr>
            </w:pPr>
            <w:r>
              <w:rPr>
                <w:rFonts w:ascii="Arial" w:cs="Arial" w:eastAsia="Arial" w:hAnsi="Arial"/>
                <w:sz w:val="16"/>
                <w:szCs w:val="16"/>
                <w:color w:val="auto"/>
              </w:rPr>
              <w:t>1-3779</w:t>
            </w: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SAN DIEGO GAS &amp; ELECTRIC</w:t>
            </w:r>
          </w:p>
        </w:tc>
        <w:tc>
          <w:tcPr>
            <w:tcW w:w="1440" w:type="dxa"/>
            <w:vAlign w:val="bottom"/>
          </w:tcPr>
          <w:p>
            <w:pPr>
              <w:jc w:val="center"/>
              <w:ind w:right="22"/>
              <w:spacing w:after="0"/>
              <w:rPr>
                <w:sz w:val="20"/>
                <w:szCs w:val="20"/>
                <w:color w:val="auto"/>
              </w:rPr>
            </w:pPr>
            <w:r>
              <w:rPr>
                <w:rFonts w:ascii="Arial" w:cs="Arial" w:eastAsia="Arial" w:hAnsi="Arial"/>
                <w:sz w:val="16"/>
                <w:szCs w:val="16"/>
                <w:color w:val="auto"/>
                <w:w w:val="91"/>
              </w:rPr>
              <w:t>California</w:t>
            </w:r>
          </w:p>
        </w:tc>
        <w:tc>
          <w:tcPr>
            <w:tcW w:w="1360" w:type="dxa"/>
            <w:vAlign w:val="bottom"/>
          </w:tcPr>
          <w:p>
            <w:pPr>
              <w:jc w:val="center"/>
              <w:spacing w:after="0"/>
              <w:rPr>
                <w:sz w:val="20"/>
                <w:szCs w:val="20"/>
                <w:color w:val="auto"/>
              </w:rPr>
            </w:pPr>
            <w:r>
              <w:rPr>
                <w:rFonts w:ascii="Arial" w:cs="Arial" w:eastAsia="Arial" w:hAnsi="Arial"/>
                <w:sz w:val="16"/>
                <w:szCs w:val="16"/>
                <w:color w:val="auto"/>
                <w:w w:val="86"/>
              </w:rPr>
              <w:t>95-1184800</w:t>
            </w:r>
          </w:p>
        </w:tc>
        <w:tc>
          <w:tcPr>
            <w:tcW w:w="1380" w:type="dxa"/>
            <w:vAlign w:val="bottom"/>
          </w:tcPr>
          <w:p>
            <w:pPr>
              <w:jc w:val="center"/>
              <w:spacing w:after="0"/>
              <w:rPr>
                <w:sz w:val="20"/>
                <w:szCs w:val="20"/>
                <w:color w:val="auto"/>
              </w:rPr>
            </w:pPr>
            <w:r>
              <w:rPr>
                <w:rFonts w:ascii="Arial" w:cs="Arial" w:eastAsia="Arial" w:hAnsi="Arial"/>
                <w:sz w:val="16"/>
                <w:szCs w:val="16"/>
                <w:color w:val="auto"/>
                <w:w w:val="85"/>
              </w:rPr>
              <w:t>No change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COMPANY</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8326 Century Park Court</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vMerge w:val="restart"/>
          </w:tcPr>
          <w:p>
            <w:pPr>
              <w:ind w:left="80"/>
              <w:spacing w:after="0"/>
              <w:rPr>
                <w:sz w:val="20"/>
                <w:szCs w:val="20"/>
                <w:color w:val="auto"/>
              </w:rPr>
            </w:pPr>
            <w:r>
              <w:rPr>
                <w:rFonts w:ascii="Arial" w:cs="Arial" w:eastAsia="Arial" w:hAnsi="Arial"/>
                <w:sz w:val="19"/>
                <w:szCs w:val="19"/>
                <w:color w:val="auto"/>
              </w:rPr>
              <w:t>&lt; p</w:t>
            </w: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San Diego, California 92123</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00" w:type="dxa"/>
            <w:vAlign w:val="bottom"/>
            <w:vMerge w:val="continue"/>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6"/>
                <w:szCs w:val="16"/>
                <w:color w:val="auto"/>
              </w:rPr>
              <w:t>(619)696-2000</w:t>
            </w: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80"/>
              <w:spacing w:after="0" w:line="216" w:lineRule="exact"/>
              <w:rPr>
                <w:sz w:val="20"/>
                <w:szCs w:val="20"/>
                <w:color w:val="auto"/>
              </w:rPr>
            </w:pPr>
            <w:r>
              <w:rPr>
                <w:rFonts w:ascii="Arial" w:cs="Arial" w:eastAsia="Arial" w:hAnsi="Arial"/>
                <w:sz w:val="19"/>
                <w:szCs w:val="19"/>
                <w:color w:val="auto"/>
              </w:rPr>
              <w:t>style="MARGIN:0in</w:t>
            </w: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80"/>
              <w:spacing w:after="0" w:line="216" w:lineRule="exact"/>
              <w:rPr>
                <w:sz w:val="20"/>
                <w:szCs w:val="20"/>
                <w:color w:val="auto"/>
              </w:rPr>
            </w:pPr>
            <w:r>
              <w:rPr>
                <w:rFonts w:ascii="Arial" w:cs="Arial" w:eastAsia="Arial" w:hAnsi="Arial"/>
                <w:sz w:val="19"/>
                <w:szCs w:val="19"/>
                <w:color w:val="auto"/>
              </w:rPr>
              <w:t>4.5pt 0pt 0in; LINE-</w:t>
            </w: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80"/>
              <w:spacing w:after="0"/>
              <w:rPr>
                <w:sz w:val="20"/>
                <w:szCs w:val="20"/>
                <w:color w:val="auto"/>
              </w:rPr>
            </w:pPr>
            <w:r>
              <w:rPr>
                <w:rFonts w:ascii="Arial" w:cs="Arial" w:eastAsia="Arial" w:hAnsi="Arial"/>
                <w:sz w:val="19"/>
                <w:szCs w:val="19"/>
                <w:color w:val="auto"/>
              </w:rPr>
              <w:t>HEIGHT:115%"&gt;</w:t>
            </w: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2"/>
        </w:trPr>
        <w:tc>
          <w:tcPr>
            <w:tcW w:w="1800" w:type="dxa"/>
            <w:vAlign w:val="bottom"/>
          </w:tcPr>
          <w:p>
            <w:pPr>
              <w:ind w:left="80"/>
              <w:spacing w:after="0"/>
              <w:rPr>
                <w:sz w:val="20"/>
                <w:szCs w:val="20"/>
                <w:color w:val="auto"/>
              </w:rPr>
            </w:pPr>
            <w:r>
              <w:rPr>
                <w:rFonts w:ascii="Arial" w:cs="Arial" w:eastAsia="Arial" w:hAnsi="Arial"/>
                <w:sz w:val="16"/>
                <w:szCs w:val="16"/>
                <w:color w:val="auto"/>
              </w:rPr>
              <w:t>1-40</w:t>
            </w: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PACIFIC ENTERPRISES</w:t>
            </w:r>
          </w:p>
        </w:tc>
        <w:tc>
          <w:tcPr>
            <w:tcW w:w="1440" w:type="dxa"/>
            <w:vAlign w:val="bottom"/>
          </w:tcPr>
          <w:p>
            <w:pPr>
              <w:jc w:val="center"/>
              <w:ind w:right="22"/>
              <w:spacing w:after="0"/>
              <w:rPr>
                <w:sz w:val="20"/>
                <w:szCs w:val="20"/>
                <w:color w:val="auto"/>
              </w:rPr>
            </w:pPr>
            <w:r>
              <w:rPr>
                <w:rFonts w:ascii="Arial" w:cs="Arial" w:eastAsia="Arial" w:hAnsi="Arial"/>
                <w:sz w:val="16"/>
                <w:szCs w:val="16"/>
                <w:color w:val="auto"/>
                <w:w w:val="91"/>
              </w:rPr>
              <w:t>California</w:t>
            </w:r>
          </w:p>
        </w:tc>
        <w:tc>
          <w:tcPr>
            <w:tcW w:w="1360" w:type="dxa"/>
            <w:vAlign w:val="bottom"/>
          </w:tcPr>
          <w:p>
            <w:pPr>
              <w:jc w:val="center"/>
              <w:ind w:right="2"/>
              <w:spacing w:after="0"/>
              <w:rPr>
                <w:sz w:val="20"/>
                <w:szCs w:val="20"/>
                <w:color w:val="auto"/>
              </w:rPr>
            </w:pPr>
            <w:r>
              <w:rPr>
                <w:rFonts w:ascii="Arial" w:cs="Arial" w:eastAsia="Arial" w:hAnsi="Arial"/>
                <w:sz w:val="16"/>
                <w:szCs w:val="16"/>
                <w:color w:val="auto"/>
                <w:w w:val="88"/>
              </w:rPr>
              <w:t>94-0743670</w:t>
            </w:r>
          </w:p>
        </w:tc>
        <w:tc>
          <w:tcPr>
            <w:tcW w:w="1380" w:type="dxa"/>
            <w:vAlign w:val="bottom"/>
          </w:tcPr>
          <w:p>
            <w:pPr>
              <w:jc w:val="center"/>
              <w:spacing w:after="0"/>
              <w:rPr>
                <w:sz w:val="20"/>
                <w:szCs w:val="20"/>
                <w:color w:val="auto"/>
              </w:rPr>
            </w:pPr>
            <w:r>
              <w:rPr>
                <w:rFonts w:ascii="Arial" w:cs="Arial" w:eastAsia="Arial" w:hAnsi="Arial"/>
                <w:sz w:val="16"/>
                <w:szCs w:val="16"/>
                <w:color w:val="auto"/>
                <w:w w:val="85"/>
              </w:rPr>
              <w:t>No change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101 Ash Street</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S an Diego, California 92101</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6"/>
                <w:szCs w:val="16"/>
                <w:color w:val="auto"/>
              </w:rPr>
              <w:t>(619)696-2020</w:t>
            </w: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800" w:type="dxa"/>
            <w:vAlign w:val="bottom"/>
          </w:tcPr>
          <w:p>
            <w:pPr>
              <w:ind w:left="80"/>
              <w:spacing w:after="0"/>
              <w:rPr>
                <w:sz w:val="20"/>
                <w:szCs w:val="20"/>
                <w:color w:val="auto"/>
              </w:rPr>
            </w:pPr>
            <w:r>
              <w:rPr>
                <w:rFonts w:ascii="Arial" w:cs="Arial" w:eastAsia="Arial" w:hAnsi="Arial"/>
                <w:sz w:val="16"/>
                <w:szCs w:val="16"/>
                <w:color w:val="auto"/>
              </w:rPr>
              <w:t>1-1402</w:t>
            </w: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SOUTHERN CALIFORNIA GAS</w:t>
            </w:r>
          </w:p>
        </w:tc>
        <w:tc>
          <w:tcPr>
            <w:tcW w:w="1440" w:type="dxa"/>
            <w:vAlign w:val="bottom"/>
          </w:tcPr>
          <w:p>
            <w:pPr>
              <w:jc w:val="right"/>
              <w:spacing w:after="0"/>
              <w:rPr>
                <w:sz w:val="20"/>
                <w:szCs w:val="20"/>
                <w:color w:val="auto"/>
              </w:rPr>
            </w:pPr>
            <w:r>
              <w:rPr>
                <w:rFonts w:ascii="Arial" w:cs="Arial" w:eastAsia="Arial" w:hAnsi="Arial"/>
                <w:sz w:val="16"/>
                <w:szCs w:val="16"/>
                <w:color w:val="auto"/>
              </w:rPr>
              <w:t>95-1240705</w:t>
            </w:r>
          </w:p>
        </w:tc>
        <w:tc>
          <w:tcPr>
            <w:tcW w:w="1360" w:type="dxa"/>
            <w:vAlign w:val="bottom"/>
          </w:tcPr>
          <w:p>
            <w:pPr>
              <w:jc w:val="center"/>
              <w:ind w:left="502"/>
              <w:spacing w:after="0"/>
              <w:rPr>
                <w:sz w:val="20"/>
                <w:szCs w:val="20"/>
                <w:color w:val="auto"/>
              </w:rPr>
            </w:pPr>
            <w:r>
              <w:rPr>
                <w:rFonts w:ascii="Arial" w:cs="Arial" w:eastAsia="Arial" w:hAnsi="Arial"/>
                <w:sz w:val="16"/>
                <w:szCs w:val="16"/>
                <w:color w:val="auto"/>
                <w:w w:val="87"/>
              </w:rPr>
              <w:t>No</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COMPANY</w:t>
            </w:r>
          </w:p>
        </w:tc>
        <w:tc>
          <w:tcPr>
            <w:tcW w:w="1440" w:type="dxa"/>
            <w:vAlign w:val="bottom"/>
          </w:tcPr>
          <w:p>
            <w:pPr>
              <w:spacing w:after="0"/>
              <w:rPr>
                <w:sz w:val="18"/>
                <w:szCs w:val="18"/>
                <w:color w:val="auto"/>
              </w:rPr>
            </w:pPr>
          </w:p>
        </w:tc>
        <w:tc>
          <w:tcPr>
            <w:tcW w:w="1360" w:type="dxa"/>
            <w:vAlign w:val="bottom"/>
          </w:tcPr>
          <w:p>
            <w:pPr>
              <w:jc w:val="center"/>
              <w:ind w:left="522"/>
              <w:spacing w:after="0"/>
              <w:rPr>
                <w:sz w:val="20"/>
                <w:szCs w:val="20"/>
                <w:color w:val="auto"/>
              </w:rPr>
            </w:pPr>
            <w:r>
              <w:rPr>
                <w:rFonts w:ascii="Arial" w:cs="Arial" w:eastAsia="Arial" w:hAnsi="Arial"/>
                <w:sz w:val="16"/>
                <w:szCs w:val="16"/>
                <w:color w:val="auto"/>
                <w:w w:val="84"/>
              </w:rPr>
              <w:t>chang e</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555 West Fifth Street</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6"/>
                <w:szCs w:val="16"/>
                <w:color w:val="auto"/>
              </w:rPr>
              <w:t>Los Angeles, California 90013</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6"/>
                <w:szCs w:val="16"/>
                <w:color w:val="auto"/>
              </w:rPr>
              <w:t>(213)244-1200</w:t>
            </w: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260" w:right="579"/>
        <w:spacing w:after="0" w:line="350" w:lineRule="auto"/>
        <w:rPr>
          <w:sz w:val="20"/>
          <w:szCs w:val="20"/>
          <w:color w:val="auto"/>
        </w:rPr>
      </w:pPr>
      <w:r>
        <w:rPr>
          <w:rFonts w:ascii="Arial" w:cs="Arial" w:eastAsia="Arial" w:hAnsi="Arial"/>
          <w:sz w:val="14"/>
          <w:szCs w:val="14"/>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160" w:lineRule="exact"/>
        <w:rPr>
          <w:sz w:val="24"/>
          <w:szCs w:val="24"/>
          <w:color w:val="auto"/>
        </w:rPr>
      </w:pPr>
    </w:p>
    <w:p>
      <w:pPr>
        <w:ind w:left="5440"/>
        <w:spacing w:after="0"/>
        <w:tabs>
          <w:tab w:leader="none" w:pos="6180" w:val="left"/>
          <w:tab w:leader="none" w:pos="758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18415</wp:posOffset>
            </wp:positionV>
            <wp:extent cx="552450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4500"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260" w:right="459"/>
        <w:spacing w:after="0" w:line="291" w:lineRule="auto"/>
        <w:rPr>
          <w:sz w:val="20"/>
          <w:szCs w:val="20"/>
          <w:color w:val="auto"/>
        </w:rPr>
      </w:pPr>
      <w:r>
        <w:rPr>
          <w:rFonts w:ascii="Arial" w:cs="Arial" w:eastAsia="Arial" w:hAnsi="Arial"/>
          <w:sz w:val="16"/>
          <w:szCs w:val="16"/>
          <w:color w:val="auto"/>
        </w:rPr>
        <w:t>Indicate by check mark whether the registrants have submitted electronically and posted on their corporate Web site, if any, every Interactive Data File required to be submitted and posted pursuant to Rule 405 of Regulation S-T during the preceding 12 months (or for such shorter period that the registrants were required to submit and post such files).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3411220</wp:posOffset>
            </wp:positionH>
            <wp:positionV relativeFrom="paragraph">
              <wp:posOffset>-14605</wp:posOffset>
            </wp:positionV>
            <wp:extent cx="7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0" cy="137160"/>
                    </a:xfrm>
                    <a:prstGeom prst="rect">
                      <a:avLst/>
                    </a:prstGeom>
                    <a:noFill/>
                  </pic:spPr>
                </pic:pic>
              </a:graphicData>
            </a:graphic>
          </wp:anchor>
        </w:drawing>
      </w:r>
    </w:p>
    <w:p>
      <w:pPr>
        <w:spacing w:after="0" w:line="175" w:lineRule="exact"/>
        <w:rPr>
          <w:sz w:val="24"/>
          <w:szCs w:val="24"/>
          <w:color w:val="auto"/>
        </w:rPr>
      </w:pPr>
    </w:p>
    <w:p>
      <w:pPr>
        <w:ind w:left="260"/>
        <w:spacing w:after="0"/>
        <w:tabs>
          <w:tab w:leader="none" w:pos="4960" w:val="left"/>
          <w:tab w:leader="none" w:pos="5720" w:val="left"/>
          <w:tab w:leader="none" w:pos="7820" w:val="left"/>
        </w:tabs>
        <w:rPr>
          <w:sz w:val="20"/>
          <w:szCs w:val="20"/>
          <w:color w:val="auto"/>
        </w:rPr>
      </w:pPr>
      <w:r>
        <w:rPr>
          <w:rFonts w:ascii="Arial" w:cs="Arial" w:eastAsia="Arial" w:hAnsi="Arial"/>
          <w:sz w:val="16"/>
          <w:szCs w:val="16"/>
          <w:color w:val="auto"/>
        </w:rPr>
        <w:t>Sempra Energy</w:t>
      </w:r>
      <w:r>
        <w:rPr>
          <w:sz w:val="20"/>
          <w:szCs w:val="20"/>
          <w:color w:val="auto"/>
        </w:rPr>
        <w:tab/>
      </w: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5201920</wp:posOffset>
            </wp:positionH>
            <wp:positionV relativeFrom="paragraph">
              <wp:posOffset>18415</wp:posOffset>
            </wp:positionV>
            <wp:extent cx="4267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6720" cy="7620"/>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18415</wp:posOffset>
            </wp:positionV>
            <wp:extent cx="5867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1" w:name="page2"/>
    <w:bookmarkEnd w:id="1"/>
    <w:tbl>
      <w:tblPr>
        <w:tblLayout w:type="fixed"/>
        <w:tblInd w:w="1460" w:type="dxa"/>
        <w:tblCellMar>
          <w:top w:w="0" w:type="dxa"/>
          <w:left w:w="0" w:type="dxa"/>
          <w:bottom w:w="0" w:type="dxa"/>
          <w:right w:w="0" w:type="dxa"/>
        </w:tblCellMar>
      </w:tblPr>
      <w:tr>
        <w:trPr>
          <w:trHeight w:val="205"/>
        </w:trPr>
        <w:tc>
          <w:tcPr>
            <w:tcW w:w="3500" w:type="dxa"/>
            <w:vAlign w:val="bottom"/>
          </w:tcPr>
          <w:p>
            <w:pPr>
              <w:spacing w:after="0"/>
              <w:rPr>
                <w:sz w:val="20"/>
                <w:szCs w:val="20"/>
                <w:color w:val="auto"/>
              </w:rPr>
            </w:pPr>
            <w:r>
              <w:rPr>
                <w:rFonts w:ascii="Arial" w:cs="Arial" w:eastAsia="Arial" w:hAnsi="Arial"/>
                <w:sz w:val="16"/>
                <w:szCs w:val="16"/>
                <w:color w:val="auto"/>
              </w:rPr>
              <w:t>San Diego Gas &amp; Electric Company</w:t>
            </w:r>
          </w:p>
        </w:tc>
        <w:tc>
          <w:tcPr>
            <w:tcW w:w="1620" w:type="dxa"/>
            <w:vAlign w:val="bottom"/>
          </w:tcPr>
          <w:p>
            <w:pPr>
              <w:ind w:left="1220"/>
              <w:spacing w:after="0"/>
              <w:rPr>
                <w:sz w:val="20"/>
                <w:szCs w:val="20"/>
                <w:color w:val="auto"/>
              </w:rPr>
            </w:pPr>
            <w:r>
              <w:rPr>
                <w:rFonts w:ascii="Arial" w:cs="Arial" w:eastAsia="Arial" w:hAnsi="Arial"/>
                <w:sz w:val="16"/>
                <w:szCs w:val="16"/>
                <w:color w:val="auto"/>
              </w:rPr>
              <w:t>Yes</w:t>
            </w:r>
          </w:p>
        </w:tc>
        <w:tc>
          <w:tcPr>
            <w:tcW w:w="920" w:type="dxa"/>
            <w:vAlign w:val="bottom"/>
            <w:tcBorders>
              <w:bottom w:val="single" w:sz="8" w:color="auto"/>
            </w:tcBorders>
          </w:tcPr>
          <w:p>
            <w:pPr>
              <w:spacing w:after="0"/>
              <w:rPr>
                <w:sz w:val="17"/>
                <w:szCs w:val="17"/>
                <w:color w:val="auto"/>
              </w:rPr>
            </w:pPr>
          </w:p>
        </w:tc>
        <w:tc>
          <w:tcPr>
            <w:tcW w:w="1720" w:type="dxa"/>
            <w:vAlign w:val="bottom"/>
          </w:tcPr>
          <w:p>
            <w:pPr>
              <w:ind w:left="1540"/>
              <w:spacing w:after="0"/>
              <w:rPr>
                <w:sz w:val="20"/>
                <w:szCs w:val="20"/>
                <w:color w:val="auto"/>
              </w:rPr>
            </w:pPr>
            <w:r>
              <w:rPr>
                <w:rFonts w:ascii="Arial" w:cs="Arial" w:eastAsia="Arial" w:hAnsi="Arial"/>
                <w:sz w:val="16"/>
                <w:szCs w:val="16"/>
                <w:color w:val="auto"/>
                <w:w w:val="78"/>
              </w:rPr>
              <w:t>No</w:t>
            </w:r>
          </w:p>
        </w:tc>
        <w:tc>
          <w:tcPr>
            <w:tcW w:w="0" w:type="dxa"/>
            <w:vAlign w:val="bottom"/>
          </w:tcPr>
          <w:p>
            <w:pPr>
              <w:spacing w:after="0"/>
              <w:rPr>
                <w:sz w:val="1"/>
                <w:szCs w:val="1"/>
                <w:color w:val="auto"/>
              </w:rPr>
            </w:pPr>
          </w:p>
        </w:tc>
      </w:tr>
      <w:tr>
        <w:trPr>
          <w:trHeight w:val="190"/>
        </w:trPr>
        <w:tc>
          <w:tcPr>
            <w:tcW w:w="3500" w:type="dxa"/>
            <w:vAlign w:val="bottom"/>
          </w:tcPr>
          <w:p>
            <w:pPr>
              <w:spacing w:after="0"/>
              <w:rPr>
                <w:sz w:val="20"/>
                <w:szCs w:val="20"/>
                <w:color w:val="auto"/>
              </w:rPr>
            </w:pPr>
            <w:r>
              <w:rPr>
                <w:rFonts w:ascii="Arial" w:cs="Arial" w:eastAsia="Arial" w:hAnsi="Arial"/>
                <w:sz w:val="16"/>
                <w:szCs w:val="16"/>
                <w:color w:val="auto"/>
              </w:rPr>
              <w:t>Pacific Enterprises</w:t>
            </w:r>
          </w:p>
        </w:tc>
        <w:tc>
          <w:tcPr>
            <w:tcW w:w="1620" w:type="dxa"/>
            <w:vAlign w:val="bottom"/>
          </w:tcPr>
          <w:p>
            <w:pPr>
              <w:ind w:left="1300"/>
              <w:spacing w:after="0"/>
              <w:rPr>
                <w:sz w:val="20"/>
                <w:szCs w:val="20"/>
                <w:color w:val="auto"/>
              </w:rPr>
            </w:pPr>
            <w:r>
              <w:rPr>
                <w:rFonts w:ascii="Arial" w:cs="Arial" w:eastAsia="Arial" w:hAnsi="Arial"/>
                <w:sz w:val="16"/>
                <w:szCs w:val="16"/>
                <w:color w:val="auto"/>
              </w:rPr>
              <w:t>Yes</w:t>
            </w:r>
          </w:p>
        </w:tc>
        <w:tc>
          <w:tcPr>
            <w:tcW w:w="920" w:type="dxa"/>
            <w:vAlign w:val="bottom"/>
          </w:tcPr>
          <w:p>
            <w:pPr>
              <w:spacing w:after="0"/>
              <w:rPr>
                <w:sz w:val="16"/>
                <w:szCs w:val="16"/>
                <w:color w:val="auto"/>
              </w:rPr>
            </w:pPr>
          </w:p>
        </w:tc>
        <w:tc>
          <w:tcPr>
            <w:tcW w:w="1720" w:type="dxa"/>
            <w:vAlign w:val="bottom"/>
          </w:tcPr>
          <w:p>
            <w:pPr>
              <w:ind w:left="1540"/>
              <w:spacing w:after="0" w:line="178" w:lineRule="exact"/>
              <w:rPr>
                <w:sz w:val="20"/>
                <w:szCs w:val="20"/>
                <w:color w:val="auto"/>
              </w:rPr>
            </w:pPr>
            <w:r>
              <w:rPr>
                <w:rFonts w:ascii="Arial" w:cs="Arial" w:eastAsia="Arial" w:hAnsi="Arial"/>
                <w:sz w:val="16"/>
                <w:szCs w:val="16"/>
                <w:color w:val="auto"/>
                <w:w w:val="78"/>
              </w:rPr>
              <w:t>No</w:t>
            </w:r>
          </w:p>
        </w:tc>
        <w:tc>
          <w:tcPr>
            <w:tcW w:w="0" w:type="dxa"/>
            <w:vAlign w:val="bottom"/>
          </w:tcPr>
          <w:p>
            <w:pPr>
              <w:spacing w:after="0"/>
              <w:rPr>
                <w:sz w:val="1"/>
                <w:szCs w:val="1"/>
                <w:color w:val="auto"/>
              </w:rPr>
            </w:pPr>
          </w:p>
        </w:tc>
      </w:tr>
      <w:tr>
        <w:trPr>
          <w:trHeight w:val="26"/>
        </w:trPr>
        <w:tc>
          <w:tcPr>
            <w:tcW w:w="3500" w:type="dxa"/>
            <w:vAlign w:val="bottom"/>
            <w:vMerge w:val="restart"/>
          </w:tcPr>
          <w:p>
            <w:pPr>
              <w:spacing w:after="0"/>
              <w:rPr>
                <w:sz w:val="20"/>
                <w:szCs w:val="20"/>
                <w:color w:val="auto"/>
              </w:rPr>
            </w:pPr>
            <w:r>
              <w:rPr>
                <w:rFonts w:ascii="Arial" w:cs="Arial" w:eastAsia="Arial" w:hAnsi="Arial"/>
                <w:sz w:val="16"/>
                <w:szCs w:val="16"/>
                <w:color w:val="auto"/>
              </w:rPr>
              <w:t>Southern California Gas Company</w:t>
            </w:r>
          </w:p>
        </w:tc>
        <w:tc>
          <w:tcPr>
            <w:tcW w:w="1620" w:type="dxa"/>
            <w:vAlign w:val="bottom"/>
            <w:vMerge w:val="restart"/>
          </w:tcPr>
          <w:p>
            <w:pPr>
              <w:ind w:left="1220"/>
              <w:spacing w:after="0"/>
              <w:rPr>
                <w:sz w:val="20"/>
                <w:szCs w:val="20"/>
                <w:color w:val="auto"/>
              </w:rPr>
            </w:pPr>
            <w:r>
              <w:rPr>
                <w:rFonts w:ascii="Arial" w:cs="Arial" w:eastAsia="Arial" w:hAnsi="Arial"/>
                <w:sz w:val="16"/>
                <w:szCs w:val="16"/>
                <w:color w:val="auto"/>
              </w:rPr>
              <w:t>Yes</w:t>
            </w:r>
          </w:p>
        </w:tc>
        <w:tc>
          <w:tcPr>
            <w:tcW w:w="920" w:type="dxa"/>
            <w:vAlign w:val="bottom"/>
            <w:tcBorders>
              <w:bottom w:val="single" w:sz="8" w:color="auto"/>
            </w:tcBorders>
          </w:tcPr>
          <w:p>
            <w:pPr>
              <w:spacing w:after="0"/>
              <w:rPr>
                <w:sz w:val="2"/>
                <w:szCs w:val="2"/>
                <w:color w:val="auto"/>
              </w:rPr>
            </w:pPr>
          </w:p>
        </w:tc>
        <w:tc>
          <w:tcPr>
            <w:tcW w:w="1720" w:type="dxa"/>
            <w:vAlign w:val="bottom"/>
            <w:vMerge w:val="restart"/>
          </w:tcPr>
          <w:p>
            <w:pPr>
              <w:ind w:left="1540"/>
              <w:spacing w:after="0"/>
              <w:rPr>
                <w:sz w:val="20"/>
                <w:szCs w:val="20"/>
                <w:color w:val="auto"/>
              </w:rPr>
            </w:pPr>
            <w:r>
              <w:rPr>
                <w:rFonts w:ascii="Arial" w:cs="Arial" w:eastAsia="Arial" w:hAnsi="Arial"/>
                <w:sz w:val="16"/>
                <w:szCs w:val="16"/>
                <w:color w:val="auto"/>
                <w:w w:val="78"/>
              </w:rPr>
              <w:t>No</w:t>
            </w:r>
          </w:p>
        </w:tc>
        <w:tc>
          <w:tcPr>
            <w:tcW w:w="0" w:type="dxa"/>
            <w:vAlign w:val="bottom"/>
          </w:tcPr>
          <w:p>
            <w:pPr>
              <w:spacing w:after="0"/>
              <w:rPr>
                <w:sz w:val="1"/>
                <w:szCs w:val="1"/>
                <w:color w:val="auto"/>
              </w:rPr>
            </w:pPr>
          </w:p>
        </w:tc>
      </w:tr>
      <w:tr>
        <w:trPr>
          <w:trHeight w:val="182"/>
        </w:trPr>
        <w:tc>
          <w:tcPr>
            <w:tcW w:w="350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5963920</wp:posOffset>
            </wp:positionH>
            <wp:positionV relativeFrom="paragraph">
              <wp:posOffset>-6985</wp:posOffset>
            </wp:positionV>
            <wp:extent cx="4267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6720" cy="762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-151765</wp:posOffset>
            </wp:positionV>
            <wp:extent cx="4267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6720" cy="762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-296545</wp:posOffset>
            </wp:positionV>
            <wp:extent cx="4267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6720" cy="7620"/>
                    </a:xfrm>
                    <a:prstGeom prst="rect">
                      <a:avLst/>
                    </a:prstGeom>
                    <a:noFill/>
                  </pic:spPr>
                </pic:pic>
              </a:graphicData>
            </a:graphic>
          </wp:anchor>
        </w:drawing>
      </w:r>
    </w:p>
    <w:p>
      <w:pPr>
        <w:spacing w:after="0" w:line="187" w:lineRule="exact"/>
        <w:rPr>
          <w:sz w:val="20"/>
          <w:szCs w:val="20"/>
          <w:color w:val="auto"/>
        </w:rPr>
      </w:pPr>
    </w:p>
    <w:p>
      <w:pPr>
        <w:ind w:left="1460" w:right="160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99"/>
        </w:trPr>
        <w:tc>
          <w:tcPr>
            <w:tcW w:w="2460" w:type="dxa"/>
            <w:vAlign w:val="bottom"/>
          </w:tcPr>
          <w:p>
            <w:pPr>
              <w:spacing w:after="0"/>
              <w:rPr>
                <w:sz w:val="17"/>
                <w:szCs w:val="17"/>
                <w:color w:val="auto"/>
              </w:rPr>
            </w:pPr>
          </w:p>
        </w:tc>
        <w:tc>
          <w:tcPr>
            <w:tcW w:w="1140" w:type="dxa"/>
            <w:vAlign w:val="bottom"/>
            <w:gridSpan w:val="2"/>
          </w:tcPr>
          <w:p>
            <w:pPr>
              <w:ind w:left="340"/>
              <w:spacing w:after="0"/>
              <w:rPr>
                <w:sz w:val="20"/>
                <w:szCs w:val="20"/>
                <w:color w:val="auto"/>
              </w:rPr>
            </w:pPr>
            <w:r>
              <w:rPr>
                <w:rFonts w:ascii="Arial" w:cs="Arial" w:eastAsia="Arial" w:hAnsi="Arial"/>
                <w:sz w:val="16"/>
                <w:szCs w:val="16"/>
                <w:color w:val="auto"/>
              </w:rPr>
              <w:t>Large</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3"/>
        </w:trPr>
        <w:tc>
          <w:tcPr>
            <w:tcW w:w="246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Arial" w:cs="Arial" w:eastAsia="Arial" w:hAnsi="Arial"/>
                <w:sz w:val="16"/>
                <w:szCs w:val="16"/>
                <w:color w:val="auto"/>
              </w:rPr>
              <w:t>accelerated</w:t>
            </w: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gridSpan w:val="2"/>
          </w:tcPr>
          <w:p>
            <w:pPr>
              <w:jc w:val="right"/>
              <w:ind w:right="42"/>
              <w:spacing w:after="0"/>
              <w:rPr>
                <w:sz w:val="20"/>
                <w:szCs w:val="20"/>
                <w:color w:val="auto"/>
              </w:rPr>
            </w:pPr>
            <w:r>
              <w:rPr>
                <w:rFonts w:ascii="Arial" w:cs="Arial" w:eastAsia="Arial" w:hAnsi="Arial"/>
                <w:sz w:val="16"/>
                <w:szCs w:val="16"/>
                <w:color w:val="auto"/>
              </w:rPr>
              <w:t>Smaller reporting</w:t>
            </w:r>
          </w:p>
        </w:tc>
      </w:tr>
      <w:tr>
        <w:trPr>
          <w:trHeight w:val="211"/>
        </w:trPr>
        <w:tc>
          <w:tcPr>
            <w:tcW w:w="24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filer</w:t>
            </w:r>
          </w:p>
        </w:tc>
        <w:tc>
          <w:tcPr>
            <w:tcW w:w="164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6"/>
                <w:szCs w:val="16"/>
                <w:color w:val="auto"/>
              </w:rPr>
              <w:t>Accelerated filer</w:t>
            </w: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89"/>
              </w:rPr>
              <w:t>Non-accelerated filer</w:t>
            </w:r>
          </w:p>
        </w:tc>
        <w:tc>
          <w:tcPr>
            <w:tcW w:w="150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6"/>
                <w:szCs w:val="16"/>
                <w:color w:val="auto"/>
              </w:rPr>
              <w:t>company</w:t>
            </w:r>
          </w:p>
        </w:tc>
      </w:tr>
      <w:tr>
        <w:trPr>
          <w:trHeight w:val="196"/>
        </w:trPr>
        <w:tc>
          <w:tcPr>
            <w:tcW w:w="2460" w:type="dxa"/>
            <w:vAlign w:val="bottom"/>
          </w:tcPr>
          <w:p>
            <w:pPr>
              <w:ind w:left="80"/>
              <w:spacing w:after="0"/>
              <w:rPr>
                <w:sz w:val="20"/>
                <w:szCs w:val="20"/>
                <w:color w:val="auto"/>
              </w:rPr>
            </w:pPr>
            <w:r>
              <w:rPr>
                <w:rFonts w:ascii="Arial" w:cs="Arial" w:eastAsia="Arial" w:hAnsi="Arial"/>
                <w:sz w:val="16"/>
                <w:szCs w:val="16"/>
                <w:color w:val="auto"/>
              </w:rPr>
              <w:t>Sempra Energy</w:t>
            </w:r>
          </w:p>
        </w:tc>
        <w:tc>
          <w:tcPr>
            <w:tcW w:w="400" w:type="dxa"/>
            <w:vAlign w:val="bottom"/>
          </w:tcPr>
          <w:p>
            <w:pPr>
              <w:ind w:left="360"/>
              <w:spacing w:after="0"/>
              <w:rPr>
                <w:sz w:val="20"/>
                <w:szCs w:val="20"/>
                <w:color w:val="auto"/>
              </w:rPr>
            </w:pPr>
            <w:r>
              <w:rPr>
                <w:rFonts w:ascii="Arial" w:cs="Arial" w:eastAsia="Arial" w:hAnsi="Arial"/>
                <w:sz w:val="10"/>
                <w:szCs w:val="10"/>
                <w:color w:val="auto"/>
                <w:w w:val="70"/>
              </w:rPr>
              <w:t>[</w:t>
            </w:r>
          </w:p>
        </w:tc>
        <w:tc>
          <w:tcPr>
            <w:tcW w:w="740" w:type="dxa"/>
            <w:vAlign w:val="bottom"/>
          </w:tcPr>
          <w:p>
            <w:pPr>
              <w:jc w:val="right"/>
              <w:ind w:right="342"/>
              <w:spacing w:after="0"/>
              <w:rPr>
                <w:sz w:val="20"/>
                <w:szCs w:val="20"/>
                <w:color w:val="auto"/>
              </w:rPr>
            </w:pPr>
            <w:r>
              <w:rPr>
                <w:rFonts w:ascii="Arial" w:cs="Arial" w:eastAsia="Arial" w:hAnsi="Arial"/>
                <w:sz w:val="16"/>
                <w:szCs w:val="16"/>
                <w:color w:val="auto"/>
              </w:rPr>
              <w:t>X ]</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920" w:type="dxa"/>
            <w:vAlign w:val="bottom"/>
          </w:tcPr>
          <w:p>
            <w:pPr>
              <w:ind w:left="8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62"/>
              <w:spacing w:after="0"/>
              <w:rPr>
                <w:sz w:val="20"/>
                <w:szCs w:val="20"/>
                <w:color w:val="auto"/>
              </w:rPr>
            </w:pPr>
            <w:r>
              <w:rPr>
                <w:rFonts w:ascii="Arial" w:cs="Arial" w:eastAsia="Arial" w:hAnsi="Arial"/>
                <w:sz w:val="16"/>
                <w:szCs w:val="16"/>
                <w:color w:val="auto"/>
              </w:rPr>
              <w:t>]</w:t>
            </w:r>
          </w:p>
        </w:tc>
      </w:tr>
      <w:tr>
        <w:trPr>
          <w:trHeight w:val="216"/>
        </w:trPr>
        <w:tc>
          <w:tcPr>
            <w:tcW w:w="2460" w:type="dxa"/>
            <w:vAlign w:val="bottom"/>
          </w:tcPr>
          <w:p>
            <w:pPr>
              <w:ind w:left="80"/>
              <w:spacing w:after="0"/>
              <w:rPr>
                <w:sz w:val="20"/>
                <w:szCs w:val="20"/>
                <w:color w:val="auto"/>
              </w:rPr>
            </w:pPr>
            <w:r>
              <w:rPr>
                <w:rFonts w:ascii="Arial" w:cs="Arial" w:eastAsia="Arial" w:hAnsi="Arial"/>
                <w:sz w:val="16"/>
                <w:szCs w:val="16"/>
                <w:color w:val="auto"/>
                <w:w w:val="93"/>
              </w:rPr>
              <w:t>San Diego Gas &amp; Electric Company</w:t>
            </w:r>
          </w:p>
        </w:tc>
        <w:tc>
          <w:tcPr>
            <w:tcW w:w="400" w:type="dxa"/>
            <w:vAlign w:val="bottom"/>
          </w:tcPr>
          <w:p>
            <w:pPr>
              <w:ind w:left="360"/>
              <w:spacing w:after="0"/>
              <w:rPr>
                <w:sz w:val="20"/>
                <w:szCs w:val="20"/>
                <w:color w:val="auto"/>
              </w:rPr>
            </w:pPr>
            <w:r>
              <w:rPr>
                <w:rFonts w:ascii="Arial" w:cs="Arial" w:eastAsia="Arial" w:hAnsi="Arial"/>
                <w:sz w:val="10"/>
                <w:szCs w:val="10"/>
                <w:color w:val="auto"/>
                <w:w w:val="70"/>
              </w:rPr>
              <w:t>[</w:t>
            </w:r>
          </w:p>
        </w:tc>
        <w:tc>
          <w:tcPr>
            <w:tcW w:w="74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1940" w:type="dxa"/>
            <w:vAlign w:val="bottom"/>
            <w:gridSpan w:val="3"/>
          </w:tcPr>
          <w:p>
            <w:pPr>
              <w:ind w:left="820"/>
              <w:spacing w:after="0"/>
              <w:rPr>
                <w:sz w:val="20"/>
                <w:szCs w:val="20"/>
                <w:color w:val="auto"/>
              </w:rPr>
            </w:pPr>
            <w:r>
              <w:rPr>
                <w:rFonts w:ascii="Arial" w:cs="Arial" w:eastAsia="Arial" w:hAnsi="Arial"/>
                <w:sz w:val="16"/>
                <w:szCs w:val="16"/>
                <w:color w:val="auto"/>
              </w:rPr>
              <w:t>[ X ]</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62"/>
              <w:spacing w:after="0"/>
              <w:rPr>
                <w:sz w:val="20"/>
                <w:szCs w:val="20"/>
                <w:color w:val="auto"/>
              </w:rPr>
            </w:pPr>
            <w:r>
              <w:rPr>
                <w:rFonts w:ascii="Arial" w:cs="Arial" w:eastAsia="Arial" w:hAnsi="Arial"/>
                <w:sz w:val="16"/>
                <w:szCs w:val="16"/>
                <w:color w:val="auto"/>
              </w:rPr>
              <w:t>]</w:t>
            </w:r>
          </w:p>
        </w:tc>
      </w:tr>
      <w:tr>
        <w:trPr>
          <w:trHeight w:val="222"/>
        </w:trPr>
        <w:tc>
          <w:tcPr>
            <w:tcW w:w="2460" w:type="dxa"/>
            <w:vAlign w:val="bottom"/>
            <w:tcBorders>
              <w:bottom w:val="single" w:sz="8" w:color="EEEEEE"/>
            </w:tcBorders>
          </w:tcPr>
          <w:p>
            <w:pPr>
              <w:ind w:left="80"/>
              <w:spacing w:after="0"/>
              <w:rPr>
                <w:sz w:val="20"/>
                <w:szCs w:val="20"/>
                <w:color w:val="auto"/>
              </w:rPr>
            </w:pPr>
            <w:r>
              <w:rPr>
                <w:rFonts w:ascii="Arial" w:cs="Arial" w:eastAsia="Arial" w:hAnsi="Arial"/>
                <w:sz w:val="16"/>
                <w:szCs w:val="16"/>
                <w:color w:val="auto"/>
              </w:rPr>
              <w:t>Pacific Enterprises</w:t>
            </w:r>
          </w:p>
        </w:tc>
        <w:tc>
          <w:tcPr>
            <w:tcW w:w="400" w:type="dxa"/>
            <w:vAlign w:val="bottom"/>
          </w:tcPr>
          <w:p>
            <w:pPr>
              <w:ind w:left="360"/>
              <w:spacing w:after="0"/>
              <w:rPr>
                <w:sz w:val="20"/>
                <w:szCs w:val="20"/>
                <w:color w:val="auto"/>
              </w:rPr>
            </w:pPr>
            <w:r>
              <w:rPr>
                <w:rFonts w:ascii="Arial" w:cs="Arial" w:eastAsia="Arial" w:hAnsi="Arial"/>
                <w:sz w:val="10"/>
                <w:szCs w:val="10"/>
                <w:color w:val="auto"/>
                <w:w w:val="70"/>
              </w:rPr>
              <w:t>[</w:t>
            </w:r>
          </w:p>
        </w:tc>
        <w:tc>
          <w:tcPr>
            <w:tcW w:w="74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920" w:type="dxa"/>
            <w:vAlign w:val="bottom"/>
          </w:tcPr>
          <w:p>
            <w:pPr>
              <w:ind w:left="820"/>
              <w:spacing w:after="0"/>
              <w:rPr>
                <w:sz w:val="20"/>
                <w:szCs w:val="20"/>
                <w:color w:val="auto"/>
              </w:rPr>
            </w:pPr>
            <w:r>
              <w:rPr>
                <w:rFonts w:ascii="Arial" w:cs="Arial" w:eastAsia="Arial" w:hAnsi="Arial"/>
                <w:sz w:val="16"/>
                <w:szCs w:val="16"/>
                <w:color w:val="auto"/>
              </w:rPr>
              <w:t>[</w:t>
            </w:r>
          </w:p>
        </w:tc>
        <w:tc>
          <w:tcPr>
            <w:tcW w:w="200" w:type="dxa"/>
            <w:vAlign w:val="bottom"/>
          </w:tcPr>
          <w:p>
            <w:pPr>
              <w:jc w:val="center"/>
              <w:spacing w:after="0"/>
              <w:rPr>
                <w:sz w:val="20"/>
                <w:szCs w:val="20"/>
                <w:color w:val="auto"/>
              </w:rPr>
            </w:pPr>
            <w:r>
              <w:rPr>
                <w:rFonts w:ascii="Arial" w:cs="Arial" w:eastAsia="Arial" w:hAnsi="Arial"/>
                <w:sz w:val="16"/>
                <w:szCs w:val="16"/>
                <w:color w:val="auto"/>
              </w:rPr>
              <w:t>X</w:t>
            </w:r>
          </w:p>
        </w:tc>
        <w:tc>
          <w:tcPr>
            <w:tcW w:w="820" w:type="dxa"/>
            <w:vAlign w:val="bottom"/>
          </w:tcPr>
          <w:p>
            <w:pPr>
              <w:jc w:val="right"/>
              <w:ind w:right="682"/>
              <w:spacing w:after="0"/>
              <w:rPr>
                <w:sz w:val="20"/>
                <w:szCs w:val="20"/>
                <w:color w:val="auto"/>
              </w:rPr>
            </w:pPr>
            <w:r>
              <w:rPr>
                <w:rFonts w:ascii="Arial" w:cs="Arial" w:eastAsia="Arial" w:hAnsi="Arial"/>
                <w:sz w:val="16"/>
                <w:szCs w:val="16"/>
                <w:color w:val="auto"/>
                <w:w w:val="88"/>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62"/>
              <w:spacing w:after="0"/>
              <w:rPr>
                <w:sz w:val="20"/>
                <w:szCs w:val="20"/>
                <w:color w:val="auto"/>
              </w:rPr>
            </w:pPr>
            <w:r>
              <w:rPr>
                <w:rFonts w:ascii="Arial" w:cs="Arial" w:eastAsia="Arial" w:hAnsi="Arial"/>
                <w:sz w:val="16"/>
                <w:szCs w:val="16"/>
                <w:color w:val="auto"/>
              </w:rPr>
              <w:t>]</w:t>
            </w:r>
          </w:p>
        </w:tc>
      </w:tr>
      <w:tr>
        <w:trPr>
          <w:trHeight w:val="202"/>
        </w:trPr>
        <w:tc>
          <w:tcPr>
            <w:tcW w:w="2460" w:type="dxa"/>
            <w:vAlign w:val="bottom"/>
          </w:tcPr>
          <w:p>
            <w:pPr>
              <w:ind w:left="80"/>
              <w:spacing w:after="0"/>
              <w:rPr>
                <w:sz w:val="20"/>
                <w:szCs w:val="20"/>
                <w:color w:val="auto"/>
              </w:rPr>
            </w:pPr>
            <w:r>
              <w:rPr>
                <w:rFonts w:ascii="Arial" w:cs="Arial" w:eastAsia="Arial" w:hAnsi="Arial"/>
                <w:sz w:val="16"/>
                <w:szCs w:val="16"/>
                <w:color w:val="auto"/>
                <w:w w:val="96"/>
              </w:rPr>
              <w:t>Southern California Gas Company</w:t>
            </w:r>
          </w:p>
        </w:tc>
        <w:tc>
          <w:tcPr>
            <w:tcW w:w="400" w:type="dxa"/>
            <w:vAlign w:val="bottom"/>
          </w:tcPr>
          <w:p>
            <w:pPr>
              <w:ind w:left="360"/>
              <w:spacing w:after="0"/>
              <w:rPr>
                <w:sz w:val="20"/>
                <w:szCs w:val="20"/>
                <w:color w:val="auto"/>
              </w:rPr>
            </w:pPr>
            <w:r>
              <w:rPr>
                <w:rFonts w:ascii="Arial" w:cs="Arial" w:eastAsia="Arial" w:hAnsi="Arial"/>
                <w:sz w:val="10"/>
                <w:szCs w:val="10"/>
                <w:color w:val="auto"/>
                <w:w w:val="70"/>
              </w:rPr>
              <w:t>[</w:t>
            </w:r>
          </w:p>
        </w:tc>
        <w:tc>
          <w:tcPr>
            <w:tcW w:w="74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X</w:t>
            </w:r>
          </w:p>
        </w:tc>
        <w:tc>
          <w:tcPr>
            <w:tcW w:w="82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62"/>
              <w:spacing w:after="0"/>
              <w:rPr>
                <w:sz w:val="20"/>
                <w:szCs w:val="20"/>
                <w:color w:val="auto"/>
              </w:rPr>
            </w:pPr>
            <w:r>
              <w:rPr>
                <w:rFonts w:ascii="Arial" w:cs="Arial" w:eastAsia="Arial" w:hAnsi="Arial"/>
                <w:sz w:val="16"/>
                <w:szCs w:val="16"/>
                <w:color w:val="auto"/>
              </w:rPr>
              <w:t>]</w:t>
            </w:r>
          </w:p>
        </w:tc>
      </w:tr>
    </w:tbl>
    <w:p>
      <w:pPr>
        <w:spacing w:after="0" w:line="233" w:lineRule="exact"/>
        <w:rPr>
          <w:sz w:val="20"/>
          <w:szCs w:val="20"/>
          <w:color w:val="auto"/>
        </w:rPr>
      </w:pPr>
    </w:p>
    <w:tbl>
      <w:tblPr>
        <w:tblLayout w:type="fixed"/>
        <w:tblInd w:w="1460" w:type="dxa"/>
        <w:tblCellMar>
          <w:top w:w="0" w:type="dxa"/>
          <w:left w:w="0" w:type="dxa"/>
          <w:bottom w:w="0" w:type="dxa"/>
          <w:right w:w="0" w:type="dxa"/>
        </w:tblCellMar>
      </w:tblPr>
      <w:tr>
        <w:trPr>
          <w:trHeight w:val="199"/>
        </w:trPr>
        <w:tc>
          <w:tcPr>
            <w:tcW w:w="7280" w:type="dxa"/>
            <w:vAlign w:val="bottom"/>
            <w:gridSpan w:val="4"/>
          </w:tcPr>
          <w:p>
            <w:pPr>
              <w:spacing w:after="0"/>
              <w:rPr>
                <w:sz w:val="20"/>
                <w:szCs w:val="20"/>
                <w:color w:val="auto"/>
              </w:rPr>
            </w:pPr>
            <w:r>
              <w:rPr>
                <w:rFonts w:ascii="Arial" w:cs="Arial" w:eastAsia="Arial" w:hAnsi="Arial"/>
                <w:sz w:val="16"/>
                <w:szCs w:val="16"/>
                <w:color w:val="auto"/>
                <w:w w:val="90"/>
              </w:rPr>
              <w:t>Indicate by check mark whether the registrant is a shell company (as defined in Rule 12b-2 of the Exchange Act).</w:t>
            </w: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vMerge w:val="restart"/>
          </w:tcPr>
          <w:p>
            <w:pPr>
              <w:spacing w:after="0"/>
              <w:rPr>
                <w:sz w:val="20"/>
                <w:szCs w:val="20"/>
                <w:color w:val="auto"/>
              </w:rPr>
            </w:pPr>
            <w:r>
              <w:rPr>
                <w:rFonts w:ascii="Arial" w:cs="Arial" w:eastAsia="Arial" w:hAnsi="Arial"/>
                <w:sz w:val="16"/>
                <w:szCs w:val="16"/>
                <w:color w:val="auto"/>
              </w:rPr>
              <w:t>Sempra Energy</w:t>
            </w:r>
          </w:p>
        </w:tc>
        <w:tc>
          <w:tcPr>
            <w:tcW w:w="1860" w:type="dxa"/>
            <w:vAlign w:val="bottom"/>
            <w:vMerge w:val="restart"/>
          </w:tcPr>
          <w:p>
            <w:pPr>
              <w:ind w:left="1460"/>
              <w:spacing w:after="0"/>
              <w:rPr>
                <w:sz w:val="20"/>
                <w:szCs w:val="20"/>
                <w:color w:val="auto"/>
              </w:rPr>
            </w:pPr>
            <w:r>
              <w:rPr>
                <w:rFonts w:ascii="Arial" w:cs="Arial" w:eastAsia="Arial" w:hAnsi="Arial"/>
                <w:sz w:val="16"/>
                <w:szCs w:val="16"/>
                <w:color w:val="auto"/>
              </w:rPr>
              <w:t>Yes</w:t>
            </w:r>
          </w:p>
        </w:tc>
        <w:tc>
          <w:tcPr>
            <w:tcW w:w="560" w:type="dxa"/>
            <w:vAlign w:val="bottom"/>
            <w:tcBorders>
              <w:right w:val="single" w:sz="8" w:color="EEEEEE"/>
            </w:tcBorders>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vMerge w:val="restart"/>
          </w:tcPr>
          <w:p>
            <w:pPr>
              <w:ind w:left="300"/>
              <w:spacing w:after="0"/>
              <w:rPr>
                <w:sz w:val="20"/>
                <w:szCs w:val="20"/>
                <w:color w:val="auto"/>
              </w:rPr>
            </w:pPr>
            <w:r>
              <w:rPr>
                <w:rFonts w:ascii="Arial" w:cs="Arial" w:eastAsia="Arial" w:hAnsi="Arial"/>
                <w:sz w:val="16"/>
                <w:szCs w:val="16"/>
                <w:color w:val="auto"/>
              </w:rPr>
              <w:t>No</w:t>
            </w:r>
          </w:p>
        </w:tc>
        <w:tc>
          <w:tcPr>
            <w:tcW w:w="660" w:type="dxa"/>
            <w:vAlign w:val="bottom"/>
            <w:vMerge w:val="restart"/>
          </w:tcPr>
          <w:p>
            <w:pPr>
              <w:ind w:left="2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8"/>
        </w:trPr>
        <w:tc>
          <w:tcPr>
            <w:tcW w:w="372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20" w:type="dxa"/>
            <w:vAlign w:val="bottom"/>
          </w:tcPr>
          <w:p>
            <w:pPr>
              <w:spacing w:after="0"/>
              <w:rPr>
                <w:sz w:val="20"/>
                <w:szCs w:val="20"/>
                <w:color w:val="auto"/>
              </w:rPr>
            </w:pPr>
            <w:r>
              <w:rPr>
                <w:rFonts w:ascii="Arial" w:cs="Arial" w:eastAsia="Arial" w:hAnsi="Arial"/>
                <w:sz w:val="16"/>
                <w:szCs w:val="16"/>
                <w:color w:val="auto"/>
              </w:rPr>
              <w:t>San Diego Gas &amp; Electric Company</w:t>
            </w:r>
          </w:p>
        </w:tc>
        <w:tc>
          <w:tcPr>
            <w:tcW w:w="1860" w:type="dxa"/>
            <w:vAlign w:val="bottom"/>
          </w:tcPr>
          <w:p>
            <w:pPr>
              <w:ind w:left="1460"/>
              <w:spacing w:after="0"/>
              <w:rPr>
                <w:sz w:val="20"/>
                <w:szCs w:val="20"/>
                <w:color w:val="auto"/>
              </w:rPr>
            </w:pPr>
            <w:r>
              <w:rPr>
                <w:rFonts w:ascii="Arial" w:cs="Arial" w:eastAsia="Arial" w:hAnsi="Arial"/>
                <w:sz w:val="16"/>
                <w:szCs w:val="16"/>
                <w:color w:val="auto"/>
              </w:rPr>
              <w:t>Yes</w:t>
            </w:r>
          </w:p>
        </w:tc>
        <w:tc>
          <w:tcPr>
            <w:tcW w:w="56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ind w:left="300"/>
              <w:spacing w:after="0"/>
              <w:rPr>
                <w:sz w:val="20"/>
                <w:szCs w:val="20"/>
                <w:color w:val="auto"/>
              </w:rPr>
            </w:pPr>
            <w:r>
              <w:rPr>
                <w:rFonts w:ascii="Arial" w:cs="Arial" w:eastAsia="Arial" w:hAnsi="Arial"/>
                <w:sz w:val="16"/>
                <w:szCs w:val="16"/>
                <w:color w:val="auto"/>
              </w:rPr>
              <w:t>No</w:t>
            </w: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8"/>
        </w:trPr>
        <w:tc>
          <w:tcPr>
            <w:tcW w:w="3720" w:type="dxa"/>
            <w:vAlign w:val="bottom"/>
          </w:tcPr>
          <w:p>
            <w:pPr>
              <w:spacing w:after="0" w:line="178" w:lineRule="exact"/>
              <w:rPr>
                <w:sz w:val="20"/>
                <w:szCs w:val="20"/>
                <w:color w:val="auto"/>
              </w:rPr>
            </w:pPr>
            <w:r>
              <w:rPr>
                <w:rFonts w:ascii="Arial" w:cs="Arial" w:eastAsia="Arial" w:hAnsi="Arial"/>
                <w:sz w:val="16"/>
                <w:szCs w:val="16"/>
                <w:color w:val="auto"/>
              </w:rPr>
              <w:t>Pacific Enterprises</w:t>
            </w:r>
          </w:p>
        </w:tc>
        <w:tc>
          <w:tcPr>
            <w:tcW w:w="1860" w:type="dxa"/>
            <w:vAlign w:val="bottom"/>
          </w:tcPr>
          <w:p>
            <w:pPr>
              <w:ind w:left="1460"/>
              <w:spacing w:after="0"/>
              <w:rPr>
                <w:sz w:val="20"/>
                <w:szCs w:val="20"/>
                <w:color w:val="auto"/>
              </w:rPr>
            </w:pPr>
            <w:r>
              <w:rPr>
                <w:rFonts w:ascii="Arial" w:cs="Arial" w:eastAsia="Arial" w:hAnsi="Arial"/>
                <w:sz w:val="16"/>
                <w:szCs w:val="16"/>
                <w:color w:val="auto"/>
              </w:rPr>
              <w:t>Yes</w:t>
            </w:r>
          </w:p>
        </w:tc>
        <w:tc>
          <w:tcPr>
            <w:tcW w:w="56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ind w:left="300"/>
              <w:spacing w:after="0"/>
              <w:rPr>
                <w:sz w:val="20"/>
                <w:szCs w:val="20"/>
                <w:color w:val="auto"/>
              </w:rPr>
            </w:pPr>
            <w:r>
              <w:rPr>
                <w:rFonts w:ascii="Arial" w:cs="Arial" w:eastAsia="Arial" w:hAnsi="Arial"/>
                <w:sz w:val="16"/>
                <w:szCs w:val="16"/>
                <w:color w:val="auto"/>
              </w:rPr>
              <w:t>No</w:t>
            </w: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20"/>
                <w:szCs w:val="20"/>
                <w:color w:val="auto"/>
              </w:rPr>
            </w:pPr>
            <w:r>
              <w:rPr>
                <w:rFonts w:ascii="Arial" w:cs="Arial" w:eastAsia="Arial" w:hAnsi="Arial"/>
                <w:sz w:val="16"/>
                <w:szCs w:val="16"/>
                <w:color w:val="auto"/>
              </w:rPr>
              <w:t>Southern California Gas Company</w:t>
            </w:r>
          </w:p>
        </w:tc>
        <w:tc>
          <w:tcPr>
            <w:tcW w:w="1860" w:type="dxa"/>
            <w:vAlign w:val="bottom"/>
          </w:tcPr>
          <w:p>
            <w:pPr>
              <w:ind w:left="1460"/>
              <w:spacing w:after="0"/>
              <w:rPr>
                <w:sz w:val="20"/>
                <w:szCs w:val="20"/>
                <w:color w:val="auto"/>
              </w:rPr>
            </w:pPr>
            <w:r>
              <w:rPr>
                <w:rFonts w:ascii="Arial" w:cs="Arial" w:eastAsia="Arial" w:hAnsi="Arial"/>
                <w:sz w:val="16"/>
                <w:szCs w:val="16"/>
                <w:color w:val="auto"/>
              </w:rPr>
              <w:t>Yes</w:t>
            </w:r>
          </w:p>
        </w:tc>
        <w:tc>
          <w:tcPr>
            <w:tcW w:w="560" w:type="dxa"/>
            <w:vAlign w:val="bottom"/>
          </w:tcPr>
          <w:p>
            <w:pPr>
              <w:spacing w:after="0"/>
              <w:rPr>
                <w:sz w:val="16"/>
                <w:szCs w:val="16"/>
                <w:color w:val="auto"/>
              </w:rPr>
            </w:pPr>
          </w:p>
        </w:tc>
        <w:tc>
          <w:tcPr>
            <w:tcW w:w="1140" w:type="dxa"/>
            <w:vAlign w:val="bottom"/>
          </w:tcPr>
          <w:p>
            <w:pPr>
              <w:ind w:left="780"/>
              <w:spacing w:after="0"/>
              <w:rPr>
                <w:sz w:val="20"/>
                <w:szCs w:val="20"/>
                <w:color w:val="auto"/>
              </w:rPr>
            </w:pPr>
            <w:r>
              <w:rPr>
                <w:rFonts w:ascii="Arial" w:cs="Arial" w:eastAsia="Arial" w:hAnsi="Arial"/>
                <w:sz w:val="16"/>
                <w:szCs w:val="16"/>
                <w:color w:val="auto"/>
              </w:rPr>
              <w:t>No</w:t>
            </w:r>
          </w:p>
        </w:tc>
        <w:tc>
          <w:tcPr>
            <w:tcW w:w="660" w:type="dxa"/>
            <w:vAlign w:val="bottom"/>
          </w:tcPr>
          <w:p>
            <w:pPr>
              <w:ind w:left="220"/>
              <w:spacing w:after="0"/>
              <w:rPr>
                <w:sz w:val="20"/>
                <w:szCs w:val="20"/>
                <w:color w:val="auto"/>
              </w:rPr>
            </w:pPr>
            <w:r>
              <w:rPr>
                <w:rFonts w:ascii="Arial" w:cs="Arial" w:eastAsia="Arial" w:hAnsi="Arial"/>
                <w:sz w:val="16"/>
                <w:szCs w:val="16"/>
                <w:color w:val="auto"/>
              </w:rPr>
              <w:t>X</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206"/>
        </w:trPr>
        <w:tc>
          <w:tcPr>
            <w:tcW w:w="3340" w:type="dxa"/>
            <w:vAlign w:val="bottom"/>
          </w:tcPr>
          <w:p>
            <w:pPr>
              <w:ind w:left="80"/>
              <w:spacing w:after="0"/>
              <w:rPr>
                <w:sz w:val="20"/>
                <w:szCs w:val="20"/>
                <w:color w:val="auto"/>
              </w:rPr>
            </w:pPr>
            <w:r>
              <w:rPr>
                <w:rFonts w:ascii="Arial" w:cs="Arial" w:eastAsia="Arial" w:hAnsi="Arial"/>
                <w:sz w:val="16"/>
                <w:szCs w:val="16"/>
                <w:color w:val="auto"/>
                <w:w w:val="90"/>
              </w:rPr>
              <w:t>Common stock outstanding on November 5, 2010:</w:t>
            </w:r>
          </w:p>
        </w:tc>
        <w:tc>
          <w:tcPr>
            <w:tcW w:w="3480" w:type="dxa"/>
            <w:vAlign w:val="bottom"/>
          </w:tcPr>
          <w:p>
            <w:pPr>
              <w:spacing w:after="0"/>
              <w:rPr>
                <w:sz w:val="17"/>
                <w:szCs w:val="17"/>
                <w:color w:val="auto"/>
              </w:rPr>
            </w:pPr>
          </w:p>
        </w:tc>
        <w:tc>
          <w:tcPr>
            <w:tcW w:w="1220" w:type="dxa"/>
            <w:vAlign w:val="bottom"/>
            <w:tcBorders>
              <w:bottom w:val="single" w:sz="8" w:color="EEEEEE"/>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40" w:type="dxa"/>
            <w:vAlign w:val="bottom"/>
            <w:vMerge w:val="restart"/>
          </w:tcPr>
          <w:p>
            <w:pPr>
              <w:ind w:left="80"/>
              <w:spacing w:after="0"/>
              <w:rPr>
                <w:sz w:val="20"/>
                <w:szCs w:val="20"/>
                <w:color w:val="auto"/>
              </w:rPr>
            </w:pPr>
            <w:r>
              <w:rPr>
                <w:rFonts w:ascii="Arial" w:cs="Arial" w:eastAsia="Arial" w:hAnsi="Arial"/>
                <w:sz w:val="16"/>
                <w:szCs w:val="16"/>
                <w:color w:val="auto"/>
              </w:rPr>
              <w:t>Sempra Energy</w:t>
            </w:r>
          </w:p>
        </w:tc>
        <w:tc>
          <w:tcPr>
            <w:tcW w:w="3480" w:type="dxa"/>
            <w:vAlign w:val="bottom"/>
            <w:vMerge w:val="restart"/>
          </w:tcPr>
          <w:p>
            <w:pPr>
              <w:ind w:left="120"/>
              <w:spacing w:after="0"/>
              <w:rPr>
                <w:sz w:val="20"/>
                <w:szCs w:val="20"/>
                <w:color w:val="auto"/>
              </w:rPr>
            </w:pPr>
            <w:r>
              <w:rPr>
                <w:rFonts w:ascii="Arial" w:cs="Arial" w:eastAsia="Arial" w:hAnsi="Arial"/>
                <w:sz w:val="16"/>
                <w:szCs w:val="16"/>
                <w:color w:val="auto"/>
              </w:rPr>
              <w:t>240,054,962 shares</w:t>
            </w:r>
          </w:p>
        </w:tc>
        <w:tc>
          <w:tcPr>
            <w:tcW w:w="1220" w:type="dxa"/>
            <w:vAlign w:val="bottom"/>
            <w:tcBorders>
              <w:left w:val="single" w:sz="8" w:color="EEEEEE"/>
              <w:bottom w:val="single" w:sz="8" w:color="EEEEEE"/>
              <w:right w:val="single" w:sz="8" w:color="EEEEEE"/>
            </w:tcBorders>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340" w:type="dxa"/>
            <w:vAlign w:val="bottom"/>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5340" w:type="dxa"/>
            <w:vAlign w:val="bottom"/>
            <w:gridSpan w:val="3"/>
          </w:tcPr>
          <w:p>
            <w:pPr>
              <w:ind w:left="120"/>
              <w:spacing w:after="0"/>
              <w:rPr>
                <w:sz w:val="20"/>
                <w:szCs w:val="20"/>
                <w:color w:val="auto"/>
              </w:rPr>
            </w:pPr>
            <w:r>
              <w:rPr>
                <w:rFonts w:ascii="Arial" w:cs="Arial" w:eastAsia="Arial" w:hAnsi="Arial"/>
                <w:sz w:val="16"/>
                <w:szCs w:val="16"/>
                <w:color w:val="auto"/>
              </w:rPr>
              <w:t>Wholly owned by Enova Corporation, which is wholly owned by Sempra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80"/>
              <w:spacing w:after="0"/>
              <w:rPr>
                <w:sz w:val="20"/>
                <w:szCs w:val="20"/>
                <w:color w:val="auto"/>
              </w:rPr>
            </w:pPr>
            <w:r>
              <w:rPr>
                <w:rFonts w:ascii="Arial" w:cs="Arial" w:eastAsia="Arial" w:hAnsi="Arial"/>
                <w:sz w:val="16"/>
                <w:szCs w:val="16"/>
                <w:color w:val="auto"/>
              </w:rPr>
              <w:t>San Diego Gas &amp; Electric Company</w:t>
            </w:r>
          </w:p>
        </w:tc>
        <w:tc>
          <w:tcPr>
            <w:tcW w:w="5340" w:type="dxa"/>
            <w:vAlign w:val="bottom"/>
            <w:gridSpan w:val="3"/>
          </w:tcPr>
          <w:p>
            <w:pPr>
              <w:ind w:left="120"/>
              <w:spacing w:after="0"/>
              <w:rPr>
                <w:sz w:val="20"/>
                <w:szCs w:val="20"/>
                <w:color w:val="auto"/>
              </w:rPr>
            </w:pPr>
            <w:r>
              <w:rPr>
                <w:rFonts w:ascii="Arial" w:cs="Arial" w:eastAsia="Arial" w:hAnsi="Arial"/>
                <w:sz w:val="16"/>
                <w:szCs w:val="16"/>
                <w:color w:val="auto"/>
              </w:rPr>
              <w:t>Energy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40" w:type="dxa"/>
            <w:vAlign w:val="bottom"/>
          </w:tcPr>
          <w:p>
            <w:pPr>
              <w:ind w:left="80"/>
              <w:spacing w:after="0"/>
              <w:rPr>
                <w:sz w:val="20"/>
                <w:szCs w:val="20"/>
                <w:color w:val="auto"/>
              </w:rPr>
            </w:pPr>
            <w:r>
              <w:rPr>
                <w:rFonts w:ascii="Arial" w:cs="Arial" w:eastAsia="Arial" w:hAnsi="Arial"/>
                <w:sz w:val="16"/>
                <w:szCs w:val="16"/>
                <w:color w:val="auto"/>
              </w:rPr>
              <w:t>Pacific Enterprises</w:t>
            </w:r>
          </w:p>
        </w:tc>
        <w:tc>
          <w:tcPr>
            <w:tcW w:w="5340" w:type="dxa"/>
            <w:vAlign w:val="bottom"/>
            <w:gridSpan w:val="3"/>
          </w:tcPr>
          <w:p>
            <w:pPr>
              <w:ind w:left="120"/>
              <w:spacing w:after="0"/>
              <w:rPr>
                <w:sz w:val="20"/>
                <w:szCs w:val="20"/>
                <w:color w:val="auto"/>
              </w:rPr>
            </w:pPr>
            <w:r>
              <w:rPr>
                <w:rFonts w:ascii="Arial" w:cs="Arial" w:eastAsia="Arial" w:hAnsi="Arial"/>
                <w:sz w:val="16"/>
                <w:szCs w:val="16"/>
                <w:color w:val="auto"/>
              </w:rPr>
              <w:t>Wholly owned by Sempra Energy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80"/>
              <w:spacing w:after="0"/>
              <w:rPr>
                <w:sz w:val="20"/>
                <w:szCs w:val="20"/>
                <w:color w:val="auto"/>
              </w:rPr>
            </w:pPr>
            <w:r>
              <w:rPr>
                <w:rFonts w:ascii="Arial" w:cs="Arial" w:eastAsia="Arial" w:hAnsi="Arial"/>
                <w:sz w:val="16"/>
                <w:szCs w:val="16"/>
                <w:color w:val="auto"/>
              </w:rPr>
              <w:t>Southern California Gas Company</w:t>
            </w:r>
            <w:r>
              <w:rPr>
                <w:rFonts w:ascii="Arial" w:cs="Arial" w:eastAsia="Arial" w:hAnsi="Arial"/>
                <w:sz w:val="19"/>
                <w:szCs w:val="19"/>
                <w:color w:val="auto"/>
              </w:rPr>
              <w:t>&lt; /p&gt;</w:t>
            </w:r>
          </w:p>
        </w:tc>
        <w:tc>
          <w:tcPr>
            <w:tcW w:w="5340" w:type="dxa"/>
            <w:vAlign w:val="bottom"/>
            <w:gridSpan w:val="3"/>
          </w:tcPr>
          <w:p>
            <w:pPr>
              <w:ind w:left="120"/>
              <w:spacing w:after="0"/>
              <w:rPr>
                <w:sz w:val="20"/>
                <w:szCs w:val="20"/>
                <w:color w:val="auto"/>
              </w:rPr>
            </w:pPr>
            <w:r>
              <w:rPr>
                <w:rFonts w:ascii="Arial" w:cs="Arial" w:eastAsia="Arial" w:hAnsi="Arial"/>
                <w:sz w:val="16"/>
                <w:szCs w:val="16"/>
                <w:color w:val="auto"/>
                <w:w w:val="92"/>
              </w:rPr>
              <w:t>Wholly owned by Pacific Enterprises, which is wholly owned by Sempra Energy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33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40" w:type="dxa"/>
            <w:vAlign w:val="bottom"/>
            <w:tcBorders>
              <w:bottom w:val="single" w:sz="8" w:color="EEEEEE"/>
            </w:tcBorders>
          </w:tcPr>
          <w:p>
            <w:pPr>
              <w:spacing w:after="0"/>
              <w:rPr>
                <w:sz w:val="18"/>
                <w:szCs w:val="18"/>
                <w:color w:val="auto"/>
              </w:rPr>
            </w:pPr>
          </w:p>
        </w:tc>
        <w:tc>
          <w:tcPr>
            <w:tcW w:w="3480" w:type="dxa"/>
            <w:vAlign w:val="bottom"/>
            <w:tcBorders>
              <w:bottom w:val="single" w:sz="8" w:color="EEEEEE"/>
            </w:tcBorders>
          </w:tcPr>
          <w:p>
            <w:pPr>
              <w:spacing w:after="0"/>
              <w:rPr>
                <w:sz w:val="18"/>
                <w:szCs w:val="18"/>
                <w:color w:val="auto"/>
              </w:rPr>
            </w:pPr>
          </w:p>
        </w:tc>
        <w:tc>
          <w:tcPr>
            <w:tcW w:w="1220" w:type="dxa"/>
            <w:vAlign w:val="bottom"/>
            <w:tcBorders>
              <w:bottom w:val="single" w:sz="8" w:color="EEEEEE"/>
            </w:tcBorders>
          </w:tcPr>
          <w:p>
            <w:pPr>
              <w:spacing w:after="0"/>
              <w:rPr>
                <w:sz w:val="18"/>
                <w:szCs w:val="18"/>
                <w:color w:val="auto"/>
              </w:rPr>
            </w:pPr>
          </w:p>
        </w:tc>
        <w:tc>
          <w:tcPr>
            <w:tcW w:w="64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-14605</wp:posOffset>
            </wp:positionV>
            <wp:extent cx="762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pacing w:after="0" w:line="209"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SEMPRA ENERGY FORM 10-Q</w:t>
      </w:r>
    </w:p>
    <w:p>
      <w:pPr>
        <w:spacing w:after="0" w:line="11"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TABLE OF CONTENTS</w:t>
      </w:r>
    </w:p>
    <w:p>
      <w:pPr>
        <w:spacing w:after="0" w:line="16" w:lineRule="exact"/>
        <w:rPr>
          <w:sz w:val="20"/>
          <w:szCs w:val="20"/>
          <w:color w:val="auto"/>
        </w:rPr>
      </w:pPr>
    </w:p>
    <w:tbl>
      <w:tblPr>
        <w:tblLayout w:type="fixed"/>
        <w:tblInd w:w="228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4"/>
                <w:szCs w:val="14"/>
                <w:i w:val="1"/>
                <w:iCs w:val="1"/>
                <w:color w:val="auto"/>
              </w:rPr>
              <w:t>Page</w:t>
            </w:r>
          </w:p>
        </w:tc>
      </w:tr>
      <w:tr>
        <w:trPr>
          <w:trHeight w:val="394"/>
        </w:trPr>
        <w:tc>
          <w:tcPr>
            <w:tcW w:w="5640" w:type="dxa"/>
            <w:vAlign w:val="bottom"/>
            <w:gridSpan w:val="2"/>
          </w:tcPr>
          <w:p>
            <w:pPr>
              <w:ind w:left="80"/>
              <w:spacing w:after="0"/>
              <w:rPr>
                <w:sz w:val="20"/>
                <w:szCs w:val="20"/>
                <w:color w:val="auto"/>
              </w:rPr>
            </w:pPr>
            <w:r>
              <w:rPr>
                <w:rFonts w:ascii="Arial" w:cs="Arial" w:eastAsia="Arial" w:hAnsi="Arial"/>
                <w:sz w:val="14"/>
                <w:szCs w:val="14"/>
                <w:b w:val="1"/>
                <w:bCs w:val="1"/>
                <w:color w:val="auto"/>
              </w:rPr>
              <w:t>Information Regarding Forward-Looking Statements</w:t>
            </w:r>
          </w:p>
        </w:tc>
        <w:tc>
          <w:tcPr>
            <w:tcW w:w="1240" w:type="dxa"/>
            <w:vAlign w:val="bottom"/>
          </w:tcPr>
          <w:p>
            <w:pPr>
              <w:jc w:val="right"/>
              <w:ind w:right="468"/>
              <w:spacing w:after="0"/>
              <w:rPr>
                <w:sz w:val="20"/>
                <w:szCs w:val="20"/>
                <w:color w:val="auto"/>
              </w:rPr>
            </w:pPr>
            <w:r>
              <w:rPr>
                <w:rFonts w:ascii="Arial" w:cs="Arial" w:eastAsia="Arial" w:hAnsi="Arial"/>
                <w:sz w:val="14"/>
                <w:szCs w:val="14"/>
                <w:color w:val="auto"/>
              </w:rPr>
              <w:t>4</w:t>
            </w:r>
          </w:p>
        </w:tc>
      </w:tr>
      <w:tr>
        <w:trPr>
          <w:trHeight w:val="186"/>
        </w:trPr>
        <w:tc>
          <w:tcPr>
            <w:tcW w:w="5640" w:type="dxa"/>
            <w:vAlign w:val="bottom"/>
            <w:tcBorders>
              <w:bottom w:val="single" w:sz="8" w:color="auto"/>
            </w:tcBorders>
            <w:gridSpan w:val="2"/>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2"/>
        </w:trPr>
        <w:tc>
          <w:tcPr>
            <w:tcW w:w="5640" w:type="dxa"/>
            <w:vAlign w:val="bottom"/>
            <w:gridSpan w:val="2"/>
          </w:tcPr>
          <w:p>
            <w:pPr>
              <w:ind w:left="80"/>
              <w:spacing w:after="0"/>
              <w:rPr>
                <w:sz w:val="20"/>
                <w:szCs w:val="20"/>
                <w:color w:val="auto"/>
              </w:rPr>
            </w:pPr>
            <w:r>
              <w:rPr>
                <w:rFonts w:ascii="Arial" w:cs="Arial" w:eastAsia="Arial" w:hAnsi="Arial"/>
                <w:sz w:val="14"/>
                <w:szCs w:val="14"/>
                <w:b w:val="1"/>
                <w:bCs w:val="1"/>
                <w:color w:val="auto"/>
              </w:rPr>
              <w:t>PART I – FINANCIAL INFORMATION</w:t>
            </w:r>
          </w:p>
        </w:tc>
        <w:tc>
          <w:tcPr>
            <w:tcW w:w="1240" w:type="dxa"/>
            <w:vAlign w:val="bottom"/>
          </w:tcPr>
          <w:p>
            <w:pPr>
              <w:spacing w:after="0"/>
              <w:rPr>
                <w:sz w:val="15"/>
                <w:szCs w:val="15"/>
                <w:color w:val="auto"/>
              </w:rPr>
            </w:pPr>
          </w:p>
        </w:tc>
      </w:tr>
      <w:tr>
        <w:trPr>
          <w:trHeight w:val="171"/>
        </w:trPr>
        <w:tc>
          <w:tcPr>
            <w:tcW w:w="1080" w:type="dxa"/>
            <w:vAlign w:val="bottom"/>
          </w:tcPr>
          <w:p>
            <w:pPr>
              <w:ind w:left="80"/>
              <w:spacing w:after="0"/>
              <w:rPr>
                <w:sz w:val="20"/>
                <w:szCs w:val="20"/>
                <w:color w:val="auto"/>
              </w:rPr>
            </w:pPr>
            <w:r>
              <w:rPr>
                <w:rFonts w:ascii="Arial" w:cs="Arial" w:eastAsia="Arial" w:hAnsi="Arial"/>
                <w:sz w:val="14"/>
                <w:szCs w:val="14"/>
                <w:color w:val="auto"/>
              </w:rPr>
              <w:t>Item 1.</w:t>
            </w:r>
          </w:p>
        </w:tc>
        <w:tc>
          <w:tcPr>
            <w:tcW w:w="4560" w:type="dxa"/>
            <w:vAlign w:val="bottom"/>
          </w:tcPr>
          <w:p>
            <w:pPr>
              <w:ind w:left="300"/>
              <w:spacing w:after="0"/>
              <w:rPr>
                <w:sz w:val="20"/>
                <w:szCs w:val="20"/>
                <w:color w:val="auto"/>
              </w:rPr>
            </w:pPr>
            <w:r>
              <w:rPr>
                <w:rFonts w:ascii="Arial" w:cs="Arial" w:eastAsia="Arial" w:hAnsi="Arial"/>
                <w:sz w:val="14"/>
                <w:szCs w:val="14"/>
                <w:color w:val="auto"/>
              </w:rPr>
              <w:t>Financial Statements</w:t>
            </w:r>
          </w:p>
        </w:tc>
        <w:tc>
          <w:tcPr>
            <w:tcW w:w="1240" w:type="dxa"/>
            <w:vAlign w:val="bottom"/>
          </w:tcPr>
          <w:p>
            <w:pPr>
              <w:jc w:val="center"/>
              <w:spacing w:after="0"/>
              <w:rPr>
                <w:sz w:val="20"/>
                <w:szCs w:val="20"/>
                <w:color w:val="auto"/>
              </w:rPr>
            </w:pPr>
            <w:r>
              <w:rPr>
                <w:rFonts w:ascii="Arial" w:cs="Arial" w:eastAsia="Arial" w:hAnsi="Arial"/>
                <w:sz w:val="14"/>
                <w:szCs w:val="14"/>
                <w:color w:val="auto"/>
              </w:rPr>
              <w:t>5</w:t>
            </w:r>
          </w:p>
        </w:tc>
      </w:tr>
      <w:tr>
        <w:trPr>
          <w:trHeight w:val="180"/>
        </w:trPr>
        <w:tc>
          <w:tcPr>
            <w:tcW w:w="1080" w:type="dxa"/>
            <w:vAlign w:val="bottom"/>
          </w:tcPr>
          <w:p>
            <w:pPr>
              <w:spacing w:after="0"/>
              <w:rPr>
                <w:sz w:val="20"/>
                <w:szCs w:val="20"/>
                <w:color w:val="auto"/>
              </w:rPr>
            </w:pPr>
            <w:r>
              <w:rPr>
                <w:rFonts w:ascii="Arial" w:cs="Arial" w:eastAsia="Arial" w:hAnsi="Arial"/>
                <w:sz w:val="14"/>
                <w:szCs w:val="14"/>
                <w:color w:val="auto"/>
              </w:rPr>
              <w:t>Item 2.</w:t>
            </w:r>
          </w:p>
        </w:tc>
        <w:tc>
          <w:tcPr>
            <w:tcW w:w="4560" w:type="dxa"/>
            <w:vAlign w:val="bottom"/>
          </w:tcPr>
          <w:p>
            <w:pPr>
              <w:ind w:left="300"/>
              <w:spacing w:after="0"/>
              <w:rPr>
                <w:sz w:val="20"/>
                <w:szCs w:val="20"/>
                <w:color w:val="auto"/>
              </w:rPr>
            </w:pPr>
            <w:r>
              <w:rPr>
                <w:rFonts w:ascii="Arial" w:cs="Arial" w:eastAsia="Arial" w:hAnsi="Arial"/>
                <w:sz w:val="14"/>
                <w:szCs w:val="14"/>
                <w:color w:val="auto"/>
              </w:rPr>
              <w:t>Management’s Discussion and Analysis of Financial Condition</w:t>
            </w:r>
          </w:p>
        </w:tc>
        <w:tc>
          <w:tcPr>
            <w:tcW w:w="1240" w:type="dxa"/>
            <w:vAlign w:val="bottom"/>
          </w:tcPr>
          <w:p>
            <w:pPr>
              <w:spacing w:after="0"/>
              <w:rPr>
                <w:sz w:val="15"/>
                <w:szCs w:val="15"/>
                <w:color w:val="auto"/>
              </w:rPr>
            </w:pPr>
          </w:p>
        </w:tc>
      </w:tr>
      <w:tr>
        <w:trPr>
          <w:trHeight w:val="172"/>
        </w:trPr>
        <w:tc>
          <w:tcPr>
            <w:tcW w:w="1080" w:type="dxa"/>
            <w:vAlign w:val="bottom"/>
          </w:tcPr>
          <w:p>
            <w:pPr>
              <w:spacing w:after="0"/>
              <w:rPr>
                <w:sz w:val="14"/>
                <w:szCs w:val="14"/>
                <w:color w:val="auto"/>
              </w:rPr>
            </w:pPr>
          </w:p>
        </w:tc>
        <w:tc>
          <w:tcPr>
            <w:tcW w:w="4560" w:type="dxa"/>
            <w:vAlign w:val="bottom"/>
          </w:tcPr>
          <w:p>
            <w:pPr>
              <w:ind w:left="300"/>
              <w:spacing w:after="0"/>
              <w:rPr>
                <w:sz w:val="20"/>
                <w:szCs w:val="20"/>
                <w:color w:val="auto"/>
              </w:rPr>
            </w:pPr>
            <w:r>
              <w:rPr>
                <w:rFonts w:ascii="Arial" w:cs="Arial" w:eastAsia="Arial" w:hAnsi="Arial"/>
                <w:sz w:val="14"/>
                <w:szCs w:val="14"/>
                <w:color w:val="auto"/>
              </w:rPr>
              <w:t>and Results of Operations</w:t>
            </w:r>
          </w:p>
        </w:tc>
        <w:tc>
          <w:tcPr>
            <w:tcW w:w="1240" w:type="dxa"/>
            <w:vAlign w:val="bottom"/>
          </w:tcPr>
          <w:p>
            <w:pPr>
              <w:jc w:val="center"/>
              <w:spacing w:after="0"/>
              <w:rPr>
                <w:sz w:val="20"/>
                <w:szCs w:val="20"/>
                <w:color w:val="auto"/>
              </w:rPr>
            </w:pPr>
            <w:r>
              <w:rPr>
                <w:rFonts w:ascii="Arial" w:cs="Arial" w:eastAsia="Arial" w:hAnsi="Arial"/>
                <w:sz w:val="14"/>
                <w:szCs w:val="14"/>
                <w:color w:val="auto"/>
              </w:rPr>
              <w:t>73</w:t>
            </w:r>
          </w:p>
        </w:tc>
      </w:tr>
      <w:tr>
        <w:trPr>
          <w:trHeight w:val="180"/>
        </w:trPr>
        <w:tc>
          <w:tcPr>
            <w:tcW w:w="1080" w:type="dxa"/>
            <w:vAlign w:val="bottom"/>
          </w:tcPr>
          <w:p>
            <w:pPr>
              <w:ind w:left="80"/>
              <w:spacing w:after="0"/>
              <w:rPr>
                <w:sz w:val="20"/>
                <w:szCs w:val="20"/>
                <w:color w:val="auto"/>
              </w:rPr>
            </w:pPr>
            <w:r>
              <w:rPr>
                <w:rFonts w:ascii="Arial" w:cs="Arial" w:eastAsia="Arial" w:hAnsi="Arial"/>
                <w:sz w:val="14"/>
                <w:szCs w:val="14"/>
                <w:color w:val="auto"/>
              </w:rPr>
              <w:t>Item 3.</w:t>
            </w:r>
          </w:p>
        </w:tc>
        <w:tc>
          <w:tcPr>
            <w:tcW w:w="4560" w:type="dxa"/>
            <w:vAlign w:val="bottom"/>
          </w:tcPr>
          <w:p>
            <w:pPr>
              <w:ind w:left="300"/>
              <w:spacing w:after="0"/>
              <w:rPr>
                <w:sz w:val="20"/>
                <w:szCs w:val="20"/>
                <w:color w:val="auto"/>
              </w:rPr>
            </w:pPr>
            <w:r>
              <w:rPr>
                <w:rFonts w:ascii="Arial" w:cs="Arial" w:eastAsia="Arial" w:hAnsi="Arial"/>
                <w:sz w:val="14"/>
                <w:szCs w:val="14"/>
                <w:color w:val="auto"/>
              </w:rPr>
              <w:t>Quantitative and Qualitative Disclosures About Market Risk</w:t>
            </w:r>
          </w:p>
        </w:tc>
        <w:tc>
          <w:tcPr>
            <w:tcW w:w="1240" w:type="dxa"/>
            <w:vAlign w:val="bottom"/>
          </w:tcPr>
          <w:p>
            <w:pPr>
              <w:jc w:val="center"/>
              <w:spacing w:after="0"/>
              <w:rPr>
                <w:sz w:val="20"/>
                <w:szCs w:val="20"/>
                <w:color w:val="auto"/>
              </w:rPr>
            </w:pPr>
            <w:r>
              <w:rPr>
                <w:rFonts w:ascii="Arial" w:cs="Arial" w:eastAsia="Arial" w:hAnsi="Arial"/>
                <w:sz w:val="14"/>
                <w:szCs w:val="14"/>
                <w:color w:val="auto"/>
              </w:rPr>
              <w:t>99</w:t>
            </w:r>
          </w:p>
        </w:tc>
      </w:tr>
      <w:tr>
        <w:trPr>
          <w:trHeight w:val="180"/>
        </w:trPr>
        <w:tc>
          <w:tcPr>
            <w:tcW w:w="1080" w:type="dxa"/>
            <w:vAlign w:val="bottom"/>
          </w:tcPr>
          <w:p>
            <w:pPr>
              <w:ind w:left="80"/>
              <w:spacing w:after="0"/>
              <w:rPr>
                <w:sz w:val="20"/>
                <w:szCs w:val="20"/>
                <w:color w:val="auto"/>
              </w:rPr>
            </w:pPr>
            <w:r>
              <w:rPr>
                <w:rFonts w:ascii="Arial" w:cs="Arial" w:eastAsia="Arial" w:hAnsi="Arial"/>
                <w:sz w:val="14"/>
                <w:szCs w:val="14"/>
                <w:color w:val="auto"/>
              </w:rPr>
              <w:t>Item 4.</w:t>
            </w:r>
          </w:p>
        </w:tc>
        <w:tc>
          <w:tcPr>
            <w:tcW w:w="4560" w:type="dxa"/>
            <w:vAlign w:val="bottom"/>
          </w:tcPr>
          <w:p>
            <w:pPr>
              <w:ind w:left="300"/>
              <w:spacing w:after="0"/>
              <w:rPr>
                <w:sz w:val="20"/>
                <w:szCs w:val="20"/>
                <w:color w:val="auto"/>
              </w:rPr>
            </w:pPr>
            <w:r>
              <w:rPr>
                <w:rFonts w:ascii="Arial" w:cs="Arial" w:eastAsia="Arial" w:hAnsi="Arial"/>
                <w:sz w:val="14"/>
                <w:szCs w:val="14"/>
                <w:color w:val="auto"/>
              </w:rPr>
              <w:t>Controls and Procedures</w:t>
            </w:r>
          </w:p>
        </w:tc>
        <w:tc>
          <w:tcPr>
            <w:tcW w:w="1240" w:type="dxa"/>
            <w:vAlign w:val="bottom"/>
          </w:tcPr>
          <w:p>
            <w:pPr>
              <w:jc w:val="center"/>
              <w:spacing w:after="0"/>
              <w:rPr>
                <w:sz w:val="20"/>
                <w:szCs w:val="20"/>
                <w:color w:val="auto"/>
              </w:rPr>
            </w:pPr>
            <w:r>
              <w:rPr>
                <w:rFonts w:ascii="Arial" w:cs="Arial" w:eastAsia="Arial" w:hAnsi="Arial"/>
                <w:sz w:val="14"/>
                <w:szCs w:val="14"/>
                <w:color w:val="auto"/>
              </w:rPr>
              <w:t>100</w:t>
            </w:r>
          </w:p>
        </w:tc>
      </w:tr>
      <w:tr>
        <w:trPr>
          <w:trHeight w:val="174"/>
        </w:trPr>
        <w:tc>
          <w:tcPr>
            <w:tcW w:w="564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82"/>
        </w:trPr>
        <w:tc>
          <w:tcPr>
            <w:tcW w:w="5640" w:type="dxa"/>
            <w:vAlign w:val="bottom"/>
            <w:gridSpan w:val="2"/>
          </w:tcPr>
          <w:p>
            <w:pPr>
              <w:ind w:left="80"/>
              <w:spacing w:after="0"/>
              <w:rPr>
                <w:sz w:val="20"/>
                <w:szCs w:val="20"/>
                <w:color w:val="auto"/>
              </w:rPr>
            </w:pPr>
            <w:r>
              <w:rPr>
                <w:rFonts w:ascii="Arial" w:cs="Arial" w:eastAsia="Arial" w:hAnsi="Arial"/>
                <w:sz w:val="14"/>
                <w:szCs w:val="14"/>
                <w:b w:val="1"/>
                <w:bCs w:val="1"/>
                <w:color w:val="auto"/>
              </w:rPr>
              <w:t>PART II – OTHER INFORMATION</w:t>
            </w:r>
          </w:p>
        </w:tc>
        <w:tc>
          <w:tcPr>
            <w:tcW w:w="1240" w:type="dxa"/>
            <w:vAlign w:val="bottom"/>
          </w:tcPr>
          <w:p>
            <w:pPr>
              <w:spacing w:after="0"/>
              <w:rPr>
                <w:sz w:val="15"/>
                <w:szCs w:val="15"/>
                <w:color w:val="auto"/>
              </w:rPr>
            </w:pPr>
          </w:p>
        </w:tc>
      </w:tr>
      <w:tr>
        <w:trPr>
          <w:trHeight w:val="176"/>
        </w:trPr>
        <w:tc>
          <w:tcPr>
            <w:tcW w:w="1080" w:type="dxa"/>
            <w:vAlign w:val="bottom"/>
          </w:tcPr>
          <w:p>
            <w:pPr>
              <w:ind w:left="80"/>
              <w:spacing w:after="0"/>
              <w:rPr>
                <w:sz w:val="20"/>
                <w:szCs w:val="20"/>
                <w:color w:val="auto"/>
              </w:rPr>
            </w:pPr>
            <w:r>
              <w:rPr>
                <w:rFonts w:ascii="Arial" w:cs="Arial" w:eastAsia="Arial" w:hAnsi="Arial"/>
                <w:sz w:val="14"/>
                <w:szCs w:val="14"/>
                <w:color w:val="auto"/>
              </w:rPr>
              <w:t>Item 1.</w:t>
            </w:r>
          </w:p>
        </w:tc>
        <w:tc>
          <w:tcPr>
            <w:tcW w:w="4560" w:type="dxa"/>
            <w:vAlign w:val="bottom"/>
          </w:tcPr>
          <w:p>
            <w:pPr>
              <w:ind w:left="300"/>
              <w:spacing w:after="0"/>
              <w:rPr>
                <w:sz w:val="20"/>
                <w:szCs w:val="20"/>
                <w:color w:val="auto"/>
              </w:rPr>
            </w:pPr>
            <w:r>
              <w:rPr>
                <w:rFonts w:ascii="Arial" w:cs="Arial" w:eastAsia="Arial" w:hAnsi="Arial"/>
                <w:sz w:val="14"/>
                <w:szCs w:val="14"/>
                <w:color w:val="auto"/>
              </w:rPr>
              <w:t>Legal Proceedings</w:t>
            </w:r>
          </w:p>
        </w:tc>
        <w:tc>
          <w:tcPr>
            <w:tcW w:w="1240" w:type="dxa"/>
            <w:vAlign w:val="bottom"/>
          </w:tcPr>
          <w:p>
            <w:pPr>
              <w:jc w:val="center"/>
              <w:spacing w:after="0"/>
              <w:rPr>
                <w:sz w:val="20"/>
                <w:szCs w:val="20"/>
                <w:color w:val="auto"/>
              </w:rPr>
            </w:pPr>
            <w:r>
              <w:rPr>
                <w:rFonts w:ascii="Arial" w:cs="Arial" w:eastAsia="Arial" w:hAnsi="Arial"/>
                <w:sz w:val="14"/>
                <w:szCs w:val="14"/>
                <w:color w:val="auto"/>
              </w:rPr>
              <w:t>101</w:t>
            </w:r>
          </w:p>
        </w:tc>
      </w:tr>
      <w:tr>
        <w:trPr>
          <w:trHeight w:val="180"/>
        </w:trPr>
        <w:tc>
          <w:tcPr>
            <w:tcW w:w="1080" w:type="dxa"/>
            <w:vAlign w:val="bottom"/>
          </w:tcPr>
          <w:p>
            <w:pPr>
              <w:ind w:left="80"/>
              <w:spacing w:after="0"/>
              <w:rPr>
                <w:sz w:val="20"/>
                <w:szCs w:val="20"/>
                <w:color w:val="auto"/>
              </w:rPr>
            </w:pPr>
            <w:r>
              <w:rPr>
                <w:rFonts w:ascii="Arial" w:cs="Arial" w:eastAsia="Arial" w:hAnsi="Arial"/>
                <w:sz w:val="14"/>
                <w:szCs w:val="14"/>
                <w:color w:val="auto"/>
              </w:rPr>
              <w:t>Item 1A.</w:t>
            </w:r>
          </w:p>
        </w:tc>
        <w:tc>
          <w:tcPr>
            <w:tcW w:w="4560" w:type="dxa"/>
            <w:vAlign w:val="bottom"/>
          </w:tcPr>
          <w:p>
            <w:pPr>
              <w:ind w:left="300"/>
              <w:spacing w:after="0"/>
              <w:rPr>
                <w:sz w:val="20"/>
                <w:szCs w:val="20"/>
                <w:color w:val="auto"/>
              </w:rPr>
            </w:pPr>
            <w:r>
              <w:rPr>
                <w:rFonts w:ascii="Arial" w:cs="Arial" w:eastAsia="Arial" w:hAnsi="Arial"/>
                <w:sz w:val="14"/>
                <w:szCs w:val="14"/>
                <w:color w:val="auto"/>
              </w:rPr>
              <w:t>Risk Factors</w:t>
            </w:r>
          </w:p>
        </w:tc>
        <w:tc>
          <w:tcPr>
            <w:tcW w:w="1240" w:type="dxa"/>
            <w:vAlign w:val="bottom"/>
          </w:tcPr>
          <w:p>
            <w:pPr>
              <w:ind w:left="460"/>
              <w:spacing w:after="0"/>
              <w:rPr>
                <w:sz w:val="20"/>
                <w:szCs w:val="20"/>
                <w:color w:val="auto"/>
              </w:rPr>
            </w:pPr>
            <w:r>
              <w:rPr>
                <w:rFonts w:ascii="Arial" w:cs="Arial" w:eastAsia="Arial" w:hAnsi="Arial"/>
                <w:sz w:val="14"/>
                <w:szCs w:val="14"/>
                <w:color w:val="auto"/>
              </w:rPr>
              <w:t>101</w:t>
            </w:r>
          </w:p>
        </w:tc>
      </w:tr>
      <w:tr>
        <w:trPr>
          <w:trHeight w:val="180"/>
        </w:trPr>
        <w:tc>
          <w:tcPr>
            <w:tcW w:w="1080" w:type="dxa"/>
            <w:vAlign w:val="bottom"/>
          </w:tcPr>
          <w:p>
            <w:pPr>
              <w:ind w:left="80"/>
              <w:spacing w:after="0"/>
              <w:rPr>
                <w:sz w:val="20"/>
                <w:szCs w:val="20"/>
                <w:color w:val="auto"/>
              </w:rPr>
            </w:pPr>
            <w:r>
              <w:rPr>
                <w:rFonts w:ascii="Arial" w:cs="Arial" w:eastAsia="Arial" w:hAnsi="Arial"/>
                <w:sz w:val="14"/>
                <w:szCs w:val="14"/>
                <w:color w:val="auto"/>
              </w:rPr>
              <w:t>Item 2.</w:t>
            </w:r>
          </w:p>
        </w:tc>
        <w:tc>
          <w:tcPr>
            <w:tcW w:w="4560" w:type="dxa"/>
            <w:vAlign w:val="bottom"/>
          </w:tcPr>
          <w:p>
            <w:pPr>
              <w:ind w:left="300"/>
              <w:spacing w:after="0"/>
              <w:rPr>
                <w:sz w:val="20"/>
                <w:szCs w:val="20"/>
                <w:color w:val="auto"/>
              </w:rPr>
            </w:pPr>
            <w:r>
              <w:rPr>
                <w:rFonts w:ascii="Arial" w:cs="Arial" w:eastAsia="Arial" w:hAnsi="Arial"/>
                <w:sz w:val="14"/>
                <w:szCs w:val="14"/>
                <w:color w:val="auto"/>
              </w:rPr>
              <w:t>Unregistered Sales of Equity Securities and Use of Proceeds</w:t>
            </w:r>
          </w:p>
        </w:tc>
        <w:tc>
          <w:tcPr>
            <w:tcW w:w="1240" w:type="dxa"/>
            <w:vAlign w:val="bottom"/>
          </w:tcPr>
          <w:p>
            <w:pPr>
              <w:jc w:val="center"/>
              <w:spacing w:after="0"/>
              <w:rPr>
                <w:sz w:val="20"/>
                <w:szCs w:val="20"/>
                <w:color w:val="auto"/>
              </w:rPr>
            </w:pPr>
            <w:r>
              <w:rPr>
                <w:rFonts w:ascii="Arial" w:cs="Arial" w:eastAsia="Arial" w:hAnsi="Arial"/>
                <w:sz w:val="14"/>
                <w:szCs w:val="14"/>
                <w:color w:val="auto"/>
              </w:rPr>
              <w:t>102</w:t>
            </w:r>
          </w:p>
        </w:tc>
      </w:tr>
      <w:tr>
        <w:trPr>
          <w:trHeight w:val="155"/>
        </w:trPr>
        <w:tc>
          <w:tcPr>
            <w:tcW w:w="1080" w:type="dxa"/>
            <w:vAlign w:val="bottom"/>
          </w:tcPr>
          <w:p>
            <w:pPr>
              <w:ind w:left="80"/>
              <w:spacing w:after="0" w:line="155" w:lineRule="exact"/>
              <w:rPr>
                <w:sz w:val="20"/>
                <w:szCs w:val="20"/>
                <w:color w:val="auto"/>
              </w:rPr>
            </w:pPr>
            <w:r>
              <w:rPr>
                <w:rFonts w:ascii="Arial" w:cs="Arial" w:eastAsia="Arial" w:hAnsi="Arial"/>
                <w:sz w:val="14"/>
                <w:szCs w:val="14"/>
                <w:color w:val="auto"/>
              </w:rPr>
              <w:t>Item 6.</w:t>
            </w:r>
          </w:p>
        </w:tc>
        <w:tc>
          <w:tcPr>
            <w:tcW w:w="4560" w:type="dxa"/>
            <w:vAlign w:val="bottom"/>
          </w:tcPr>
          <w:p>
            <w:pPr>
              <w:ind w:left="300"/>
              <w:spacing w:after="0" w:line="155" w:lineRule="exact"/>
              <w:rPr>
                <w:sz w:val="20"/>
                <w:szCs w:val="20"/>
                <w:color w:val="auto"/>
              </w:rPr>
            </w:pPr>
            <w:r>
              <w:rPr>
                <w:rFonts w:ascii="Arial" w:cs="Arial" w:eastAsia="Arial" w:hAnsi="Arial"/>
                <w:sz w:val="14"/>
                <w:szCs w:val="14"/>
                <w:color w:val="auto"/>
              </w:rPr>
              <w:t>Exhibits</w:t>
            </w:r>
          </w:p>
        </w:tc>
        <w:tc>
          <w:tcPr>
            <w:tcW w:w="1240" w:type="dxa"/>
            <w:vAlign w:val="bottom"/>
          </w:tcPr>
          <w:p>
            <w:pPr>
              <w:spacing w:after="0"/>
              <w:rPr>
                <w:sz w:val="13"/>
                <w:szCs w:val="13"/>
                <w:color w:val="auto"/>
              </w:rPr>
            </w:pPr>
          </w:p>
        </w:tc>
      </w:tr>
      <w:tr>
        <w:trPr>
          <w:trHeight w:val="243"/>
        </w:trPr>
        <w:tc>
          <w:tcPr>
            <w:tcW w:w="1080" w:type="dxa"/>
            <w:vAlign w:val="bottom"/>
          </w:tcPr>
          <w:p>
            <w:pPr>
              <w:spacing w:after="0"/>
              <w:rPr>
                <w:sz w:val="21"/>
                <w:szCs w:val="21"/>
                <w:color w:val="auto"/>
              </w:rPr>
            </w:pPr>
          </w:p>
        </w:tc>
        <w:tc>
          <w:tcPr>
            <w:tcW w:w="4560" w:type="dxa"/>
            <w:vAlign w:val="bottom"/>
          </w:tcPr>
          <w:p>
            <w:pPr>
              <w:ind w:left="300"/>
              <w:spacing w:after="0"/>
              <w:rPr>
                <w:sz w:val="20"/>
                <w:szCs w:val="20"/>
                <w:color w:val="auto"/>
              </w:rPr>
            </w:pPr>
            <w:r>
              <w:rPr>
                <w:rFonts w:ascii="Arial" w:cs="Arial" w:eastAsia="Arial" w:hAnsi="Arial"/>
                <w:sz w:val="19"/>
                <w:szCs w:val="19"/>
                <w:color w:val="auto"/>
              </w:rPr>
              <w:t>&lt; /td&gt;</w:t>
            </w:r>
          </w:p>
        </w:tc>
        <w:tc>
          <w:tcPr>
            <w:tcW w:w="1240" w:type="dxa"/>
            <w:vAlign w:val="bottom"/>
          </w:tcPr>
          <w:p>
            <w:pPr>
              <w:jc w:val="center"/>
              <w:spacing w:after="0"/>
              <w:rPr>
                <w:sz w:val="20"/>
                <w:szCs w:val="20"/>
                <w:color w:val="auto"/>
              </w:rPr>
            </w:pPr>
            <w:r>
              <w:rPr>
                <w:rFonts w:ascii="Arial" w:cs="Arial" w:eastAsia="Arial" w:hAnsi="Arial"/>
                <w:sz w:val="14"/>
                <w:szCs w:val="14"/>
                <w:color w:val="auto"/>
              </w:rPr>
              <w:t>103</w:t>
            </w:r>
          </w:p>
        </w:tc>
      </w:tr>
      <w:tr>
        <w:trPr>
          <w:trHeight w:val="178"/>
        </w:trPr>
        <w:tc>
          <w:tcPr>
            <w:tcW w:w="1080" w:type="dxa"/>
            <w:vAlign w:val="bottom"/>
          </w:tcPr>
          <w:p>
            <w:pPr>
              <w:spacing w:after="0"/>
              <w:rPr>
                <w:sz w:val="15"/>
                <w:szCs w:val="15"/>
                <w:color w:val="auto"/>
              </w:rPr>
            </w:pPr>
          </w:p>
        </w:tc>
        <w:tc>
          <w:tcPr>
            <w:tcW w:w="4560" w:type="dxa"/>
            <w:vAlign w:val="bottom"/>
          </w:tcPr>
          <w:p>
            <w:pPr>
              <w:ind w:left="300"/>
              <w:spacing w:after="0"/>
              <w:rPr>
                <w:sz w:val="20"/>
                <w:szCs w:val="20"/>
                <w:color w:val="auto"/>
              </w:rPr>
            </w:pPr>
            <w:r>
              <w:rPr>
                <w:rFonts w:ascii="Arial" w:cs="Arial" w:eastAsia="Arial" w:hAnsi="Arial"/>
                <w:sz w:val="14"/>
                <w:szCs w:val="14"/>
                <w:color w:val="auto"/>
              </w:rPr>
              <w:t>&amp;nb sp;</w:t>
            </w:r>
          </w:p>
        </w:tc>
        <w:tc>
          <w:tcPr>
            <w:tcW w:w="1240" w:type="dxa"/>
            <w:vAlign w:val="bottom"/>
          </w:tcPr>
          <w:p>
            <w:pPr>
              <w:spacing w:after="0"/>
              <w:rPr>
                <w:sz w:val="15"/>
                <w:szCs w:val="15"/>
                <w:color w:val="auto"/>
              </w:rPr>
            </w:pPr>
          </w:p>
        </w:tc>
      </w:tr>
      <w:tr>
        <w:trPr>
          <w:trHeight w:val="174"/>
        </w:trPr>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Signatures</w:t>
            </w:r>
          </w:p>
        </w:tc>
        <w:tc>
          <w:tcPr>
            <w:tcW w:w="4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105</w:t>
            </w:r>
          </w:p>
        </w:tc>
      </w:tr>
    </w:tbl>
    <w:p>
      <w:pPr>
        <w:spacing w:after="0" w:line="352" w:lineRule="exact"/>
        <w:rPr>
          <w:sz w:val="20"/>
          <w:szCs w:val="20"/>
          <w:color w:val="auto"/>
        </w:rPr>
      </w:pPr>
    </w:p>
    <w:p>
      <w:pPr>
        <w:ind w:left="300" w:right="40"/>
        <w:spacing w:after="0" w:line="325" w:lineRule="auto"/>
        <w:rPr>
          <w:sz w:val="20"/>
          <w:szCs w:val="20"/>
          <w:color w:val="auto"/>
        </w:rPr>
      </w:pPr>
      <w:r>
        <w:rPr>
          <w:rFonts w:ascii="Arial" w:cs="Arial" w:eastAsia="Arial" w:hAnsi="Arial"/>
          <w:sz w:val="11"/>
          <w:szCs w:val="11"/>
          <w:b w:val="1"/>
          <w:bCs w:val="1"/>
          <w:color w:val="auto"/>
        </w:rPr>
        <w:t>This combined Form 10-Q is separately filed by Sempra Energy, San Diego Gas &amp; Electric Company, Pacific Enterprises and Southern California Gas Company. Information contained herein relating to any individual company is filed by such company on its own behalf. Each company provides information only as to itself and its consolidated entities and not as to any other company.</w:t>
      </w:r>
    </w:p>
    <w:p>
      <w:pPr>
        <w:spacing w:after="0" w:line="53" w:lineRule="exact"/>
        <w:rPr>
          <w:sz w:val="20"/>
          <w:szCs w:val="20"/>
          <w:color w:val="auto"/>
        </w:rPr>
      </w:pPr>
    </w:p>
    <w:p>
      <w:pPr>
        <w:jc w:val="both"/>
        <w:ind w:left="300"/>
        <w:spacing w:after="0" w:line="230" w:lineRule="auto"/>
        <w:rPr>
          <w:sz w:val="20"/>
          <w:szCs w:val="20"/>
          <w:color w:val="auto"/>
        </w:rPr>
      </w:pPr>
      <w:r>
        <w:rPr>
          <w:rFonts w:ascii="Arial" w:cs="Arial" w:eastAsia="Arial" w:hAnsi="Arial"/>
          <w:sz w:val="13"/>
          <w:szCs w:val="13"/>
          <w:b w:val="1"/>
          <w:bCs w:val="1"/>
          <w:color w:val="auto"/>
        </w:rPr>
        <w:t>You should read this report in its entirety as it pertains to each respective reporting company. No one section of the report deals with all aspects of the subject matter. Separ 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455930</wp:posOffset>
            </wp:positionV>
            <wp:extent cx="72618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color w:val="auto"/>
        </w:rPr>
        <w:t>INFORMATION REGARDING FORWARD-LOOKING STATEMENTS</w:t>
      </w:r>
    </w:p>
    <w:p>
      <w:pPr>
        <w:spacing w:after="0" w:line="9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date of this report.</w:t>
      </w:r>
    </w:p>
    <w:p>
      <w:pPr>
        <w:spacing w:after="0" w:line="74" w:lineRule="exact"/>
        <w:rPr>
          <w:sz w:val="20"/>
          <w:szCs w:val="20"/>
          <w:color w:val="auto"/>
        </w:rPr>
      </w:pPr>
    </w:p>
    <w:p>
      <w:pPr>
        <w:ind w:right="300"/>
        <w:spacing w:after="0" w:line="342" w:lineRule="auto"/>
        <w:rPr>
          <w:sz w:val="20"/>
          <w:szCs w:val="20"/>
          <w:color w:val="auto"/>
        </w:rPr>
      </w:pPr>
      <w:r>
        <w:rPr>
          <w:rFonts w:ascii="Arial" w:cs="Arial" w:eastAsia="Arial" w:hAnsi="Arial"/>
          <w:sz w:val="14"/>
          <w:szCs w:val="14"/>
          <w:color w:val="auto"/>
        </w:rPr>
        <w:t>In this report, when we use words such as "believes," "expects," "anticipates," "plans," "estimates," "projects," "contemplates," "intends," "depends," "should," "could," "would," "may," "potential," "target," "goals," or similar expressions, or when we discuss our strategy, plans or intentions, we are making forward-looking statements.</w:t>
      </w:r>
    </w:p>
    <w:p>
      <w:pPr>
        <w:spacing w:after="0" w:line="21" w:lineRule="exact"/>
        <w:rPr>
          <w:sz w:val="20"/>
          <w:szCs w:val="20"/>
          <w:color w:val="auto"/>
        </w:rPr>
      </w:pPr>
    </w:p>
    <w:p>
      <w:pPr>
        <w:ind w:left="140" w:right="1660" w:hanging="148"/>
        <w:spacing w:after="0" w:line="414" w:lineRule="auto"/>
        <w:rPr>
          <w:sz w:val="20"/>
          <w:szCs w:val="20"/>
          <w:color w:val="auto"/>
        </w:rPr>
      </w:pPr>
      <w:r>
        <w:rPr>
          <w:rFonts w:ascii="Arial" w:cs="Arial" w:eastAsia="Arial" w:hAnsi="Arial"/>
          <w:sz w:val="14"/>
          <w:szCs w:val="14"/>
          <w:color w:val="auto"/>
        </w:rPr>
        <w:t>Factors, among others, that could cause our actual results and future actions to differ materially from those described in forward-looking statements include §local, regional, national and international economic, competitive, political, legislative and regulatory conditions and developments;</w:t>
      </w:r>
    </w:p>
    <w:p>
      <w:pPr>
        <w:sectPr>
          <w:pgSz w:w="11900" w:h="16838" w:orient="portrait"/>
          <w:cols w:equalWidth="0" w:num="1">
            <w:col w:w="11360"/>
          </w:cols>
          <w:pgMar w:left="240" w:top="143" w:right="299" w:bottom="0" w:gutter="0" w:footer="0" w:header="0"/>
        </w:sectPr>
      </w:pPr>
    </w:p>
    <w:bookmarkStart w:id="2" w:name="page3"/>
    <w:bookmarkEnd w:id="2"/>
    <w:p>
      <w:pPr>
        <w:ind w:left="140" w:right="980"/>
        <w:spacing w:after="0" w:line="322" w:lineRule="auto"/>
        <w:rPr>
          <w:sz w:val="20"/>
          <w:szCs w:val="20"/>
          <w:color w:val="auto"/>
        </w:rPr>
      </w:pPr>
      <w:r>
        <w:rPr>
          <w:rFonts w:ascii="Arial" w:cs="Arial" w:eastAsia="Arial" w:hAnsi="Arial"/>
          <w:sz w:val="14"/>
          <w:szCs w:val="14"/>
          <w:color w:val="auto"/>
        </w:rPr>
        <w:t>§actions by the California Public Utilities Commission, the California State Legislature, the California Department of Water Resources, the Federal Energy Regulatory Commission, the Federal Reserve Board, and other regulatory and governmental bodies in the United States and other countries in which we operate;</w:t>
      </w:r>
    </w:p>
    <w:p>
      <w:pPr>
        <w:ind w:left="140"/>
        <w:spacing w:after="0"/>
        <w:rPr>
          <w:sz w:val="20"/>
          <w:szCs w:val="20"/>
          <w:color w:val="auto"/>
        </w:rPr>
      </w:pPr>
      <w:r>
        <w:rPr>
          <w:rFonts w:ascii="Arial" w:cs="Arial" w:eastAsia="Arial" w:hAnsi="Arial"/>
          <w:sz w:val="16"/>
          <w:szCs w:val="16"/>
          <w:color w:val="auto"/>
        </w:rPr>
        <w:t>§capital markets conditions and inflation, interest and exchange rates;</w:t>
      </w:r>
    </w:p>
    <w:p>
      <w:pPr>
        <w:spacing w:after="0" w:line="56" w:lineRule="exact"/>
        <w:rPr>
          <w:sz w:val="20"/>
          <w:szCs w:val="20"/>
          <w:color w:val="auto"/>
        </w:rPr>
      </w:pPr>
    </w:p>
    <w:p>
      <w:pPr>
        <w:ind w:left="140" w:right="4280"/>
        <w:spacing w:after="0" w:line="313" w:lineRule="auto"/>
        <w:rPr>
          <w:sz w:val="20"/>
          <w:szCs w:val="20"/>
          <w:color w:val="auto"/>
        </w:rPr>
      </w:pPr>
      <w:r>
        <w:rPr>
          <w:rFonts w:ascii="Arial" w:cs="Arial" w:eastAsia="Arial" w:hAnsi="Arial"/>
          <w:sz w:val="16"/>
          <w:szCs w:val="16"/>
          <w:color w:val="auto"/>
        </w:rPr>
        <w:t>§energy and trading markets, including the timing and extent of changes and volatility in commodity prices; §the availability of electric power, natural gas and liquefied natural gas; §weather conditions and conservation efforts;</w:t>
      </w:r>
    </w:p>
    <w:p>
      <w:pPr>
        <w:ind w:left="140"/>
        <w:spacing w:after="0"/>
        <w:rPr>
          <w:sz w:val="20"/>
          <w:szCs w:val="20"/>
          <w:color w:val="auto"/>
        </w:rPr>
      </w:pPr>
      <w:r>
        <w:rPr>
          <w:rFonts w:ascii="Arial" w:cs="Arial" w:eastAsia="Arial" w:hAnsi="Arial"/>
          <w:sz w:val="16"/>
          <w:szCs w:val="16"/>
          <w:color w:val="auto"/>
        </w:rPr>
        <w:t>§war and terrorist attacks;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§business, regulatory, environmental and legal decisions and requirements;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status of deregulation of retail natural gas and electricity delivery;</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 iming and success of business development efforts;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resolution of litigation; and</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uncertainties, all of which are difficult to predict and many of which are beyond our control.</w:t>
      </w:r>
    </w:p>
    <w:p>
      <w:pPr>
        <w:spacing w:after="0" w:line="15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caution you not to rely unduly on any forward-looking statements. You should review and consider carefully the risks, uncertainties and other factors that affect our business as described in this report and other reports that we file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PART I – FINANCIAL INFORMATI ON</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385445</wp:posOffset>
            </wp:positionV>
            <wp:extent cx="5638800" cy="434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3880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SEMPRA ENERGY</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00" w:type="dxa"/>
            <w:vAlign w:val="bottom"/>
          </w:tcPr>
          <w:p>
            <w:pPr>
              <w:ind w:left="80"/>
              <w:spacing w:after="0"/>
              <w:rPr>
                <w:sz w:val="20"/>
                <w:szCs w:val="20"/>
                <w:color w:val="auto"/>
              </w:rPr>
            </w:pPr>
            <w:r>
              <w:rPr>
                <w:rFonts w:ascii="Arial" w:cs="Arial" w:eastAsia="Arial" w:hAnsi="Arial"/>
                <w:sz w:val="13"/>
                <w:szCs w:val="13"/>
                <w:i w:val="1"/>
                <w:iCs w:val="1"/>
                <w:color w:val="auto"/>
              </w:rPr>
              <w:t>(Dollars in millions, except per share amounts)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color w:val="auto"/>
              </w:rPr>
              <w:t>Three months ended</w:t>
            </w:r>
          </w:p>
        </w:tc>
        <w:tc>
          <w:tcPr>
            <w:tcW w:w="360" w:type="dxa"/>
            <w:vAlign w:val="bottom"/>
          </w:tcPr>
          <w:p>
            <w:pPr>
              <w:spacing w:after="0"/>
              <w:rPr>
                <w:sz w:val="16"/>
                <w:szCs w:val="16"/>
                <w:color w:val="auto"/>
              </w:rPr>
            </w:pPr>
          </w:p>
        </w:tc>
        <w:tc>
          <w:tcPr>
            <w:tcW w:w="1800" w:type="dxa"/>
            <w:vAlign w:val="bottom"/>
            <w:gridSpan w:val="3"/>
          </w:tcPr>
          <w:p>
            <w:pPr>
              <w:jc w:val="right"/>
              <w:ind w:right="448"/>
              <w:spacing w:after="0"/>
              <w:rPr>
                <w:sz w:val="20"/>
                <w:szCs w:val="20"/>
                <w:color w:val="auto"/>
              </w:rPr>
            </w:pPr>
            <w:r>
              <w:rPr>
                <w:rFonts w:ascii="Arial" w:cs="Arial" w:eastAsia="Arial" w:hAnsi="Arial"/>
                <w:sz w:val="13"/>
                <w:szCs w:val="13"/>
                <w:color w:val="auto"/>
              </w:rPr>
              <w:t>Nine months ended</w:t>
            </w:r>
          </w:p>
        </w:tc>
        <w:tc>
          <w:tcPr>
            <w:tcW w:w="0" w:type="dxa"/>
            <w:vAlign w:val="bottom"/>
          </w:tcPr>
          <w:p>
            <w:pPr>
              <w:spacing w:after="0"/>
              <w:rPr>
                <w:sz w:val="1"/>
                <w:szCs w:val="1"/>
                <w:color w:val="auto"/>
              </w:rPr>
            </w:pPr>
          </w:p>
        </w:tc>
      </w:tr>
      <w:tr>
        <w:trPr>
          <w:trHeight w:val="178"/>
        </w:trPr>
        <w:tc>
          <w:tcPr>
            <w:tcW w:w="4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69"/>
              <w:spacing w:after="0"/>
              <w:rPr>
                <w:sz w:val="20"/>
                <w:szCs w:val="20"/>
                <w:color w:val="auto"/>
              </w:rPr>
            </w:pPr>
            <w:r>
              <w:rPr>
                <w:rFonts w:ascii="Arial" w:cs="Arial" w:eastAsia="Arial" w:hAnsi="Arial"/>
                <w:sz w:val="13"/>
                <w:szCs w:val="13"/>
                <w:color w:val="auto"/>
              </w:rPr>
              <w:t>September 30,</w:t>
            </w:r>
          </w:p>
        </w:tc>
        <w:tc>
          <w:tcPr>
            <w:tcW w:w="360" w:type="dxa"/>
            <w:vAlign w:val="bottom"/>
          </w:tcPr>
          <w:p>
            <w:pPr>
              <w:spacing w:after="0"/>
              <w:rPr>
                <w:sz w:val="15"/>
                <w:szCs w:val="15"/>
                <w:color w:val="auto"/>
              </w:rPr>
            </w:pPr>
          </w:p>
        </w:tc>
        <w:tc>
          <w:tcPr>
            <w:tcW w:w="1800" w:type="dxa"/>
            <w:vAlign w:val="bottom"/>
            <w:gridSpan w:val="3"/>
          </w:tcPr>
          <w:p>
            <w:pPr>
              <w:jc w:val="right"/>
              <w:ind w:right="588"/>
              <w:spacing w:after="0"/>
              <w:rPr>
                <w:sz w:val="20"/>
                <w:szCs w:val="20"/>
                <w:color w:val="auto"/>
              </w:rPr>
            </w:pPr>
            <w:r>
              <w:rPr>
                <w:rFonts w:ascii="Arial" w:cs="Arial" w:eastAsia="Arial" w:hAnsi="Arial"/>
                <w:sz w:val="13"/>
                <w:szCs w:val="13"/>
                <w:color w:val="auto"/>
              </w:rPr>
              <w:t>September 30,</w:t>
            </w:r>
          </w:p>
        </w:tc>
        <w:tc>
          <w:tcPr>
            <w:tcW w:w="0" w:type="dxa"/>
            <w:vAlign w:val="bottom"/>
          </w:tcPr>
          <w:p>
            <w:pPr>
              <w:spacing w:after="0"/>
              <w:rPr>
                <w:sz w:val="1"/>
                <w:szCs w:val="1"/>
                <w:color w:val="auto"/>
              </w:rPr>
            </w:pPr>
          </w:p>
        </w:tc>
      </w:tr>
      <w:tr>
        <w:trPr>
          <w:trHeight w:val="160"/>
        </w:trPr>
        <w:tc>
          <w:tcPr>
            <w:tcW w:w="4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2010</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rPr>
              <w:t>2009</w:t>
            </w: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2010</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(unaudited)</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00" w:type="dxa"/>
            <w:vAlign w:val="bottom"/>
          </w:tcPr>
          <w:p>
            <w:pPr>
              <w:ind w:left="80"/>
              <w:spacing w:after="0"/>
              <w:rPr>
                <w:sz w:val="20"/>
                <w:szCs w:val="20"/>
                <w:color w:val="auto"/>
              </w:rPr>
            </w:pPr>
            <w:r>
              <w:rPr>
                <w:rFonts w:ascii="Arial" w:cs="Arial" w:eastAsia="Arial" w:hAnsi="Arial"/>
                <w:sz w:val="14"/>
                <w:szCs w:val="14"/>
                <w:color w:val="auto"/>
              </w:rPr>
              <w:t>REVENUES</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vMerge w:val="restart"/>
          </w:tcPr>
          <w:p>
            <w:pPr>
              <w:jc w:val="right"/>
              <w:ind w:right="49"/>
              <w:spacing w:after="0"/>
              <w:rPr>
                <w:sz w:val="20"/>
                <w:szCs w:val="20"/>
                <w:color w:val="auto"/>
              </w:rPr>
            </w:pPr>
            <w:r>
              <w:rPr>
                <w:rFonts w:ascii="Arial" w:cs="Arial" w:eastAsia="Arial" w:hAnsi="Arial"/>
                <w:sz w:val="14"/>
                <w:szCs w:val="14"/>
                <w:color w:val="auto"/>
              </w:rPr>
              <w:t>4,999</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0" w:type="dxa"/>
            <w:vAlign w:val="bottom"/>
          </w:tcPr>
          <w:p>
            <w:pPr>
              <w:ind w:left="80"/>
              <w:spacing w:after="0"/>
              <w:rPr>
                <w:sz w:val="20"/>
                <w:szCs w:val="20"/>
                <w:color w:val="auto"/>
              </w:rPr>
            </w:pPr>
            <w:r>
              <w:rPr>
                <w:rFonts w:ascii="Arial" w:cs="Arial" w:eastAsia="Arial" w:hAnsi="Arial"/>
                <w:sz w:val="14"/>
                <w:szCs w:val="14"/>
                <w:color w:val="auto"/>
              </w:rPr>
              <w:t>Sempra Utilities</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1,575</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1,424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continue"/>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4,382</w:t>
            </w:r>
          </w:p>
        </w:tc>
        <w:tc>
          <w:tcPr>
            <w:tcW w:w="0" w:type="dxa"/>
            <w:vAlign w:val="bottom"/>
          </w:tcPr>
          <w:p>
            <w:pPr>
              <w:spacing w:after="0"/>
              <w:rPr>
                <w:sz w:val="1"/>
                <w:szCs w:val="1"/>
                <w:color w:val="auto"/>
              </w:rPr>
            </w:pPr>
          </w:p>
        </w:tc>
      </w:tr>
      <w:tr>
        <w:trPr>
          <w:trHeight w:val="186"/>
        </w:trPr>
        <w:tc>
          <w:tcPr>
            <w:tcW w:w="4600" w:type="dxa"/>
            <w:vAlign w:val="bottom"/>
          </w:tcPr>
          <w:p>
            <w:pPr>
              <w:ind w:left="80"/>
              <w:spacing w:after="0"/>
              <w:rPr>
                <w:sz w:val="20"/>
                <w:szCs w:val="20"/>
                <w:color w:val="auto"/>
              </w:rPr>
            </w:pPr>
            <w:r>
              <w:rPr>
                <w:rFonts w:ascii="Arial" w:cs="Arial" w:eastAsia="Arial" w:hAnsi="Arial"/>
                <w:sz w:val="14"/>
                <w:szCs w:val="14"/>
                <w:color w:val="auto"/>
              </w:rPr>
              <w:t>Sempra Global and parent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541</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429</w:t>
            </w: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1,659</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226"/>
        </w:trPr>
        <w:tc>
          <w:tcPr>
            <w:tcW w:w="4600" w:type="dxa"/>
            <w:vAlign w:val="bottom"/>
          </w:tcPr>
          <w:p>
            <w:pPr>
              <w:ind w:left="24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19"/>
                <w:szCs w:val="19"/>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2,116</w:t>
            </w:r>
          </w:p>
        </w:tc>
        <w:tc>
          <w:tcPr>
            <w:tcW w:w="260" w:type="dxa"/>
            <w:vAlign w:val="bottom"/>
          </w:tcPr>
          <w:p>
            <w:pPr>
              <w:spacing w:after="0"/>
              <w:rPr>
                <w:sz w:val="19"/>
                <w:szCs w:val="19"/>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1,853</w:t>
            </w:r>
          </w:p>
        </w:tc>
        <w:tc>
          <w:tcPr>
            <w:tcW w:w="3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6,658</w:t>
            </w:r>
          </w:p>
        </w:tc>
        <w:tc>
          <w:tcPr>
            <w:tcW w:w="240" w:type="dxa"/>
            <w:vAlign w:val="bottom"/>
          </w:tcPr>
          <w:p>
            <w:pPr>
              <w:spacing w:after="0"/>
              <w:rPr>
                <w:sz w:val="19"/>
                <w:szCs w:val="19"/>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5,650</w:t>
            </w:r>
          </w:p>
        </w:tc>
        <w:tc>
          <w:tcPr>
            <w:tcW w:w="0" w:type="dxa"/>
            <w:vAlign w:val="bottom"/>
          </w:tcPr>
          <w:p>
            <w:pPr>
              <w:spacing w:after="0"/>
              <w:rPr>
                <w:sz w:val="1"/>
                <w:szCs w:val="1"/>
                <w:color w:val="auto"/>
              </w:rPr>
            </w:pPr>
          </w:p>
        </w:tc>
      </w:tr>
      <w:tr>
        <w:trPr>
          <w:trHeight w:val="240"/>
        </w:trPr>
        <w:tc>
          <w:tcPr>
            <w:tcW w:w="4600" w:type="dxa"/>
            <w:vAlign w:val="bottom"/>
          </w:tcPr>
          <w:p>
            <w:pPr>
              <w:ind w:left="80"/>
              <w:spacing w:after="0"/>
              <w:rPr>
                <w:sz w:val="20"/>
                <w:szCs w:val="20"/>
                <w:color w:val="auto"/>
              </w:rPr>
            </w:pPr>
            <w:r>
              <w:rPr>
                <w:rFonts w:ascii="Arial" w:cs="Arial" w:eastAsia="Arial" w:hAnsi="Arial"/>
                <w:sz w:val="14"/>
                <w:szCs w:val="14"/>
                <w:color w:val="auto"/>
              </w:rPr>
              <w:t>EXPENSES AND OTHER INCOME</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600" w:type="dxa"/>
            <w:vAlign w:val="bottom"/>
          </w:tcPr>
          <w:p>
            <w:pPr>
              <w:ind w:left="80"/>
              <w:spacing w:after="0"/>
              <w:rPr>
                <w:sz w:val="20"/>
                <w:szCs w:val="20"/>
                <w:color w:val="auto"/>
              </w:rPr>
            </w:pPr>
            <w:r>
              <w:rPr>
                <w:rFonts w:ascii="Arial" w:cs="Arial" w:eastAsia="Arial" w:hAnsi="Arial"/>
                <w:sz w:val="14"/>
                <w:szCs w:val="14"/>
                <w:color w:val="auto"/>
              </w:rPr>
              <w:t>Sempra Utilities:</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0" w:type="dxa"/>
            <w:vAlign w:val="bottom"/>
          </w:tcPr>
          <w:p>
            <w:pPr>
              <w:ind w:left="240"/>
              <w:spacing w:after="0"/>
              <w:rPr>
                <w:sz w:val="20"/>
                <w:szCs w:val="20"/>
                <w:color w:val="auto"/>
              </w:rPr>
            </w:pPr>
            <w:r>
              <w:rPr>
                <w:rFonts w:ascii="Arial" w:cs="Arial" w:eastAsia="Arial" w:hAnsi="Arial"/>
                <w:sz w:val="14"/>
                <w:szCs w:val="14"/>
                <w:color w:val="auto"/>
              </w:rPr>
              <w:t>Cost of natural gas</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(285)</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(208)</w:t>
            </w:r>
          </w:p>
        </w:tc>
        <w:tc>
          <w:tcPr>
            <w:tcW w:w="36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(1,402)</w:t>
            </w:r>
          </w:p>
        </w:tc>
        <w:tc>
          <w:tcPr>
            <w:tcW w:w="2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94"/>
        </w:trPr>
        <w:tc>
          <w:tcPr>
            <w:tcW w:w="4600" w:type="dxa"/>
            <w:vAlign w:val="bottom"/>
          </w:tcPr>
          <w:p>
            <w:pPr>
              <w:ind w:left="240"/>
              <w:spacing w:after="0"/>
              <w:rPr>
                <w:sz w:val="20"/>
                <w:szCs w:val="20"/>
                <w:color w:val="auto"/>
              </w:rPr>
            </w:pPr>
            <w:r>
              <w:rPr>
                <w:rFonts w:ascii="Arial" w:cs="Arial" w:eastAsia="Arial" w:hAnsi="Arial"/>
                <w:sz w:val="14"/>
                <w:szCs w:val="14"/>
                <w:color w:val="auto"/>
              </w:rPr>
              <w:t>Cost of electric fuel and purchased power</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(203)</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(208)</w:t>
            </w:r>
          </w:p>
        </w:tc>
        <w:tc>
          <w:tcPr>
            <w:tcW w:w="36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(480)</w:t>
            </w:r>
          </w:p>
        </w:tc>
        <w:tc>
          <w:tcPr>
            <w:tcW w:w="2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92"/>
        </w:trPr>
        <w:tc>
          <w:tcPr>
            <w:tcW w:w="4600" w:type="dxa"/>
            <w:vAlign w:val="bottom"/>
          </w:tcPr>
          <w:p>
            <w:pPr>
              <w:ind w:left="80"/>
              <w:spacing w:after="0"/>
              <w:rPr>
                <w:sz w:val="20"/>
                <w:szCs w:val="20"/>
                <w:color w:val="auto"/>
              </w:rPr>
            </w:pPr>
            <w:r>
              <w:rPr>
                <w:rFonts w:ascii="Arial" w:cs="Arial" w:eastAsia="Arial" w:hAnsi="Arial"/>
                <w:sz w:val="14"/>
                <w:szCs w:val="14"/>
                <w:color w:val="auto"/>
              </w:rPr>
              <w:t>Sempra Global and parent:</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0" w:type="dxa"/>
            <w:vAlign w:val="bottom"/>
          </w:tcPr>
          <w:p>
            <w:pPr>
              <w:ind w:left="240"/>
              <w:spacing w:after="0"/>
              <w:rPr>
                <w:sz w:val="20"/>
                <w:szCs w:val="20"/>
                <w:color w:val="auto"/>
              </w:rPr>
            </w:pPr>
            <w:r>
              <w:rPr>
                <w:rFonts w:ascii="Arial" w:cs="Arial" w:eastAsia="Arial" w:hAnsi="Arial"/>
                <w:sz w:val="14"/>
                <w:szCs w:val="14"/>
                <w:color w:val="auto"/>
              </w:rPr>
              <w:t>Cost of natural gas, electric fuel and purchased power</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(292)</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(220)</w:t>
            </w:r>
          </w:p>
        </w:tc>
        <w:tc>
          <w:tcPr>
            <w:tcW w:w="36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(887)</w:t>
            </w:r>
          </w:p>
        </w:tc>
        <w:tc>
          <w:tcPr>
            <w:tcW w:w="2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92"/>
        </w:trPr>
        <w:tc>
          <w:tcPr>
            <w:tcW w:w="4600" w:type="dxa"/>
            <w:vAlign w:val="bottom"/>
          </w:tcPr>
          <w:p>
            <w:pPr>
              <w:ind w:left="240"/>
              <w:spacing w:after="0"/>
              <w:rPr>
                <w:sz w:val="20"/>
                <w:szCs w:val="20"/>
                <w:color w:val="auto"/>
              </w:rPr>
            </w:pPr>
            <w:r>
              <w:rPr>
                <w:rFonts w:ascii="Arial" w:cs="Arial" w:eastAsia="Arial" w:hAnsi="Arial"/>
                <w:sz w:val="14"/>
                <w:szCs w:val="14"/>
                <w:color w:val="auto"/>
              </w:rPr>
              <w:t>Other cost of sales</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(19)</w:t>
            </w:r>
          </w:p>
        </w:tc>
        <w:tc>
          <w:tcPr>
            <w:tcW w:w="36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(68)</w:t>
            </w:r>
          </w:p>
        </w:tc>
        <w:tc>
          <w:tcPr>
            <w:tcW w:w="2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2"/>
        </w:trPr>
        <w:tc>
          <w:tcPr>
            <w:tcW w:w="4600" w:type="dxa"/>
            <w:vAlign w:val="bottom"/>
          </w:tcPr>
          <w:p>
            <w:pPr>
              <w:ind w:left="80"/>
              <w:spacing w:after="0"/>
              <w:rPr>
                <w:sz w:val="20"/>
                <w:szCs w:val="20"/>
                <w:color w:val="auto"/>
              </w:rPr>
            </w:pPr>
            <w:r>
              <w:rPr>
                <w:rFonts w:ascii="Arial" w:cs="Arial" w:eastAsia="Arial" w:hAnsi="Arial"/>
                <w:sz w:val="14"/>
                <w:szCs w:val="14"/>
                <w:color w:val="auto"/>
              </w:rPr>
              <w:t>Litigation expense</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(184)</w:t>
            </w:r>
          </w:p>
        </w:tc>
        <w:tc>
          <w:tcPr>
            <w:tcW w:w="2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00" w:type="dxa"/>
            <w:vAlign w:val="bottom"/>
          </w:tcPr>
          <w:p>
            <w:pPr>
              <w:ind w:left="80"/>
              <w:spacing w:after="0"/>
              <w:rPr>
                <w:sz w:val="20"/>
                <w:szCs w:val="20"/>
                <w:color w:val="auto"/>
              </w:rPr>
            </w:pPr>
            <w:r>
              <w:rPr>
                <w:rFonts w:ascii="Arial" w:cs="Arial" w:eastAsia="Arial" w:hAnsi="Arial"/>
                <w:sz w:val="14"/>
                <w:szCs w:val="14"/>
                <w:color w:val="auto"/>
              </w:rPr>
              <w:t>Other operation and maintenance</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(590)</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(568)</w:t>
            </w:r>
          </w:p>
        </w:tc>
        <w:tc>
          <w:tcPr>
            <w:tcW w:w="36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(1,782)</w:t>
            </w:r>
          </w:p>
        </w:tc>
        <w:tc>
          <w:tcPr>
            <w:tcW w:w="2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192"/>
        </w:trPr>
        <w:tc>
          <w:tcPr>
            <w:tcW w:w="4600" w:type="dxa"/>
            <w:vAlign w:val="bottom"/>
          </w:tcPr>
          <w:p>
            <w:pPr>
              <w:ind w:left="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(218)</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(196)</w:t>
            </w:r>
          </w:p>
        </w:tc>
        <w:tc>
          <w:tcPr>
            <w:tcW w:w="36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(643)</w:t>
            </w:r>
          </w:p>
        </w:tc>
        <w:tc>
          <w:tcPr>
            <w:tcW w:w="2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92"/>
        </w:trPr>
        <w:tc>
          <w:tcPr>
            <w:tcW w:w="4600" w:type="dxa"/>
            <w:vAlign w:val="bottom"/>
          </w:tcPr>
          <w:p>
            <w:pPr>
              <w:ind w:left="80"/>
              <w:spacing w:after="0"/>
              <w:rPr>
                <w:sz w:val="20"/>
                <w:szCs w:val="20"/>
                <w:color w:val="auto"/>
              </w:rPr>
            </w:pPr>
            <w:r>
              <w:rPr>
                <w:rFonts w:ascii="Arial" w:cs="Arial" w:eastAsia="Arial" w:hAnsi="Arial"/>
                <w:sz w:val="14"/>
                <w:szCs w:val="14"/>
                <w:color w:val="auto"/>
              </w:rPr>
              <w:t>Franchise fe es and other taxes</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(76)</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(77)</w:t>
            </w:r>
          </w:p>
        </w:tc>
        <w:tc>
          <w:tcPr>
            <w:tcW w:w="36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(243)</w:t>
            </w:r>
          </w:p>
        </w:tc>
        <w:tc>
          <w:tcPr>
            <w:tcW w:w="2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92"/>
        </w:trPr>
        <w:tc>
          <w:tcPr>
            <w:tcW w:w="4600" w:type="dxa"/>
            <w:vAlign w:val="bottom"/>
          </w:tcPr>
          <w:p>
            <w:pPr>
              <w:ind w:left="80"/>
              <w:spacing w:after="0"/>
              <w:rPr>
                <w:sz w:val="20"/>
                <w:szCs w:val="20"/>
                <w:color w:val="auto"/>
              </w:rPr>
            </w:pPr>
            <w:r>
              <w:rPr>
                <w:rFonts w:ascii="Arial" w:cs="Arial" w:eastAsia="Arial" w:hAnsi="Arial"/>
                <w:sz w:val="14"/>
                <w:szCs w:val="14"/>
                <w:color w:val="auto"/>
              </w:rPr>
              <w:t>Write-off of long-lived assets</w:t>
            </w:r>
          </w:p>
        </w:tc>
        <w:tc>
          <w:tcPr>
            <w:tcW w:w="2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2"/>
        </w:trPr>
        <w:tc>
          <w:tcPr>
            <w:tcW w:w="4600" w:type="dxa"/>
            <w:vAlign w:val="bottom"/>
          </w:tcPr>
          <w:p>
            <w:pPr>
              <w:ind w:left="80"/>
              <w:spacing w:after="0"/>
              <w:rPr>
                <w:sz w:val="20"/>
                <w:szCs w:val="20"/>
                <w:color w:val="auto"/>
              </w:rPr>
            </w:pPr>
            <w:r>
              <w:rPr>
                <w:rFonts w:ascii="Arial" w:cs="Arial" w:eastAsia="Arial" w:hAnsi="Arial"/>
                <w:sz w:val="14"/>
                <w:szCs w:val="14"/>
                <w:color w:val="auto"/>
              </w:rPr>
              <w:t>Equity earnings (losses):</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0" w:type="dxa"/>
            <w:vAlign w:val="bottom"/>
          </w:tcPr>
          <w:p>
            <w:pPr>
              <w:ind w:left="240"/>
              <w:spacing w:after="0"/>
              <w:rPr>
                <w:sz w:val="20"/>
                <w:szCs w:val="20"/>
                <w:color w:val="auto"/>
              </w:rPr>
            </w:pPr>
            <w:r>
              <w:rPr>
                <w:rFonts w:ascii="Arial" w:cs="Arial" w:eastAsia="Arial" w:hAnsi="Arial"/>
                <w:sz w:val="14"/>
                <w:szCs w:val="14"/>
                <w:color w:val="auto"/>
              </w:rPr>
              <w:t>RBS Sempra Commodities LLP</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(281)</w:t>
            </w:r>
          </w:p>
        </w:tc>
        <w:tc>
          <w:tcPr>
            <w:tcW w:w="2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105</w:t>
            </w:r>
          </w:p>
        </w:tc>
        <w:tc>
          <w:tcPr>
            <w:tcW w:w="36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(290)</w:t>
            </w:r>
          </w:p>
        </w:tc>
        <w:tc>
          <w:tcPr>
            <w:tcW w:w="2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92"/>
        </w:trPr>
        <w:tc>
          <w:tcPr>
            <w:tcW w:w="4600" w:type="dxa"/>
            <w:vAlign w:val="bottom"/>
          </w:tcPr>
          <w:p>
            <w:pPr>
              <w:ind w:left="24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18</w:t>
            </w:r>
          </w:p>
        </w:tc>
        <w:tc>
          <w:tcPr>
            <w:tcW w:w="36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2"/>
        </w:trPr>
        <w:tc>
          <w:tcPr>
            <w:tcW w:w="4600" w:type="dxa"/>
            <w:vAlign w:val="bottom"/>
          </w:tcPr>
          <w:p>
            <w:pPr>
              <w:ind w:left="80"/>
              <w:spacing w:after="0"/>
              <w:rPr>
                <w:sz w:val="20"/>
                <w:szCs w:val="20"/>
                <w:color w:val="auto"/>
              </w:rPr>
            </w:pPr>
            <w:r>
              <w:rPr>
                <w:rFonts w:ascii="Arial" w:cs="Arial" w:eastAsia="Arial" w:hAnsi="Arial"/>
                <w:sz w:val="14"/>
                <w:szCs w:val="14"/>
                <w:color w:val="auto"/>
              </w:rPr>
              <w:t>Other income, net</w:t>
            </w:r>
          </w:p>
        </w:tc>
        <w:tc>
          <w:tcPr>
            <w:tcW w:w="2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66</w:t>
            </w:r>
          </w:p>
        </w:tc>
        <w:tc>
          <w:tcPr>
            <w:tcW w:w="2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24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82</w:t>
            </w:r>
          </w:p>
        </w:tc>
        <w:tc>
          <w:tcPr>
            <w:tcW w:w="2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92"/>
        </w:trPr>
        <w:tc>
          <w:tcPr>
            <w:tcW w:w="4600" w:type="dxa"/>
            <w:vAlign w:val="bottom"/>
          </w:tcPr>
          <w:p>
            <w:pPr>
              <w:ind w:left="8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4600" w:type="dxa"/>
            <w:vAlign w:val="bottom"/>
          </w:tcPr>
          <w:p>
            <w:pPr>
              <w:ind w:left="8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(111)</w:t>
            </w:r>
          </w:p>
        </w:tc>
        <w:tc>
          <w:tcPr>
            <w:tcW w:w="260" w:type="dxa"/>
            <w:vAlign w:val="bottom"/>
            <w:tcBorders>
              <w:bottom w:val="single" w:sz="8" w:color="auto"/>
            </w:tcBorders>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(96)</w:t>
            </w: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(323)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14"/>
        </w:trPr>
        <w:tc>
          <w:tcPr>
            <w:tcW w:w="4600" w:type="dxa"/>
            <w:vAlign w:val="bottom"/>
          </w:tcPr>
          <w:p>
            <w:pPr>
              <w:ind w:left="80"/>
              <w:spacing w:after="0"/>
              <w:rPr>
                <w:sz w:val="20"/>
                <w:szCs w:val="20"/>
                <w:color w:val="auto"/>
              </w:rPr>
            </w:pPr>
            <w:r>
              <w:rPr>
                <w:rFonts w:ascii="Arial" w:cs="Arial" w:eastAsia="Arial" w:hAnsi="Arial"/>
                <w:sz w:val="14"/>
                <w:szCs w:val="14"/>
                <w:color w:val="auto"/>
              </w:rPr>
              <w:t>Income before income taxes and equity earnings</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00" w:type="dxa"/>
            <w:vAlign w:val="bottom"/>
          </w:tcPr>
          <w:p>
            <w:pPr>
              <w:ind w:left="240"/>
              <w:spacing w:after="0"/>
              <w:rPr>
                <w:sz w:val="20"/>
                <w:szCs w:val="20"/>
                <w:color w:val="auto"/>
              </w:rPr>
            </w:pPr>
            <w:r>
              <w:rPr>
                <w:rFonts w:ascii="Arial" w:cs="Arial" w:eastAsia="Arial" w:hAnsi="Arial"/>
                <w:sz w:val="14"/>
                <w:szCs w:val="14"/>
                <w:color w:val="auto"/>
              </w:rPr>
              <w:t>of certain unconsolidated subsidiaries</w:t>
            </w:r>
          </w:p>
        </w:tc>
        <w:tc>
          <w:tcPr>
            <w:tcW w:w="260" w:type="dxa"/>
            <w:vAlign w:val="bottom"/>
          </w:tcPr>
          <w:p>
            <w:pPr>
              <w:spacing w:after="0"/>
              <w:rPr>
                <w:sz w:val="17"/>
                <w:szCs w:val="17"/>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99</w:t>
            </w:r>
          </w:p>
        </w:tc>
        <w:tc>
          <w:tcPr>
            <w:tcW w:w="260" w:type="dxa"/>
            <w:vAlign w:val="bottom"/>
          </w:tcPr>
          <w:p>
            <w:pPr>
              <w:spacing w:after="0"/>
              <w:rPr>
                <w:sz w:val="17"/>
                <w:szCs w:val="17"/>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410</w:t>
            </w:r>
          </w:p>
        </w:tc>
        <w:tc>
          <w:tcPr>
            <w:tcW w:w="36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475</w:t>
            </w:r>
          </w:p>
        </w:tc>
        <w:tc>
          <w:tcPr>
            <w:tcW w:w="2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92"/>
        </w:trPr>
        <w:tc>
          <w:tcPr>
            <w:tcW w:w="4600" w:type="dxa"/>
            <w:vAlign w:val="bottom"/>
          </w:tcPr>
          <w:p>
            <w:pPr>
              <w:ind w:left="80"/>
              <w:spacing w:after="0"/>
              <w:rPr>
                <w:sz w:val="20"/>
                <w:szCs w:val="20"/>
                <w:color w:val="auto"/>
              </w:rPr>
            </w:pPr>
            <w:r>
              <w:rPr>
                <w:rFonts w:ascii="Arial" w:cs="Arial" w:eastAsia="Arial" w:hAnsi="Arial"/>
                <w:sz w:val="14"/>
                <w:szCs w:val="14"/>
                <w:color w:val="auto"/>
              </w:rPr>
              <w:t>Income tax benefit (expense)</w:t>
            </w:r>
          </w:p>
        </w:tc>
        <w:tc>
          <w:tcPr>
            <w:tcW w:w="2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(128)</w:t>
            </w:r>
          </w:p>
        </w:tc>
        <w:tc>
          <w:tcPr>
            <w:tcW w:w="36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(85)</w:t>
            </w:r>
          </w:p>
        </w:tc>
        <w:tc>
          <w:tcPr>
            <w:tcW w:w="2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86"/>
        </w:trPr>
        <w:tc>
          <w:tcPr>
            <w:tcW w:w="4600" w:type="dxa"/>
            <w:vAlign w:val="bottom"/>
          </w:tcPr>
          <w:p>
            <w:pPr>
              <w:ind w:left="80"/>
              <w:spacing w:after="0"/>
              <w:rPr>
                <w:sz w:val="20"/>
                <w:szCs w:val="20"/>
                <w:color w:val="auto"/>
              </w:rPr>
            </w:pPr>
            <w:r>
              <w:rPr>
                <w:rFonts w:ascii="Arial" w:cs="Arial" w:eastAsia="Arial" w:hAnsi="Arial"/>
                <w:sz w:val="14"/>
                <w:szCs w:val="14"/>
                <w:color w:val="auto"/>
              </w:rPr>
              <w:t>Equity earnings (losses), net of income tax</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w:t>
            </w: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26"/>
        </w:trPr>
        <w:tc>
          <w:tcPr>
            <w:tcW w:w="460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9"/>
                <w:szCs w:val="19"/>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127</w:t>
            </w:r>
          </w:p>
        </w:tc>
        <w:tc>
          <w:tcPr>
            <w:tcW w:w="260" w:type="dxa"/>
            <w:vAlign w:val="bottom"/>
          </w:tcPr>
          <w:p>
            <w:pPr>
              <w:spacing w:after="0"/>
              <w:rPr>
                <w:sz w:val="19"/>
                <w:szCs w:val="19"/>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302</w:t>
            </w:r>
          </w:p>
        </w:tc>
        <w:tc>
          <w:tcPr>
            <w:tcW w:w="3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432</w:t>
            </w:r>
          </w:p>
        </w:tc>
        <w:tc>
          <w:tcPr>
            <w:tcW w:w="240" w:type="dxa"/>
            <w:vAlign w:val="bottom"/>
          </w:tcPr>
          <w:p>
            <w:pPr>
              <w:spacing w:after="0"/>
              <w:rPr>
                <w:sz w:val="19"/>
                <w:szCs w:val="19"/>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92"/>
        </w:trPr>
        <w:tc>
          <w:tcPr>
            <w:tcW w:w="4600" w:type="dxa"/>
            <w:vAlign w:val="bottom"/>
          </w:tcPr>
          <w:p>
            <w:pPr>
              <w:ind w:left="80"/>
              <w:spacing w:after="0"/>
              <w:rPr>
                <w:sz w:val="20"/>
                <w:szCs w:val="20"/>
                <w:color w:val="auto"/>
              </w:rPr>
            </w:pPr>
            <w:r>
              <w:rPr>
                <w:rFonts w:ascii="Arial" w:cs="Arial" w:eastAsia="Arial" w:hAnsi="Arial"/>
                <w:sz w:val="14"/>
                <w:szCs w:val="14"/>
                <w:color w:val="auto"/>
              </w:rPr>
              <w:t>Losses attributable to noncontrolling interests</w:t>
            </w:r>
          </w:p>
        </w:tc>
        <w:tc>
          <w:tcPr>
            <w:tcW w:w="2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17</w:t>
            </w:r>
          </w:p>
        </w:tc>
        <w:tc>
          <w:tcPr>
            <w:tcW w:w="36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6"/>
        </w:trPr>
        <w:tc>
          <w:tcPr>
            <w:tcW w:w="4600" w:type="dxa"/>
            <w:vAlign w:val="bottom"/>
          </w:tcPr>
          <w:p>
            <w:pPr>
              <w:ind w:left="80"/>
              <w:spacing w:after="0"/>
              <w:rPr>
                <w:sz w:val="20"/>
                <w:szCs w:val="20"/>
                <w:color w:val="auto"/>
              </w:rPr>
            </w:pPr>
            <w:r>
              <w:rPr>
                <w:rFonts w:ascii="Arial" w:cs="Arial" w:eastAsia="Arial" w:hAnsi="Arial"/>
                <w:sz w:val="14"/>
                <w:szCs w:val="14"/>
                <w:color w:val="auto"/>
              </w:rPr>
              <w:t>Preferred dividends of subsidiaries</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4"/>
        </w:trPr>
        <w:tc>
          <w:tcPr>
            <w:tcW w:w="4600" w:type="dxa"/>
            <w:vAlign w:val="bottom"/>
          </w:tcPr>
          <w:p>
            <w:pPr>
              <w:ind w:left="80"/>
              <w:spacing w:after="0"/>
              <w:rPr>
                <w:sz w:val="20"/>
                <w:szCs w:val="20"/>
                <w:color w:val="auto"/>
              </w:rPr>
            </w:pPr>
            <w:r>
              <w:rPr>
                <w:rFonts w:ascii="Arial" w:cs="Arial" w:eastAsia="Arial" w:hAnsi="Arial"/>
                <w:sz w:val="14"/>
                <w:szCs w:val="14"/>
                <w:color w:val="auto"/>
              </w:rPr>
              <w:t>Earnings</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131</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317</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459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83 1</w:t>
            </w:r>
          </w:p>
        </w:tc>
        <w:tc>
          <w:tcPr>
            <w:tcW w:w="0" w:type="dxa"/>
            <w:vAlign w:val="bottom"/>
          </w:tcPr>
          <w:p>
            <w:pPr>
              <w:spacing w:after="0"/>
              <w:rPr>
                <w:sz w:val="1"/>
                <w:szCs w:val="1"/>
                <w:color w:val="auto"/>
              </w:rPr>
            </w:pPr>
          </w:p>
        </w:tc>
      </w:tr>
      <w:tr>
        <w:trPr>
          <w:trHeight w:val="460"/>
        </w:trPr>
        <w:tc>
          <w:tcPr>
            <w:tcW w:w="4600" w:type="dxa"/>
            <w:vAlign w:val="bottom"/>
          </w:tcPr>
          <w:p>
            <w:pPr>
              <w:ind w:left="80"/>
              <w:spacing w:after="0"/>
              <w:rPr>
                <w:sz w:val="20"/>
                <w:szCs w:val="20"/>
                <w:color w:val="auto"/>
              </w:rPr>
            </w:pPr>
            <w:r>
              <w:rPr>
                <w:rFonts w:ascii="Arial" w:cs="Arial" w:eastAsia="Arial" w:hAnsi="Arial"/>
                <w:sz w:val="14"/>
                <w:szCs w:val="14"/>
                <w:color w:val="auto"/>
              </w:rPr>
              <w:t>Basic earnings per common share</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0.53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1.30</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220"/>
        </w:trPr>
        <w:tc>
          <w:tcPr>
            <w:tcW w:w="4600" w:type="dxa"/>
            <w:vAlign w:val="bottom"/>
          </w:tcPr>
          <w:p>
            <w:pPr>
              <w:ind w:left="80"/>
              <w:spacing w:after="0"/>
              <w:rPr>
                <w:sz w:val="20"/>
                <w:szCs w:val="20"/>
                <w:color w:val="auto"/>
              </w:rPr>
            </w:pPr>
            <w:r>
              <w:rPr>
                <w:rFonts w:ascii="Arial" w:cs="Arial" w:eastAsia="Arial" w:hAnsi="Arial"/>
                <w:sz w:val="14"/>
                <w:szCs w:val="14"/>
                <w:color w:val="auto"/>
              </w:rPr>
              <w:t>Weighted-average number of shares outstanding, basic (thousands)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246,668</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243,925</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246,513</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242,806</w:t>
            </w:r>
          </w:p>
        </w:tc>
        <w:tc>
          <w:tcPr>
            <w:tcW w:w="0" w:type="dxa"/>
            <w:vAlign w:val="bottom"/>
          </w:tcPr>
          <w:p>
            <w:pPr>
              <w:spacing w:after="0"/>
              <w:rPr>
                <w:sz w:val="1"/>
                <w:szCs w:val="1"/>
                <w:color w:val="auto"/>
              </w:rPr>
            </w:pPr>
          </w:p>
        </w:tc>
      </w:tr>
      <w:tr>
        <w:trPr>
          <w:trHeight w:val="460"/>
        </w:trPr>
        <w:tc>
          <w:tcPr>
            <w:tcW w:w="4600" w:type="dxa"/>
            <w:vAlign w:val="bottom"/>
          </w:tcPr>
          <w:p>
            <w:pPr>
              <w:ind w:left="80"/>
              <w:spacing w:after="0"/>
              <w:rPr>
                <w:sz w:val="20"/>
                <w:szCs w:val="20"/>
                <w:color w:val="auto"/>
              </w:rPr>
            </w:pPr>
            <w:r>
              <w:rPr>
                <w:rFonts w:ascii="Arial" w:cs="Arial" w:eastAsia="Arial" w:hAnsi="Arial"/>
                <w:sz w:val="14"/>
                <w:szCs w:val="14"/>
                <w:color w:val="auto"/>
              </w:rPr>
              <w:t>Diluted earnings per common share</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0.53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1.27</w:t>
            </w: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1.84</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20"/>
        </w:trPr>
        <w:tc>
          <w:tcPr>
            <w:tcW w:w="4600" w:type="dxa"/>
            <w:vAlign w:val="bottom"/>
          </w:tcPr>
          <w:p>
            <w:pPr>
              <w:ind w:left="80"/>
              <w:spacing w:after="0"/>
              <w:rPr>
                <w:sz w:val="20"/>
                <w:szCs w:val="20"/>
                <w:color w:val="auto"/>
              </w:rPr>
            </w:pPr>
            <w:r>
              <w:rPr>
                <w:rFonts w:ascii="Arial" w:cs="Arial" w:eastAsia="Arial" w:hAnsi="Arial"/>
                <w:sz w:val="14"/>
                <w:szCs w:val="14"/>
                <w:color w:val="auto"/>
              </w:rPr>
              <w:t>Weighted-average number of shares outstanding, diluted (thousands)</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249,811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248,461</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249,773</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246,875</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Dividends declared per share of common stock</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0.3 9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0.39</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82"/>
        </w:trPr>
        <w:tc>
          <w:tcPr>
            <w:tcW w:w="4600" w:type="dxa"/>
            <w:vAlign w:val="bottom"/>
          </w:tcPr>
          <w:p>
            <w:pPr>
              <w:ind w:left="80"/>
              <w:spacing w:after="0"/>
              <w:rPr>
                <w:sz w:val="20"/>
                <w:szCs w:val="20"/>
                <w:color w:val="auto"/>
              </w:rPr>
            </w:pPr>
            <w:r>
              <w:rPr>
                <w:rFonts w:ascii="Arial" w:cs="Arial" w:eastAsia="Arial" w:hAnsi="Arial"/>
                <w:sz w:val="13"/>
                <w:szCs w:val="13"/>
                <w:i w:val="1"/>
                <w:iCs w:val="1"/>
                <w:color w:val="auto"/>
              </w:rPr>
              <w:t>See Notes to Condensed Consolidated Financial Statements.</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SEMPRA ENERGY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(Dollars in millions)</w:t>
      </w:r>
    </w:p>
    <w:p>
      <w:pPr>
        <w:spacing w:after="0" w:line="15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September 30,</w:t>
      </w:r>
    </w:p>
    <w:p>
      <w:pPr>
        <w:ind w:left="5320"/>
        <w:spacing w:after="0"/>
        <w:rPr>
          <w:sz w:val="20"/>
          <w:szCs w:val="20"/>
          <w:color w:val="auto"/>
        </w:rPr>
      </w:pPr>
      <w:r>
        <w:rPr>
          <w:rFonts w:ascii="Arial" w:cs="Arial" w:eastAsia="Arial" w:hAnsi="Arial"/>
          <w:sz w:val="13"/>
          <w:szCs w:val="13"/>
          <w:color w:val="auto"/>
        </w:rPr>
        <w:t>December 31,</w:t>
      </w:r>
    </w:p>
    <w:p>
      <w:pPr>
        <w:spacing w:after="0" w:line="16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2010</w:t>
      </w:r>
    </w:p>
    <w:p>
      <w:pPr>
        <w:ind w:left="5580"/>
        <w:spacing w:after="0"/>
        <w:rPr>
          <w:sz w:val="20"/>
          <w:szCs w:val="20"/>
          <w:color w:val="auto"/>
        </w:rPr>
      </w:pPr>
      <w:r>
        <w:rPr>
          <w:rFonts w:ascii="Arial" w:cs="Arial" w:eastAsia="Arial" w:hAnsi="Arial"/>
          <w:sz w:val="13"/>
          <w:szCs w:val="13"/>
          <w:color w:val="auto"/>
        </w:rPr>
        <w:t>2009</w:t>
      </w:r>
    </w:p>
    <w:p>
      <w:pPr>
        <w:sectPr>
          <w:pgSz w:w="11900" w:h="16838" w:orient="portrait"/>
          <w:cols w:equalWidth="0" w:num="1">
            <w:col w:w="11180"/>
          </w:cols>
          <w:pgMar w:left="240" w:top="131" w:right="479" w:bottom="0" w:gutter="0" w:footer="0" w:header="0"/>
        </w:sectPr>
      </w:pPr>
    </w:p>
    <w:bookmarkStart w:id="3" w:name="page4"/>
    <w:bookmarkEnd w:id="3"/>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(unaudited)</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Current assets: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Cash and cash equivalents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547</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110</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Restricted cash</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Trade accounts receivable</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632</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971</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accounts and notes receivable</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144</w:t>
      </w:r>
    </w:p>
    <w:p>
      <w:pPr>
        <w:spacing w:after="0" w:line="168"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159</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Due from unconsolidated affiliate</w:t>
      </w:r>
    </w:p>
    <w:p>
      <w:pPr>
        <w:spacing w:after="0" w:line="175"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30</w:t>
      </w:r>
    </w:p>
    <w:p>
      <w:pPr>
        <w:spacing w:after="0" w:line="175"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41</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Income taxes receivable</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312</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221</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Def erred income taxes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Inventories</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296</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197</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Regulatory assets</w:t>
      </w:r>
    </w:p>
    <w:p>
      <w:pPr>
        <w:spacing w:after="0" w:line="175"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97</w:t>
      </w:r>
    </w:p>
    <w:p>
      <w:pPr>
        <w:spacing w:after="0" w:line="175"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54</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Fixed-price contracts and other derivatives</w:t>
      </w:r>
    </w:p>
    <w:p>
      <w:pPr>
        <w:spacing w:after="0" w:line="175"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84</w:t>
      </w:r>
    </w:p>
    <w:p>
      <w:pPr>
        <w:spacing w:after="0" w:line="175"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77</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Insurance receivable related to wildfire litigation (Note 10)</w:t>
      </w:r>
    </w:p>
    <w:p>
      <w:pPr>
        <w:spacing w:after="0" w:line="367"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150</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273</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199</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147</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 current assets</w:t>
      </w:r>
    </w:p>
    <w:p>
      <w:pPr>
        <w:spacing w:after="0" w:line="200" w:lineRule="exact"/>
        <w:rPr>
          <w:sz w:val="20"/>
          <w:szCs w:val="20"/>
          <w:color w:val="auto"/>
        </w:rPr>
      </w:pPr>
    </w:p>
    <w:p>
      <w:pPr>
        <w:spacing w:after="0" w:line="359" w:lineRule="exact"/>
        <w:rPr>
          <w:sz w:val="20"/>
          <w:szCs w:val="20"/>
          <w:color w:val="auto"/>
        </w:rPr>
      </w:pPr>
    </w:p>
    <w:p>
      <w:pPr>
        <w:ind w:left="11040"/>
        <w:spacing w:after="0"/>
        <w:rPr>
          <w:sz w:val="20"/>
          <w:szCs w:val="20"/>
          <w:color w:val="auto"/>
        </w:rPr>
      </w:pPr>
      <w:r>
        <w:rPr>
          <w:rFonts w:ascii="Arial" w:cs="Arial" w:eastAsia="Arial" w:hAnsi="Arial"/>
          <w:sz w:val="14"/>
          <w:szCs w:val="14"/>
          <w:color w:val="auto"/>
        </w:rPr>
        <w:t>2,495</w:t>
      </w:r>
    </w:p>
    <w:p>
      <w:pPr>
        <w:spacing w:after="0" w:line="175" w:lineRule="exact"/>
        <w:rPr>
          <w:sz w:val="20"/>
          <w:szCs w:val="20"/>
          <w:color w:val="auto"/>
        </w:rPr>
      </w:pPr>
    </w:p>
    <w:p>
      <w:pPr>
        <w:ind w:left="11040"/>
        <w:spacing w:after="0"/>
        <w:rPr>
          <w:sz w:val="20"/>
          <w:szCs w:val="20"/>
          <w:color w:val="auto"/>
        </w:rPr>
      </w:pPr>
      <w:r>
        <w:rPr>
          <w:rFonts w:ascii="Arial" w:cs="Arial" w:eastAsia="Arial" w:hAnsi="Arial"/>
          <w:sz w:val="14"/>
          <w:szCs w:val="14"/>
          <w:color w:val="auto"/>
        </w:rPr>
        <w:t>2,295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Investments and other assets: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Restricted cash</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ectPr>
          <w:pgSz w:w="11900" w:h="16895" w:orient="portrait"/>
          <w:cols w:equalWidth="0" w:num="1">
            <w:col w:w="11400"/>
          </w:cols>
          <w:pgMar w:left="240" w:top="312" w:right="259" w:bottom="0" w:gutter="0" w:footer="0" w:header="0"/>
        </w:sectPr>
      </w:pPr>
    </w:p>
    <w:bookmarkStart w:id="4" w:name="page5"/>
    <w:bookmarkEnd w:id="4"/>
    <w:p>
      <w:pPr>
        <w:spacing w:after="0" w:line="5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Regulatory assets arising from fixed-price contracts and other derivatives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&lt; font style="FONT-SIZE:9pt; COLOR:black; FONT-FAMILY:'Arial','sans-serif'"&gt;</w:t>
      </w:r>
    </w:p>
    <w:p>
      <w:pPr>
        <w:spacing w:after="0" w:line="2"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241</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241</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Regulatory assets arising from pension and other postretirement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benefit obligations</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950</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959</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regulatory assets</w:t>
      </w:r>
    </w:p>
    <w:p>
      <w:pPr>
        <w:spacing w:after="0" w:line="18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973</w:t>
      </w:r>
    </w:p>
    <w:p>
      <w:pPr>
        <w:spacing w:after="0" w:line="200" w:lineRule="exact"/>
        <w:rPr>
          <w:sz w:val="20"/>
          <w:szCs w:val="20"/>
          <w:color w:val="auto"/>
        </w:rPr>
      </w:pPr>
    </w:p>
    <w:p>
      <w:pPr>
        <w:spacing w:after="0" w:line="359"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603</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Nuclear decommissioning trusts</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737</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678</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 RBS Sempra Commodities LLP</w:t>
      </w:r>
    </w:p>
    <w:p>
      <w:pPr>
        <w:spacing w:after="0" w:line="17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825</w:t>
      </w:r>
    </w:p>
    <w:p>
      <w:pPr>
        <w:spacing w:after="0" w:line="16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2,172</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investments</w:t>
      </w:r>
    </w:p>
    <w:p>
      <w:pPr>
        <w:spacing w:after="0" w:line="175" w:lineRule="exact"/>
        <w:rPr>
          <w:sz w:val="20"/>
          <w:szCs w:val="20"/>
          <w:color w:val="auto"/>
        </w:rPr>
      </w:pPr>
    </w:p>
    <w:p>
      <w:pPr>
        <w:ind w:left="11040"/>
        <w:spacing w:after="0"/>
        <w:rPr>
          <w:sz w:val="20"/>
          <w:szCs w:val="20"/>
          <w:color w:val="auto"/>
        </w:rPr>
      </w:pPr>
      <w:r>
        <w:rPr>
          <w:rFonts w:ascii="Arial" w:cs="Arial" w:eastAsia="Arial" w:hAnsi="Arial"/>
          <w:sz w:val="14"/>
          <w:szCs w:val="14"/>
          <w:color w:val="auto"/>
        </w:rPr>
        <w:t>2,317</w:t>
      </w:r>
    </w:p>
    <w:p>
      <w:pPr>
        <w:spacing w:after="0" w:line="175" w:lineRule="exact"/>
        <w:rPr>
          <w:sz w:val="20"/>
          <w:szCs w:val="20"/>
          <w:color w:val="auto"/>
        </w:rPr>
      </w:pPr>
    </w:p>
    <w:p>
      <w:pPr>
        <w:ind w:left="11040"/>
        <w:spacing w:after="0"/>
        <w:rPr>
          <w:sz w:val="20"/>
          <w:szCs w:val="20"/>
          <w:color w:val="auto"/>
        </w:rPr>
      </w:pPr>
      <w:r>
        <w:rPr>
          <w:rFonts w:ascii="Arial" w:cs="Arial" w:eastAsia="Arial" w:hAnsi="Arial"/>
          <w:sz w:val="14"/>
          <w:szCs w:val="14"/>
          <w:color w:val="auto"/>
        </w:rPr>
        <w:t>2,151</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Goodwill and other intangible assets</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542</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524</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Sundry</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621</w:t>
      </w:r>
    </w:p>
    <w:p>
      <w:pPr>
        <w:spacing w:after="0" w:line="187"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608</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 investments and other assets</w:t>
      </w:r>
    </w:p>
    <w:p>
      <w:pPr>
        <w:spacing w:after="0" w:line="175" w:lineRule="exact"/>
        <w:rPr>
          <w:sz w:val="20"/>
          <w:szCs w:val="20"/>
          <w:color w:val="auto"/>
        </w:rPr>
      </w:pPr>
    </w:p>
    <w:p>
      <w:pPr>
        <w:ind w:left="11040"/>
        <w:spacing w:after="0"/>
        <w:rPr>
          <w:sz w:val="20"/>
          <w:szCs w:val="20"/>
          <w:color w:val="auto"/>
        </w:rPr>
      </w:pPr>
      <w:r>
        <w:rPr>
          <w:rFonts w:ascii="Arial" w:cs="Arial" w:eastAsia="Arial" w:hAnsi="Arial"/>
          <w:sz w:val="14"/>
          <w:szCs w:val="14"/>
          <w:color w:val="auto"/>
        </w:rPr>
        <w:t>7,233</w:t>
      </w:r>
    </w:p>
    <w:p>
      <w:pPr>
        <w:spacing w:after="0" w:line="175" w:lineRule="exact"/>
        <w:rPr>
          <w:sz w:val="20"/>
          <w:szCs w:val="20"/>
          <w:color w:val="auto"/>
        </w:rPr>
      </w:pPr>
    </w:p>
    <w:p>
      <w:pPr>
        <w:ind w:left="11040"/>
        <w:spacing w:after="0"/>
        <w:rPr>
          <w:sz w:val="20"/>
          <w:szCs w:val="20"/>
          <w:color w:val="auto"/>
        </w:rPr>
      </w:pPr>
      <w:r>
        <w:rPr>
          <w:rFonts w:ascii="Arial" w:cs="Arial" w:eastAsia="Arial" w:hAnsi="Arial"/>
          <w:sz w:val="14"/>
          <w:szCs w:val="14"/>
          <w:color w:val="auto"/>
        </w:rPr>
        <w:t>7,936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Property, plant and equi pment</w:t>
      </w:r>
    </w:p>
    <w:p>
      <w:pPr>
        <w:spacing w:after="0" w:line="175" w:lineRule="exact"/>
        <w:rPr>
          <w:sz w:val="20"/>
          <w:szCs w:val="20"/>
          <w:color w:val="auto"/>
        </w:rPr>
      </w:pPr>
    </w:p>
    <w:p>
      <w:pPr>
        <w:ind w:left="10960"/>
        <w:spacing w:after="0"/>
        <w:rPr>
          <w:sz w:val="20"/>
          <w:szCs w:val="20"/>
          <w:color w:val="auto"/>
        </w:rPr>
      </w:pPr>
      <w:r>
        <w:rPr>
          <w:rFonts w:ascii="Arial" w:cs="Arial" w:eastAsia="Arial" w:hAnsi="Arial"/>
          <w:sz w:val="14"/>
          <w:szCs w:val="14"/>
          <w:color w:val="auto"/>
        </w:rPr>
        <w:t>26,286</w:t>
      </w:r>
    </w:p>
    <w:p>
      <w:pPr>
        <w:spacing w:after="0" w:line="187" w:lineRule="exact"/>
        <w:rPr>
          <w:sz w:val="20"/>
          <w:szCs w:val="20"/>
          <w:color w:val="auto"/>
        </w:rPr>
      </w:pPr>
    </w:p>
    <w:p>
      <w:pPr>
        <w:ind w:left="10960"/>
        <w:spacing w:after="0"/>
        <w:rPr>
          <w:sz w:val="20"/>
          <w:szCs w:val="20"/>
          <w:color w:val="auto"/>
        </w:rPr>
      </w:pPr>
      <w:r>
        <w:rPr>
          <w:rFonts w:ascii="Arial" w:cs="Arial" w:eastAsia="Arial" w:hAnsi="Arial"/>
          <w:sz w:val="14"/>
          <w:szCs w:val="14"/>
          <w:color w:val="auto"/>
        </w:rPr>
        <w:t>25,034</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Less accumulated depreciation and amortization</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(7,065)</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(6,753)</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Property, plant and equipment, net ($523 at September 30, 2010 related to VIE)</w:t>
      </w:r>
    </w:p>
    <w:p>
      <w:pPr>
        <w:spacing w:after="0" w:line="175" w:lineRule="exact"/>
        <w:rPr>
          <w:sz w:val="20"/>
          <w:szCs w:val="20"/>
          <w:color w:val="auto"/>
        </w:rPr>
      </w:pPr>
    </w:p>
    <w:p>
      <w:pPr>
        <w:ind w:left="10960"/>
        <w:spacing w:after="0"/>
        <w:rPr>
          <w:sz w:val="20"/>
          <w:szCs w:val="20"/>
          <w:color w:val="auto"/>
        </w:rPr>
      </w:pPr>
      <w:r>
        <w:rPr>
          <w:rFonts w:ascii="Arial" w:cs="Arial" w:eastAsia="Arial" w:hAnsi="Arial"/>
          <w:sz w:val="14"/>
          <w:szCs w:val="14"/>
          <w:color w:val="auto"/>
        </w:rPr>
        <w:t>19,221</w:t>
      </w:r>
    </w:p>
    <w:p>
      <w:pPr>
        <w:spacing w:after="0" w:line="367" w:lineRule="exact"/>
        <w:rPr>
          <w:sz w:val="20"/>
          <w:szCs w:val="20"/>
          <w:color w:val="auto"/>
        </w:rPr>
      </w:pPr>
    </w:p>
    <w:p>
      <w:pPr>
        <w:ind w:left="10960"/>
        <w:spacing w:after="0"/>
        <w:rPr>
          <w:sz w:val="20"/>
          <w:szCs w:val="20"/>
          <w:color w:val="auto"/>
        </w:rPr>
      </w:pPr>
      <w:r>
        <w:rPr>
          <w:rFonts w:ascii="Arial" w:cs="Arial" w:eastAsia="Arial" w:hAnsi="Arial"/>
          <w:sz w:val="14"/>
          <w:szCs w:val="14"/>
          <w:color w:val="auto"/>
        </w:rPr>
        <w:t>18,281</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0960"/>
        <w:spacing w:after="0"/>
        <w:rPr>
          <w:sz w:val="20"/>
          <w:szCs w:val="20"/>
          <w:color w:val="auto"/>
        </w:rPr>
      </w:pPr>
      <w:r>
        <w:rPr>
          <w:rFonts w:ascii="Arial" w:cs="Arial" w:eastAsia="Arial" w:hAnsi="Arial"/>
          <w:sz w:val="14"/>
          <w:szCs w:val="14"/>
          <w:color w:val="auto"/>
        </w:rPr>
        <w:t>28,949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0960"/>
        <w:spacing w:after="0"/>
        <w:rPr>
          <w:sz w:val="20"/>
          <w:szCs w:val="20"/>
          <w:color w:val="auto"/>
        </w:rPr>
      </w:pPr>
      <w:r>
        <w:rPr>
          <w:rFonts w:ascii="Arial" w:cs="Arial" w:eastAsia="Arial" w:hAnsi="Arial"/>
          <w:sz w:val="14"/>
          <w:szCs w:val="14"/>
          <w:color w:val="auto"/>
        </w:rPr>
        <w:t>28,512</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184150</wp:posOffset>
            </wp:positionV>
            <wp:extent cx="5311140" cy="434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11140" cy="434340"/>
                    </a:xfrm>
                    <a:prstGeom prst="rect">
                      <a:avLst/>
                    </a:prstGeom>
                    <a:noFill/>
                  </pic:spPr>
                </pic:pic>
              </a:graphicData>
            </a:graphic>
          </wp:anchor>
        </w:drawing>
      </w:r>
    </w:p>
    <w:p>
      <w:pPr>
        <w:spacing w:after="0" w:line="31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SEMPRA ENERGY</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8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940" w:type="dxa"/>
            <w:vAlign w:val="bottom"/>
            <w:gridSpan w:val="2"/>
          </w:tcPr>
          <w:p>
            <w:pPr>
              <w:jc w:val="center"/>
              <w:ind w:left="1832"/>
              <w:spacing w:after="0"/>
              <w:rPr>
                <w:sz w:val="20"/>
                <w:szCs w:val="20"/>
                <w:color w:val="auto"/>
              </w:rPr>
            </w:pPr>
            <w:r>
              <w:rPr>
                <w:rFonts w:ascii="Arial" w:cs="Arial" w:eastAsia="Arial" w:hAnsi="Arial"/>
                <w:sz w:val="13"/>
                <w:szCs w:val="13"/>
                <w:color w:val="auto"/>
                <w:w w:val="98"/>
              </w:rPr>
              <w:t>September 30,</w:t>
            </w:r>
          </w:p>
        </w:tc>
        <w:tc>
          <w:tcPr>
            <w:tcW w:w="300" w:type="dxa"/>
            <w:vAlign w:val="bottom"/>
          </w:tcPr>
          <w:p>
            <w:pPr>
              <w:spacing w:after="0"/>
              <w:rPr>
                <w:sz w:val="14"/>
                <w:szCs w:val="14"/>
                <w:color w:val="auto"/>
              </w:rPr>
            </w:pPr>
          </w:p>
        </w:tc>
        <w:tc>
          <w:tcPr>
            <w:tcW w:w="1340" w:type="dxa"/>
            <w:vAlign w:val="bottom"/>
          </w:tcPr>
          <w:p>
            <w:pPr>
              <w:jc w:val="center"/>
              <w:ind w:right="233"/>
              <w:spacing w:after="0"/>
              <w:rPr>
                <w:sz w:val="20"/>
                <w:szCs w:val="20"/>
                <w:color w:val="auto"/>
              </w:rPr>
            </w:pPr>
            <w:r>
              <w:rPr>
                <w:rFonts w:ascii="Arial" w:cs="Arial" w:eastAsia="Arial" w:hAnsi="Arial"/>
                <w:sz w:val="13"/>
                <w:szCs w:val="13"/>
                <w:color w:val="auto"/>
                <w:w w:val="97"/>
              </w:rPr>
              <w:t>December 31,</w:t>
            </w:r>
          </w:p>
        </w:tc>
      </w:tr>
      <w:tr>
        <w:trPr>
          <w:trHeight w:val="154"/>
        </w:trPr>
        <w:tc>
          <w:tcPr>
            <w:tcW w:w="37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color w:val="auto"/>
                <w:w w:val="96"/>
              </w:rPr>
              <w:t>2010</w:t>
            </w: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color w:val="auto"/>
              </w:rPr>
              <w:t>2009</w:t>
            </w:r>
          </w:p>
        </w:tc>
      </w:tr>
      <w:tr>
        <w:trPr>
          <w:trHeight w:val="174"/>
        </w:trPr>
        <w:tc>
          <w:tcPr>
            <w:tcW w:w="3780" w:type="dxa"/>
            <w:vAlign w:val="bottom"/>
          </w:tcPr>
          <w:p>
            <w:pPr>
              <w:ind w:left="80"/>
              <w:spacing w:after="0"/>
              <w:rPr>
                <w:sz w:val="20"/>
                <w:szCs w:val="20"/>
                <w:color w:val="auto"/>
              </w:rPr>
            </w:pPr>
            <w:r>
              <w:rPr>
                <w:rFonts w:ascii="Arial" w:cs="Arial" w:eastAsia="Arial" w:hAnsi="Arial"/>
                <w:sz w:val="14"/>
                <w:szCs w:val="14"/>
                <w:color w:val="auto"/>
              </w:rPr>
              <w:t>&amp;n bsp;</w:t>
            </w:r>
          </w:p>
        </w:tc>
        <w:tc>
          <w:tcPr>
            <w:tcW w:w="2080" w:type="dxa"/>
            <w:vAlign w:val="bottom"/>
          </w:tcPr>
          <w:p>
            <w:pPr>
              <w:spacing w:after="0"/>
              <w:rPr>
                <w:sz w:val="15"/>
                <w:szCs w:val="15"/>
                <w:color w:val="auto"/>
              </w:rPr>
            </w:pPr>
          </w:p>
        </w:tc>
        <w:tc>
          <w:tcPr>
            <w:tcW w:w="860" w:type="dxa"/>
            <w:vAlign w:val="bottom"/>
          </w:tcPr>
          <w:p>
            <w:pPr>
              <w:jc w:val="center"/>
              <w:ind w:right="113"/>
              <w:spacing w:after="0"/>
              <w:rPr>
                <w:sz w:val="20"/>
                <w:szCs w:val="20"/>
                <w:color w:val="auto"/>
              </w:rPr>
            </w:pPr>
            <w:r>
              <w:rPr>
                <w:rFonts w:ascii="Arial" w:cs="Arial" w:eastAsia="Arial" w:hAnsi="Arial"/>
                <w:sz w:val="13"/>
                <w:szCs w:val="13"/>
                <w:color w:val="auto"/>
                <w:w w:val="97"/>
              </w:rPr>
              <w:t>(unaudited)</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3780" w:type="dxa"/>
            <w:vAlign w:val="bottom"/>
          </w:tcPr>
          <w:p>
            <w:pPr>
              <w:ind w:left="80"/>
              <w:spacing w:after="0"/>
              <w:rPr>
                <w:sz w:val="20"/>
                <w:szCs w:val="20"/>
                <w:color w:val="auto"/>
              </w:rPr>
            </w:pPr>
            <w:r>
              <w:rPr>
                <w:rFonts w:ascii="Arial" w:cs="Arial" w:eastAsia="Arial" w:hAnsi="Arial"/>
                <w:sz w:val="14"/>
                <w:szCs w:val="14"/>
                <w:color w:val="auto"/>
              </w:rPr>
              <w:t>LIABILITIES AND EQUITY</w:t>
            </w:r>
          </w:p>
        </w:tc>
        <w:tc>
          <w:tcPr>
            <w:tcW w:w="2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0"/>
        </w:trPr>
        <w:tc>
          <w:tcPr>
            <w:tcW w:w="3780" w:type="dxa"/>
            <w:vAlign w:val="bottom"/>
          </w:tcPr>
          <w:p>
            <w:pPr>
              <w:ind w:left="80"/>
              <w:spacing w:after="0"/>
              <w:rPr>
                <w:sz w:val="20"/>
                <w:szCs w:val="20"/>
                <w:color w:val="auto"/>
              </w:rPr>
            </w:pPr>
            <w:r>
              <w:rPr>
                <w:rFonts w:ascii="Arial" w:cs="Arial" w:eastAsia="Arial" w:hAnsi="Arial"/>
                <w:sz w:val="14"/>
                <w:szCs w:val="14"/>
                <w:color w:val="auto"/>
              </w:rPr>
              <w:t>Current liabilities:</w:t>
            </w:r>
          </w:p>
        </w:tc>
        <w:tc>
          <w:tcPr>
            <w:tcW w:w="2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0"/>
        </w:trPr>
        <w:tc>
          <w:tcPr>
            <w:tcW w:w="3780" w:type="dxa"/>
            <w:vAlign w:val="bottom"/>
          </w:tcPr>
          <w:p>
            <w:pPr>
              <w:ind w:left="300"/>
              <w:spacing w:after="0"/>
              <w:rPr>
                <w:sz w:val="20"/>
                <w:szCs w:val="20"/>
                <w:color w:val="auto"/>
              </w:rPr>
            </w:pPr>
            <w:r>
              <w:rPr>
                <w:rFonts w:ascii="Arial" w:cs="Arial" w:eastAsia="Arial" w:hAnsi="Arial"/>
                <w:sz w:val="19"/>
                <w:szCs w:val="19"/>
                <w:color w:val="auto"/>
              </w:rPr>
              <w:t>Short-term debt</w:t>
            </w: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574</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73"/>
              <w:spacing w:after="0"/>
              <w:rPr>
                <w:sz w:val="20"/>
                <w:szCs w:val="20"/>
                <w:color w:val="auto"/>
              </w:rPr>
            </w:pPr>
            <w:r>
              <w:rPr>
                <w:rFonts w:ascii="Arial" w:cs="Arial" w:eastAsia="Arial" w:hAnsi="Arial"/>
                <w:sz w:val="14"/>
                <w:szCs w:val="14"/>
                <w:color w:val="auto"/>
              </w:rPr>
              <w:t>618</w:t>
            </w:r>
          </w:p>
        </w:tc>
      </w:tr>
    </w:tbl>
    <w:p>
      <w:pPr>
        <w:sectPr>
          <w:pgSz w:w="11900" w:h="16896" w:orient="portrait"/>
          <w:cols w:equalWidth="0" w:num="1">
            <w:col w:w="11440"/>
          </w:cols>
          <w:pgMar w:left="240" w:top="141" w:right="219" w:bottom="0" w:gutter="0" w:footer="0" w:header="0"/>
        </w:sectPr>
      </w:pPr>
    </w:p>
    <w:bookmarkStart w:id="5" w:name="page6"/>
    <w:bookmarkEnd w:id="5"/>
    <w:p>
      <w:pPr>
        <w:ind w:left="240"/>
        <w:spacing w:after="0"/>
        <w:rPr>
          <w:sz w:val="20"/>
          <w:szCs w:val="20"/>
          <w:color w:val="auto"/>
        </w:rPr>
      </w:pPr>
      <w:r>
        <w:rPr>
          <w:rFonts w:ascii="Arial" w:cs="Arial" w:eastAsia="Arial" w:hAnsi="Arial"/>
          <w:sz w:val="14"/>
          <w:szCs w:val="14"/>
          <w:color w:val="auto"/>
        </w:rPr>
        <w:t>Accounts payable - trade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Accounts payable - other</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Due to unconsolidated affiliates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Deferred income taxes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Dividends and interest payable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Accrued compensation and benefits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Regulatory balancing accounts, net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Current portion of long-term debt</w:t>
      </w:r>
    </w:p>
    <w:p>
      <w:pPr>
        <w:ind w:left="300"/>
        <w:spacing w:after="0"/>
        <w:rPr>
          <w:sz w:val="20"/>
          <w:szCs w:val="20"/>
          <w:color w:val="auto"/>
        </w:rPr>
      </w:pPr>
      <w:r>
        <w:rPr>
          <w:rFonts w:ascii="Arial" w:cs="Arial" w:eastAsia="Arial" w:hAnsi="Arial"/>
          <w:sz w:val="19"/>
          <w:szCs w:val="19"/>
          <w:color w:val="auto"/>
        </w:rPr>
        <w:t>Fixed-price contracts and other derivatives</w:t>
      </w:r>
    </w:p>
    <w:p>
      <w:pPr>
        <w:spacing w:after="0" w:line="2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Customer deposits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Reserve for wildfire litigation (Note 10)</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 current liabilities</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4"/>
          <w:szCs w:val="14"/>
          <w:color w:val="auto"/>
        </w:rPr>
        <w:t>Long-term debt ($357 at September 30, 2010 related to VIE)</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14"/>
          <w:szCs w:val="14"/>
          <w:color w:val="auto"/>
        </w:rPr>
        <w:t>Deferred credits and other liabilities: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Due to unconsolidated affiliate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Customer advances for construction</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Pension and other postretirement benefit obligations, net of plan assets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Deferred income taxes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Deferred investment tax credits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Regulatory liabilities arising from removal obligations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Asset retirement obligations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regulatory liabilities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Fixed-price contracts and other derivatives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Deferred credits and other</w:t>
      </w:r>
    </w:p>
    <w:p>
      <w:pPr>
        <w:spacing w:after="0" w:line="31" w:lineRule="exact"/>
        <w:rPr>
          <w:sz w:val="20"/>
          <w:szCs w:val="20"/>
          <w:color w:val="auto"/>
        </w:rPr>
      </w:pPr>
    </w:p>
    <w:p>
      <w:pPr>
        <w:ind w:left="80" w:right="1420" w:firstLine="320"/>
        <w:spacing w:after="0" w:line="303" w:lineRule="auto"/>
        <w:rPr>
          <w:sz w:val="20"/>
          <w:szCs w:val="20"/>
          <w:color w:val="auto"/>
        </w:rPr>
      </w:pPr>
      <w:r>
        <w:rPr>
          <w:rFonts w:ascii="Arial" w:cs="Arial" w:eastAsia="Arial" w:hAnsi="Arial"/>
          <w:sz w:val="14"/>
          <w:szCs w:val="14"/>
          <w:color w:val="auto"/>
        </w:rPr>
        <w:t>Total deferred credits and other liabilities Contingently redeemable preferred stock of subsidiary</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Commitments and contingencies (Note 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60" w:type="dxa"/>
        <w:tblCellMar>
          <w:top w:w="0" w:type="dxa"/>
          <w:left w:w="0" w:type="dxa"/>
          <w:bottom w:w="0" w:type="dxa"/>
          <w:right w:w="0" w:type="dxa"/>
        </w:tblCellMar>
      </w:tblPr>
      <w:tr>
        <w:trPr>
          <w:trHeight w:val="172"/>
        </w:trPr>
        <w:tc>
          <w:tcPr>
            <w:tcW w:w="740" w:type="dxa"/>
            <w:vAlign w:val="bottom"/>
          </w:tcPr>
          <w:p>
            <w:pPr>
              <w:jc w:val="right"/>
              <w:ind w:right="428"/>
              <w:spacing w:after="0"/>
              <w:rPr>
                <w:sz w:val="20"/>
                <w:szCs w:val="20"/>
                <w:color w:val="auto"/>
              </w:rPr>
            </w:pPr>
            <w:r>
              <w:rPr>
                <w:rFonts w:ascii="Arial" w:cs="Arial" w:eastAsia="Arial" w:hAnsi="Arial"/>
                <w:sz w:val="14"/>
                <w:szCs w:val="14"/>
                <w:color w:val="auto"/>
                <w:w w:val="94"/>
              </w:rPr>
              <w:t>572</w:t>
            </w:r>
          </w:p>
        </w:tc>
        <w:tc>
          <w:tcPr>
            <w:tcW w:w="1140" w:type="dxa"/>
            <w:vAlign w:val="bottom"/>
          </w:tcPr>
          <w:p>
            <w:pPr>
              <w:jc w:val="right"/>
              <w:spacing w:after="0"/>
              <w:rPr>
                <w:sz w:val="20"/>
                <w:szCs w:val="20"/>
                <w:color w:val="auto"/>
              </w:rPr>
            </w:pPr>
            <w:r>
              <w:rPr>
                <w:rFonts w:ascii="Arial" w:cs="Arial" w:eastAsia="Arial" w:hAnsi="Arial"/>
                <w:sz w:val="14"/>
                <w:szCs w:val="14"/>
                <w:color w:val="auto"/>
              </w:rPr>
              <w:t>522</w:t>
            </w:r>
          </w:p>
        </w:tc>
      </w:tr>
      <w:tr>
        <w:trPr>
          <w:trHeight w:val="192"/>
        </w:trPr>
        <w:tc>
          <w:tcPr>
            <w:tcW w:w="740" w:type="dxa"/>
            <w:vAlign w:val="bottom"/>
          </w:tcPr>
          <w:p>
            <w:pPr>
              <w:jc w:val="right"/>
              <w:ind w:right="328"/>
              <w:spacing w:after="0"/>
              <w:rPr>
                <w:sz w:val="20"/>
                <w:szCs w:val="20"/>
                <w:color w:val="auto"/>
              </w:rPr>
            </w:pPr>
            <w:r>
              <w:rPr>
                <w:rFonts w:ascii="Arial" w:cs="Arial" w:eastAsia="Arial" w:hAnsi="Arial"/>
                <w:sz w:val="14"/>
                <w:szCs w:val="14"/>
                <w:color w:val="auto"/>
              </w:rPr>
              <w:t>130</w:t>
            </w:r>
          </w:p>
        </w:tc>
        <w:tc>
          <w:tcPr>
            <w:tcW w:w="1140" w:type="dxa"/>
            <w:vAlign w:val="bottom"/>
          </w:tcPr>
          <w:p>
            <w:pPr>
              <w:jc w:val="right"/>
              <w:spacing w:after="0"/>
              <w:rPr>
                <w:sz w:val="20"/>
                <w:szCs w:val="20"/>
                <w:color w:val="auto"/>
              </w:rPr>
            </w:pPr>
            <w:r>
              <w:rPr>
                <w:rFonts w:ascii="Arial" w:cs="Arial" w:eastAsia="Arial" w:hAnsi="Arial"/>
                <w:sz w:val="14"/>
                <w:szCs w:val="14"/>
                <w:color w:val="auto"/>
              </w:rPr>
              <w:t>&amp;n bsp;171</w:t>
            </w:r>
          </w:p>
        </w:tc>
      </w:tr>
      <w:tr>
        <w:trPr>
          <w:trHeight w:val="192"/>
        </w:trPr>
        <w:tc>
          <w:tcPr>
            <w:tcW w:w="740" w:type="dxa"/>
            <w:vAlign w:val="bottom"/>
          </w:tcPr>
          <w:p>
            <w:pPr>
              <w:jc w:val="right"/>
              <w:ind w:right="428"/>
              <w:spacing w:after="0"/>
              <w:rPr>
                <w:sz w:val="20"/>
                <w:szCs w:val="20"/>
                <w:color w:val="auto"/>
              </w:rPr>
            </w:pPr>
            <w:r>
              <w:rPr>
                <w:rFonts w:ascii="Arial" w:cs="Arial" w:eastAsia="Arial" w:hAnsi="Arial"/>
                <w:sz w:val="14"/>
                <w:szCs w:val="14"/>
                <w:color w:val="auto"/>
              </w:rPr>
              <w:t>12</w:t>
            </w:r>
          </w:p>
        </w:tc>
        <w:tc>
          <w:tcPr>
            <w:tcW w:w="11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92"/>
        </w:trPr>
        <w:tc>
          <w:tcPr>
            <w:tcW w:w="740" w:type="dxa"/>
            <w:vAlign w:val="bottom"/>
          </w:tcPr>
          <w:p>
            <w:pPr>
              <w:jc w:val="right"/>
              <w:ind w:right="428"/>
              <w:spacing w:after="0"/>
              <w:rPr>
                <w:sz w:val="20"/>
                <w:szCs w:val="20"/>
                <w:color w:val="auto"/>
              </w:rPr>
            </w:pPr>
            <w:r>
              <w:rPr>
                <w:rFonts w:ascii="Arial" w:cs="Arial" w:eastAsia="Arial" w:hAnsi="Arial"/>
                <w:sz w:val="14"/>
                <w:szCs w:val="14"/>
                <w:color w:val="auto"/>
              </w:rPr>
              <w:t>16</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40" w:type="dxa"/>
            <w:vAlign w:val="bottom"/>
          </w:tcPr>
          <w:p>
            <w:pPr>
              <w:jc w:val="right"/>
              <w:ind w:right="428"/>
              <w:spacing w:after="0"/>
              <w:rPr>
                <w:sz w:val="20"/>
                <w:szCs w:val="20"/>
                <w:color w:val="auto"/>
              </w:rPr>
            </w:pPr>
            <w:r>
              <w:rPr>
                <w:rFonts w:ascii="Arial" w:cs="Arial" w:eastAsia="Arial" w:hAnsi="Arial"/>
                <w:sz w:val="14"/>
                <w:szCs w:val="14"/>
                <w:color w:val="auto"/>
                <w:w w:val="94"/>
              </w:rPr>
              <w:t>232</w:t>
            </w:r>
          </w:p>
        </w:tc>
        <w:tc>
          <w:tcPr>
            <w:tcW w:w="114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192"/>
        </w:trPr>
        <w:tc>
          <w:tcPr>
            <w:tcW w:w="740" w:type="dxa"/>
            <w:vAlign w:val="bottom"/>
          </w:tcPr>
          <w:p>
            <w:pPr>
              <w:jc w:val="right"/>
              <w:ind w:right="428"/>
              <w:spacing w:after="0"/>
              <w:rPr>
                <w:sz w:val="20"/>
                <w:szCs w:val="20"/>
                <w:color w:val="auto"/>
              </w:rPr>
            </w:pPr>
            <w:r>
              <w:rPr>
                <w:rFonts w:ascii="Arial" w:cs="Arial" w:eastAsia="Arial" w:hAnsi="Arial"/>
                <w:sz w:val="14"/>
                <w:szCs w:val="14"/>
                <w:color w:val="auto"/>
                <w:w w:val="94"/>
              </w:rPr>
              <w:t>247</w:t>
            </w:r>
          </w:p>
        </w:tc>
        <w:tc>
          <w:tcPr>
            <w:tcW w:w="1140" w:type="dxa"/>
            <w:vAlign w:val="bottom"/>
          </w:tcPr>
          <w:p>
            <w:pPr>
              <w:jc w:val="right"/>
              <w:spacing w:after="0"/>
              <w:rPr>
                <w:sz w:val="20"/>
                <w:szCs w:val="20"/>
                <w:color w:val="auto"/>
              </w:rPr>
            </w:pPr>
            <w:r>
              <w:rPr>
                <w:rFonts w:ascii="Arial" w:cs="Arial" w:eastAsia="Arial" w:hAnsi="Arial"/>
                <w:sz w:val="14"/>
                <w:szCs w:val="14"/>
                <w:color w:val="auto"/>
              </w:rPr>
              <w:t>264</w:t>
            </w:r>
          </w:p>
        </w:tc>
      </w:tr>
      <w:tr>
        <w:trPr>
          <w:trHeight w:val="192"/>
        </w:trPr>
        <w:tc>
          <w:tcPr>
            <w:tcW w:w="740" w:type="dxa"/>
            <w:vAlign w:val="bottom"/>
          </w:tcPr>
          <w:p>
            <w:pPr>
              <w:jc w:val="right"/>
              <w:ind w:right="428"/>
              <w:spacing w:after="0"/>
              <w:rPr>
                <w:sz w:val="20"/>
                <w:szCs w:val="20"/>
                <w:color w:val="auto"/>
              </w:rPr>
            </w:pPr>
            <w:r>
              <w:rPr>
                <w:rFonts w:ascii="Arial" w:cs="Arial" w:eastAsia="Arial" w:hAnsi="Arial"/>
                <w:sz w:val="14"/>
                <w:szCs w:val="14"/>
                <w:color w:val="auto"/>
                <w:w w:val="94"/>
              </w:rPr>
              <w:t>242</w:t>
            </w:r>
          </w:p>
        </w:tc>
        <w:tc>
          <w:tcPr>
            <w:tcW w:w="1140" w:type="dxa"/>
            <w:vAlign w:val="bottom"/>
          </w:tcPr>
          <w:p>
            <w:pPr>
              <w:jc w:val="right"/>
              <w:spacing w:after="0"/>
              <w:rPr>
                <w:sz w:val="20"/>
                <w:szCs w:val="20"/>
                <w:color w:val="auto"/>
              </w:rPr>
            </w:pPr>
            <w:r>
              <w:rPr>
                <w:rFonts w:ascii="Arial" w:cs="Arial" w:eastAsia="Arial" w:hAnsi="Arial"/>
                <w:sz w:val="14"/>
                <w:szCs w:val="14"/>
                <w:color w:val="auto"/>
              </w:rPr>
              <w:t>382</w:t>
            </w:r>
          </w:p>
        </w:tc>
      </w:tr>
      <w:tr>
        <w:trPr>
          <w:trHeight w:val="192"/>
        </w:trPr>
        <w:tc>
          <w:tcPr>
            <w:tcW w:w="740" w:type="dxa"/>
            <w:vAlign w:val="bottom"/>
          </w:tcPr>
          <w:p>
            <w:pPr>
              <w:jc w:val="right"/>
              <w:ind w:right="428"/>
              <w:spacing w:after="0"/>
              <w:rPr>
                <w:sz w:val="20"/>
                <w:szCs w:val="20"/>
                <w:color w:val="auto"/>
              </w:rPr>
            </w:pPr>
            <w:r>
              <w:rPr>
                <w:rFonts w:ascii="Arial" w:cs="Arial" w:eastAsia="Arial" w:hAnsi="Arial"/>
                <w:sz w:val="14"/>
                <w:szCs w:val="14"/>
                <w:color w:val="auto"/>
                <w:w w:val="94"/>
              </w:rPr>
              <w:t>313</w:t>
            </w:r>
          </w:p>
        </w:tc>
        <w:tc>
          <w:tcPr>
            <w:tcW w:w="1140" w:type="dxa"/>
            <w:vAlign w:val="bottom"/>
          </w:tcPr>
          <w:p>
            <w:pPr>
              <w:jc w:val="right"/>
              <w:spacing w:after="0"/>
              <w:rPr>
                <w:sz w:val="20"/>
                <w:szCs w:val="20"/>
                <w:color w:val="auto"/>
              </w:rPr>
            </w:pPr>
            <w:r>
              <w:rPr>
                <w:rFonts w:ascii="Arial" w:cs="Arial" w:eastAsia="Arial" w:hAnsi="Arial"/>
                <w:sz w:val="14"/>
                <w:szCs w:val="14"/>
                <w:color w:val="auto"/>
              </w:rPr>
              <w:t>573</w:t>
            </w:r>
          </w:p>
        </w:tc>
      </w:tr>
      <w:tr>
        <w:trPr>
          <w:trHeight w:val="216"/>
        </w:trPr>
        <w:tc>
          <w:tcPr>
            <w:tcW w:w="740" w:type="dxa"/>
            <w:vAlign w:val="bottom"/>
          </w:tcPr>
          <w:p>
            <w:pPr>
              <w:jc w:val="right"/>
              <w:ind w:right="428"/>
              <w:spacing w:after="0"/>
              <w:rPr>
                <w:sz w:val="20"/>
                <w:szCs w:val="20"/>
                <w:color w:val="auto"/>
              </w:rPr>
            </w:pPr>
            <w:r>
              <w:rPr>
                <w:rFonts w:ascii="Arial" w:cs="Arial" w:eastAsia="Arial" w:hAnsi="Arial"/>
                <w:sz w:val="14"/>
                <w:szCs w:val="14"/>
                <w:color w:val="auto"/>
                <w:w w:val="94"/>
              </w:rPr>
              <w:t>107</w:t>
            </w:r>
          </w:p>
        </w:tc>
        <w:tc>
          <w:tcPr>
            <w:tcW w:w="114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180"/>
        </w:trPr>
        <w:tc>
          <w:tcPr>
            <w:tcW w:w="740" w:type="dxa"/>
            <w:vAlign w:val="bottom"/>
          </w:tcPr>
          <w:p>
            <w:pPr>
              <w:jc w:val="right"/>
              <w:ind w:right="428"/>
              <w:spacing w:after="0"/>
              <w:rPr>
                <w:sz w:val="20"/>
                <w:szCs w:val="20"/>
                <w:color w:val="auto"/>
              </w:rPr>
            </w:pPr>
            <w:r>
              <w:rPr>
                <w:rFonts w:ascii="Arial" w:cs="Arial" w:eastAsia="Arial" w:hAnsi="Arial"/>
                <w:sz w:val="14"/>
                <w:szCs w:val="14"/>
                <w:color w:val="auto"/>
                <w:w w:val="94"/>
              </w:rPr>
              <w:t>133</w:t>
            </w:r>
          </w:p>
        </w:tc>
        <w:tc>
          <w:tcPr>
            <w:tcW w:w="1140" w:type="dxa"/>
            <w:vAlign w:val="bottom"/>
          </w:tcPr>
          <w:p>
            <w:pPr>
              <w:jc w:val="right"/>
              <w:spacing w:after="0"/>
              <w:rPr>
                <w:sz w:val="20"/>
                <w:szCs w:val="20"/>
                <w:color w:val="auto"/>
              </w:rPr>
            </w:pPr>
            <w:r>
              <w:rPr>
                <w:rFonts w:ascii="Arial" w:cs="Arial" w:eastAsia="Arial" w:hAnsi="Arial"/>
                <w:sz w:val="14"/>
                <w:szCs w:val="14"/>
                <w:color w:val="auto"/>
              </w:rPr>
              <w:t>145</w:t>
            </w:r>
          </w:p>
        </w:tc>
      </w:tr>
    </w:tbl>
    <w:p>
      <w:pPr>
        <w:ind w:left="2220" w:hanging="1556"/>
        <w:spacing w:after="0"/>
        <w:tabs>
          <w:tab w:leader="none" w:pos="2220" w:val="left"/>
        </w:tabs>
        <w:numPr>
          <w:ilvl w:val="0"/>
          <w:numId w:val="3"/>
        </w:numPr>
        <w:rPr>
          <w:rFonts w:ascii="Arial" w:cs="Arial" w:eastAsia="Arial" w:hAnsi="Arial"/>
          <w:sz w:val="14"/>
          <w:szCs w:val="14"/>
          <w:color w:val="auto"/>
        </w:rPr>
      </w:pPr>
      <w:r>
        <w:rPr>
          <w:rFonts w:ascii="Arial" w:cs="Arial" w:eastAsia="Arial" w:hAnsi="Arial"/>
          <w:sz w:val="19"/>
          <w:szCs w:val="19"/>
          <w:color w:val="auto"/>
        </w:rPr>
        <w:t>270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855</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629</w:t>
            </w:r>
          </w:p>
        </w:tc>
      </w:tr>
      <w:tr>
        <w:trPr>
          <w:trHeight w:val="172"/>
        </w:trPr>
        <w:tc>
          <w:tcPr>
            <w:tcW w:w="15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3,77 7</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3,888</w:t>
            </w:r>
          </w:p>
        </w:tc>
      </w:tr>
      <w:tr>
        <w:trPr>
          <w:trHeight w:val="172"/>
        </w:trPr>
        <w:tc>
          <w:tcPr>
            <w:tcW w:w="15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8,032</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7,460</w:t>
            </w:r>
          </w:p>
        </w:tc>
      </w:tr>
      <w:tr>
        <w:trPr>
          <w:trHeight w:val="574"/>
        </w:trPr>
        <w:tc>
          <w:tcPr>
            <w:tcW w:w="15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192"/>
        </w:trPr>
        <w:tc>
          <w:tcPr>
            <w:tcW w:w="1540" w:type="dxa"/>
            <w:vAlign w:val="bottom"/>
          </w:tcPr>
          <w:p>
            <w:pPr>
              <w:jc w:val="right"/>
              <w:ind w:right="568"/>
              <w:spacing w:after="0"/>
              <w:rPr>
                <w:sz w:val="20"/>
                <w:szCs w:val="20"/>
                <w:color w:val="auto"/>
              </w:rPr>
            </w:pPr>
            <w:r>
              <w:rPr>
                <w:rFonts w:ascii="Arial" w:cs="Arial" w:eastAsia="Arial" w:hAnsi="Arial"/>
                <w:sz w:val="14"/>
                <w:szCs w:val="14"/>
                <w:color w:val="auto"/>
              </w:rPr>
              <w:t>147</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146</w:t>
            </w:r>
          </w:p>
        </w:tc>
      </w:tr>
      <w:tr>
        <w:trPr>
          <w:trHeight w:val="192"/>
        </w:trPr>
        <w:tc>
          <w:tcPr>
            <w:tcW w:w="1540" w:type="dxa"/>
            <w:vAlign w:val="bottom"/>
          </w:tcPr>
          <w:p>
            <w:pPr>
              <w:jc w:val="right"/>
              <w:ind w:right="568"/>
              <w:spacing w:after="0"/>
              <w:rPr>
                <w:sz w:val="20"/>
                <w:szCs w:val="20"/>
                <w:color w:val="auto"/>
              </w:rPr>
            </w:pPr>
            <w:r>
              <w:rPr>
                <w:rFonts w:ascii="Arial" w:cs="Arial" w:eastAsia="Arial" w:hAnsi="Arial"/>
                <w:sz w:val="14"/>
                <w:szCs w:val="14"/>
                <w:color w:val="auto"/>
              </w:rPr>
              <w:t>1,225</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1,252</w:t>
            </w:r>
          </w:p>
        </w:tc>
      </w:tr>
      <w:tr>
        <w:trPr>
          <w:trHeight w:val="192"/>
        </w:trPr>
        <w:tc>
          <w:tcPr>
            <w:tcW w:w="1540" w:type="dxa"/>
            <w:vAlign w:val="bottom"/>
          </w:tcPr>
          <w:p>
            <w:pPr>
              <w:jc w:val="right"/>
              <w:ind w:right="568"/>
              <w:spacing w:after="0"/>
              <w:rPr>
                <w:sz w:val="20"/>
                <w:szCs w:val="20"/>
                <w:color w:val="auto"/>
              </w:rPr>
            </w:pPr>
            <w:r>
              <w:rPr>
                <w:rFonts w:ascii="Arial" w:cs="Arial" w:eastAsia="Arial" w:hAnsi="Arial"/>
                <w:sz w:val="14"/>
                <w:szCs w:val="14"/>
                <w:color w:val="auto"/>
              </w:rPr>
              <w:t>1,516</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1,318</w:t>
            </w:r>
          </w:p>
        </w:tc>
      </w:tr>
      <w:tr>
        <w:trPr>
          <w:trHeight w:val="192"/>
        </w:trPr>
        <w:tc>
          <w:tcPr>
            <w:tcW w:w="1540" w:type="dxa"/>
            <w:vAlign w:val="bottom"/>
          </w:tcPr>
          <w:p>
            <w:pPr>
              <w:jc w:val="right"/>
              <w:ind w:right="568"/>
              <w:spacing w:after="0"/>
              <w:rPr>
                <w:sz w:val="20"/>
                <w:szCs w:val="20"/>
                <w:color w:val="auto"/>
              </w:rPr>
            </w:pPr>
            <w:r>
              <w:rPr>
                <w:rFonts w:ascii="Arial" w:cs="Arial" w:eastAsia="Arial" w:hAnsi="Arial"/>
                <w:sz w:val="14"/>
                <w:szCs w:val="14"/>
                <w:color w:val="auto"/>
              </w:rPr>
              <w:t>52</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54</w:t>
            </w:r>
          </w:p>
        </w:tc>
      </w:tr>
      <w:tr>
        <w:trPr>
          <w:trHeight w:val="192"/>
        </w:trPr>
        <w:tc>
          <w:tcPr>
            <w:tcW w:w="1540" w:type="dxa"/>
            <w:vAlign w:val="bottom"/>
          </w:tcPr>
          <w:p>
            <w:pPr>
              <w:jc w:val="right"/>
              <w:ind w:right="568"/>
              <w:spacing w:after="0"/>
              <w:rPr>
                <w:sz w:val="20"/>
                <w:szCs w:val="20"/>
                <w:color w:val="auto"/>
              </w:rPr>
            </w:pPr>
            <w:r>
              <w:rPr>
                <w:rFonts w:ascii="Arial" w:cs="Arial" w:eastAsia="Arial" w:hAnsi="Arial"/>
                <w:sz w:val="14"/>
                <w:szCs w:val="14"/>
                <w:color w:val="auto"/>
              </w:rPr>
              <w:t>2,635</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2,557</w:t>
            </w:r>
          </w:p>
        </w:tc>
      </w:tr>
      <w:tr>
        <w:trPr>
          <w:trHeight w:val="192"/>
        </w:trPr>
        <w:tc>
          <w:tcPr>
            <w:tcW w:w="1540" w:type="dxa"/>
            <w:vAlign w:val="bottom"/>
          </w:tcPr>
          <w:p>
            <w:pPr>
              <w:jc w:val="right"/>
              <w:ind w:right="568"/>
              <w:spacing w:after="0"/>
              <w:rPr>
                <w:sz w:val="20"/>
                <w:szCs w:val="20"/>
                <w:color w:val="auto"/>
              </w:rPr>
            </w:pPr>
            <w:r>
              <w:rPr>
                <w:rFonts w:ascii="Arial" w:cs="Arial" w:eastAsia="Arial" w:hAnsi="Arial"/>
                <w:sz w:val="14"/>
                <w:szCs w:val="14"/>
                <w:color w:val="auto"/>
              </w:rPr>
              <w:t>1,327</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1,277</w:t>
            </w:r>
          </w:p>
        </w:tc>
      </w:tr>
      <w:tr>
        <w:trPr>
          <w:trHeight w:val="192"/>
        </w:trPr>
        <w:tc>
          <w:tcPr>
            <w:tcW w:w="1540" w:type="dxa"/>
            <w:vAlign w:val="bottom"/>
          </w:tcPr>
          <w:p>
            <w:pPr>
              <w:jc w:val="right"/>
              <w:ind w:right="568"/>
              <w:spacing w:after="0"/>
              <w:rPr>
                <w:sz w:val="20"/>
                <w:szCs w:val="20"/>
                <w:color w:val="auto"/>
              </w:rPr>
            </w:pPr>
            <w:r>
              <w:rPr>
                <w:rFonts w:ascii="Arial" w:cs="Arial" w:eastAsia="Arial" w:hAnsi="Arial"/>
                <w:sz w:val="14"/>
                <w:szCs w:val="14"/>
                <w:color w:val="auto"/>
              </w:rPr>
              <w:t>144</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181</w:t>
            </w:r>
          </w:p>
        </w:tc>
      </w:tr>
      <w:tr>
        <w:trPr>
          <w:trHeight w:val="192"/>
        </w:trPr>
        <w:tc>
          <w:tcPr>
            <w:tcW w:w="1540" w:type="dxa"/>
            <w:vAlign w:val="bottom"/>
          </w:tcPr>
          <w:p>
            <w:pPr>
              <w:jc w:val="right"/>
              <w:ind w:right="568"/>
              <w:spacing w:after="0"/>
              <w:rPr>
                <w:sz w:val="20"/>
                <w:szCs w:val="20"/>
                <w:color w:val="auto"/>
              </w:rPr>
            </w:pPr>
            <w:r>
              <w:rPr>
                <w:rFonts w:ascii="Arial" w:cs="Arial" w:eastAsia="Arial" w:hAnsi="Arial"/>
                <w:sz w:val="14"/>
                <w:szCs w:val="14"/>
                <w:color w:val="auto"/>
              </w:rPr>
              <w:t>336</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312</w:t>
            </w:r>
          </w:p>
        </w:tc>
      </w:tr>
      <w:tr>
        <w:trPr>
          <w:trHeight w:val="186"/>
        </w:trPr>
        <w:tc>
          <w:tcPr>
            <w:tcW w:w="15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672</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735</w:t>
            </w:r>
          </w:p>
        </w:tc>
      </w:tr>
      <w:tr>
        <w:trPr>
          <w:trHeight w:val="172"/>
        </w:trPr>
        <w:tc>
          <w:tcPr>
            <w:tcW w:w="15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8,054</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7,834</w:t>
            </w:r>
          </w:p>
        </w:tc>
      </w:tr>
      <w:tr>
        <w:trPr>
          <w:trHeight w:val="172"/>
        </w:trPr>
        <w:tc>
          <w:tcPr>
            <w:tcW w:w="15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79</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w:t>
            </w:r>
          </w:p>
        </w:tc>
      </w:tr>
    </w:tbl>
    <w:p>
      <w:pPr>
        <w:spacing w:after="0" w:line="553" w:lineRule="exact"/>
        <w:rPr>
          <w:sz w:val="20"/>
          <w:szCs w:val="20"/>
          <w:color w:val="auto"/>
        </w:rPr>
      </w:pPr>
    </w:p>
    <w:p>
      <w:pPr>
        <w:sectPr>
          <w:pgSz w:w="11900" w:h="16838" w:orient="portrait"/>
          <w:cols w:equalWidth="0" w:num="2">
            <w:col w:w="4960" w:space="720"/>
            <w:col w:w="4539"/>
          </w:cols>
          <w:pgMar w:left="240" w:top="141" w:right="1440" w:bottom="0" w:gutter="0" w:footer="0" w:header="0"/>
        </w:sectPr>
      </w:pPr>
    </w:p>
    <w:tbl>
      <w:tblPr>
        <w:tblLayout w:type="fixed"/>
        <w:tblInd w:w="0" w:type="dxa"/>
        <w:tblCellMar>
          <w:top w:w="0" w:type="dxa"/>
          <w:left w:w="0" w:type="dxa"/>
          <w:bottom w:w="0" w:type="dxa"/>
          <w:right w:w="0" w:type="dxa"/>
        </w:tblCellMar>
      </w:tblPr>
      <w:tr>
        <w:trPr>
          <w:trHeight w:val="172"/>
        </w:trPr>
        <w:tc>
          <w:tcPr>
            <w:tcW w:w="5680" w:type="dxa"/>
            <w:vAlign w:val="bottom"/>
          </w:tcPr>
          <w:p>
            <w:pPr>
              <w:ind w:left="80"/>
              <w:spacing w:after="0"/>
              <w:rPr>
                <w:sz w:val="20"/>
                <w:szCs w:val="20"/>
                <w:color w:val="auto"/>
              </w:rPr>
            </w:pPr>
            <w:r>
              <w:rPr>
                <w:rFonts w:ascii="Arial" w:cs="Arial" w:eastAsia="Arial" w:hAnsi="Arial"/>
                <w:sz w:val="14"/>
                <w:szCs w:val="14"/>
                <w:color w:val="auto"/>
              </w:rPr>
              <w:t>Equity:</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2"/>
        </w:trPr>
        <w:tc>
          <w:tcPr>
            <w:tcW w:w="5680" w:type="dxa"/>
            <w:vAlign w:val="bottom"/>
          </w:tcPr>
          <w:p>
            <w:pPr>
              <w:ind w:left="240"/>
              <w:spacing w:after="0"/>
              <w:rPr>
                <w:sz w:val="20"/>
                <w:szCs w:val="20"/>
                <w:color w:val="auto"/>
              </w:rPr>
            </w:pPr>
            <w:r>
              <w:rPr>
                <w:rFonts w:ascii="Arial" w:cs="Arial" w:eastAsia="Arial" w:hAnsi="Arial"/>
                <w:sz w:val="14"/>
                <w:szCs w:val="14"/>
                <w:color w:val="auto"/>
              </w:rPr>
              <w:t>Preferred stock (50 million shares authorized; none issued)</w:t>
            </w:r>
          </w:p>
        </w:tc>
        <w:tc>
          <w:tcPr>
            <w:tcW w:w="280" w:type="dxa"/>
            <w:vAlign w:val="bottom"/>
          </w:tcPr>
          <w:p>
            <w:pPr>
              <w:spacing w:after="0"/>
              <w:rPr>
                <w:sz w:val="16"/>
                <w:szCs w:val="16"/>
                <w:color w:val="auto"/>
              </w:rPr>
            </w:pPr>
          </w:p>
        </w:tc>
        <w:tc>
          <w:tcPr>
            <w:tcW w:w="78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92"/>
        </w:trPr>
        <w:tc>
          <w:tcPr>
            <w:tcW w:w="5680" w:type="dxa"/>
            <w:vAlign w:val="bottom"/>
          </w:tcPr>
          <w:p>
            <w:pPr>
              <w:ind w:left="240"/>
              <w:spacing w:after="0"/>
              <w:rPr>
                <w:sz w:val="20"/>
                <w:szCs w:val="20"/>
                <w:color w:val="auto"/>
              </w:rPr>
            </w:pPr>
            <w:r>
              <w:rPr>
                <w:rFonts w:ascii="Arial" w:cs="Arial" w:eastAsia="Arial" w:hAnsi="Arial"/>
                <w:sz w:val="14"/>
                <w:szCs w:val="14"/>
                <w:color w:val="auto"/>
              </w:rPr>
              <w:t>Common stock (750 million shares authorized; 242 million and 247 million shares</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0"/>
        </w:trPr>
        <w:tc>
          <w:tcPr>
            <w:tcW w:w="5680" w:type="dxa"/>
            <w:vAlign w:val="bottom"/>
          </w:tcPr>
          <w:p>
            <w:pPr>
              <w:ind w:left="400"/>
              <w:spacing w:after="0"/>
              <w:rPr>
                <w:sz w:val="20"/>
                <w:szCs w:val="20"/>
                <w:color w:val="auto"/>
              </w:rPr>
            </w:pPr>
            <w:r>
              <w:rPr>
                <w:rFonts w:ascii="Arial" w:cs="Arial" w:eastAsia="Arial" w:hAnsi="Arial"/>
                <w:sz w:val="14"/>
                <w:szCs w:val="14"/>
                <w:color w:val="auto"/>
              </w:rPr>
              <w:t>outstanding at September 30, 2010 and December 31, 2009, respectively; no par</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0"/>
        </w:trPr>
        <w:tc>
          <w:tcPr>
            <w:tcW w:w="5680" w:type="dxa"/>
            <w:vAlign w:val="bottom"/>
          </w:tcPr>
          <w:p>
            <w:pPr>
              <w:ind w:left="520"/>
              <w:spacing w:after="0"/>
              <w:rPr>
                <w:sz w:val="20"/>
                <w:szCs w:val="20"/>
                <w:color w:val="auto"/>
              </w:rPr>
            </w:pPr>
            <w:r>
              <w:rPr>
                <w:rFonts w:ascii="Arial" w:cs="Arial" w:eastAsia="Arial" w:hAnsi="Arial"/>
                <w:sz w:val="19"/>
                <w:szCs w:val="19"/>
                <w:color w:val="auto"/>
              </w:rPr>
              <w:t>value)</w:t>
            </w:r>
          </w:p>
        </w:tc>
        <w:tc>
          <w:tcPr>
            <w:tcW w:w="280" w:type="dxa"/>
            <w:vAlign w:val="bottom"/>
          </w:tcPr>
          <w:p>
            <w:pPr>
              <w:spacing w:after="0"/>
              <w:rPr>
                <w:sz w:val="19"/>
                <w:szCs w:val="19"/>
                <w:color w:val="auto"/>
              </w:rPr>
            </w:pPr>
          </w:p>
        </w:tc>
        <w:tc>
          <w:tcPr>
            <w:tcW w:w="780" w:type="dxa"/>
            <w:vAlign w:val="bottom"/>
          </w:tcPr>
          <w:p>
            <w:pPr>
              <w:jc w:val="right"/>
              <w:ind w:right="86"/>
              <w:spacing w:after="0"/>
              <w:rPr>
                <w:sz w:val="20"/>
                <w:szCs w:val="20"/>
                <w:color w:val="auto"/>
              </w:rPr>
            </w:pPr>
            <w:r>
              <w:rPr>
                <w:rFonts w:ascii="Arial" w:cs="Arial" w:eastAsia="Arial" w:hAnsi="Arial"/>
                <w:sz w:val="14"/>
                <w:szCs w:val="14"/>
                <w:color w:val="auto"/>
              </w:rPr>
              <w:t>2,012</w:t>
            </w:r>
          </w:p>
        </w:tc>
        <w:tc>
          <w:tcPr>
            <w:tcW w:w="800" w:type="dxa"/>
            <w:vAlign w:val="bottom"/>
          </w:tcPr>
          <w:p>
            <w:pPr>
              <w:spacing w:after="0"/>
              <w:rPr>
                <w:sz w:val="19"/>
                <w:szCs w:val="19"/>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2,418</w:t>
            </w:r>
          </w:p>
        </w:tc>
      </w:tr>
      <w:tr>
        <w:trPr>
          <w:trHeight w:val="190"/>
        </w:trPr>
        <w:tc>
          <w:tcPr>
            <w:tcW w:w="5680" w:type="dxa"/>
            <w:vAlign w:val="bottom"/>
          </w:tcPr>
          <w:p>
            <w:pPr>
              <w:ind w:left="24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6"/>
                <w:szCs w:val="16"/>
                <w:color w:val="auto"/>
              </w:rPr>
            </w:pPr>
          </w:p>
        </w:tc>
        <w:tc>
          <w:tcPr>
            <w:tcW w:w="780" w:type="dxa"/>
            <w:vAlign w:val="bottom"/>
          </w:tcPr>
          <w:p>
            <w:pPr>
              <w:jc w:val="right"/>
              <w:ind w:right="86"/>
              <w:spacing w:after="0"/>
              <w:rPr>
                <w:sz w:val="20"/>
                <w:szCs w:val="20"/>
                <w:color w:val="auto"/>
              </w:rPr>
            </w:pPr>
            <w:r>
              <w:rPr>
                <w:rFonts w:ascii="Arial" w:cs="Arial" w:eastAsia="Arial" w:hAnsi="Arial"/>
                <w:sz w:val="14"/>
                <w:szCs w:val="14"/>
                <w:color w:val="auto"/>
              </w:rPr>
              <w:t>7,143</w:t>
            </w:r>
          </w:p>
        </w:tc>
        <w:tc>
          <w:tcPr>
            <w:tcW w:w="8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6,971</w:t>
            </w:r>
          </w:p>
        </w:tc>
      </w:tr>
      <w:tr>
        <w:trPr>
          <w:trHeight w:val="216"/>
        </w:trPr>
        <w:tc>
          <w:tcPr>
            <w:tcW w:w="5680" w:type="dxa"/>
            <w:vAlign w:val="bottom"/>
          </w:tcPr>
          <w:p>
            <w:pPr>
              <w:ind w:left="240"/>
              <w:spacing w:after="0"/>
              <w:rPr>
                <w:sz w:val="20"/>
                <w:szCs w:val="20"/>
                <w:color w:val="auto"/>
              </w:rPr>
            </w:pPr>
            <w:r>
              <w:rPr>
                <w:rFonts w:ascii="Arial" w:cs="Arial" w:eastAsia="Arial" w:hAnsi="Arial"/>
                <w:sz w:val="14"/>
                <w:szCs w:val="14"/>
                <w:color w:val="auto"/>
              </w:rPr>
              <w:t>Deferred compensation</w:t>
            </w:r>
          </w:p>
        </w:tc>
        <w:tc>
          <w:tcPr>
            <w:tcW w:w="280" w:type="dxa"/>
            <w:vAlign w:val="bottom"/>
          </w:tcPr>
          <w:p>
            <w:pPr>
              <w:spacing w:after="0"/>
              <w:rPr>
                <w:sz w:val="18"/>
                <w:szCs w:val="18"/>
                <w:color w:val="auto"/>
              </w:rPr>
            </w:pPr>
          </w:p>
        </w:tc>
        <w:tc>
          <w:tcPr>
            <w:tcW w:w="780" w:type="dxa"/>
            <w:vAlign w:val="bottom"/>
          </w:tcPr>
          <w:p>
            <w:pPr>
              <w:jc w:val="right"/>
              <w:ind w:right="46"/>
              <w:spacing w:after="0"/>
              <w:rPr>
                <w:sz w:val="20"/>
                <w:szCs w:val="20"/>
                <w:color w:val="auto"/>
              </w:rPr>
            </w:pPr>
            <w:r>
              <w:rPr>
                <w:rFonts w:ascii="Arial" w:cs="Arial" w:eastAsia="Arial" w:hAnsi="Arial"/>
                <w:sz w:val="14"/>
                <w:szCs w:val="14"/>
                <w:color w:val="auto"/>
              </w:rPr>
              <w:t>(9)</w:t>
            </w:r>
          </w:p>
        </w:tc>
        <w:tc>
          <w:tcPr>
            <w:tcW w:w="8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186"/>
        </w:trPr>
        <w:tc>
          <w:tcPr>
            <w:tcW w:w="5680" w:type="dxa"/>
            <w:vAlign w:val="bottom"/>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(344)</w:t>
            </w:r>
          </w:p>
        </w:tc>
        <w:tc>
          <w:tcPr>
            <w:tcW w:w="8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(369)</w:t>
            </w:r>
          </w:p>
        </w:tc>
      </w:tr>
      <w:tr>
        <w:trPr>
          <w:trHeight w:val="222"/>
        </w:trPr>
        <w:tc>
          <w:tcPr>
            <w:tcW w:w="5680" w:type="dxa"/>
            <w:vAlign w:val="bottom"/>
          </w:tcPr>
          <w:p>
            <w:pPr>
              <w:ind w:left="400"/>
              <w:spacing w:after="0"/>
              <w:rPr>
                <w:sz w:val="20"/>
                <w:szCs w:val="20"/>
                <w:color w:val="auto"/>
              </w:rPr>
            </w:pPr>
            <w:r>
              <w:rPr>
                <w:rFonts w:ascii="Arial" w:cs="Arial" w:eastAsia="Arial" w:hAnsi="Arial"/>
                <w:sz w:val="14"/>
                <w:szCs w:val="14"/>
                <w:color w:val="auto"/>
              </w:rPr>
              <w:t>Total Sempra Energy shareholders' equity</w:t>
            </w:r>
          </w:p>
        </w:tc>
        <w:tc>
          <w:tcPr>
            <w:tcW w:w="280" w:type="dxa"/>
            <w:vAlign w:val="bottom"/>
          </w:tcPr>
          <w:p>
            <w:pPr>
              <w:spacing w:after="0"/>
              <w:rPr>
                <w:sz w:val="19"/>
                <w:szCs w:val="19"/>
                <w:color w:val="auto"/>
              </w:rPr>
            </w:pPr>
          </w:p>
        </w:tc>
        <w:tc>
          <w:tcPr>
            <w:tcW w:w="780" w:type="dxa"/>
            <w:vAlign w:val="bottom"/>
          </w:tcPr>
          <w:p>
            <w:pPr>
              <w:jc w:val="right"/>
              <w:ind w:right="86"/>
              <w:spacing w:after="0"/>
              <w:rPr>
                <w:sz w:val="20"/>
                <w:szCs w:val="20"/>
                <w:color w:val="auto"/>
              </w:rPr>
            </w:pPr>
            <w:r>
              <w:rPr>
                <w:rFonts w:ascii="Arial" w:cs="Arial" w:eastAsia="Arial" w:hAnsi="Arial"/>
                <w:sz w:val="19"/>
                <w:szCs w:val="19"/>
                <w:color w:val="auto"/>
              </w:rPr>
              <w:t>8,802</w:t>
            </w:r>
          </w:p>
        </w:tc>
        <w:tc>
          <w:tcPr>
            <w:tcW w:w="800" w:type="dxa"/>
            <w:vAlign w:val="bottom"/>
          </w:tcPr>
          <w:p>
            <w:pPr>
              <w:spacing w:after="0"/>
              <w:rPr>
                <w:sz w:val="19"/>
                <w:szCs w:val="19"/>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9,007</w:t>
            </w:r>
          </w:p>
        </w:tc>
      </w:tr>
      <w:tr>
        <w:trPr>
          <w:trHeight w:val="184"/>
        </w:trPr>
        <w:tc>
          <w:tcPr>
            <w:tcW w:w="5680" w:type="dxa"/>
            <w:vAlign w:val="bottom"/>
          </w:tcPr>
          <w:p>
            <w:pPr>
              <w:ind w:left="240"/>
              <w:spacing w:after="0"/>
              <w:rPr>
                <w:sz w:val="20"/>
                <w:szCs w:val="20"/>
                <w:color w:val="auto"/>
              </w:rPr>
            </w:pPr>
            <w:r>
              <w:rPr>
                <w:rFonts w:ascii="Arial" w:cs="Arial" w:eastAsia="Arial" w:hAnsi="Arial"/>
                <w:sz w:val="14"/>
                <w:szCs w:val="14"/>
                <w:color w:val="auto"/>
              </w:rPr>
              <w:t>Preferred stock of subsidiaries</w:t>
            </w:r>
          </w:p>
        </w:tc>
        <w:tc>
          <w:tcPr>
            <w:tcW w:w="280" w:type="dxa"/>
            <w:vAlign w:val="bottom"/>
          </w:tcPr>
          <w:p>
            <w:pPr>
              <w:spacing w:after="0"/>
              <w:rPr>
                <w:sz w:val="16"/>
                <w:szCs w:val="16"/>
                <w:color w:val="auto"/>
              </w:rPr>
            </w:pPr>
          </w:p>
        </w:tc>
        <w:tc>
          <w:tcPr>
            <w:tcW w:w="780" w:type="dxa"/>
            <w:vAlign w:val="bottom"/>
          </w:tcPr>
          <w:p>
            <w:pPr>
              <w:jc w:val="right"/>
              <w:ind w:right="86"/>
              <w:spacing w:after="0"/>
              <w:rPr>
                <w:sz w:val="20"/>
                <w:szCs w:val="20"/>
                <w:color w:val="auto"/>
              </w:rPr>
            </w:pPr>
            <w:r>
              <w:rPr>
                <w:rFonts w:ascii="Arial" w:cs="Arial" w:eastAsia="Arial" w:hAnsi="Arial"/>
                <w:sz w:val="14"/>
                <w:szCs w:val="14"/>
                <w:color w:val="auto"/>
              </w:rPr>
              <w:t>100</w:t>
            </w:r>
          </w:p>
        </w:tc>
        <w:tc>
          <w:tcPr>
            <w:tcW w:w="80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100</w:t>
            </w:r>
          </w:p>
        </w:tc>
      </w:tr>
      <w:tr>
        <w:trPr>
          <w:trHeight w:val="186"/>
        </w:trPr>
        <w:tc>
          <w:tcPr>
            <w:tcW w:w="5680" w:type="dxa"/>
            <w:vAlign w:val="bottom"/>
          </w:tcPr>
          <w:p>
            <w:pPr>
              <w:ind w:left="240"/>
              <w:spacing w:after="0"/>
              <w:rPr>
                <w:sz w:val="20"/>
                <w:szCs w:val="20"/>
                <w:color w:val="auto"/>
              </w:rPr>
            </w:pPr>
            <w:r>
              <w:rPr>
                <w:rFonts w:ascii="Arial" w:cs="Arial" w:eastAsia="Arial" w:hAnsi="Arial"/>
                <w:sz w:val="14"/>
                <w:szCs w:val="14"/>
                <w:color w:val="auto"/>
              </w:rPr>
              <w:t>Other noncontrolling interests</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105</w:t>
            </w: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&amp;nb sp;</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w:t>
            </w:r>
          </w:p>
        </w:tc>
      </w:tr>
      <w:tr>
        <w:trPr>
          <w:trHeight w:val="172"/>
        </w:trPr>
        <w:tc>
          <w:tcPr>
            <w:tcW w:w="5680" w:type="dxa"/>
            <w:vAlign w:val="bottom"/>
          </w:tcPr>
          <w:p>
            <w:pPr>
              <w:ind w:left="400"/>
              <w:spacing w:after="0"/>
              <w:rPr>
                <w:sz w:val="20"/>
                <w:szCs w:val="20"/>
                <w:color w:val="auto"/>
              </w:rPr>
            </w:pPr>
            <w:r>
              <w:rPr>
                <w:rFonts w:ascii="Arial" w:cs="Arial" w:eastAsia="Arial" w:hAnsi="Arial"/>
                <w:sz w:val="14"/>
                <w:szCs w:val="14"/>
                <w:color w:val="auto"/>
              </w:rPr>
              <w:t>Total equity</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9,007</w:t>
            </w:r>
          </w:p>
        </w:tc>
        <w:tc>
          <w:tcPr>
            <w:tcW w:w="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9,251</w:t>
            </w:r>
          </w:p>
        </w:tc>
      </w:tr>
      <w:tr>
        <w:trPr>
          <w:trHeight w:val="176"/>
        </w:trPr>
        <w:tc>
          <w:tcPr>
            <w:tcW w:w="56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 liabilities and equity</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28,949</w:t>
            </w: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28,512</w:t>
            </w:r>
          </w:p>
        </w:tc>
      </w:tr>
    </w:tbl>
    <w:p>
      <w:pPr>
        <w:spacing w:after="0" w:line="16"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572770</wp:posOffset>
            </wp:positionV>
            <wp:extent cx="5074920" cy="434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7492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SEMPRA ENERGY</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CONDENSED STATEMENTS OF CONSOLIDATED CASH FLOWS</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9"/>
          <w:szCs w:val="19"/>
          <w:i w:val="1"/>
          <w:iCs w:val="1"/>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2"/>
                <w:szCs w:val="12"/>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color w:val="auto"/>
                <w:w w:val="98"/>
              </w:rPr>
              <w:t>Nine months ended Se ptember 30,</w:t>
            </w:r>
          </w:p>
        </w:tc>
      </w:tr>
      <w:tr>
        <w:trPr>
          <w:trHeight w:val="148"/>
        </w:trPr>
        <w:tc>
          <w:tcPr>
            <w:tcW w:w="5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9"/>
              <w:spacing w:after="0" w:line="148" w:lineRule="exact"/>
              <w:rPr>
                <w:sz w:val="20"/>
                <w:szCs w:val="20"/>
                <w:color w:val="auto"/>
              </w:rPr>
            </w:pPr>
            <w:r>
              <w:rPr>
                <w:rFonts w:ascii="Arial" w:cs="Arial" w:eastAsia="Arial" w:hAnsi="Arial"/>
                <w:sz w:val="13"/>
                <w:szCs w:val="13"/>
                <w:color w:val="auto"/>
              </w:rPr>
              <w:t>2010</w:t>
            </w:r>
          </w:p>
        </w:tc>
        <w:tc>
          <w:tcPr>
            <w:tcW w:w="8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2009</w:t>
            </w:r>
          </w:p>
        </w:tc>
        <w:tc>
          <w:tcPr>
            <w:tcW w:w="560" w:type="dxa"/>
            <w:vAlign w:val="bottom"/>
            <w:tcBorders>
              <w:bottom w:val="single" w:sz="8" w:color="auto"/>
            </w:tcBorders>
          </w:tcPr>
          <w:p>
            <w:pPr>
              <w:spacing w:after="0"/>
              <w:rPr>
                <w:sz w:val="12"/>
                <w:szCs w:val="12"/>
                <w:color w:val="auto"/>
              </w:rPr>
            </w:pPr>
          </w:p>
        </w:tc>
      </w:tr>
      <w:tr>
        <w:trPr>
          <w:trHeight w:val="174"/>
        </w:trPr>
        <w:tc>
          <w:tcPr>
            <w:tcW w:w="5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center"/>
              <w:ind w:left="249"/>
              <w:spacing w:after="0"/>
              <w:rPr>
                <w:sz w:val="20"/>
                <w:szCs w:val="20"/>
                <w:color w:val="auto"/>
              </w:rPr>
            </w:pPr>
            <w:r>
              <w:rPr>
                <w:rFonts w:ascii="Arial" w:cs="Arial" w:eastAsia="Arial" w:hAnsi="Arial"/>
                <w:sz w:val="13"/>
                <w:szCs w:val="13"/>
                <w:color w:val="auto"/>
              </w:rPr>
              <w:t>(unaudited)</w:t>
            </w:r>
          </w:p>
        </w:tc>
        <w:tc>
          <w:tcPr>
            <w:tcW w:w="560" w:type="dxa"/>
            <w:vAlign w:val="bottom"/>
          </w:tcPr>
          <w:p>
            <w:pPr>
              <w:spacing w:after="0"/>
              <w:rPr>
                <w:sz w:val="15"/>
                <w:szCs w:val="15"/>
                <w:color w:val="auto"/>
              </w:rPr>
            </w:pPr>
          </w:p>
        </w:tc>
      </w:tr>
      <w:tr>
        <w:trPr>
          <w:trHeight w:val="184"/>
        </w:trPr>
        <w:tc>
          <w:tcPr>
            <w:tcW w:w="5640" w:type="dxa"/>
            <w:vAlign w:val="bottom"/>
          </w:tcPr>
          <w:p>
            <w:pPr>
              <w:ind w:left="8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2"/>
        </w:trPr>
        <w:tc>
          <w:tcPr>
            <w:tcW w:w="564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432</w:t>
            </w:r>
          </w:p>
        </w:tc>
        <w:tc>
          <w:tcPr>
            <w:tcW w:w="84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816</w:t>
            </w:r>
          </w:p>
        </w:tc>
      </w:tr>
      <w:tr>
        <w:trPr>
          <w:trHeight w:val="192"/>
        </w:trPr>
        <w:tc>
          <w:tcPr>
            <w:tcW w:w="5640" w:type="dxa"/>
            <w:vAlign w:val="bottom"/>
          </w:tcPr>
          <w:p>
            <w:pPr>
              <w:ind w:left="240"/>
              <w:spacing w:after="0"/>
              <w:rPr>
                <w:sz w:val="20"/>
                <w:szCs w:val="20"/>
                <w:color w:val="auto"/>
              </w:rPr>
            </w:pPr>
            <w:r>
              <w:rPr>
                <w:rFonts w:ascii="Arial" w:cs="Arial" w:eastAsia="Arial" w:hAnsi="Arial"/>
                <w:sz w:val="14"/>
                <w:szCs w:val="14"/>
                <w:color w:val="auto"/>
              </w:rPr>
              <w:t>Adjustments to reconcile net income to net cash provided</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2"/>
        </w:trPr>
        <w:tc>
          <w:tcPr>
            <w:tcW w:w="5640" w:type="dxa"/>
            <w:vAlign w:val="bottom"/>
          </w:tcPr>
          <w:p>
            <w:pPr>
              <w:ind w:left="320"/>
              <w:spacing w:after="0"/>
              <w:rPr>
                <w:sz w:val="20"/>
                <w:szCs w:val="20"/>
                <w:color w:val="auto"/>
              </w:rPr>
            </w:pPr>
            <w:r>
              <w:rPr>
                <w:rFonts w:ascii="Arial" w:cs="Arial" w:eastAsia="Arial" w:hAnsi="Arial"/>
                <w:sz w:val="14"/>
                <w:szCs w:val="14"/>
                <w:color w:val="auto"/>
              </w:rPr>
              <w:t>;  by operating activities: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0"/>
        </w:trPr>
        <w:tc>
          <w:tcPr>
            <w:tcW w:w="5640" w:type="dxa"/>
            <w:vAlign w:val="bottom"/>
          </w:tcPr>
          <w:p>
            <w:pPr>
              <w:ind w:left="56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643</w:t>
            </w:r>
          </w:p>
        </w:tc>
        <w:tc>
          <w:tcPr>
            <w:tcW w:w="8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568</w:t>
            </w:r>
          </w:p>
        </w:tc>
      </w:tr>
      <w:tr>
        <w:trPr>
          <w:trHeight w:val="194"/>
        </w:trPr>
        <w:tc>
          <w:tcPr>
            <w:tcW w:w="5640" w:type="dxa"/>
            <w:vAlign w:val="bottom"/>
          </w:tcPr>
          <w:p>
            <w:pPr>
              <w:ind w:left="560"/>
              <w:spacing w:after="0"/>
              <w:rPr>
                <w:sz w:val="20"/>
                <w:szCs w:val="20"/>
                <w:color w:val="auto"/>
              </w:rPr>
            </w:pPr>
            <w:r>
              <w:rPr>
                <w:rFonts w:ascii="Arial" w:cs="Arial" w:eastAsia="Arial" w:hAnsi="Arial"/>
                <w:sz w:val="14"/>
                <w:szCs w:val="14"/>
                <w:color w:val="auto"/>
              </w:rPr>
              <w:t>Deferred income taxes and investment tax credits</w:t>
            </w:r>
          </w:p>
        </w:tc>
        <w:tc>
          <w:tcPr>
            <w:tcW w:w="24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133</w:t>
            </w:r>
          </w:p>
        </w:tc>
        <w:tc>
          <w:tcPr>
            <w:tcW w:w="8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181</w:t>
            </w:r>
          </w:p>
        </w:tc>
      </w:tr>
      <w:tr>
        <w:trPr>
          <w:trHeight w:val="192"/>
        </w:trPr>
        <w:tc>
          <w:tcPr>
            <w:tcW w:w="5640" w:type="dxa"/>
            <w:vAlign w:val="bottom"/>
          </w:tcPr>
          <w:p>
            <w:pPr>
              <w:ind w:left="560"/>
              <w:spacing w:after="0"/>
              <w:rPr>
                <w:sz w:val="20"/>
                <w:szCs w:val="20"/>
                <w:color w:val="auto"/>
              </w:rPr>
            </w:pPr>
            <w:r>
              <w:rPr>
                <w:rFonts w:ascii="Arial" w:cs="Arial" w:eastAsia="Arial" w:hAnsi="Arial"/>
                <w:sz w:val="14"/>
                <w:szCs w:val="14"/>
                <w:color w:val="auto"/>
              </w:rPr>
              <w:t>Equity losses (earnings)</w:t>
            </w:r>
          </w:p>
        </w:tc>
        <w:tc>
          <w:tcPr>
            <w:tcW w:w="24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224</w:t>
            </w:r>
          </w:p>
        </w:tc>
        <w:tc>
          <w:tcPr>
            <w:tcW w:w="8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(470)</w:t>
            </w:r>
          </w:p>
        </w:tc>
      </w:tr>
      <w:tr>
        <w:trPr>
          <w:trHeight w:val="190"/>
        </w:trPr>
        <w:tc>
          <w:tcPr>
            <w:tcW w:w="5640" w:type="dxa"/>
            <w:vAlign w:val="bottom"/>
          </w:tcPr>
          <w:p>
            <w:pPr>
              <w:ind w:left="560"/>
              <w:spacing w:after="0"/>
              <w:rPr>
                <w:sz w:val="20"/>
                <w:szCs w:val="20"/>
                <w:color w:val="auto"/>
              </w:rPr>
            </w:pPr>
            <w:r>
              <w:rPr>
                <w:rFonts w:ascii="Arial" w:cs="Arial" w:eastAsia="Arial" w:hAnsi="Arial"/>
                <w:sz w:val="14"/>
                <w:szCs w:val="14"/>
                <w:color w:val="auto"/>
              </w:rPr>
              <w:t>Write-off of long-lived assets</w:t>
            </w:r>
          </w:p>
        </w:tc>
        <w:tc>
          <w:tcPr>
            <w:tcW w:w="24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132</w:t>
            </w:r>
          </w:p>
        </w:tc>
      </w:tr>
      <w:tr>
        <w:trPr>
          <w:trHeight w:val="194"/>
        </w:trPr>
        <w:tc>
          <w:tcPr>
            <w:tcW w:w="5640" w:type="dxa"/>
            <w:vAlign w:val="bottom"/>
          </w:tcPr>
          <w:p>
            <w:pPr>
              <w:ind w:left="520"/>
              <w:spacing w:after="0"/>
              <w:rPr>
                <w:sz w:val="20"/>
                <w:szCs w:val="20"/>
                <w:color w:val="auto"/>
              </w:rPr>
            </w:pPr>
            <w:r>
              <w:rPr>
                <w:rFonts w:ascii="Arial" w:cs="Arial" w:eastAsia="Arial" w:hAnsi="Arial"/>
                <w:sz w:val="14"/>
                <w:szCs w:val="14"/>
                <w:color w:val="auto"/>
              </w:rPr>
              <w:t>Fixed-price contracts and other derivatives</w:t>
            </w:r>
          </w:p>
        </w:tc>
        <w:tc>
          <w:tcPr>
            <w:tcW w:w="24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8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(27)</w:t>
            </w:r>
          </w:p>
        </w:tc>
      </w:tr>
      <w:tr>
        <w:trPr>
          <w:trHeight w:val="192"/>
        </w:trPr>
        <w:tc>
          <w:tcPr>
            <w:tcW w:w="5640" w:type="dxa"/>
            <w:vAlign w:val="bottom"/>
          </w:tcPr>
          <w:p>
            <w:pPr>
              <w:ind w:left="56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(24)</w:t>
            </w:r>
          </w:p>
        </w:tc>
        <w:tc>
          <w:tcPr>
            <w:tcW w:w="8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92"/>
        </w:trPr>
        <w:tc>
          <w:tcPr>
            <w:tcW w:w="5640" w:type="dxa"/>
            <w:vAlign w:val="bottom"/>
          </w:tcPr>
          <w:p>
            <w:pPr>
              <w:ind w:left="240"/>
              <w:spacing w:after="0"/>
              <w:rPr>
                <w:sz w:val="20"/>
                <w:szCs w:val="20"/>
                <w:color w:val="auto"/>
              </w:rPr>
            </w:pPr>
            <w:r>
              <w:rPr>
                <w:rFonts w:ascii="Arial" w:cs="Arial" w:eastAsia="Arial" w:hAnsi="Arial"/>
                <w:sz w:val="14"/>
                <w:szCs w:val="14"/>
                <w:color w:val="auto"/>
              </w:rPr>
              <w:t>Net change in other working capital components</w:t>
            </w:r>
          </w:p>
        </w:tc>
        <w:tc>
          <w:tcPr>
            <w:tcW w:w="24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(77)</w:t>
            </w:r>
          </w:p>
        </w:tc>
        <w:tc>
          <w:tcPr>
            <w:tcW w:w="8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220</w:t>
            </w:r>
          </w:p>
        </w:tc>
      </w:tr>
      <w:tr>
        <w:trPr>
          <w:trHeight w:val="192"/>
        </w:trPr>
        <w:tc>
          <w:tcPr>
            <w:tcW w:w="5640" w:type="dxa"/>
            <w:vAlign w:val="bottom"/>
          </w:tcPr>
          <w:p>
            <w:pPr>
              <w:ind w:left="240"/>
              <w:spacing w:after="0"/>
              <w:rPr>
                <w:sz w:val="20"/>
                <w:szCs w:val="20"/>
                <w:color w:val="auto"/>
              </w:rPr>
            </w:pPr>
            <w:r>
              <w:rPr>
                <w:rFonts w:ascii="Arial" w:cs="Arial" w:eastAsia="Arial" w:hAnsi="Arial"/>
                <w:sz w:val="14"/>
                <w:szCs w:val="14"/>
                <w:color w:val="auto"/>
              </w:rPr>
              <w:t>Distributions from RBS Sempra Commodities LLP</w:t>
            </w:r>
          </w:p>
        </w:tc>
        <w:tc>
          <w:tcPr>
            <w:tcW w:w="24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198</w:t>
            </w:r>
          </w:p>
        </w:tc>
        <w:tc>
          <w:tcPr>
            <w:tcW w:w="8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407</w:t>
            </w:r>
          </w:p>
        </w:tc>
      </w:tr>
      <w:tr>
        <w:trPr>
          <w:trHeight w:val="192"/>
        </w:trPr>
        <w:tc>
          <w:tcPr>
            <w:tcW w:w="5640" w:type="dxa"/>
            <w:vAlign w:val="bottom"/>
          </w:tcPr>
          <w:p>
            <w:pPr>
              <w:ind w:left="240"/>
              <w:spacing w:after="0"/>
              <w:rPr>
                <w:sz w:val="20"/>
                <w:szCs w:val="20"/>
                <w:color w:val="auto"/>
              </w:rPr>
            </w:pPr>
            <w:r>
              <w:rPr>
                <w:rFonts w:ascii="Arial" w:cs="Arial" w:eastAsia="Arial" w:hAnsi="Arial"/>
                <w:sz w:val="14"/>
                <w:szCs w:val="14"/>
                <w:color w:val="auto"/>
              </w:rPr>
              <w:t>Changes in other assets</w:t>
            </w:r>
          </w:p>
        </w:tc>
        <w:tc>
          <w:tcPr>
            <w:tcW w:w="24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76</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81</w:t>
            </w:r>
          </w:p>
        </w:tc>
        <w:tc>
          <w:tcPr>
            <w:tcW w:w="560" w:type="dxa"/>
            <w:vAlign w:val="bottom"/>
          </w:tcPr>
          <w:p>
            <w:pPr>
              <w:spacing w:after="0"/>
              <w:rPr>
                <w:sz w:val="16"/>
                <w:szCs w:val="16"/>
                <w:color w:val="auto"/>
              </w:rPr>
            </w:pPr>
          </w:p>
        </w:tc>
      </w:tr>
      <w:tr>
        <w:trPr>
          <w:trHeight w:val="186"/>
        </w:trPr>
        <w:tc>
          <w:tcPr>
            <w:tcW w:w="5640" w:type="dxa"/>
            <w:vAlign w:val="bottom"/>
          </w:tcPr>
          <w:p>
            <w:pPr>
              <w:ind w:left="240"/>
              <w:spacing w:after="0"/>
              <w:rPr>
                <w:sz w:val="20"/>
                <w:szCs w:val="20"/>
                <w:color w:val="auto"/>
              </w:rPr>
            </w:pPr>
            <w:r>
              <w:rPr>
                <w:rFonts w:ascii="Arial" w:cs="Arial" w:eastAsia="Arial" w:hAnsi="Arial"/>
                <w:sz w:val="14"/>
                <w:szCs w:val="14"/>
                <w:color w:val="auto"/>
              </w:rPr>
              <w:t>Changes in other liabilities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w:t>
            </w:r>
          </w:p>
        </w:tc>
        <w:tc>
          <w:tcPr>
            <w:tcW w:w="8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w:t>
            </w:r>
          </w:p>
        </w:tc>
      </w:tr>
      <w:tr>
        <w:trPr>
          <w:trHeight w:val="172"/>
        </w:trPr>
        <w:tc>
          <w:tcPr>
            <w:tcW w:w="5640" w:type="dxa"/>
            <w:vAlign w:val="bottom"/>
          </w:tcPr>
          <w:p>
            <w:pPr>
              <w:ind w:left="40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1,602</w:t>
            </w: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1,884</w:t>
            </w:r>
          </w:p>
        </w:tc>
      </w:tr>
      <w:tr>
        <w:trPr>
          <w:trHeight w:val="394"/>
        </w:trPr>
        <w:tc>
          <w:tcPr>
            <w:tcW w:w="5640" w:type="dxa"/>
            <w:vAlign w:val="bottom"/>
          </w:tcPr>
          <w:p>
            <w:pPr>
              <w:ind w:left="8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2"/>
        </w:trPr>
        <w:tc>
          <w:tcPr>
            <w:tcW w:w="5640" w:type="dxa"/>
            <w:vAlign w:val="bottom"/>
          </w:tcPr>
          <w:p>
            <w:pPr>
              <w:ind w:left="240"/>
              <w:spacing w:after="0"/>
              <w:rPr>
                <w:sz w:val="20"/>
                <w:szCs w:val="20"/>
                <w:color w:val="auto"/>
              </w:rPr>
            </w:pPr>
            <w:r>
              <w:rPr>
                <w:rFonts w:ascii="Arial" w:cs="Arial" w:eastAsia="Arial" w:hAnsi="Arial"/>
                <w:sz w:val="14"/>
                <w:szCs w:val="14"/>
                <w:color w:val="auto"/>
              </w:rPr>
              <w:t>Expenditures for property, plant and equipment</w:t>
            </w:r>
          </w:p>
        </w:tc>
        <w:tc>
          <w:tcPr>
            <w:tcW w:w="24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(1,354)</w:t>
            </w:r>
          </w:p>
        </w:tc>
        <w:tc>
          <w:tcPr>
            <w:tcW w:w="8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(1,371)</w:t>
            </w:r>
          </w:p>
        </w:tc>
      </w:tr>
      <w:tr>
        <w:trPr>
          <w:trHeight w:val="192"/>
        </w:trPr>
        <w:tc>
          <w:tcPr>
            <w:tcW w:w="5640" w:type="dxa"/>
            <w:vAlign w:val="bottom"/>
          </w:tcPr>
          <w:p>
            <w:pPr>
              <w:ind w:left="240"/>
              <w:spacing w:after="0"/>
              <w:rPr>
                <w:sz w:val="20"/>
                <w:szCs w:val="20"/>
                <w:color w:val="auto"/>
              </w:rPr>
            </w:pPr>
            <w:r>
              <w:rPr>
                <w:rFonts w:ascii="Arial" w:cs="Arial" w:eastAsia="Arial" w:hAnsi="Arial"/>
                <w:sz w:val="14"/>
                <w:szCs w:val="14"/>
                <w:color w:val="auto"/>
              </w:rPr>
              <w:t>Proceeds from sale of assets</w:t>
            </w:r>
          </w:p>
        </w:tc>
        <w:tc>
          <w:tcPr>
            <w:tcW w:w="24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179</w:t>
            </w:r>
          </w:p>
        </w:tc>
      </w:tr>
      <w:tr>
        <w:trPr>
          <w:trHeight w:val="216"/>
        </w:trPr>
        <w:tc>
          <w:tcPr>
            <w:tcW w:w="5640" w:type="dxa"/>
            <w:vAlign w:val="bottom"/>
          </w:tcPr>
          <w:p>
            <w:pPr>
              <w:ind w:left="240"/>
              <w:spacing w:after="0"/>
              <w:rPr>
                <w:sz w:val="20"/>
                <w:szCs w:val="20"/>
                <w:color w:val="auto"/>
              </w:rPr>
            </w:pPr>
            <w:r>
              <w:rPr>
                <w:rFonts w:ascii="Arial" w:cs="Arial" w:eastAsia="Arial" w:hAnsi="Arial"/>
                <w:sz w:val="14"/>
                <w:szCs w:val="14"/>
                <w:color w:val="auto"/>
              </w:rPr>
              <w:t>Expenditures for investments and acquisition of businesses, net of cash acquired</w:t>
            </w:r>
          </w:p>
        </w:tc>
        <w:tc>
          <w:tcPr>
            <w:tcW w:w="240" w:type="dxa"/>
            <w:vAlign w:val="bottom"/>
          </w:tcPr>
          <w:p>
            <w:pPr>
              <w:spacing w:after="0"/>
              <w:rPr>
                <w:sz w:val="18"/>
                <w:szCs w:val="18"/>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(385)</w:t>
            </w:r>
          </w:p>
        </w:tc>
        <w:tc>
          <w:tcPr>
            <w:tcW w:w="840" w:type="dxa"/>
            <w:vAlign w:val="bottom"/>
          </w:tcPr>
          <w:p>
            <w:pPr>
              <w:spacing w:after="0"/>
              <w:rPr>
                <w:sz w:val="18"/>
                <w:szCs w:val="18"/>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(762)</w:t>
            </w:r>
          </w:p>
        </w:tc>
      </w:tr>
      <w:tr>
        <w:trPr>
          <w:trHeight w:val="192"/>
        </w:trPr>
        <w:tc>
          <w:tcPr>
            <w:tcW w:w="5640" w:type="dxa"/>
            <w:vAlign w:val="bottom"/>
          </w:tcPr>
          <w:p>
            <w:pPr>
              <w:ind w:left="240"/>
              <w:spacing w:after="0"/>
              <w:rPr>
                <w:sz w:val="20"/>
                <w:szCs w:val="20"/>
                <w:color w:val="auto"/>
              </w:rPr>
            </w:pPr>
            <w:r>
              <w:rPr>
                <w:rFonts w:ascii="Arial" w:cs="Arial" w:eastAsia="Arial" w:hAnsi="Arial"/>
                <w:sz w:val="14"/>
                <w:szCs w:val="14"/>
                <w:color w:val="auto"/>
              </w:rPr>
              <w:t>Distributions from RBS Sempra Commodities LLP</w:t>
            </w:r>
          </w:p>
        </w:tc>
        <w:tc>
          <w:tcPr>
            <w:tcW w:w="24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849</w:t>
            </w:r>
          </w:p>
        </w:tc>
        <w:tc>
          <w:tcPr>
            <w:tcW w:w="8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0"/>
        </w:trPr>
        <w:tc>
          <w:tcPr>
            <w:tcW w:w="5640" w:type="dxa"/>
            <w:vAlign w:val="bottom"/>
          </w:tcPr>
          <w:p>
            <w:pPr>
              <w:ind w:left="240"/>
              <w:spacing w:after="0"/>
              <w:rPr>
                <w:sz w:val="20"/>
                <w:szCs w:val="20"/>
                <w:color w:val="auto"/>
              </w:rPr>
            </w:pPr>
            <w:r>
              <w:rPr>
                <w:rFonts w:ascii="Arial" w:cs="Arial" w:eastAsia="Arial" w:hAnsi="Arial"/>
                <w:sz w:val="14"/>
                <w:szCs w:val="14"/>
                <w:color w:val="auto"/>
              </w:rPr>
              <w:t>Distributions from other investments</w:t>
            </w:r>
          </w:p>
        </w:tc>
        <w:tc>
          <w:tcPr>
            <w:tcW w:w="24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2 59</w:t>
            </w:r>
          </w:p>
        </w:tc>
        <w:tc>
          <w:tcPr>
            <w:tcW w:w="8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16</w:t>
            </w:r>
          </w:p>
        </w:tc>
      </w:tr>
      <w:tr>
        <w:trPr>
          <w:trHeight w:val="230"/>
        </w:trPr>
        <w:tc>
          <w:tcPr>
            <w:tcW w:w="5640" w:type="dxa"/>
            <w:vAlign w:val="bottom"/>
          </w:tcPr>
          <w:p>
            <w:pPr>
              <w:ind w:left="300"/>
              <w:spacing w:after="0"/>
              <w:rPr>
                <w:sz w:val="20"/>
                <w:szCs w:val="20"/>
                <w:color w:val="auto"/>
              </w:rPr>
            </w:pPr>
            <w:r>
              <w:rPr>
                <w:rFonts w:ascii="Arial" w:cs="Arial" w:eastAsia="Arial" w:hAnsi="Arial"/>
                <w:sz w:val="19"/>
                <w:szCs w:val="19"/>
                <w:color w:val="auto"/>
              </w:rPr>
              <w:t>Purchases of nuclear decommissioning and other trust assets</w:t>
            </w:r>
          </w:p>
        </w:tc>
        <w:tc>
          <w:tcPr>
            <w:tcW w:w="240" w:type="dxa"/>
            <w:vAlign w:val="bottom"/>
          </w:tcPr>
          <w:p>
            <w:pPr>
              <w:spacing w:after="0"/>
              <w:rPr>
                <w:sz w:val="19"/>
                <w:szCs w:val="19"/>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(261)</w:t>
            </w:r>
          </w:p>
        </w:tc>
        <w:tc>
          <w:tcPr>
            <w:tcW w:w="840" w:type="dxa"/>
            <w:vAlign w:val="bottom"/>
          </w:tcPr>
          <w:p>
            <w:pPr>
              <w:spacing w:after="0"/>
              <w:rPr>
                <w:sz w:val="19"/>
                <w:szCs w:val="19"/>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(167)</w:t>
            </w:r>
          </w:p>
        </w:tc>
      </w:tr>
      <w:tr>
        <w:trPr>
          <w:trHeight w:val="190"/>
        </w:trPr>
        <w:tc>
          <w:tcPr>
            <w:tcW w:w="5640" w:type="dxa"/>
            <w:vAlign w:val="bottom"/>
          </w:tcPr>
          <w:p>
            <w:pPr>
              <w:ind w:left="240"/>
              <w:spacing w:after="0"/>
              <w:rPr>
                <w:sz w:val="20"/>
                <w:szCs w:val="20"/>
                <w:color w:val="auto"/>
              </w:rPr>
            </w:pPr>
            <w:r>
              <w:rPr>
                <w:rFonts w:ascii="Arial" w:cs="Arial" w:eastAsia="Arial" w:hAnsi="Arial"/>
                <w:sz w:val="14"/>
                <w:szCs w:val="14"/>
                <w:color w:val="auto"/>
              </w:rPr>
              <w:t>Proceeds from sales by nuclear decommissioning and other trusts</w:t>
            </w:r>
          </w:p>
        </w:tc>
        <w:tc>
          <w:tcPr>
            <w:tcW w:w="24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261</w:t>
            </w:r>
          </w:p>
        </w:tc>
        <w:tc>
          <w:tcPr>
            <w:tcW w:w="8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186"/>
        </w:trPr>
        <w:tc>
          <w:tcPr>
            <w:tcW w:w="5640" w:type="dxa"/>
            <w:vAlign w:val="bottom"/>
          </w:tcPr>
          <w:p>
            <w:pPr>
              <w:ind w:left="2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w:t>
            </w:r>
          </w:p>
        </w:tc>
        <w:tc>
          <w:tcPr>
            <w:tcW w:w="8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r>
      <w:tr>
        <w:trPr>
          <w:trHeight w:val="172"/>
        </w:trPr>
        <w:tc>
          <w:tcPr>
            <w:tcW w:w="5640" w:type="dxa"/>
            <w:vAlign w:val="bottom"/>
          </w:tcPr>
          <w:p>
            <w:pPr>
              <w:ind w:left="40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(633)</w:t>
            </w: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(1,970)</w:t>
            </w:r>
          </w:p>
        </w:tc>
      </w:tr>
      <w:tr>
        <w:trPr>
          <w:trHeight w:val="370"/>
        </w:trPr>
        <w:tc>
          <w:tcPr>
            <w:tcW w:w="5640" w:type="dxa"/>
            <w:vAlign w:val="bottom"/>
          </w:tcPr>
          <w:p>
            <w:pPr>
              <w:ind w:left="80"/>
              <w:spacing w:after="0"/>
              <w:rPr>
                <w:sz w:val="20"/>
                <w:szCs w:val="20"/>
                <w:color w:val="auto"/>
              </w:rPr>
            </w:pPr>
            <w:r>
              <w:rPr>
                <w:rFonts w:ascii="Arial" w:cs="Arial" w:eastAsia="Arial" w:hAnsi="Arial"/>
                <w:sz w:val="14"/>
                <w:szCs w:val="14"/>
                <w:color w:val="auto"/>
              </w:rPr>
              <w:t>CASH FLOWS FROM FIN ANCING ACTIVITIES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&lt; /font&gt;</w:t>
            </w:r>
          </w:p>
        </w:tc>
        <w:tc>
          <w:tcPr>
            <w:tcW w:w="560" w:type="dxa"/>
            <w:vAlign w:val="bottom"/>
          </w:tcPr>
          <w:p>
            <w:pPr>
              <w:spacing w:after="0"/>
              <w:rPr>
                <w:sz w:val="24"/>
                <w:szCs w:val="24"/>
                <w:color w:val="auto"/>
              </w:rPr>
            </w:pPr>
          </w:p>
        </w:tc>
      </w:tr>
    </w:tbl>
    <w:p>
      <w:pPr>
        <w:sectPr>
          <w:pgSz w:w="11900" w:h="16838" w:orient="portrait"/>
          <w:cols w:equalWidth="0" w:num="1">
            <w:col w:w="10219"/>
          </w:cols>
          <w:pgMar w:left="240" w:top="141"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68"/>
        </w:trPr>
        <w:tc>
          <w:tcPr>
            <w:tcW w:w="5640" w:type="dxa"/>
            <w:vAlign w:val="bottom"/>
          </w:tcPr>
          <w:p>
            <w:pPr>
              <w:ind w:left="240"/>
              <w:spacing w:after="0"/>
              <w:rPr>
                <w:sz w:val="20"/>
                <w:szCs w:val="20"/>
                <w:color w:val="auto"/>
              </w:rPr>
            </w:pPr>
            <w:r>
              <w:rPr>
                <w:rFonts w:ascii="Arial" w:cs="Arial" w:eastAsia="Arial" w:hAnsi="Arial"/>
                <w:sz w:val="14"/>
                <w:szCs w:val="14"/>
                <w:color w:val="auto"/>
              </w:rPr>
              <w:t>Common dividends paid</w:t>
            </w: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(269)</w:t>
            </w:r>
          </w:p>
        </w:tc>
        <w:tc>
          <w:tcPr>
            <w:tcW w:w="7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(255)</w:t>
            </w:r>
          </w:p>
        </w:tc>
      </w:tr>
      <w:tr>
        <w:trPr>
          <w:trHeight w:val="172"/>
        </w:trPr>
        <w:tc>
          <w:tcPr>
            <w:tcW w:w="5640" w:type="dxa"/>
            <w:vAlign w:val="bottom"/>
          </w:tcPr>
          <w:p>
            <w:pPr>
              <w:ind w:left="240"/>
              <w:spacing w:after="0"/>
              <w:rPr>
                <w:sz w:val="20"/>
                <w:szCs w:val="20"/>
                <w:color w:val="auto"/>
              </w:rPr>
            </w:pPr>
            <w:r>
              <w:rPr>
                <w:rFonts w:ascii="Arial" w:cs="Arial" w:eastAsia="Arial" w:hAnsi="Arial"/>
                <w:sz w:val="14"/>
                <w:szCs w:val="14"/>
                <w:color w:val="auto"/>
              </w:rPr>
              <w:t>Preferred dividends paid by subsidiaries</w:t>
            </w: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7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w:t>
            </w:r>
          </w:p>
        </w:tc>
      </w:tr>
      <w:tr>
        <w:trPr>
          <w:trHeight w:val="192"/>
        </w:trPr>
        <w:tc>
          <w:tcPr>
            <w:tcW w:w="5640" w:type="dxa"/>
            <w:vAlign w:val="bottom"/>
          </w:tcPr>
          <w:p>
            <w:pPr>
              <w:ind w:left="160"/>
              <w:spacing w:after="0"/>
              <w:rPr>
                <w:sz w:val="20"/>
                <w:szCs w:val="20"/>
                <w:color w:val="auto"/>
              </w:rPr>
            </w:pPr>
            <w:r>
              <w:rPr>
                <w:rFonts w:ascii="Arial" w:cs="Arial" w:eastAsia="Arial" w:hAnsi="Arial"/>
                <w:sz w:val="14"/>
                <w:szCs w:val="14"/>
                <w:color w:val="auto"/>
              </w:rPr>
              <w:t>Issuances of common stock</w:t>
            </w:r>
          </w:p>
        </w:tc>
        <w:tc>
          <w:tcPr>
            <w:tcW w:w="3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7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52</w:t>
            </w:r>
          </w:p>
        </w:tc>
      </w:tr>
      <w:tr>
        <w:trPr>
          <w:trHeight w:val="216"/>
        </w:trPr>
        <w:tc>
          <w:tcPr>
            <w:tcW w:w="5640" w:type="dxa"/>
            <w:vAlign w:val="bottom"/>
          </w:tcPr>
          <w:p>
            <w:pPr>
              <w:ind w:left="80"/>
              <w:spacing w:after="0"/>
              <w:rPr>
                <w:sz w:val="20"/>
                <w:szCs w:val="20"/>
                <w:color w:val="auto"/>
              </w:rPr>
            </w:pPr>
            <w:r>
              <w:rPr>
                <w:rFonts w:ascii="Arial" w:cs="Arial" w:eastAsia="Arial" w:hAnsi="Arial"/>
                <w:sz w:val="14"/>
                <w:szCs w:val="14"/>
                <w:color w:val="auto"/>
              </w:rPr>
              <w:t>&amp; nbsp;  Repurchases of common stock</w:t>
            </w:r>
          </w:p>
        </w:tc>
        <w:tc>
          <w:tcPr>
            <w:tcW w:w="34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(502)</w:t>
            </w:r>
          </w:p>
        </w:tc>
        <w:tc>
          <w:tcPr>
            <w:tcW w:w="72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90"/>
        </w:trPr>
        <w:tc>
          <w:tcPr>
            <w:tcW w:w="5640" w:type="dxa"/>
            <w:vAlign w:val="bottom"/>
          </w:tcPr>
          <w:p>
            <w:pPr>
              <w:ind w:left="240"/>
              <w:spacing w:after="0"/>
              <w:rPr>
                <w:sz w:val="20"/>
                <w:szCs w:val="20"/>
                <w:color w:val="auto"/>
              </w:rPr>
            </w:pPr>
            <w:r>
              <w:rPr>
                <w:rFonts w:ascii="Arial" w:cs="Arial" w:eastAsia="Arial" w:hAnsi="Arial"/>
                <w:sz w:val="14"/>
                <w:szCs w:val="14"/>
                <w:color w:val="auto"/>
              </w:rPr>
              <w:t>Increase (decrease) in short-term debt, net</w:t>
            </w:r>
          </w:p>
        </w:tc>
        <w:tc>
          <w:tcPr>
            <w:tcW w:w="3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7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(52)</w:t>
            </w:r>
          </w:p>
        </w:tc>
      </w:tr>
      <w:tr>
        <w:trPr>
          <w:trHeight w:val="194"/>
        </w:trPr>
        <w:tc>
          <w:tcPr>
            <w:tcW w:w="5640" w:type="dxa"/>
            <w:vAlign w:val="bottom"/>
          </w:tcPr>
          <w:p>
            <w:pPr>
              <w:ind w:left="240"/>
              <w:spacing w:after="0"/>
              <w:rPr>
                <w:sz w:val="20"/>
                <w:szCs w:val="20"/>
                <w:color w:val="auto"/>
              </w:rPr>
            </w:pPr>
            <w:r>
              <w:rPr>
                <w:rFonts w:ascii="Arial" w:cs="Arial" w:eastAsia="Arial" w:hAnsi="Arial"/>
                <w:sz w:val="14"/>
                <w:szCs w:val="14"/>
                <w:color w:val="auto"/>
              </w:rPr>
              <w:t>Issuances of debt (maturities greater than 90 days)</w:t>
            </w:r>
          </w:p>
        </w:tc>
        <w:tc>
          <w:tcPr>
            <w:tcW w:w="3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771</w:t>
            </w:r>
          </w:p>
        </w:tc>
        <w:tc>
          <w:tcPr>
            <w:tcW w:w="7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1,181</w:t>
            </w:r>
          </w:p>
        </w:tc>
      </w:tr>
      <w:tr>
        <w:trPr>
          <w:trHeight w:val="192"/>
        </w:trPr>
        <w:tc>
          <w:tcPr>
            <w:tcW w:w="5640" w:type="dxa"/>
            <w:vAlign w:val="bottom"/>
          </w:tcPr>
          <w:p>
            <w:pPr>
              <w:ind w:left="240"/>
              <w:spacing w:after="0"/>
              <w:rPr>
                <w:sz w:val="20"/>
                <w:szCs w:val="20"/>
                <w:color w:val="auto"/>
              </w:rPr>
            </w:pPr>
            <w:r>
              <w:rPr>
                <w:rFonts w:ascii="Arial" w:cs="Arial" w:eastAsia="Arial" w:hAnsi="Arial"/>
                <w:sz w:val="14"/>
                <w:szCs w:val="14"/>
                <w:color w:val="auto"/>
              </w:rPr>
              <w:t>Payments on debt (maturities greater than 90 days)</w:t>
            </w:r>
          </w:p>
        </w:tc>
        <w:tc>
          <w:tcPr>
            <w:tcW w:w="3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(727)</w:t>
            </w:r>
          </w:p>
        </w:tc>
        <w:tc>
          <w:tcPr>
            <w:tcW w:w="7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(325)</w:t>
            </w:r>
          </w:p>
        </w:tc>
      </w:tr>
      <w:tr>
        <w:trPr>
          <w:trHeight w:val="192"/>
        </w:trPr>
        <w:tc>
          <w:tcPr>
            <w:tcW w:w="5640" w:type="dxa"/>
            <w:vAlign w:val="bottom"/>
          </w:tcPr>
          <w:p>
            <w:pPr>
              <w:ind w:left="240"/>
              <w:spacing w:after="0"/>
              <w:rPr>
                <w:sz w:val="20"/>
                <w:szCs w:val="20"/>
                <w:color w:val="auto"/>
              </w:rPr>
            </w:pPr>
            <w:r>
              <w:rPr>
                <w:rFonts w:ascii="Arial" w:cs="Arial" w:eastAsia="Arial" w:hAnsi="Arial"/>
                <w:sz w:val="14"/>
                <w:szCs w:val="14"/>
                <w:color w:val="auto"/>
              </w:rPr>
              <w:t>Purchase of noncontrolling interest</w:t>
            </w:r>
          </w:p>
        </w:tc>
        <w:tc>
          <w:tcPr>
            <w:tcW w:w="3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(94)</w:t>
            </w:r>
          </w:p>
        </w:tc>
      </w:tr>
      <w:tr>
        <w:trPr>
          <w:trHeight w:val="186"/>
        </w:trPr>
        <w:tc>
          <w:tcPr>
            <w:tcW w:w="5640" w:type="dxa"/>
            <w:vAlign w:val="bottom"/>
          </w:tcPr>
          <w:p>
            <w:pPr>
              <w:ind w:left="24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7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r>
      <w:tr>
        <w:trPr>
          <w:trHeight w:val="172"/>
        </w:trPr>
        <w:tc>
          <w:tcPr>
            <w:tcW w:w="5640" w:type="dxa"/>
            <w:vAlign w:val="bottom"/>
          </w:tcPr>
          <w:p>
            <w:pPr>
              <w:ind w:left="400"/>
              <w:spacing w:after="0"/>
              <w:rPr>
                <w:sz w:val="20"/>
                <w:szCs w:val="20"/>
                <w:color w:val="auto"/>
              </w:rPr>
            </w:pPr>
            <w:r>
              <w:rPr>
                <w:rFonts w:ascii="Arial" w:cs="Arial" w:eastAsia="Arial" w:hAnsi="Arial"/>
                <w:sz w:val="14"/>
                <w:szCs w:val="14"/>
                <w:color w:val="auto"/>
              </w:rPr>
              <w:t>Net cash (used in) provided by financing activities</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(532)</w:t>
            </w:r>
          </w:p>
        </w:tc>
        <w:tc>
          <w:tcPr>
            <w:tcW w:w="7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w:t>
            </w:r>
          </w:p>
        </w:tc>
      </w:tr>
      <w:tr>
        <w:trPr>
          <w:trHeight w:val="370"/>
        </w:trPr>
        <w:tc>
          <w:tcPr>
            <w:tcW w:w="5640" w:type="dxa"/>
            <w:vAlign w:val="bottom"/>
          </w:tcPr>
          <w:p>
            <w:pPr>
              <w:ind w:left="80"/>
              <w:spacing w:after="0"/>
              <w:rPr>
                <w:sz w:val="20"/>
                <w:szCs w:val="20"/>
                <w:color w:val="auto"/>
              </w:rPr>
            </w:pPr>
            <w:r>
              <w:rPr>
                <w:rFonts w:ascii="Arial" w:cs="Arial" w:eastAsia="Arial" w:hAnsi="Arial"/>
                <w:sz w:val="14"/>
                <w:szCs w:val="14"/>
                <w:color w:val="auto"/>
              </w:rPr>
              <w:t>Increase in cash and cash equivalents</w:t>
            </w:r>
          </w:p>
        </w:tc>
        <w:tc>
          <w:tcPr>
            <w:tcW w:w="34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437</w:t>
            </w:r>
          </w:p>
        </w:tc>
        <w:tc>
          <w:tcPr>
            <w:tcW w:w="72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425</w:t>
            </w:r>
          </w:p>
        </w:tc>
      </w:tr>
      <w:tr>
        <w:trPr>
          <w:trHeight w:val="186"/>
        </w:trPr>
        <w:tc>
          <w:tcPr>
            <w:tcW w:w="5640" w:type="dxa"/>
            <w:vAlign w:val="bottom"/>
          </w:tcPr>
          <w:p>
            <w:pPr>
              <w:ind w:left="80"/>
              <w:spacing w:after="0"/>
              <w:rPr>
                <w:sz w:val="20"/>
                <w:szCs w:val="20"/>
                <w:color w:val="auto"/>
              </w:rPr>
            </w:pPr>
            <w:r>
              <w:rPr>
                <w:rFonts w:ascii="Arial" w:cs="Arial" w:eastAsia="Arial" w:hAnsi="Arial"/>
                <w:sz w:val="14"/>
                <w:szCs w:val="14"/>
                <w:color w:val="auto"/>
              </w:rPr>
              <w:t>Cash and cash equivalents, January 1</w:t>
            </w: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w:t>
            </w:r>
          </w:p>
        </w:tc>
        <w:tc>
          <w:tcPr>
            <w:tcW w:w="720" w:type="dxa"/>
            <w:vAlign w:val="bottom"/>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w:t>
            </w:r>
          </w:p>
        </w:tc>
      </w:tr>
      <w:tr>
        <w:trPr>
          <w:trHeight w:val="176"/>
        </w:trPr>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Cash and cash equivalents, September 30</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547</w:t>
            </w:r>
          </w:p>
        </w:tc>
        <w:tc>
          <w:tcPr>
            <w:tcW w:w="7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w:t>
            </w:r>
          </w:p>
        </w:tc>
      </w:tr>
    </w:tbl>
    <w:p>
      <w:pPr>
        <w:spacing w:after="0" w:line="16" w:lineRule="exact"/>
        <w:rPr>
          <w:sz w:val="20"/>
          <w:szCs w:val="20"/>
          <w:color w:val="auto"/>
        </w:rPr>
      </w:pPr>
    </w:p>
    <w:p>
      <w:pPr>
        <w:ind w:left="84"/>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6766560" cy="533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6560" cy="533400"/>
                    </a:xfrm>
                    <a:prstGeom prst="rect">
                      <a:avLst/>
                    </a:prstGeom>
                    <a:noFill/>
                  </pic:spPr>
                </pic:pic>
              </a:graphicData>
            </a:graphic>
          </wp:anchor>
        </w:drawing>
      </w:r>
    </w:p>
    <w:p>
      <w:pPr>
        <w:spacing w:after="0" w:line="266"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SEMPRA ENERGY</w:t>
      </w:r>
    </w:p>
    <w:p>
      <w:pPr>
        <w:spacing w:after="0" w:line="25"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CONDENSED STATEMENTS OF CONSOLIDATED CASH FLOWS</w:t>
      </w:r>
    </w:p>
    <w:p>
      <w:pPr>
        <w:spacing w:after="0" w:line="2" w:lineRule="exact"/>
        <w:rPr>
          <w:sz w:val="20"/>
          <w:szCs w:val="20"/>
          <w:color w:val="auto"/>
        </w:rPr>
      </w:pPr>
    </w:p>
    <w:p>
      <w:pPr>
        <w:ind w:left="84"/>
        <w:spacing w:after="0"/>
        <w:rPr>
          <w:sz w:val="20"/>
          <w:szCs w:val="20"/>
          <w:color w:val="auto"/>
        </w:rPr>
      </w:pPr>
      <w:r>
        <w:rPr>
          <w:rFonts w:ascii="Arial" w:cs="Arial" w:eastAsia="Arial" w:hAnsi="Arial"/>
          <w:sz w:val="19"/>
          <w:szCs w:val="19"/>
          <w:color w:val="auto"/>
        </w:rPr>
        <w:t>&lt; /td&gt;</w:t>
      </w:r>
    </w:p>
    <w:p>
      <w:pPr>
        <w:spacing w:after="0" w:line="77" w:lineRule="exact"/>
        <w:rPr>
          <w:sz w:val="20"/>
          <w:szCs w:val="20"/>
          <w:color w:val="auto"/>
        </w:rPr>
      </w:pPr>
    </w:p>
    <w:p>
      <w:pPr>
        <w:ind w:left="84"/>
        <w:spacing w:after="0"/>
        <w:rPr>
          <w:sz w:val="20"/>
          <w:szCs w:val="20"/>
          <w:color w:val="auto"/>
        </w:rPr>
      </w:pPr>
      <w:r>
        <w:rPr>
          <w:rFonts w:ascii="Arial" w:cs="Arial" w:eastAsia="Arial" w:hAnsi="Arial"/>
          <w:sz w:val="13"/>
          <w:szCs w:val="13"/>
          <w:i w:val="1"/>
          <w:iCs w:val="1"/>
          <w:color w:val="auto"/>
        </w:rPr>
        <w:t>(Dollars in millions)</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18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color w:val="auto"/>
              </w:rPr>
              <w:t>Nine months ended September 30,</w:t>
            </w:r>
          </w:p>
        </w:tc>
        <w:tc>
          <w:tcPr>
            <w:tcW w:w="0" w:type="dxa"/>
            <w:vAlign w:val="bottom"/>
          </w:tcPr>
          <w:p>
            <w:pPr>
              <w:spacing w:after="0"/>
              <w:rPr>
                <w:sz w:val="1"/>
                <w:szCs w:val="1"/>
                <w:color w:val="auto"/>
              </w:rPr>
            </w:pPr>
          </w:p>
        </w:tc>
      </w:tr>
      <w:tr>
        <w:trPr>
          <w:trHeight w:val="148"/>
        </w:trPr>
        <w:tc>
          <w:tcPr>
            <w:tcW w:w="67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7"/>
              <w:spacing w:after="0" w:line="148" w:lineRule="exact"/>
              <w:rPr>
                <w:sz w:val="20"/>
                <w:szCs w:val="20"/>
                <w:color w:val="auto"/>
              </w:rPr>
            </w:pPr>
            <w:r>
              <w:rPr>
                <w:rFonts w:ascii="Arial" w:cs="Arial" w:eastAsia="Arial" w:hAnsi="Arial"/>
                <w:sz w:val="13"/>
                <w:szCs w:val="13"/>
                <w:color w:val="auto"/>
              </w:rPr>
              <w:t>2010</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9"/>
              <w:spacing w:after="0" w:line="148" w:lineRule="exact"/>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74"/>
        </w:trPr>
        <w:tc>
          <w:tcPr>
            <w:tcW w:w="6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(unaudited)</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00" w:type="dxa"/>
            <w:vAlign w:val="bottom"/>
          </w:tcPr>
          <w:p>
            <w:pPr>
              <w:ind w:left="80"/>
              <w:spacing w:after="0"/>
              <w:rPr>
                <w:sz w:val="20"/>
                <w:szCs w:val="20"/>
                <w:color w:val="auto"/>
              </w:rPr>
            </w:pPr>
            <w:r>
              <w:rPr>
                <w:rFonts w:ascii="Arial" w:cs="Arial" w:eastAsia="Arial" w:hAnsi="Arial"/>
                <w:sz w:val="14"/>
                <w:szCs w:val="14"/>
                <w:color w:val="auto"/>
              </w:rPr>
              <w:t>SUPPLEMENTAL DISCLOSURE OF CASH FLOW INFORMATION</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00" w:type="dxa"/>
            <w:vAlign w:val="bottom"/>
          </w:tcPr>
          <w:p>
            <w:pPr>
              <w:ind w:left="240"/>
              <w:spacing w:after="0"/>
              <w:rPr>
                <w:sz w:val="20"/>
                <w:szCs w:val="20"/>
                <w:color w:val="auto"/>
              </w:rPr>
            </w:pPr>
            <w:r>
              <w:rPr>
                <w:rFonts w:ascii="Arial" w:cs="Arial" w:eastAsia="Arial" w:hAnsi="Arial"/>
                <w:sz w:val="14"/>
                <w:szCs w:val="14"/>
                <w:color w:val="auto"/>
              </w:rPr>
              <w:t>Interest payments, net of amounts capitalized</w:t>
            </w:r>
          </w:p>
        </w:tc>
        <w:tc>
          <w:tcPr>
            <w:tcW w:w="2080" w:type="dxa"/>
            <w:vAlign w:val="bottom"/>
            <w:gridSpan w:val="2"/>
          </w:tcPr>
          <w:p>
            <w:pPr>
              <w:ind w:left="1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7"/>
              <w:spacing w:after="0"/>
              <w:rPr>
                <w:sz w:val="20"/>
                <w:szCs w:val="20"/>
                <w:color w:val="auto"/>
              </w:rPr>
            </w:pPr>
            <w:r>
              <w:rPr>
                <w:rFonts w:ascii="Arial" w:cs="Arial" w:eastAsia="Arial" w:hAnsi="Arial"/>
                <w:sz w:val="14"/>
                <w:szCs w:val="14"/>
                <w:color w:val="auto"/>
              </w:rPr>
              <w:t>264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94"/>
        </w:trPr>
        <w:tc>
          <w:tcPr>
            <w:tcW w:w="6700" w:type="dxa"/>
            <w:vAlign w:val="bottom"/>
          </w:tcPr>
          <w:p>
            <w:pPr>
              <w:ind w:left="240"/>
              <w:spacing w:after="0"/>
              <w:rPr>
                <w:sz w:val="20"/>
                <w:szCs w:val="20"/>
                <w:color w:val="auto"/>
              </w:rPr>
            </w:pPr>
            <w:r>
              <w:rPr>
                <w:rFonts w:ascii="Arial" w:cs="Arial" w:eastAsia="Arial" w:hAnsi="Arial"/>
                <w:sz w:val="14"/>
                <w:szCs w:val="14"/>
                <w:color w:val="auto"/>
              </w:rPr>
              <w:t>Income tax payments, net of refunds</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27"/>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6"/>
                <w:szCs w:val="16"/>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384"/>
        </w:trPr>
        <w:tc>
          <w:tcPr>
            <w:tcW w:w="6700" w:type="dxa"/>
            <w:vAlign w:val="bottom"/>
          </w:tcPr>
          <w:p>
            <w:pPr>
              <w:ind w:left="80"/>
              <w:spacing w:after="0"/>
              <w:rPr>
                <w:sz w:val="20"/>
                <w:szCs w:val="20"/>
                <w:color w:val="auto"/>
              </w:rPr>
            </w:pPr>
            <w:r>
              <w:rPr>
                <w:rFonts w:ascii="Arial" w:cs="Arial" w:eastAsia="Arial" w:hAnsi="Arial"/>
                <w:sz w:val="14"/>
                <w:szCs w:val="14"/>
                <w:color w:val="auto"/>
              </w:rPr>
              <w:t>SUPPLEMENTAL DISCLOSURE OF NONCASH ACTIVITIES</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700" w:type="dxa"/>
            <w:vAlign w:val="bottom"/>
          </w:tcPr>
          <w:p>
            <w:pPr>
              <w:ind w:left="240"/>
              <w:spacing w:after="0"/>
              <w:rPr>
                <w:sz w:val="20"/>
                <w:szCs w:val="20"/>
                <w:color w:val="auto"/>
              </w:rPr>
            </w:pPr>
            <w:r>
              <w:rPr>
                <w:rFonts w:ascii="Arial" w:cs="Arial" w:eastAsia="Arial" w:hAnsi="Arial"/>
                <w:sz w:val="14"/>
                <w:szCs w:val="14"/>
                <w:color w:val="auto"/>
              </w:rPr>
              <w:t>Acquisition of business:</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00" w:type="dxa"/>
            <w:vAlign w:val="bottom"/>
          </w:tcPr>
          <w:p>
            <w:pPr>
              <w:ind w:left="400"/>
              <w:spacing w:after="0"/>
              <w:rPr>
                <w:sz w:val="20"/>
                <w:szCs w:val="20"/>
                <w:color w:val="auto"/>
              </w:rPr>
            </w:pPr>
            <w:r>
              <w:rPr>
                <w:rFonts w:ascii="Arial" w:cs="Arial" w:eastAsia="Arial" w:hAnsi="Arial"/>
                <w:sz w:val="14"/>
                <w:szCs w:val="14"/>
                <w:color w:val="auto"/>
              </w:rPr>
              <w:t>Assets acquired</w:t>
            </w:r>
          </w:p>
        </w:tc>
        <w:tc>
          <w:tcPr>
            <w:tcW w:w="2080" w:type="dxa"/>
            <w:vAlign w:val="bottom"/>
            <w:gridSpan w:val="2"/>
          </w:tcPr>
          <w:p>
            <w:pPr>
              <w:ind w:left="1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7"/>
              <w:spacing w:after="0"/>
              <w:rPr>
                <w:sz w:val="20"/>
                <w:szCs w:val="20"/>
                <w:color w:val="auto"/>
              </w:rPr>
            </w:pPr>
            <w:r>
              <w:rPr>
                <w:rFonts w:ascii="Arial" w:cs="Arial" w:eastAsia="Arial" w:hAnsi="Arial"/>
                <w:sz w:val="14"/>
                <w:szCs w:val="14"/>
                <w:color w:val="auto"/>
              </w:rPr>
              <w:t>303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6700" w:type="dxa"/>
            <w:vAlign w:val="bottom"/>
          </w:tcPr>
          <w:p>
            <w:pPr>
              <w:ind w:left="320"/>
              <w:spacing w:after="0"/>
              <w:rPr>
                <w:sz w:val="20"/>
                <w:szCs w:val="20"/>
                <w:color w:val="auto"/>
              </w:rPr>
            </w:pPr>
            <w:r>
              <w:rPr>
                <w:rFonts w:ascii="Arial" w:cs="Arial" w:eastAsia="Arial" w:hAnsi="Arial"/>
                <w:sz w:val="14"/>
                <w:szCs w:val="14"/>
                <w:color w:val="auto"/>
              </w:rPr>
              <w:t>Cash paid, net of cash acquired</w:t>
            </w:r>
          </w:p>
        </w:tc>
        <w:tc>
          <w:tcPr>
            <w:tcW w:w="1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&amp;n bsp;(292)</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700" w:type="dxa"/>
            <w:vAlign w:val="bottom"/>
          </w:tcPr>
          <w:p>
            <w:pPr>
              <w:ind w:left="80"/>
              <w:spacing w:after="0" w:line="192" w:lineRule="exact"/>
              <w:rPr>
                <w:sz w:val="20"/>
                <w:szCs w:val="20"/>
                <w:color w:val="auto"/>
              </w:rPr>
            </w:pPr>
            <w:r>
              <w:rPr>
                <w:rFonts w:ascii="Arial" w:cs="Arial" w:eastAsia="Arial" w:hAnsi="Arial"/>
                <w:sz w:val="19"/>
                <w:szCs w:val="19"/>
                <w:color w:val="auto"/>
                <w:w w:val="98"/>
              </w:rPr>
              <w:t>&lt; font style="FONT-SIZE:9pt; COLOR:black; FONT-FAMILY:'Arial','sans-serif'"&gt;</w:t>
            </w:r>
          </w:p>
        </w:tc>
        <w:tc>
          <w:tcPr>
            <w:tcW w:w="1780" w:type="dxa"/>
            <w:vAlign w:val="bottom"/>
          </w:tcPr>
          <w:p>
            <w:pPr>
              <w:ind w:left="200"/>
              <w:spacing w:after="0" w:line="192" w:lineRule="exact"/>
              <w:rPr>
                <w:sz w:val="20"/>
                <w:szCs w:val="20"/>
                <w:color w:val="auto"/>
              </w:rPr>
            </w:pPr>
            <w:r>
              <w:rPr>
                <w:rFonts w:ascii="Arial" w:cs="Arial" w:eastAsia="Arial" w:hAnsi="Arial"/>
                <w:sz w:val="19"/>
                <w:szCs w:val="19"/>
                <w:color w:val="auto"/>
                <w:w w:val="97"/>
              </w:rPr>
              <w:t>Liabilities assumed</w:t>
            </w: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6"/>
        </w:trPr>
        <w:tc>
          <w:tcPr>
            <w:tcW w:w="6700" w:type="dxa"/>
            <w:vAlign w:val="bottom"/>
          </w:tcPr>
          <w:p>
            <w:pPr>
              <w:ind w:left="240"/>
              <w:spacing w:after="0"/>
              <w:rPr>
                <w:sz w:val="20"/>
                <w:szCs w:val="20"/>
                <w:color w:val="auto"/>
              </w:rPr>
            </w:pPr>
            <w:r>
              <w:rPr>
                <w:rFonts w:ascii="Arial" w:cs="Arial" w:eastAsia="Arial" w:hAnsi="Arial"/>
                <w:sz w:val="14"/>
                <w:szCs w:val="14"/>
                <w:color w:val="auto"/>
              </w:rPr>
              <w:t>Increase in capital lease obligations for investments in property, plant and</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vMerge w:val="restart"/>
          </w:tcPr>
          <w:p>
            <w:pPr>
              <w:jc w:val="right"/>
              <w:ind w:right="147"/>
              <w:spacing w:after="0"/>
              <w:rPr>
                <w:sz w:val="20"/>
                <w:szCs w:val="20"/>
                <w:color w:val="auto"/>
              </w:rPr>
            </w:pPr>
            <w:r>
              <w:rPr>
                <w:rFonts w:ascii="Arial" w:cs="Arial" w:eastAsia="Arial" w:hAnsi="Arial"/>
                <w:sz w:val="19"/>
                <w:szCs w:val="19"/>
                <w:color w:val="auto"/>
              </w:rPr>
              <w:t>183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400"/>
              <w:spacing w:after="0"/>
              <w:rPr>
                <w:sz w:val="20"/>
                <w:szCs w:val="20"/>
                <w:color w:val="auto"/>
              </w:rPr>
            </w:pPr>
            <w:r>
              <w:rPr>
                <w:rFonts w:ascii="Arial" w:cs="Arial" w:eastAsia="Arial" w:hAnsi="Arial"/>
                <w:sz w:val="14"/>
                <w:szCs w:val="14"/>
                <w:color w:val="auto"/>
              </w:rPr>
              <w:t>equipment</w:t>
            </w:r>
          </w:p>
        </w:tc>
        <w:tc>
          <w:tcPr>
            <w:tcW w:w="2080" w:type="dxa"/>
            <w:vAlign w:val="bottom"/>
            <w:gridSpan w:val="2"/>
          </w:tcPr>
          <w:p>
            <w:pPr>
              <w:ind w:left="1880"/>
              <w:spacing w:after="0"/>
              <w:rPr>
                <w:sz w:val="20"/>
                <w:szCs w:val="20"/>
                <w:color w:val="auto"/>
              </w:rPr>
            </w:pPr>
            <w:r>
              <w:rPr>
                <w:rFonts w:ascii="Arial" w:cs="Arial" w:eastAsia="Arial" w:hAnsi="Arial"/>
                <w:sz w:val="14"/>
                <w:szCs w:val="14"/>
                <w:color w:val="auto"/>
              </w:rPr>
              <w:t>$</w:t>
            </w:r>
          </w:p>
        </w:tc>
        <w:tc>
          <w:tcPr>
            <w:tcW w:w="11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8"/>
        </w:trPr>
        <w:tc>
          <w:tcPr>
            <w:tcW w:w="67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Dividends declared but not paid</w:t>
            </w:r>
          </w:p>
        </w:tc>
        <w:tc>
          <w:tcPr>
            <w:tcW w:w="1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97</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4"/>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717550</wp:posOffset>
            </wp:positionV>
            <wp:extent cx="5334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3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6"/>
        <w:spacing w:after="0"/>
        <w:rPr>
          <w:sz w:val="20"/>
          <w:szCs w:val="20"/>
          <w:color w:val="auto"/>
        </w:rPr>
      </w:pPr>
      <w:r>
        <w:rPr>
          <w:rFonts w:ascii="Arial" w:cs="Arial" w:eastAsia="Arial" w:hAnsi="Arial"/>
          <w:sz w:val="13"/>
          <w:szCs w:val="13"/>
          <w:color w:val="auto"/>
        </w:rPr>
        <w:t>2009</w:t>
      </w:r>
    </w:p>
    <w:p>
      <w:pPr>
        <w:ind w:left="4" w:right="160" w:hanging="4"/>
        <w:spacing w:after="0" w:line="295" w:lineRule="auto"/>
        <w:tabs>
          <w:tab w:leader="none" w:pos="173" w:val="left"/>
        </w:tabs>
        <w:numPr>
          <w:ilvl w:val="0"/>
          <w:numId w:val="4"/>
        </w:numPr>
        <w:rPr>
          <w:rFonts w:ascii="Arial" w:cs="Arial" w:eastAsia="Arial" w:hAnsi="Arial"/>
          <w:sz w:val="19"/>
          <w:szCs w:val="19"/>
          <w:color w:val="auto"/>
        </w:rPr>
      </w:pPr>
      <w:r>
        <w:rPr>
          <w:rFonts w:ascii="Arial" w:cs="Arial" w:eastAsia="Arial" w:hAnsi="Arial"/>
          <w:sz w:val="19"/>
          <w:szCs w:val="19"/>
          <w:color w:val="auto"/>
        </w:rPr>
        <w:t>td style="BORDER-RIGHT:0px; PADDING-RIGHT:5.75pt; BORDER-TOP:0px; PADDING-LEFT:5.75pt; BACKGROUND:white; PADDING-BOTTOM:0in; BORDER-LEFT:0px; PADDING-TOP:0in; BORDER-BOTTOM:0px; HEIGHT:12pt" valign=bottom&gt;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1860" cy="434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434340"/>
                    </a:xfrm>
                    <a:prstGeom prst="rect">
                      <a:avLst/>
                    </a:prstGeom>
                    <a:noFill/>
                  </pic:spPr>
                </pic:pic>
              </a:graphicData>
            </a:graphic>
          </wp:anchor>
        </w:drawing>
      </w:r>
    </w:p>
    <w:p>
      <w:pPr>
        <w:spacing w:after="0" w:line="140"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SAN DIEGO GAS &amp; ELECTRIC COMPANY</w:t>
      </w:r>
    </w:p>
    <w:p>
      <w:pPr>
        <w:spacing w:after="0" w:line="67"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100"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290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20" w:type="dxa"/>
            <w:vAlign w:val="bottom"/>
          </w:tcPr>
          <w:p>
            <w:pPr>
              <w:jc w:val="right"/>
              <w:ind w:right="2507"/>
              <w:spacing w:after="0"/>
              <w:rPr>
                <w:sz w:val="20"/>
                <w:szCs w:val="20"/>
                <w:color w:val="auto"/>
              </w:rPr>
            </w:pPr>
            <w:r>
              <w:rPr>
                <w:rFonts w:ascii="Arial" w:cs="Arial" w:eastAsia="Arial" w:hAnsi="Arial"/>
                <w:sz w:val="13"/>
                <w:szCs w:val="13"/>
                <w:color w:val="auto"/>
              </w:rPr>
              <w:t>Three months ended</w:t>
            </w:r>
          </w:p>
        </w:tc>
        <w:tc>
          <w:tcPr>
            <w:tcW w:w="260" w:type="dxa"/>
            <w:vAlign w:val="bottom"/>
          </w:tcPr>
          <w:p>
            <w:pPr>
              <w:spacing w:after="0"/>
              <w:rPr>
                <w:sz w:val="15"/>
                <w:szCs w:val="15"/>
                <w:color w:val="auto"/>
              </w:rPr>
            </w:pPr>
          </w:p>
        </w:tc>
        <w:tc>
          <w:tcPr>
            <w:tcW w:w="1420" w:type="dxa"/>
            <w:vAlign w:val="bottom"/>
            <w:gridSpan w:val="3"/>
          </w:tcPr>
          <w:p>
            <w:pPr>
              <w:jc w:val="center"/>
              <w:ind w:left="189"/>
              <w:spacing w:after="0"/>
              <w:rPr>
                <w:sz w:val="20"/>
                <w:szCs w:val="20"/>
                <w:color w:val="auto"/>
              </w:rPr>
            </w:pPr>
            <w:r>
              <w:rPr>
                <w:rFonts w:ascii="Arial" w:cs="Arial" w:eastAsia="Arial" w:hAnsi="Arial"/>
                <w:sz w:val="13"/>
                <w:szCs w:val="13"/>
                <w:color w:val="auto"/>
                <w:w w:val="99"/>
              </w:rPr>
              <w:t>Nine months ended</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jc w:val="right"/>
              <w:ind w:right="2667"/>
              <w:spacing w:after="0"/>
              <w:rPr>
                <w:sz w:val="20"/>
                <w:szCs w:val="20"/>
                <w:color w:val="auto"/>
              </w:rPr>
            </w:pPr>
            <w:r>
              <w:rPr>
                <w:rFonts w:ascii="Arial" w:cs="Arial" w:eastAsia="Arial" w:hAnsi="Arial"/>
                <w:sz w:val="13"/>
                <w:szCs w:val="13"/>
                <w:color w:val="auto"/>
              </w:rPr>
              <w:t>September 30,</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189"/>
              <w:spacing w:after="0"/>
              <w:rPr>
                <w:sz w:val="20"/>
                <w:szCs w:val="20"/>
                <w:color w:val="auto"/>
              </w:rPr>
            </w:pPr>
            <w:r>
              <w:rPr>
                <w:rFonts w:ascii="Arial" w:cs="Arial" w:eastAsia="Arial" w:hAnsi="Arial"/>
                <w:sz w:val="13"/>
                <w:szCs w:val="13"/>
                <w:color w:val="auto"/>
                <w:w w:val="98"/>
              </w:rPr>
              <w:t>September 30,</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color w:val="auto"/>
              </w:rPr>
              <w:t>2010</w:t>
            </w:r>
          </w:p>
        </w:tc>
        <w:tc>
          <w:tcPr>
            <w:tcW w:w="72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jc w:val="right"/>
              <w:ind w:right="2567"/>
              <w:spacing w:after="0"/>
              <w:rPr>
                <w:sz w:val="20"/>
                <w:szCs w:val="20"/>
                <w:color w:val="auto"/>
              </w:rPr>
            </w:pPr>
            <w:r>
              <w:rPr>
                <w:rFonts w:ascii="Arial" w:cs="Arial" w:eastAsia="Arial" w:hAnsi="Arial"/>
                <w:sz w:val="13"/>
                <w:szCs w:val="13"/>
                <w:color w:val="auto"/>
              </w:rPr>
              <w:t>2009</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rPr>
              <w:t>2010</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20" w:type="dxa"/>
            <w:vAlign w:val="bottom"/>
          </w:tcPr>
          <w:p>
            <w:pPr>
              <w:jc w:val="right"/>
              <w:ind w:right="1667"/>
              <w:spacing w:after="0"/>
              <w:rPr>
                <w:sz w:val="20"/>
                <w:szCs w:val="20"/>
                <w:color w:val="auto"/>
              </w:rPr>
            </w:pPr>
            <w:r>
              <w:rPr>
                <w:rFonts w:ascii="Arial" w:cs="Arial" w:eastAsia="Arial" w:hAnsi="Arial"/>
                <w:sz w:val="13"/>
                <w:szCs w:val="13"/>
                <w:color w:val="auto"/>
              </w:rPr>
              <w:t>(unaudited)</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tcPr>
          <w:p>
            <w:pPr>
              <w:ind w:left="80"/>
              <w:spacing w:after="0"/>
              <w:rPr>
                <w:sz w:val="20"/>
                <w:szCs w:val="20"/>
                <w:color w:val="auto"/>
              </w:rPr>
            </w:pPr>
            <w:r>
              <w:rPr>
                <w:rFonts w:ascii="Arial" w:cs="Arial" w:eastAsia="Arial" w:hAnsi="Arial"/>
                <w:sz w:val="14"/>
                <w:szCs w:val="14"/>
                <w:color w:val="auto"/>
              </w:rPr>
              <w:t>Operating revenues</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&amp;nb</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00" w:type="dxa"/>
            <w:vAlign w:val="bottom"/>
          </w:tcPr>
          <w:p>
            <w:pPr>
              <w:ind w:left="240"/>
              <w:spacing w:after="0"/>
              <w:rPr>
                <w:sz w:val="20"/>
                <w:szCs w:val="20"/>
                <w:color w:val="auto"/>
              </w:rPr>
            </w:pPr>
            <w:r>
              <w:rPr>
                <w:rFonts w:ascii="Arial" w:cs="Arial" w:eastAsia="Arial" w:hAnsi="Arial"/>
                <w:sz w:val="14"/>
                <w:szCs w:val="14"/>
                <w:color w:val="auto"/>
              </w:rPr>
              <w:t>Electric</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718</w:t>
            </w:r>
          </w:p>
        </w:tc>
        <w:tc>
          <w:tcPr>
            <w:tcW w:w="72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4820" w:type="dxa"/>
            <w:vAlign w:val="bottom"/>
          </w:tcPr>
          <w:p>
            <w:pPr>
              <w:jc w:val="right"/>
              <w:ind w:right="67"/>
              <w:spacing w:after="0"/>
              <w:rPr>
                <w:sz w:val="20"/>
                <w:szCs w:val="20"/>
                <w:color w:val="auto"/>
              </w:rPr>
            </w:pPr>
            <w:r>
              <w:rPr>
                <w:rFonts w:ascii="Arial" w:cs="Arial" w:eastAsia="Arial" w:hAnsi="Arial"/>
                <w:sz w:val="14"/>
                <w:szCs w:val="14"/>
                <w:color w:val="auto"/>
              </w:rPr>
              <w:t>695</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sp;1,870</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4"/>
                <w:szCs w:val="14"/>
                <w:color w:val="auto"/>
              </w:rPr>
              <w:t>1,783</w:t>
            </w:r>
          </w:p>
        </w:tc>
        <w:tc>
          <w:tcPr>
            <w:tcW w:w="0" w:type="dxa"/>
            <w:vAlign w:val="bottom"/>
          </w:tcPr>
          <w:p>
            <w:pPr>
              <w:spacing w:after="0"/>
              <w:rPr>
                <w:sz w:val="1"/>
                <w:szCs w:val="1"/>
                <w:color w:val="auto"/>
              </w:rPr>
            </w:pPr>
          </w:p>
        </w:tc>
      </w:tr>
      <w:tr>
        <w:trPr>
          <w:trHeight w:val="222"/>
        </w:trPr>
        <w:tc>
          <w:tcPr>
            <w:tcW w:w="2900" w:type="dxa"/>
            <w:vAlign w:val="bottom"/>
          </w:tcPr>
          <w:p>
            <w:pPr>
              <w:ind w:left="300"/>
              <w:spacing w:after="0"/>
              <w:rPr>
                <w:sz w:val="20"/>
                <w:szCs w:val="20"/>
                <w:color w:val="auto"/>
              </w:rPr>
            </w:pPr>
            <w:r>
              <w:rPr>
                <w:rFonts w:ascii="Arial" w:cs="Arial" w:eastAsia="Arial" w:hAnsi="Arial"/>
                <w:sz w:val="19"/>
                <w:szCs w:val="19"/>
                <w:color w:val="auto"/>
              </w:rPr>
              <w:t>Natural gas</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w:t>
            </w:r>
          </w:p>
        </w:tc>
        <w:tc>
          <w:tcPr>
            <w:tcW w:w="72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78</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9"/>
                <w:szCs w:val="19"/>
                <w:color w:val="auto"/>
              </w:rPr>
              <w:t>353</w:t>
            </w:r>
          </w:p>
        </w:tc>
        <w:tc>
          <w:tcPr>
            <w:tcW w:w="0" w:type="dxa"/>
            <w:vAlign w:val="bottom"/>
          </w:tcPr>
          <w:p>
            <w:pPr>
              <w:spacing w:after="0"/>
              <w:rPr>
                <w:sz w:val="1"/>
                <w:szCs w:val="1"/>
                <w:color w:val="auto"/>
              </w:rPr>
            </w:pPr>
          </w:p>
        </w:tc>
      </w:tr>
      <w:tr>
        <w:trPr>
          <w:trHeight w:val="172"/>
        </w:trPr>
        <w:tc>
          <w:tcPr>
            <w:tcW w:w="2900" w:type="dxa"/>
            <w:vAlign w:val="bottom"/>
          </w:tcPr>
          <w:p>
            <w:pPr>
              <w:ind w:left="400"/>
              <w:spacing w:after="0"/>
              <w:rPr>
                <w:sz w:val="20"/>
                <w:szCs w:val="20"/>
                <w:color w:val="auto"/>
              </w:rPr>
            </w:pPr>
            <w:r>
              <w:rPr>
                <w:rFonts w:ascii="Arial" w:cs="Arial" w:eastAsia="Arial" w:hAnsi="Arial"/>
                <w:sz w:val="14"/>
                <w:szCs w:val="14"/>
                <w:color w:val="auto"/>
              </w:rPr>
              <w:t>Total operating revenues</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811</w:t>
            </w:r>
          </w:p>
        </w:tc>
        <w:tc>
          <w:tcPr>
            <w:tcW w:w="72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773</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2,245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2,136</w:t>
            </w:r>
          </w:p>
        </w:tc>
        <w:tc>
          <w:tcPr>
            <w:tcW w:w="0" w:type="dxa"/>
            <w:vAlign w:val="bottom"/>
          </w:tcPr>
          <w:p>
            <w:pPr>
              <w:spacing w:after="0"/>
              <w:rPr>
                <w:sz w:val="1"/>
                <w:szCs w:val="1"/>
                <w:color w:val="auto"/>
              </w:rPr>
            </w:pPr>
          </w:p>
        </w:tc>
      </w:tr>
      <w:tr>
        <w:trPr>
          <w:trHeight w:val="174"/>
        </w:trPr>
        <w:tc>
          <w:tcPr>
            <w:tcW w:w="2900" w:type="dxa"/>
            <w:vAlign w:val="bottom"/>
          </w:tcPr>
          <w:p>
            <w:pPr>
              <w:ind w:left="8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240"/>
              <w:spacing w:after="0"/>
              <w:rPr>
                <w:sz w:val="20"/>
                <w:szCs w:val="20"/>
                <w:color w:val="auto"/>
              </w:rPr>
            </w:pPr>
            <w:r>
              <w:rPr>
                <w:rFonts w:ascii="Arial" w:cs="Arial" w:eastAsia="Arial" w:hAnsi="Arial"/>
                <w:sz w:val="14"/>
                <w:szCs w:val="14"/>
                <w:color w:val="auto"/>
              </w:rPr>
              <w:t>Cost of electric fuel and purchased</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80"/>
              <w:spacing w:after="0"/>
              <w:rPr>
                <w:sz w:val="20"/>
                <w:szCs w:val="20"/>
                <w:color w:val="auto"/>
              </w:rPr>
            </w:pPr>
            <w:r>
              <w:rPr>
                <w:rFonts w:ascii="Arial" w:cs="Arial" w:eastAsia="Arial" w:hAnsi="Arial"/>
                <w:sz w:val="14"/>
                <w:szCs w:val="14"/>
                <w:color w:val="auto"/>
              </w:rPr>
              <w:t>power</w:t>
            </w:r>
          </w:p>
        </w:tc>
        <w:tc>
          <w:tcPr>
            <w:tcW w:w="2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203</w:t>
            </w:r>
          </w:p>
        </w:tc>
        <w:tc>
          <w:tcPr>
            <w:tcW w:w="720" w:type="dxa"/>
            <w:vAlign w:val="bottom"/>
          </w:tcPr>
          <w:p>
            <w:pPr>
              <w:spacing w:after="0"/>
              <w:rPr>
                <w:sz w:val="14"/>
                <w:szCs w:val="14"/>
                <w:color w:val="auto"/>
              </w:rPr>
            </w:pPr>
          </w:p>
        </w:tc>
        <w:tc>
          <w:tcPr>
            <w:tcW w:w="4820" w:type="dxa"/>
            <w:vAlign w:val="bottom"/>
          </w:tcPr>
          <w:p>
            <w:pPr>
              <w:jc w:val="right"/>
              <w:ind w:right="67"/>
              <w:spacing w:after="0"/>
              <w:rPr>
                <w:sz w:val="20"/>
                <w:szCs w:val="20"/>
                <w:color w:val="auto"/>
              </w:rPr>
            </w:pPr>
            <w:r>
              <w:rPr>
                <w:rFonts w:ascii="Arial" w:cs="Arial" w:eastAsia="Arial" w:hAnsi="Arial"/>
                <w:sz w:val="14"/>
                <w:szCs w:val="14"/>
                <w:color w:val="auto"/>
              </w:rPr>
              <w:t>208</w:t>
            </w:r>
          </w:p>
        </w:tc>
        <w:tc>
          <w:tcPr>
            <w:tcW w:w="26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480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92"/>
        </w:trPr>
        <w:tc>
          <w:tcPr>
            <w:tcW w:w="2900" w:type="dxa"/>
            <w:vAlign w:val="bottom"/>
          </w:tcPr>
          <w:p>
            <w:pPr>
              <w:ind w:left="240"/>
              <w:spacing w:after="0"/>
              <w:rPr>
                <w:sz w:val="20"/>
                <w:szCs w:val="20"/>
                <w:color w:val="auto"/>
              </w:rPr>
            </w:pPr>
            <w:r>
              <w:rPr>
                <w:rFonts w:ascii="Arial" w:cs="Arial" w:eastAsia="Arial" w:hAnsi="Arial"/>
                <w:sz w:val="14"/>
                <w:szCs w:val="14"/>
                <w:color w:val="auto"/>
              </w:rPr>
              <w:t>Cost of natural gas</w:t>
            </w:r>
          </w:p>
        </w:tc>
        <w:tc>
          <w:tcPr>
            <w:tcW w:w="20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720" w:type="dxa"/>
            <w:vAlign w:val="bottom"/>
          </w:tcPr>
          <w:p>
            <w:pPr>
              <w:spacing w:after="0"/>
              <w:rPr>
                <w:sz w:val="16"/>
                <w:szCs w:val="16"/>
                <w:color w:val="auto"/>
              </w:rPr>
            </w:pPr>
          </w:p>
        </w:tc>
        <w:tc>
          <w:tcPr>
            <w:tcW w:w="4820" w:type="dxa"/>
            <w:vAlign w:val="bottom"/>
          </w:tcPr>
          <w:p>
            <w:pPr>
              <w:jc w:val="right"/>
              <w:ind w:right="67"/>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170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67"/>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16"/>
        </w:trPr>
        <w:tc>
          <w:tcPr>
            <w:tcW w:w="2900" w:type="dxa"/>
            <w:vAlign w:val="bottom"/>
          </w:tcPr>
          <w:p>
            <w:pPr>
              <w:ind w:left="240"/>
              <w:spacing w:after="0"/>
              <w:rPr>
                <w:sz w:val="20"/>
                <w:szCs w:val="20"/>
                <w:color w:val="auto"/>
              </w:rPr>
            </w:pPr>
            <w:r>
              <w:rPr>
                <w:rFonts w:ascii="Arial" w:cs="Arial" w:eastAsia="Arial" w:hAnsi="Arial"/>
                <w:sz w:val="14"/>
                <w:szCs w:val="14"/>
                <w:color w:val="auto"/>
              </w:rPr>
              <w:t>Operation and maintenance</w:t>
            </w:r>
          </w:p>
        </w:tc>
        <w:tc>
          <w:tcPr>
            <w:tcW w:w="200" w:type="dxa"/>
            <w:vAlign w:val="bottom"/>
          </w:tcPr>
          <w:p>
            <w:pPr>
              <w:spacing w:after="0"/>
              <w:rPr>
                <w:sz w:val="18"/>
                <w:szCs w:val="18"/>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235</w:t>
            </w:r>
          </w:p>
        </w:tc>
        <w:tc>
          <w:tcPr>
            <w:tcW w:w="720" w:type="dxa"/>
            <w:vAlign w:val="bottom"/>
          </w:tcPr>
          <w:p>
            <w:pPr>
              <w:spacing w:after="0"/>
              <w:rPr>
                <w:sz w:val="18"/>
                <w:szCs w:val="18"/>
                <w:color w:val="auto"/>
              </w:rPr>
            </w:pPr>
          </w:p>
        </w:tc>
        <w:tc>
          <w:tcPr>
            <w:tcW w:w="4820" w:type="dxa"/>
            <w:vAlign w:val="bottom"/>
          </w:tcPr>
          <w:p>
            <w:pPr>
              <w:jc w:val="right"/>
              <w:ind w:right="67"/>
              <w:spacing w:after="0"/>
              <w:rPr>
                <w:sz w:val="20"/>
                <w:szCs w:val="20"/>
                <w:color w:val="auto"/>
              </w:rPr>
            </w:pPr>
            <w:r>
              <w:rPr>
                <w:rFonts w:ascii="Arial" w:cs="Arial" w:eastAsia="Arial" w:hAnsi="Arial"/>
                <w:sz w:val="14"/>
                <w:szCs w:val="14"/>
                <w:color w:val="auto"/>
              </w:rPr>
              <w:t>236</w:t>
            </w:r>
          </w:p>
        </w:tc>
        <w:tc>
          <w:tcPr>
            <w:tcW w:w="26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704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67"/>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180"/>
        </w:trPr>
        <w:tc>
          <w:tcPr>
            <w:tcW w:w="290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96</w:t>
            </w:r>
          </w:p>
        </w:tc>
        <w:tc>
          <w:tcPr>
            <w:tcW w:w="720" w:type="dxa"/>
            <w:vAlign w:val="bottom"/>
          </w:tcPr>
          <w:p>
            <w:pPr>
              <w:spacing w:after="0"/>
              <w:rPr>
                <w:sz w:val="15"/>
                <w:szCs w:val="15"/>
                <w:color w:val="auto"/>
              </w:rPr>
            </w:pPr>
          </w:p>
        </w:tc>
        <w:tc>
          <w:tcPr>
            <w:tcW w:w="4820" w:type="dxa"/>
            <w:vAlign w:val="bottom"/>
          </w:tcPr>
          <w:p>
            <w:pPr>
              <w:jc w:val="right"/>
              <w:ind w:right="67"/>
              <w:spacing w:after="0"/>
              <w:rPr>
                <w:sz w:val="20"/>
                <w:szCs w:val="20"/>
                <w:color w:val="auto"/>
              </w:rPr>
            </w:pPr>
            <w:r>
              <w:rPr>
                <w:rFonts w:ascii="Arial" w:cs="Arial" w:eastAsia="Arial" w:hAnsi="Arial"/>
                <w:sz w:val="14"/>
                <w:szCs w:val="14"/>
                <w:color w:val="auto"/>
              </w:rPr>
              <w:t>81</w:t>
            </w:r>
          </w:p>
        </w:tc>
        <w:tc>
          <w:tcPr>
            <w:tcW w:w="260" w:type="dxa"/>
            <w:vAlign w:val="bottom"/>
          </w:tcPr>
          <w:p>
            <w:pPr>
              <w:spacing w:after="0"/>
              <w:rPr>
                <w:sz w:val="15"/>
                <w:szCs w:val="15"/>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283</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00"/>
              <w:spacing w:after="0" w:line="216" w:lineRule="exact"/>
              <w:rPr>
                <w:sz w:val="20"/>
                <w:szCs w:val="20"/>
                <w:color w:val="auto"/>
              </w:rPr>
            </w:pPr>
            <w:r>
              <w:rPr>
                <w:rFonts w:ascii="Arial" w:cs="Arial" w:eastAsia="Arial" w:hAnsi="Arial"/>
                <w:sz w:val="19"/>
                <w:szCs w:val="19"/>
                <w:color w:val="auto"/>
              </w:rPr>
              <w:t>Franchise fees and other</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tcPr>
          <w:p>
            <w:pPr>
              <w:ind w:left="80"/>
              <w:spacing w:after="0"/>
              <w:rPr>
                <w:sz w:val="20"/>
                <w:szCs w:val="20"/>
                <w:color w:val="auto"/>
              </w:rPr>
            </w:pPr>
            <w:r>
              <w:rPr>
                <w:rFonts w:ascii="Arial" w:cs="Arial" w:eastAsia="Arial" w:hAnsi="Arial"/>
                <w:sz w:val="19"/>
                <w:szCs w:val="19"/>
                <w:color w:val="auto"/>
              </w:rPr>
              <w:t>taxes</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w:t>
            </w:r>
          </w:p>
        </w:tc>
        <w:tc>
          <w:tcPr>
            <w:tcW w:w="72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46</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126</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2"/>
        </w:trPr>
        <w:tc>
          <w:tcPr>
            <w:tcW w:w="2900" w:type="dxa"/>
            <w:vAlign w:val="bottom"/>
          </w:tcPr>
          <w:p>
            <w:pPr>
              <w:ind w:left="40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613</w:t>
            </w:r>
          </w:p>
        </w:tc>
        <w:tc>
          <w:tcPr>
            <w:tcW w:w="72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601</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1,763</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178"/>
        </w:trPr>
        <w:tc>
          <w:tcPr>
            <w:tcW w:w="2900" w:type="dxa"/>
            <w:vAlign w:val="bottom"/>
          </w:tcPr>
          <w:p>
            <w:pPr>
              <w:ind w:left="80"/>
              <w:spacing w:after="0"/>
              <w:rPr>
                <w:sz w:val="20"/>
                <w:szCs w:val="20"/>
                <w:color w:val="auto"/>
              </w:rPr>
            </w:pPr>
            <w:r>
              <w:rPr>
                <w:rFonts w:ascii="Arial" w:cs="Arial" w:eastAsia="Arial" w:hAnsi="Arial"/>
                <w:sz w:val="14"/>
                <w:szCs w:val="14"/>
                <w:color w:val="auto"/>
              </w:rPr>
              <w:t>Operating income</w:t>
            </w:r>
          </w:p>
        </w:tc>
        <w:tc>
          <w:tcPr>
            <w:tcW w:w="20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198</w:t>
            </w:r>
          </w:p>
        </w:tc>
        <w:tc>
          <w:tcPr>
            <w:tcW w:w="720" w:type="dxa"/>
            <w:vAlign w:val="bottom"/>
          </w:tcPr>
          <w:p>
            <w:pPr>
              <w:spacing w:after="0"/>
              <w:rPr>
                <w:sz w:val="15"/>
                <w:szCs w:val="15"/>
                <w:color w:val="auto"/>
              </w:rPr>
            </w:pPr>
          </w:p>
        </w:tc>
        <w:tc>
          <w:tcPr>
            <w:tcW w:w="4820" w:type="dxa"/>
            <w:vAlign w:val="bottom"/>
          </w:tcPr>
          <w:p>
            <w:pPr>
              <w:jc w:val="right"/>
              <w:ind w:right="67"/>
              <w:spacing w:after="0"/>
              <w:rPr>
                <w:sz w:val="20"/>
                <w:szCs w:val="20"/>
                <w:color w:val="auto"/>
              </w:rPr>
            </w:pPr>
            <w:r>
              <w:rPr>
                <w:rFonts w:ascii="Arial" w:cs="Arial" w:eastAsia="Arial" w:hAnsi="Arial"/>
                <w:sz w:val="14"/>
                <w:szCs w:val="14"/>
                <w:color w:val="auto"/>
              </w:rPr>
              <w:t>172</w:t>
            </w:r>
          </w:p>
        </w:tc>
        <w:tc>
          <w:tcPr>
            <w:tcW w:w="260" w:type="dxa"/>
            <w:vAlign w:val="bottom"/>
          </w:tcPr>
          <w:p>
            <w:pPr>
              <w:spacing w:after="0"/>
              <w:rPr>
                <w:sz w:val="15"/>
                <w:szCs w:val="15"/>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482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67"/>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92"/>
        </w:trPr>
        <w:tc>
          <w:tcPr>
            <w:tcW w:w="2900" w:type="dxa"/>
            <w:vAlign w:val="bottom"/>
          </w:tcPr>
          <w:p>
            <w:pPr>
              <w:ind w:left="80"/>
              <w:spacing w:after="0"/>
              <w:rPr>
                <w:sz w:val="20"/>
                <w:szCs w:val="20"/>
                <w:color w:val="auto"/>
              </w:rPr>
            </w:pPr>
            <w:r>
              <w:rPr>
                <w:rFonts w:ascii="Arial" w:cs="Arial" w:eastAsia="Arial" w:hAnsi="Arial"/>
                <w:sz w:val="14"/>
                <w:szCs w:val="14"/>
                <w:color w:val="auto"/>
              </w:rPr>
              <w:t>Other income (expense), net</w:t>
            </w:r>
          </w:p>
        </w:tc>
        <w:tc>
          <w:tcPr>
            <w:tcW w:w="20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720" w:type="dxa"/>
            <w:vAlign w:val="bottom"/>
          </w:tcPr>
          <w:p>
            <w:pPr>
              <w:spacing w:after="0"/>
              <w:rPr>
                <w:sz w:val="16"/>
                <w:szCs w:val="16"/>
                <w:color w:val="auto"/>
              </w:rPr>
            </w:pPr>
          </w:p>
        </w:tc>
        <w:tc>
          <w:tcPr>
            <w:tcW w:w="4820" w:type="dxa"/>
            <w:vAlign w:val="bottom"/>
          </w:tcPr>
          <w:p>
            <w:pPr>
              <w:jc w:val="right"/>
              <w:ind w:right="67"/>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(18)</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67"/>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7"/>
        </w:trPr>
        <w:tc>
          <w:tcPr>
            <w:tcW w:w="2900" w:type="dxa"/>
            <w:vAlign w:val="bottom"/>
          </w:tcPr>
          <w:p>
            <w:pPr>
              <w:ind w:left="8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4820" w:type="dxa"/>
            <w:vAlign w:val="bottom"/>
          </w:tcPr>
          <w:p>
            <w:pPr>
              <w:jc w:val="right"/>
              <w:ind w:right="67"/>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20" w:type="dxa"/>
            <w:vAlign w:val="bottom"/>
          </w:tcPr>
          <w:p>
            <w:pPr>
              <w:jc w:val="right"/>
              <w:ind w:right="27"/>
              <w:spacing w:after="0" w:line="216" w:lineRule="exact"/>
              <w:rPr>
                <w:sz w:val="20"/>
                <w:szCs w:val="20"/>
                <w:color w:val="auto"/>
              </w:rPr>
            </w:pPr>
            <w:r>
              <w:rPr>
                <w:rFonts w:ascii="Arial" w:cs="Arial" w:eastAsia="Arial" w:hAnsi="Arial"/>
                <w:sz w:val="19"/>
                <w:szCs w:val="19"/>
                <w:color w:val="auto"/>
              </w:rPr>
              <w:t>&lt; font style="FONT-SIZE:9pt; COLOR:black; FONT-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00" w:type="dxa"/>
            <w:vAlign w:val="bottom"/>
          </w:tcPr>
          <w:p>
            <w:pPr>
              <w:ind w:left="8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72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tcPr>
          <w:p>
            <w:pPr>
              <w:jc w:val="right"/>
              <w:ind w:right="27"/>
              <w:spacing w:after="0"/>
              <w:rPr>
                <w:sz w:val="20"/>
                <w:szCs w:val="20"/>
                <w:color w:val="auto"/>
              </w:rPr>
            </w:pPr>
            <w:r>
              <w:rPr>
                <w:rFonts w:ascii="Arial" w:cs="Arial" w:eastAsia="Arial" w:hAnsi="Arial"/>
                <w:sz w:val="19"/>
                <w:szCs w:val="19"/>
                <w:color w:val="auto"/>
              </w:rPr>
              <w:t>FAMILY:'Arial','sans-serif'"&gt; (29)</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(99)</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8"/>
        </w:trPr>
        <w:tc>
          <w:tcPr>
            <w:tcW w:w="2900" w:type="dxa"/>
            <w:vAlign w:val="bottom"/>
          </w:tcPr>
          <w:p>
            <w:pPr>
              <w:ind w:left="80"/>
              <w:spacing w:after="0"/>
              <w:rPr>
                <w:sz w:val="20"/>
                <w:szCs w:val="20"/>
                <w:color w:val="auto"/>
              </w:rPr>
            </w:pPr>
            <w:r>
              <w:rPr>
                <w:rFonts w:ascii="Arial" w:cs="Arial" w:eastAsia="Arial" w:hAnsi="Arial"/>
                <w:sz w:val="14"/>
                <w:szCs w:val="14"/>
                <w:color w:val="auto"/>
              </w:rPr>
              <w:t>Income before income taxes</w:t>
            </w:r>
          </w:p>
        </w:tc>
        <w:tc>
          <w:tcPr>
            <w:tcW w:w="20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159</w:t>
            </w:r>
          </w:p>
        </w:tc>
        <w:tc>
          <w:tcPr>
            <w:tcW w:w="720" w:type="dxa"/>
            <w:vAlign w:val="bottom"/>
          </w:tcPr>
          <w:p>
            <w:pPr>
              <w:spacing w:after="0"/>
              <w:rPr>
                <w:sz w:val="15"/>
                <w:szCs w:val="15"/>
                <w:color w:val="auto"/>
              </w:rPr>
            </w:pPr>
          </w:p>
        </w:tc>
        <w:tc>
          <w:tcPr>
            <w:tcW w:w="4820" w:type="dxa"/>
            <w:vAlign w:val="bottom"/>
          </w:tcPr>
          <w:p>
            <w:pPr>
              <w:jc w:val="right"/>
              <w:ind w:right="67"/>
              <w:spacing w:after="0"/>
              <w:rPr>
                <w:sz w:val="20"/>
                <w:szCs w:val="20"/>
                <w:color w:val="auto"/>
              </w:rPr>
            </w:pPr>
            <w:r>
              <w:rPr>
                <w:rFonts w:ascii="Arial" w:cs="Arial" w:eastAsia="Arial" w:hAnsi="Arial"/>
                <w:sz w:val="14"/>
                <w:szCs w:val="14"/>
                <w:color w:val="auto"/>
              </w:rPr>
              <w:t>145</w:t>
            </w:r>
          </w:p>
        </w:tc>
        <w:tc>
          <w:tcPr>
            <w:tcW w:w="260" w:type="dxa"/>
            <w:vAlign w:val="bottom"/>
          </w:tcPr>
          <w:p>
            <w:pPr>
              <w:spacing w:after="0"/>
              <w:rPr>
                <w:sz w:val="15"/>
                <w:szCs w:val="15"/>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365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67"/>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86"/>
        </w:trPr>
        <w:tc>
          <w:tcPr>
            <w:tcW w:w="2900" w:type="dxa"/>
            <w:vAlign w:val="bottom"/>
          </w:tcPr>
          <w:p>
            <w:pPr>
              <w:ind w:left="80"/>
              <w:spacing w:after="0"/>
              <w:rPr>
                <w:sz w:val="20"/>
                <w:szCs w:val="20"/>
                <w:color w:val="auto"/>
              </w:rPr>
            </w:pPr>
            <w:r>
              <w:rPr>
                <w:rFonts w:ascii="Arial" w:cs="Arial" w:eastAsia="Arial" w:hAnsi="Arial"/>
                <w:sz w:val="14"/>
                <w:szCs w:val="14"/>
                <w:color w:val="auto"/>
              </w:rPr>
              <w:t>Income tax expense</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c>
          <w:tcPr>
            <w:tcW w:w="72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(53)</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74"/>
        </w:trPr>
        <w:tc>
          <w:tcPr>
            <w:tcW w:w="290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103</w:t>
            </w:r>
          </w:p>
        </w:tc>
        <w:tc>
          <w:tcPr>
            <w:tcW w:w="720" w:type="dxa"/>
            <w:vAlign w:val="bottom"/>
          </w:tcPr>
          <w:p>
            <w:pPr>
              <w:spacing w:after="0"/>
              <w:rPr>
                <w:sz w:val="15"/>
                <w:szCs w:val="15"/>
                <w:color w:val="auto"/>
              </w:rPr>
            </w:pPr>
          </w:p>
        </w:tc>
        <w:tc>
          <w:tcPr>
            <w:tcW w:w="4820" w:type="dxa"/>
            <w:vAlign w:val="bottom"/>
          </w:tcPr>
          <w:p>
            <w:pPr>
              <w:jc w:val="right"/>
              <w:ind w:right="67"/>
              <w:spacing w:after="0"/>
              <w:rPr>
                <w:sz w:val="20"/>
                <w:szCs w:val="20"/>
                <w:color w:val="auto"/>
              </w:rPr>
            </w:pPr>
            <w:r>
              <w:rPr>
                <w:rFonts w:ascii="Arial" w:cs="Arial" w:eastAsia="Arial" w:hAnsi="Arial"/>
                <w:sz w:val="14"/>
                <w:szCs w:val="14"/>
                <w:color w:val="auto"/>
              </w:rPr>
              <w:t>92</w:t>
            </w:r>
          </w:p>
        </w:tc>
        <w:tc>
          <w:tcPr>
            <w:tcW w:w="260" w:type="dxa"/>
            <w:vAlign w:val="bottom"/>
          </w:tcPr>
          <w:p>
            <w:pPr>
              <w:spacing w:after="0"/>
              <w:rPr>
                <w:sz w:val="15"/>
                <w:szCs w:val="15"/>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234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67"/>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Arial" w:cs="Arial" w:eastAsia="Arial" w:hAnsi="Arial"/>
                <w:sz w:val="14"/>
                <w:szCs w:val="14"/>
                <w:color w:val="auto"/>
              </w:rPr>
              <w:t>Losses (earnings) attributable to</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ind w:left="8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72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34</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8"/>
        </w:trPr>
        <w:tc>
          <w:tcPr>
            <w:tcW w:w="2900" w:type="dxa"/>
            <w:vAlign w:val="bottom"/>
          </w:tcPr>
          <w:p>
            <w:pPr>
              <w:ind w:left="80"/>
              <w:spacing w:after="0"/>
              <w:rPr>
                <w:sz w:val="20"/>
                <w:szCs w:val="20"/>
                <w:color w:val="auto"/>
              </w:rPr>
            </w:pPr>
            <w:r>
              <w:rPr>
                <w:rFonts w:ascii="Arial" w:cs="Arial" w:eastAsia="Arial" w:hAnsi="Arial"/>
                <w:sz w:val="14"/>
                <w:szCs w:val="14"/>
                <w:color w:val="auto"/>
              </w:rPr>
              <w:t>Earnings</w:t>
            </w:r>
          </w:p>
        </w:tc>
        <w:tc>
          <w:tcPr>
            <w:tcW w:w="20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720" w:type="dxa"/>
            <w:vAlign w:val="bottom"/>
          </w:tcPr>
          <w:p>
            <w:pPr>
              <w:spacing w:after="0"/>
              <w:rPr>
                <w:sz w:val="15"/>
                <w:szCs w:val="15"/>
                <w:color w:val="auto"/>
              </w:rPr>
            </w:pPr>
          </w:p>
        </w:tc>
        <w:tc>
          <w:tcPr>
            <w:tcW w:w="4820" w:type="dxa"/>
            <w:vAlign w:val="bottom"/>
          </w:tcPr>
          <w:p>
            <w:pPr>
              <w:jc w:val="right"/>
              <w:ind w:right="67"/>
              <w:spacing w:after="0"/>
              <w:rPr>
                <w:sz w:val="20"/>
                <w:szCs w:val="20"/>
                <w:color w:val="auto"/>
              </w:rPr>
            </w:pPr>
            <w:r>
              <w:rPr>
                <w:rFonts w:ascii="Arial" w:cs="Arial" w:eastAsia="Arial" w:hAnsi="Arial"/>
                <w:sz w:val="14"/>
                <w:szCs w:val="14"/>
                <w:color w:val="auto"/>
              </w:rPr>
              <w:t>110</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67"/>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6"/>
        </w:trPr>
        <w:tc>
          <w:tcPr>
            <w:tcW w:w="2900" w:type="dxa"/>
            <w:vAlign w:val="bottom"/>
          </w:tcPr>
          <w:p>
            <w:pPr>
              <w:ind w:left="80"/>
              <w:spacing w:after="0"/>
              <w:rPr>
                <w:sz w:val="20"/>
                <w:szCs w:val="20"/>
                <w:color w:val="auto"/>
              </w:rPr>
            </w:pPr>
            <w:r>
              <w:rPr>
                <w:rFonts w:ascii="Arial" w:cs="Arial" w:eastAsia="Arial" w:hAnsi="Arial"/>
                <w:sz w:val="14"/>
                <w:szCs w:val="14"/>
                <w:color w:val="auto"/>
              </w:rPr>
              <w:t>Preferred dividend requirements</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72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Earnings attributable to common shares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w:t>
            </w:r>
          </w:p>
        </w:tc>
        <w:tc>
          <w:tcPr>
            <w:tcW w:w="7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48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108</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264</w:t>
            </w:r>
          </w:p>
        </w:tc>
        <w:tc>
          <w:tcPr>
            <w:tcW w:w="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84"/>
        <w:spacing w:after="0"/>
        <w:rPr>
          <w:sz w:val="20"/>
          <w:szCs w:val="20"/>
          <w:color w:val="auto"/>
        </w:rPr>
      </w:pPr>
      <w:r>
        <w:rPr>
          <w:rFonts w:ascii="Arial" w:cs="Arial" w:eastAsia="Arial" w:hAnsi="Arial"/>
          <w:sz w:val="13"/>
          <w:szCs w:val="13"/>
          <w:i w:val="1"/>
          <w:iCs w:val="1"/>
          <w:color w:val="auto"/>
        </w:rPr>
        <w:t>See Notes to Condensed Consolidated Financial Statements.</w:t>
      </w:r>
    </w:p>
    <w:p>
      <w:pPr>
        <w:sectPr>
          <w:pgSz w:w="11900" w:h="16838" w:orient="portrait"/>
          <w:cols w:equalWidth="0" w:num="1">
            <w:col w:w="11444"/>
          </w:cols>
          <w:pgMar w:left="236" w:top="141" w:right="219" w:bottom="40" w:gutter="0" w:footer="0" w:header="0"/>
        </w:sectPr>
      </w:pPr>
    </w:p>
    <w:bookmarkStart w:id="7" w:name="page8"/>
    <w:bookmarkEnd w:id="7"/>
    <w:p>
      <w:pPr>
        <w:ind w:left="160"/>
        <w:spacing w:after="0"/>
        <w:rPr>
          <w:sz w:val="20"/>
          <w:szCs w:val="20"/>
          <w:color w:val="auto"/>
        </w:rPr>
      </w:pPr>
      <w:r>
        <w:rPr>
          <w:rFonts w:ascii="Arial" w:cs="Arial" w:eastAsia="Arial" w:hAnsi="Arial"/>
          <w:sz w:val="14"/>
          <w:szCs w:val="14"/>
          <w:color w:val="auto"/>
        </w:rPr>
        <w:t>Insurance receivable related to wildfire litigation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4914900" cy="701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14900" cy="701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SAN DIEGO GAS &amp; ELECTRIC COMPANY</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4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ind w:left="60"/>
              <w:spacing w:after="0"/>
              <w:rPr>
                <w:sz w:val="20"/>
                <w:szCs w:val="20"/>
                <w:color w:val="auto"/>
              </w:rPr>
            </w:pPr>
            <w:r>
              <w:rPr>
                <w:rFonts w:ascii="Arial" w:cs="Arial" w:eastAsia="Arial" w:hAnsi="Arial"/>
                <w:sz w:val="13"/>
                <w:szCs w:val="13"/>
                <w:color w:val="auto"/>
              </w:rPr>
              <w:t>September 30,</w:t>
            </w:r>
          </w:p>
        </w:tc>
        <w:tc>
          <w:tcPr>
            <w:tcW w:w="120" w:type="dxa"/>
            <w:vAlign w:val="bottom"/>
          </w:tcPr>
          <w:p>
            <w:pPr>
              <w:spacing w:after="0"/>
              <w:rPr>
                <w:sz w:val="14"/>
                <w:szCs w:val="14"/>
                <w:color w:val="auto"/>
              </w:rPr>
            </w:pPr>
          </w:p>
        </w:tc>
        <w:tc>
          <w:tcPr>
            <w:tcW w:w="1020" w:type="dxa"/>
            <w:vAlign w:val="bottom"/>
            <w:gridSpan w:val="4"/>
          </w:tcPr>
          <w:p>
            <w:pPr>
              <w:ind w:left="40"/>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54"/>
        </w:trPr>
        <w:tc>
          <w:tcPr>
            <w:tcW w:w="29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2010</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3"/>
                <w:szCs w:val="13"/>
                <w:color w:val="auto"/>
                <w:w w:val="96"/>
              </w:rPr>
              <w:t>2009</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3"/>
                <w:szCs w:val="13"/>
                <w:color w:val="auto"/>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40" w:type="dxa"/>
            <w:vAlign w:val="bottom"/>
          </w:tcPr>
          <w:p>
            <w:pPr>
              <w:ind w:left="80"/>
              <w:spacing w:after="0"/>
              <w:rPr>
                <w:sz w:val="20"/>
                <w:szCs w:val="20"/>
                <w:color w:val="auto"/>
              </w:rPr>
            </w:pPr>
            <w:r>
              <w:rPr>
                <w:rFonts w:ascii="Arial" w:cs="Arial" w:eastAsia="Arial" w:hAnsi="Arial"/>
                <w:sz w:val="14"/>
                <w:szCs w:val="14"/>
                <w:color w:val="auto"/>
              </w:rPr>
              <w:t>ASSETS</w:t>
            </w: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80"/>
              <w:spacing w:after="0"/>
              <w:rPr>
                <w:sz w:val="20"/>
                <w:szCs w:val="20"/>
                <w:color w:val="auto"/>
              </w:rPr>
            </w:pPr>
            <w:r>
              <w:rPr>
                <w:rFonts w:ascii="Arial" w:cs="Arial" w:eastAsia="Arial" w:hAnsi="Arial"/>
                <w:sz w:val="19"/>
                <w:szCs w:val="19"/>
                <w:color w:val="auto"/>
              </w:rPr>
              <w:t>Current assets:</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2400" w:type="dxa"/>
            <w:vAlign w:val="bottom"/>
            <w:gridSpan w:val="2"/>
          </w:tcPr>
          <w:p>
            <w:pPr>
              <w:ind w:left="23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332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Restricted cash</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Accounts receivable - trade</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Accounts receivable - other</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40"/>
              <w:spacing w:after="0"/>
              <w:rPr>
                <w:sz w:val="20"/>
                <w:szCs w:val="20"/>
                <w:color w:val="auto"/>
              </w:rPr>
            </w:pPr>
            <w:r>
              <w:rPr>
                <w:rFonts w:ascii="Arial" w:cs="Arial" w:eastAsia="Arial" w:hAnsi="Arial"/>
                <w:sz w:val="14"/>
                <w:szCs w:val="14"/>
                <w:color w:val="auto"/>
              </w:rPr>
              <w:t>Due from unconsolidated affiliates</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40" w:type="dxa"/>
            <w:vAlign w:val="bottom"/>
          </w:tcPr>
          <w:p>
            <w:pPr>
              <w:ind w:left="240"/>
              <w:spacing w:after="0"/>
              <w:rPr>
                <w:sz w:val="20"/>
                <w:szCs w:val="20"/>
                <w:color w:val="auto"/>
              </w:rPr>
            </w:pPr>
            <w:r>
              <w:rPr>
                <w:rFonts w:ascii="Arial" w:cs="Arial" w:eastAsia="Arial" w:hAnsi="Arial"/>
                <w:sz w:val="14"/>
                <w:szCs w:val="14"/>
                <w:color w:val="auto"/>
              </w:rPr>
              <w:t>Income taxes receivable</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4"/>
          </w:tcPr>
          <w:p>
            <w:pPr>
              <w:ind w:left="240"/>
              <w:spacing w:after="0"/>
              <w:rPr>
                <w:sz w:val="20"/>
                <w:szCs w:val="20"/>
                <w:color w:val="auto"/>
              </w:rPr>
            </w:pPr>
            <w:r>
              <w:rPr>
                <w:rFonts w:ascii="Arial" w:cs="Arial" w:eastAsia="Arial" w:hAnsi="Arial"/>
                <w:sz w:val="14"/>
                <w:szCs w:val="14"/>
                <w:color w:val="auto"/>
              </w:rPr>
              <w:t>Regulatory assets arising from fixed-price contracts and other derivat ives</w:t>
            </w: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Other regulatory assets</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20" w:type="dxa"/>
            <w:vAlign w:val="bottom"/>
            <w:gridSpan w:val="4"/>
          </w:tcPr>
          <w:p>
            <w:pPr>
              <w:ind w:left="240"/>
              <w:spacing w:after="0"/>
              <w:rPr>
                <w:sz w:val="20"/>
                <w:szCs w:val="20"/>
                <w:color w:val="auto"/>
              </w:rPr>
            </w:pPr>
            <w:r>
              <w:rPr>
                <w:rFonts w:ascii="Arial" w:cs="Arial" w:eastAsia="Arial" w:hAnsi="Arial"/>
                <w:sz w:val="14"/>
                <w:szCs w:val="14"/>
                <w:color w:val="auto"/>
              </w:rPr>
              <w:t>Fixed-price contracts and other derivatives</w:t>
            </w: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19"/>
                <w:szCs w:val="19"/>
                <w:color w:val="auto"/>
              </w:rPr>
            </w:pPr>
          </w:p>
        </w:tc>
        <w:tc>
          <w:tcPr>
            <w:tcW w:w="2980" w:type="dxa"/>
            <w:vAlign w:val="bottom"/>
            <w:gridSpan w:val="3"/>
          </w:tcPr>
          <w:p>
            <w:pPr>
              <w:jc w:val="right"/>
              <w:ind w:right="194"/>
              <w:spacing w:after="0"/>
              <w:rPr>
                <w:sz w:val="20"/>
                <w:szCs w:val="20"/>
                <w:color w:val="auto"/>
              </w:rPr>
            </w:pPr>
            <w:r>
              <w:rPr>
                <w:rFonts w:ascii="Arial" w:cs="Arial" w:eastAsia="Arial" w:hAnsi="Arial"/>
                <w:sz w:val="19"/>
                <w:szCs w:val="19"/>
                <w:color w:val="auto"/>
              </w:rPr>
              <w:t>150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40" w:type="dxa"/>
            <w:vAlign w:val="bottom"/>
          </w:tcPr>
          <w:p>
            <w:pPr>
              <w:ind w:left="240"/>
              <w:spacing w:after="0"/>
              <w:rPr>
                <w:sz w:val="20"/>
                <w:szCs w:val="20"/>
                <w:color w:val="auto"/>
              </w:rPr>
            </w:pPr>
            <w:r>
              <w:rPr>
                <w:rFonts w:ascii="Arial" w:cs="Arial" w:eastAsia="Arial" w:hAnsi="Arial"/>
                <w:sz w:val="14"/>
                <w:szCs w:val="14"/>
                <w:color w:val="auto"/>
              </w:rPr>
              <w:t>Other</w:t>
            </w:r>
          </w:p>
        </w:tc>
        <w:tc>
          <w:tcPr>
            <w:tcW w:w="2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61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940" w:type="dxa"/>
            <w:vAlign w:val="bottom"/>
          </w:tcPr>
          <w:p>
            <w:pPr>
              <w:ind w:left="400"/>
              <w:spacing w:after="0"/>
              <w:rPr>
                <w:sz w:val="20"/>
                <w:szCs w:val="20"/>
                <w:color w:val="auto"/>
              </w:rPr>
            </w:pPr>
            <w:r>
              <w:rPr>
                <w:rFonts w:ascii="Arial" w:cs="Arial" w:eastAsia="Arial" w:hAnsi="Arial"/>
                <w:sz w:val="14"/>
                <w:szCs w:val="14"/>
                <w:color w:val="auto"/>
              </w:rPr>
              <w:t>Total current assets</w:t>
            </w:r>
          </w:p>
        </w:tc>
        <w:tc>
          <w:tcPr>
            <w:tcW w:w="2980" w:type="dxa"/>
            <w:vAlign w:val="bottom"/>
            <w:gridSpan w:val="3"/>
          </w:tcPr>
          <w:p>
            <w:pPr>
              <w:jc w:val="right"/>
              <w:ind w:right="174"/>
              <w:spacing w:after="0"/>
              <w:rPr>
                <w:sz w:val="20"/>
                <w:szCs w:val="20"/>
                <w:color w:val="auto"/>
              </w:rPr>
            </w:pPr>
            <w:r>
              <w:rPr>
                <w:rFonts w:ascii="Arial" w:cs="Arial" w:eastAsia="Arial" w:hAnsi="Arial"/>
                <w:sz w:val="14"/>
                <w:szCs w:val="14"/>
                <w:color w:val="auto"/>
              </w:rPr>
              <w:t>1,123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886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2940" w:type="dxa"/>
            <w:vAlign w:val="bottom"/>
          </w:tcPr>
          <w:p>
            <w:pPr>
              <w:ind w:left="80"/>
              <w:spacing w:after="0"/>
              <w:rPr>
                <w:sz w:val="20"/>
                <w:szCs w:val="20"/>
                <w:color w:val="auto"/>
              </w:rPr>
            </w:pPr>
            <w:r>
              <w:rPr>
                <w:rFonts w:ascii="Arial" w:cs="Arial" w:eastAsia="Arial" w:hAnsi="Arial"/>
                <w:sz w:val="14"/>
                <w:szCs w:val="14"/>
                <w:color w:val="auto"/>
              </w:rPr>
              <w:t>Other assets:</w:t>
            </w:r>
          </w:p>
        </w:tc>
        <w:tc>
          <w:tcPr>
            <w:tcW w:w="2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80"/>
              <w:spacing w:after="0"/>
              <w:rPr>
                <w:sz w:val="20"/>
                <w:szCs w:val="20"/>
                <w:color w:val="auto"/>
              </w:rPr>
            </w:pPr>
            <w:r>
              <w:rPr>
                <w:rFonts w:ascii="Arial" w:cs="Arial" w:eastAsia="Arial" w:hAnsi="Arial"/>
                <w:sz w:val="19"/>
                <w:szCs w:val="19"/>
                <w:color w:val="auto"/>
              </w:rPr>
              <w:t>&lt; p style="MARGIN:0in 0in 0pt"&gt;</w:t>
            </w:r>
          </w:p>
        </w:tc>
        <w:tc>
          <w:tcPr>
            <w:tcW w:w="2980" w:type="dxa"/>
            <w:vAlign w:val="bottom"/>
            <w:gridSpan w:val="3"/>
          </w:tcPr>
          <w:p>
            <w:pPr>
              <w:jc w:val="right"/>
              <w:ind w:right="814"/>
              <w:spacing w:after="0"/>
              <w:rPr>
                <w:sz w:val="20"/>
                <w:szCs w:val="20"/>
                <w:color w:val="auto"/>
              </w:rPr>
            </w:pPr>
            <w:r>
              <w:rPr>
                <w:rFonts w:ascii="Arial" w:cs="Arial" w:eastAsia="Arial" w:hAnsi="Arial"/>
                <w:sz w:val="14"/>
                <w:szCs w:val="14"/>
                <w:color w:val="auto"/>
              </w:rPr>
              <w:t>Due from unconsolidated affiliate</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Deferred taxes recoverable in rates</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474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4"/>
          </w:tcPr>
          <w:p>
            <w:pPr>
              <w:ind w:left="240"/>
              <w:spacing w:after="0"/>
              <w:rPr>
                <w:sz w:val="20"/>
                <w:szCs w:val="20"/>
                <w:color w:val="auto"/>
              </w:rPr>
            </w:pPr>
            <w:r>
              <w:rPr>
                <w:rFonts w:ascii="Arial" w:cs="Arial" w:eastAsia="Arial" w:hAnsi="Arial"/>
                <w:sz w:val="14"/>
                <w:szCs w:val="14"/>
                <w:color w:val="auto"/>
              </w:rPr>
              <w:t>Regulatory assets arising from fixed-price contracts and other derivatives</w:t>
            </w: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241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4"/>
          </w:tcPr>
          <w:p>
            <w:pPr>
              <w:ind w:left="240"/>
              <w:spacing w:after="0"/>
              <w:rPr>
                <w:sz w:val="20"/>
                <w:szCs w:val="20"/>
                <w:color w:val="auto"/>
              </w:rPr>
            </w:pPr>
            <w:r>
              <w:rPr>
                <w:rFonts w:ascii="Arial" w:cs="Arial" w:eastAsia="Arial" w:hAnsi="Arial"/>
                <w:sz w:val="14"/>
                <w:szCs w:val="14"/>
                <w:color w:val="auto"/>
              </w:rPr>
              <w:t>Regulatory assets arising from pension and other postretirement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320"/>
              <w:spacing w:after="0"/>
              <w:rPr>
                <w:sz w:val="20"/>
                <w:szCs w:val="20"/>
                <w:color w:val="auto"/>
              </w:rPr>
            </w:pPr>
            <w:r>
              <w:rPr>
                <w:rFonts w:ascii="Arial" w:cs="Arial" w:eastAsia="Arial" w:hAnsi="Arial"/>
                <w:sz w:val="14"/>
                <w:szCs w:val="14"/>
                <w:color w:val="auto"/>
              </w:rPr>
              <w:t>benefit obligations</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20" w:type="dxa"/>
            <w:vAlign w:val="bottom"/>
            <w:gridSpan w:val="4"/>
          </w:tcPr>
          <w:p>
            <w:pPr>
              <w:ind w:left="240"/>
              <w:spacing w:after="0"/>
              <w:rPr>
                <w:sz w:val="20"/>
                <w:szCs w:val="20"/>
                <w:color w:val="auto"/>
              </w:rPr>
            </w:pPr>
            <w:r>
              <w:rPr>
                <w:rFonts w:ascii="Arial" w:cs="Arial" w:eastAsia="Arial" w:hAnsi="Arial"/>
                <w:sz w:val="14"/>
                <w:szCs w:val="14"/>
                <w:color w:val="auto"/>
              </w:rPr>
              <w:t>Regulatory assets arising from wildfire litigation costs</w:t>
            </w: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Other regulatory assets</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2940" w:type="dxa"/>
            <w:vAlign w:val="bottom"/>
          </w:tcPr>
          <w:p>
            <w:pPr>
              <w:ind w:left="240"/>
              <w:spacing w:after="0"/>
              <w:rPr>
                <w:sz w:val="20"/>
                <w:szCs w:val="20"/>
                <w:color w:val="auto"/>
              </w:rPr>
            </w:pPr>
            <w:r>
              <w:rPr>
                <w:rFonts w:ascii="Arial" w:cs="Arial" w:eastAsia="Arial" w:hAnsi="Arial"/>
                <w:sz w:val="14"/>
                <w:szCs w:val="14"/>
                <w:color w:val="auto"/>
              </w:rPr>
              <w:t>Nuclear decommissioning trusts</w:t>
            </w:r>
          </w:p>
        </w:tc>
        <w:tc>
          <w:tcPr>
            <w:tcW w:w="2200" w:type="dxa"/>
            <w:vAlign w:val="bottom"/>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Arial" w:cs="Arial" w:eastAsia="Arial" w:hAnsi="Arial"/>
                <w:sz w:val="19"/>
                <w:szCs w:val="19"/>
                <w:color w:val="auto"/>
              </w:rPr>
              <w:t>&lt; /td&gt;</w:t>
            </w: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737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940" w:type="dxa"/>
            <w:vAlign w:val="bottom"/>
          </w:tcPr>
          <w:p>
            <w:pPr>
              <w:ind w:left="240"/>
              <w:spacing w:after="0"/>
              <w:rPr>
                <w:sz w:val="20"/>
                <w:szCs w:val="20"/>
                <w:color w:val="auto"/>
              </w:rPr>
            </w:pPr>
            <w:r>
              <w:rPr>
                <w:rFonts w:ascii="Arial" w:cs="Arial" w:eastAsia="Arial" w:hAnsi="Arial"/>
                <w:sz w:val="14"/>
                <w:szCs w:val="14"/>
                <w:color w:val="auto"/>
              </w:rPr>
              <w:t>Sundry</w:t>
            </w:r>
          </w:p>
        </w:tc>
        <w:tc>
          <w:tcPr>
            <w:tcW w:w="2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940" w:type="dxa"/>
            <w:vAlign w:val="bottom"/>
          </w:tcPr>
          <w:p>
            <w:pPr>
              <w:ind w:left="400"/>
              <w:spacing w:after="0"/>
              <w:rPr>
                <w:sz w:val="20"/>
                <w:szCs w:val="20"/>
                <w:color w:val="auto"/>
              </w:rPr>
            </w:pPr>
            <w:r>
              <w:rPr>
                <w:rFonts w:ascii="Arial" w:cs="Arial" w:eastAsia="Arial" w:hAnsi="Arial"/>
                <w:sz w:val="14"/>
                <w:szCs w:val="14"/>
                <w:color w:val="auto"/>
              </w:rPr>
              <w:t>Total other assets</w:t>
            </w: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2,216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1,774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2940" w:type="dxa"/>
            <w:vAlign w:val="bottom"/>
          </w:tcPr>
          <w:p>
            <w:pPr>
              <w:ind w:left="80"/>
              <w:spacing w:after="0"/>
              <w:rPr>
                <w:sz w:val="20"/>
                <w:szCs w:val="20"/>
                <w:color w:val="auto"/>
              </w:rPr>
            </w:pPr>
            <w:r>
              <w:rPr>
                <w:rFonts w:ascii="Arial" w:cs="Arial" w:eastAsia="Arial" w:hAnsi="Arial"/>
                <w:sz w:val="14"/>
                <w:szCs w:val="14"/>
                <w:color w:val="auto"/>
              </w:rPr>
              <w:t>Property, plant and equipment:</w:t>
            </w:r>
          </w:p>
        </w:tc>
        <w:tc>
          <w:tcPr>
            <w:tcW w:w="2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Property, plant and equipment</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10,816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10,156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gridSpan w:val="4"/>
          </w:tcPr>
          <w:p>
            <w:pPr>
              <w:ind w:left="240"/>
              <w:spacing w:after="0"/>
              <w:rPr>
                <w:sz w:val="20"/>
                <w:szCs w:val="20"/>
                <w:color w:val="auto"/>
              </w:rPr>
            </w:pPr>
            <w:r>
              <w:rPr>
                <w:rFonts w:ascii="Arial" w:cs="Arial" w:eastAsia="Arial" w:hAnsi="Arial"/>
                <w:sz w:val="14"/>
                <w:szCs w:val="14"/>
                <w:color w:val="auto"/>
              </w:rPr>
              <w:t>Less accumulated depreciation and amortization</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(2,659)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(2,587)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140" w:type="dxa"/>
            <w:vAlign w:val="bottom"/>
            <w:gridSpan w:val="2"/>
          </w:tcPr>
          <w:p>
            <w:pPr>
              <w:ind w:left="380"/>
              <w:spacing w:after="0"/>
              <w:rPr>
                <w:sz w:val="20"/>
                <w:szCs w:val="20"/>
                <w:color w:val="auto"/>
              </w:rPr>
            </w:pPr>
            <w:r>
              <w:rPr>
                <w:rFonts w:ascii="Arial" w:cs="Arial" w:eastAsia="Arial" w:hAnsi="Arial"/>
                <w:sz w:val="14"/>
                <w:szCs w:val="14"/>
                <w:color w:val="auto"/>
                <w:w w:val="95"/>
              </w:rPr>
              <w:t>Property, plant and equipment, net ($523 at September 30, 2010 related to VIE)</w:t>
            </w:r>
          </w:p>
        </w:tc>
        <w:tc>
          <w:tcPr>
            <w:tcW w:w="2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8,157</w:t>
            </w: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7,569</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 assets</w:t>
            </w:r>
          </w:p>
        </w:tc>
        <w:tc>
          <w:tcPr>
            <w:tcW w:w="2400" w:type="dxa"/>
            <w:vAlign w:val="bottom"/>
            <w:tcBorders>
              <w:bottom w:val="single" w:sz="8" w:color="auto"/>
            </w:tcBorders>
            <w:gridSpan w:val="2"/>
          </w:tcPr>
          <w:p>
            <w:pPr>
              <w:ind w:left="230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11,496</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10,229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20" w:type="dxa"/>
            <w:vAlign w:val="bottom"/>
            <w:gridSpan w:val="4"/>
          </w:tcPr>
          <w:p>
            <w:pPr>
              <w:ind w:left="80"/>
              <w:spacing w:after="0"/>
              <w:rPr>
                <w:sz w:val="20"/>
                <w:szCs w:val="20"/>
                <w:color w:val="auto"/>
              </w:rPr>
            </w:pPr>
            <w:r>
              <w:rPr>
                <w:rFonts w:ascii="Arial" w:cs="Arial" w:eastAsia="Arial" w:hAnsi="Arial"/>
                <w:sz w:val="13"/>
                <w:szCs w:val="13"/>
                <w:i w:val="1"/>
                <w:iCs w:val="1"/>
                <w:color w:val="auto"/>
              </w:rPr>
              <w:t>See Notes to Condensed Consolidated Financial Statements.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9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940" w:type="dxa"/>
            <w:vAlign w:val="bottom"/>
            <w:shd w:val="clear" w:color="auto" w:fill="C0C0C0"/>
          </w:tcPr>
          <w:p>
            <w:pPr>
              <w:ind w:left="80"/>
              <w:spacing w:after="0"/>
              <w:rPr>
                <w:sz w:val="20"/>
                <w:szCs w:val="20"/>
                <w:color w:val="auto"/>
              </w:rPr>
            </w:pPr>
            <w:r>
              <w:rPr>
                <w:rFonts w:ascii="Arial" w:cs="Arial" w:eastAsia="Arial" w:hAnsi="Arial"/>
                <w:sz w:val="14"/>
                <w:szCs w:val="14"/>
                <w:b w:val="1"/>
                <w:bCs w:val="1"/>
                <w:color w:val="auto"/>
              </w:rPr>
              <w:t>SAN DIEGO GAS &amp; ELECTRIC COMPANY</w:t>
            </w:r>
          </w:p>
        </w:tc>
        <w:tc>
          <w:tcPr>
            <w:tcW w:w="22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4"/>
            <w:shd w:val="clear" w:color="auto" w:fill="C0C0C0"/>
          </w:tcPr>
          <w:p>
            <w:pPr>
              <w:ind w:left="80"/>
              <w:spacing w:after="0"/>
              <w:rPr>
                <w:sz w:val="20"/>
                <w:szCs w:val="20"/>
                <w:color w:val="auto"/>
              </w:rPr>
            </w:pPr>
            <w:r>
              <w:rPr>
                <w:rFonts w:ascii="Arial" w:cs="Arial" w:eastAsia="Arial" w:hAnsi="Arial"/>
                <w:sz w:val="14"/>
                <w:szCs w:val="14"/>
                <w:b w:val="1"/>
                <w:bCs w:val="1"/>
                <w:color w:val="auto"/>
              </w:rPr>
              <w:t>CONDENSED CONSOLIDATED BALANCE SHEETS</w:t>
            </w:r>
          </w:p>
        </w:tc>
        <w:tc>
          <w:tcPr>
            <w:tcW w:w="10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0C0C0"/>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22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4"/>
          </w:tcPr>
          <w:p>
            <w:pPr>
              <w:jc w:val="center"/>
              <w:ind w:left="74"/>
              <w:spacing w:after="0"/>
              <w:rPr>
                <w:sz w:val="20"/>
                <w:szCs w:val="20"/>
                <w:color w:val="auto"/>
              </w:rPr>
            </w:pPr>
            <w:r>
              <w:rPr>
                <w:rFonts w:ascii="Arial" w:cs="Arial" w:eastAsia="Arial" w:hAnsi="Arial"/>
                <w:sz w:val="13"/>
                <w:szCs w:val="13"/>
                <w:color w:val="auto"/>
                <w:w w:val="98"/>
              </w:rPr>
              <w:t>September 30,</w:t>
            </w:r>
          </w:p>
        </w:tc>
        <w:tc>
          <w:tcPr>
            <w:tcW w:w="120" w:type="dxa"/>
            <w:vAlign w:val="bottom"/>
          </w:tcPr>
          <w:p>
            <w:pPr>
              <w:spacing w:after="0"/>
              <w:rPr>
                <w:sz w:val="15"/>
                <w:szCs w:val="15"/>
                <w:color w:val="auto"/>
              </w:rPr>
            </w:pPr>
          </w:p>
        </w:tc>
        <w:tc>
          <w:tcPr>
            <w:tcW w:w="1020" w:type="dxa"/>
            <w:vAlign w:val="bottom"/>
            <w:gridSpan w:val="4"/>
          </w:tcPr>
          <w:p>
            <w:pPr>
              <w:ind w:left="100"/>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54"/>
        </w:trPr>
        <w:tc>
          <w:tcPr>
            <w:tcW w:w="294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5"/>
          </w:tcPr>
          <w:p>
            <w:pPr>
              <w:jc w:val="center"/>
              <w:ind w:left="2506"/>
              <w:spacing w:after="0"/>
              <w:rPr>
                <w:sz w:val="20"/>
                <w:szCs w:val="20"/>
                <w:color w:val="auto"/>
              </w:rPr>
            </w:pPr>
            <w:r>
              <w:rPr>
                <w:rFonts w:ascii="Arial" w:cs="Arial" w:eastAsia="Arial" w:hAnsi="Arial"/>
                <w:sz w:val="13"/>
                <w:szCs w:val="13"/>
                <w:color w:val="auto"/>
                <w:w w:val="96"/>
              </w:rPr>
              <w:t>2010</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2009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vMerge w:val="restart"/>
          </w:tcPr>
          <w:p>
            <w:pPr>
              <w:ind w:left="80"/>
              <w:spacing w:after="0"/>
              <w:rPr>
                <w:sz w:val="20"/>
                <w:szCs w:val="20"/>
                <w:color w:val="auto"/>
              </w:rPr>
            </w:pPr>
            <w:r>
              <w:rPr>
                <w:rFonts w:ascii="Arial" w:cs="Arial" w:eastAsia="Arial" w:hAnsi="Arial"/>
                <w:sz w:val="14"/>
                <w:szCs w:val="14"/>
                <w:color w:val="auto"/>
              </w:rPr>
              <w:t>LIABILITIES AND EQUITY</w:t>
            </w: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4"/>
          </w:tcPr>
          <w:p>
            <w:pPr>
              <w:jc w:val="center"/>
              <w:ind w:left="54"/>
              <w:spacing w:after="0"/>
              <w:rPr>
                <w:sz w:val="20"/>
                <w:szCs w:val="20"/>
                <w:color w:val="auto"/>
              </w:rPr>
            </w:pPr>
            <w:r>
              <w:rPr>
                <w:rFonts w:ascii="Arial" w:cs="Arial" w:eastAsia="Arial" w:hAnsi="Arial"/>
                <w:sz w:val="13"/>
                <w:szCs w:val="13"/>
                <w:color w:val="auto"/>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4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940" w:type="dxa"/>
            <w:vAlign w:val="bottom"/>
          </w:tcPr>
          <w:p>
            <w:pPr>
              <w:ind w:left="80"/>
              <w:spacing w:after="0"/>
              <w:rPr>
                <w:sz w:val="20"/>
                <w:szCs w:val="20"/>
                <w:color w:val="auto"/>
              </w:rPr>
            </w:pPr>
            <w:r>
              <w:rPr>
                <w:rFonts w:ascii="Arial" w:cs="Arial" w:eastAsia="Arial" w:hAnsi="Arial"/>
                <w:sz w:val="14"/>
                <w:szCs w:val="14"/>
                <w:color w:val="auto"/>
              </w:rPr>
              <w:t>Current liabilities:</w:t>
            </w:r>
          </w:p>
        </w:tc>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40" w:type="dxa"/>
            <w:vAlign w:val="bottom"/>
          </w:tcPr>
          <w:p>
            <w:pPr>
              <w:ind w:left="240"/>
              <w:spacing w:after="0"/>
              <w:rPr>
                <w:sz w:val="20"/>
                <w:szCs w:val="20"/>
                <w:color w:val="auto"/>
              </w:rPr>
            </w:pPr>
            <w:r>
              <w:rPr>
                <w:rFonts w:ascii="Arial" w:cs="Arial" w:eastAsia="Arial" w:hAnsi="Arial"/>
                <w:sz w:val="14"/>
                <w:szCs w:val="14"/>
                <w:color w:val="auto"/>
              </w:rPr>
              <w:t>Short-term debt</w:t>
            </w:r>
          </w:p>
        </w:tc>
        <w:tc>
          <w:tcPr>
            <w:tcW w:w="2980" w:type="dxa"/>
            <w:vAlign w:val="bottom"/>
            <w:gridSpan w:val="3"/>
          </w:tcPr>
          <w:p>
            <w:pPr>
              <w:ind w:left="2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94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Due to unconsolidated affiliate</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Accrued compensation and benefits</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auto"/>
              </w:rPr>
              <w:t>&amp;nbs p;</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Regulatory balancing accounts, net</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Current portion of long-term debt</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gridSpan w:val="4"/>
          </w:tcPr>
          <w:p>
            <w:pPr>
              <w:ind w:left="240"/>
              <w:spacing w:after="0"/>
              <w:rPr>
                <w:sz w:val="20"/>
                <w:szCs w:val="20"/>
                <w:color w:val="auto"/>
              </w:rPr>
            </w:pPr>
            <w:r>
              <w:rPr>
                <w:rFonts w:ascii="Arial" w:cs="Arial" w:eastAsia="Arial" w:hAnsi="Arial"/>
                <w:sz w:val="14"/>
                <w:szCs w:val="14"/>
                <w:color w:val="auto"/>
              </w:rPr>
              <w:t>Fix ed-price contracts and other derivatives</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Customer deposits</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40" w:type="dxa"/>
            <w:vAlign w:val="bottom"/>
          </w:tcPr>
          <w:p>
            <w:pPr>
              <w:ind w:left="240"/>
              <w:spacing w:after="0"/>
              <w:rPr>
                <w:sz w:val="20"/>
                <w:szCs w:val="20"/>
                <w:color w:val="auto"/>
              </w:rPr>
            </w:pPr>
            <w:r>
              <w:rPr>
                <w:rFonts w:ascii="Arial" w:cs="Arial" w:eastAsia="Arial" w:hAnsi="Arial"/>
                <w:sz w:val="14"/>
                <w:szCs w:val="14"/>
                <w:color w:val="auto"/>
              </w:rPr>
              <w:t>Reserve for wildfire litigation (Note 10)</w:t>
            </w: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240"/>
              <w:spacing w:after="0"/>
              <w:rPr>
                <w:sz w:val="20"/>
                <w:szCs w:val="20"/>
                <w:color w:val="auto"/>
              </w:rPr>
            </w:pPr>
            <w:r>
              <w:rPr>
                <w:rFonts w:ascii="Arial" w:cs="Arial" w:eastAsia="Arial" w:hAnsi="Arial"/>
                <w:sz w:val="14"/>
                <w:szCs w:val="14"/>
                <w:color w:val="auto"/>
              </w:rPr>
              <w:t>Other</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9"/>
                <w:szCs w:val="19"/>
                <w:color w:val="auto"/>
              </w:rPr>
              <w:t>172</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940" w:type="dxa"/>
            <w:vAlign w:val="bottom"/>
          </w:tcPr>
          <w:p>
            <w:pPr>
              <w:ind w:left="400"/>
              <w:spacing w:after="0"/>
              <w:rPr>
                <w:sz w:val="20"/>
                <w:szCs w:val="20"/>
                <w:color w:val="auto"/>
              </w:rPr>
            </w:pPr>
            <w:r>
              <w:rPr>
                <w:rFonts w:ascii="Arial" w:cs="Arial" w:eastAsia="Arial" w:hAnsi="Arial"/>
                <w:sz w:val="14"/>
                <w:szCs w:val="14"/>
                <w:color w:val="auto"/>
              </w:rPr>
              <w:t>Total current liabilities</w:t>
            </w: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1,063</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1,124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920" w:type="dxa"/>
            <w:vAlign w:val="bottom"/>
            <w:gridSpan w:val="4"/>
          </w:tcPr>
          <w:p>
            <w:pPr>
              <w:ind w:left="80"/>
              <w:spacing w:after="0"/>
              <w:rPr>
                <w:sz w:val="20"/>
                <w:szCs w:val="20"/>
                <w:color w:val="auto"/>
              </w:rPr>
            </w:pPr>
            <w:r>
              <w:rPr>
                <w:rFonts w:ascii="Arial" w:cs="Arial" w:eastAsia="Arial" w:hAnsi="Arial"/>
                <w:sz w:val="14"/>
                <w:szCs w:val="14"/>
                <w:color w:val="auto"/>
              </w:rPr>
              <w:t>Lo ng-term debt ($357 at September 30, 2010 related to VIE)</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3,473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2,623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2940" w:type="dxa"/>
            <w:vAlign w:val="bottom"/>
          </w:tcPr>
          <w:p>
            <w:pPr>
              <w:ind w:left="80"/>
              <w:spacing w:after="0"/>
              <w:rPr>
                <w:sz w:val="20"/>
                <w:szCs w:val="20"/>
                <w:color w:val="auto"/>
              </w:rPr>
            </w:pPr>
            <w:r>
              <w:rPr>
                <w:rFonts w:ascii="Arial" w:cs="Arial" w:eastAsia="Arial" w:hAnsi="Arial"/>
                <w:sz w:val="14"/>
                <w:szCs w:val="14"/>
                <w:color w:val="auto"/>
              </w:rPr>
              <w:t>Deferred credits and other liabilities:</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Customer advances for construction</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4"/>
          </w:tcPr>
          <w:p>
            <w:pPr>
              <w:ind w:left="240"/>
              <w:spacing w:after="0"/>
              <w:rPr>
                <w:sz w:val="20"/>
                <w:szCs w:val="20"/>
                <w:color w:val="auto"/>
              </w:rPr>
            </w:pPr>
            <w:r>
              <w:rPr>
                <w:rFonts w:ascii="Arial" w:cs="Arial" w:eastAsia="Arial" w:hAnsi="Arial"/>
                <w:sz w:val="14"/>
                <w:szCs w:val="14"/>
                <w:color w:val="auto"/>
              </w:rPr>
              <w:t>Pension and other postretirement benefit obligations, net of plan assets</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00"/>
              <w:spacing w:after="0"/>
              <w:rPr>
                <w:sz w:val="20"/>
                <w:szCs w:val="20"/>
                <w:color w:val="auto"/>
              </w:rPr>
            </w:pPr>
            <w:r>
              <w:rPr>
                <w:rFonts w:ascii="Arial" w:cs="Arial" w:eastAsia="Arial" w:hAnsi="Arial"/>
                <w:sz w:val="14"/>
                <w:szCs w:val="14"/>
                <w:color w:val="auto"/>
              </w:rPr>
              <w:t>; Deferred income taxes</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Deferred investment tax credits</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4"/>
          </w:tcPr>
          <w:p>
            <w:pPr>
              <w:ind w:left="240"/>
              <w:spacing w:after="0"/>
              <w:rPr>
                <w:sz w:val="20"/>
                <w:szCs w:val="20"/>
                <w:color w:val="auto"/>
              </w:rPr>
            </w:pPr>
            <w:r>
              <w:rPr>
                <w:rFonts w:ascii="Arial" w:cs="Arial" w:eastAsia="Arial" w:hAnsi="Arial"/>
                <w:sz w:val="14"/>
                <w:szCs w:val="14"/>
                <w:color w:val="auto"/>
              </w:rPr>
              <w:t>Regulatory liabilities arising from removal obligations</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1,376</w:t>
            </w: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1,3 30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Asset retirement obligations</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4"/>
          </w:tcPr>
          <w:p>
            <w:pPr>
              <w:ind w:left="240"/>
              <w:spacing w:after="0"/>
              <w:rPr>
                <w:sz w:val="20"/>
                <w:szCs w:val="20"/>
                <w:color w:val="auto"/>
              </w:rPr>
            </w:pPr>
            <w:r>
              <w:rPr>
                <w:rFonts w:ascii="Arial" w:cs="Arial" w:eastAsia="Arial" w:hAnsi="Arial"/>
                <w:sz w:val="14"/>
                <w:szCs w:val="14"/>
                <w:color w:val="auto"/>
              </w:rPr>
              <w:t>Fixed-price contracts and other derivatives</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40" w:type="dxa"/>
            <w:vAlign w:val="bottom"/>
          </w:tcPr>
          <w:p>
            <w:pPr>
              <w:ind w:left="240"/>
              <w:spacing w:after="0"/>
              <w:rPr>
                <w:sz w:val="20"/>
                <w:szCs w:val="20"/>
                <w:color w:val="auto"/>
              </w:rPr>
            </w:pPr>
            <w:r>
              <w:rPr>
                <w:rFonts w:ascii="Arial" w:cs="Arial" w:eastAsia="Arial" w:hAnsi="Arial"/>
                <w:sz w:val="14"/>
                <w:szCs w:val="14"/>
                <w:color w:val="auto"/>
              </w:rPr>
              <w:t>Deferred credits and other</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920" w:type="dxa"/>
            <w:vAlign w:val="bottom"/>
            <w:gridSpan w:val="4"/>
          </w:tcPr>
          <w:p>
            <w:pPr>
              <w:ind w:left="400"/>
              <w:spacing w:after="0"/>
              <w:rPr>
                <w:sz w:val="20"/>
                <w:szCs w:val="20"/>
                <w:color w:val="auto"/>
              </w:rPr>
            </w:pPr>
            <w:r>
              <w:rPr>
                <w:rFonts w:ascii="Arial" w:cs="Arial" w:eastAsia="Arial" w:hAnsi="Arial"/>
                <w:sz w:val="14"/>
                <w:szCs w:val="14"/>
                <w:color w:val="auto"/>
              </w:rPr>
              <w:t>Total deferred credits and other liabilities</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3,770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3,518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40" w:type="dxa"/>
            <w:vAlign w:val="bottom"/>
          </w:tcPr>
          <w:p>
            <w:pPr>
              <w:ind w:left="80"/>
              <w:spacing w:after="0"/>
              <w:rPr>
                <w:sz w:val="20"/>
                <w:szCs w:val="20"/>
                <w:color w:val="auto"/>
              </w:rPr>
            </w:pPr>
            <w:r>
              <w:rPr>
                <w:rFonts w:ascii="Arial" w:cs="Arial" w:eastAsia="Arial" w:hAnsi="Arial"/>
                <w:sz w:val="14"/>
                <w:szCs w:val="14"/>
                <w:color w:val="auto"/>
              </w:rPr>
              <w:t>Contingently redeemable preferred stock</w:t>
            </w: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Commitments and contingencies (Note 10)</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14"/>
          <w:szCs w:val="14"/>
          <w:color w:val="auto"/>
        </w:rPr>
        <w:t>Equity:</w:t>
      </w:r>
    </w:p>
    <w:p>
      <w:pPr>
        <w:sectPr>
          <w:pgSz w:w="11900" w:h="16838" w:orient="portrait"/>
          <w:cols w:equalWidth="0" w:num="1">
            <w:col w:w="10219"/>
          </w:cols>
          <w:pgMar w:left="240" w:top="141"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8"/>
        </w:trPr>
        <w:tc>
          <w:tcPr>
            <w:tcW w:w="5340" w:type="dxa"/>
            <w:vAlign w:val="bottom"/>
          </w:tcPr>
          <w:p>
            <w:pPr>
              <w:ind w:left="240"/>
              <w:spacing w:after="0"/>
              <w:rPr>
                <w:sz w:val="20"/>
                <w:szCs w:val="20"/>
                <w:color w:val="auto"/>
              </w:rPr>
            </w:pPr>
            <w:r>
              <w:rPr>
                <w:rFonts w:ascii="Arial" w:cs="Arial" w:eastAsia="Arial" w:hAnsi="Arial"/>
                <w:sz w:val="14"/>
                <w:szCs w:val="14"/>
                <w:color w:val="auto"/>
              </w:rPr>
              <w:t>Common stock (255 million shares authorized; 117 million shares outstanding;</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340" w:type="dxa"/>
            <w:vAlign w:val="bottom"/>
          </w:tcPr>
          <w:p>
            <w:pPr>
              <w:ind w:left="400"/>
              <w:spacing w:after="0"/>
              <w:rPr>
                <w:sz w:val="20"/>
                <w:szCs w:val="20"/>
                <w:color w:val="auto"/>
              </w:rPr>
            </w:pPr>
            <w:r>
              <w:rPr>
                <w:rFonts w:ascii="Arial" w:cs="Arial" w:eastAsia="Arial" w:hAnsi="Arial"/>
                <w:sz w:val="14"/>
                <w:szCs w:val="14"/>
                <w:color w:val="auto"/>
              </w:rPr>
              <w:t>no par value)</w:t>
            </w:r>
          </w:p>
        </w:tc>
        <w:tc>
          <w:tcPr>
            <w:tcW w:w="5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1,138</w:t>
            </w:r>
          </w:p>
        </w:tc>
        <w:tc>
          <w:tcPr>
            <w:tcW w:w="3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1,138</w:t>
            </w:r>
          </w:p>
        </w:tc>
      </w:tr>
      <w:tr>
        <w:trPr>
          <w:trHeight w:val="192"/>
        </w:trPr>
        <w:tc>
          <w:tcPr>
            <w:tcW w:w="5340" w:type="dxa"/>
            <w:vAlign w:val="bottom"/>
          </w:tcPr>
          <w:p>
            <w:pPr>
              <w:ind w:left="240"/>
              <w:spacing w:after="0"/>
              <w:rPr>
                <w:sz w:val="20"/>
                <w:szCs w:val="20"/>
                <w:color w:val="auto"/>
              </w:rPr>
            </w:pPr>
            <w:r>
              <w:rPr>
                <w:rFonts w:ascii="Arial" w:cs="Arial" w:eastAsia="Arial" w:hAnsi="Arial"/>
                <w:sz w:val="14"/>
                <w:szCs w:val="14"/>
                <w:color w:val="auto"/>
              </w:rPr>
              <w:t>Retained earnings</w:t>
            </w:r>
          </w:p>
        </w:tc>
        <w:tc>
          <w:tcPr>
            <w:tcW w:w="50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1,875</w:t>
            </w:r>
          </w:p>
        </w:tc>
        <w:tc>
          <w:tcPr>
            <w:tcW w:w="3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1,611</w:t>
            </w:r>
          </w:p>
        </w:tc>
      </w:tr>
      <w:tr>
        <w:trPr>
          <w:trHeight w:val="186"/>
        </w:trPr>
        <w:tc>
          <w:tcPr>
            <w:tcW w:w="5340" w:type="dxa"/>
            <w:vAlign w:val="bottom"/>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r>
      <w:tr>
        <w:trPr>
          <w:trHeight w:val="178"/>
        </w:trPr>
        <w:tc>
          <w:tcPr>
            <w:tcW w:w="5340" w:type="dxa"/>
            <w:vAlign w:val="bottom"/>
          </w:tcPr>
          <w:p>
            <w:pPr>
              <w:ind w:left="400"/>
              <w:spacing w:after="0"/>
              <w:rPr>
                <w:sz w:val="20"/>
                <w:szCs w:val="20"/>
                <w:color w:val="auto"/>
              </w:rPr>
            </w:pPr>
            <w:r>
              <w:rPr>
                <w:rFonts w:ascii="Arial" w:cs="Arial" w:eastAsia="Arial" w:hAnsi="Arial"/>
                <w:sz w:val="14"/>
                <w:szCs w:val="14"/>
                <w:color w:val="auto"/>
              </w:rPr>
              <w:t>Total SDG&amp;E shareholders' equity</w:t>
            </w:r>
          </w:p>
        </w:tc>
        <w:tc>
          <w:tcPr>
            <w:tcW w:w="5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3,004</w:t>
            </w:r>
          </w:p>
        </w:tc>
        <w:tc>
          <w:tcPr>
            <w:tcW w:w="30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2,739</w:t>
            </w:r>
          </w:p>
        </w:tc>
      </w:tr>
      <w:tr>
        <w:trPr>
          <w:trHeight w:val="186"/>
        </w:trPr>
        <w:tc>
          <w:tcPr>
            <w:tcW w:w="5340" w:type="dxa"/>
            <w:vAlign w:val="bottom"/>
          </w:tcPr>
          <w:p>
            <w:pPr>
              <w:ind w:left="240"/>
              <w:spacing w:after="0"/>
              <w:rPr>
                <w:sz w:val="20"/>
                <w:szCs w:val="20"/>
                <w:color w:val="auto"/>
              </w:rPr>
            </w:pPr>
            <w:r>
              <w:rPr>
                <w:rFonts w:ascii="Arial" w:cs="Arial" w:eastAsia="Arial" w:hAnsi="Arial"/>
                <w:sz w:val="14"/>
                <w:szCs w:val="14"/>
                <w:color w:val="auto"/>
              </w:rPr>
              <w:t>Noncontrolling interest</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w:t>
            </w:r>
          </w:p>
        </w:tc>
      </w:tr>
      <w:tr>
        <w:trPr>
          <w:trHeight w:val="172"/>
        </w:trPr>
        <w:tc>
          <w:tcPr>
            <w:tcW w:w="5340" w:type="dxa"/>
            <w:vAlign w:val="bottom"/>
          </w:tcPr>
          <w:p>
            <w:pPr>
              <w:ind w:left="400"/>
              <w:spacing w:after="0"/>
              <w:rPr>
                <w:sz w:val="20"/>
                <w:szCs w:val="20"/>
                <w:color w:val="auto"/>
              </w:rPr>
            </w:pPr>
            <w:r>
              <w:rPr>
                <w:rFonts w:ascii="Arial" w:cs="Arial" w:eastAsia="Arial" w:hAnsi="Arial"/>
                <w:sz w:val="14"/>
                <w:szCs w:val="14"/>
                <w:color w:val="auto"/>
              </w:rPr>
              <w:t>Total equity</w:t>
            </w: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3,111</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2,885</w:t>
            </w:r>
          </w:p>
        </w:tc>
      </w:tr>
      <w:tr>
        <w:trPr>
          <w:trHeight w:val="176"/>
        </w:trPr>
        <w:tc>
          <w:tcPr>
            <w:tcW w:w="53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 liabilities and equity</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11,496</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10,229</w:t>
            </w:r>
          </w:p>
        </w:tc>
      </w:tr>
    </w:tbl>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SAN DIEGO GAS &amp; ELECTRIC COMPANY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STATEMENTS OF CONSOLIDATED CASH FLOWS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(Dollars in millions)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Nine months ended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September 30,</w:t>
      </w:r>
    </w:p>
    <w:p>
      <w:pPr>
        <w:spacing w:after="0" w:line="15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2010</w:t>
      </w:r>
    </w:p>
    <w:p>
      <w:pPr>
        <w:ind w:left="5580"/>
        <w:spacing w:after="0"/>
        <w:rPr>
          <w:sz w:val="20"/>
          <w:szCs w:val="20"/>
          <w:color w:val="auto"/>
        </w:rPr>
      </w:pPr>
      <w:r>
        <w:rPr>
          <w:rFonts w:ascii="Arial" w:cs="Arial" w:eastAsia="Arial" w:hAnsi="Arial"/>
          <w:sz w:val="13"/>
          <w:szCs w:val="13"/>
          <w:color w:val="auto"/>
        </w:rPr>
        <w:t>2009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rPr>
          <w:sz w:val="20"/>
          <w:szCs w:val="20"/>
          <w:color w:val="auto"/>
        </w:rPr>
      </w:pPr>
      <w:r>
        <w:rPr>
          <w:rFonts w:ascii="Arial" w:cs="Arial" w:eastAsia="Arial" w:hAnsi="Arial"/>
          <w:sz w:val="14"/>
          <w:szCs w:val="14"/>
          <w:color w:val="auto"/>
        </w:rPr>
        <w:t>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Net income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234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290&amp;nb sp;</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Adjustments to reconcile net income to net cash provided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operating activities: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Depreciation and amortization</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283</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239</w:t>
      </w:r>
    </w:p>
    <w:p>
      <w:pPr>
        <w:spacing w:after="0" w:line="7" w:lineRule="exact"/>
        <w:rPr>
          <w:sz w:val="20"/>
          <w:szCs w:val="20"/>
          <w:color w:val="auto"/>
        </w:rPr>
      </w:pPr>
    </w:p>
    <w:p>
      <w:pPr>
        <w:ind w:left="480"/>
        <w:spacing w:after="0"/>
        <w:rPr>
          <w:sz w:val="20"/>
          <w:szCs w:val="20"/>
          <w:color w:val="auto"/>
        </w:rPr>
      </w:pPr>
      <w:r>
        <w:rPr>
          <w:rFonts w:ascii="Arial" w:cs="Arial" w:eastAsia="Arial" w:hAnsi="Arial"/>
          <w:sz w:val="14"/>
          <w:szCs w:val="14"/>
          <w:color w:val="auto"/>
        </w:rPr>
        <w:t>Deferred income taxes and investment tax credits</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125</w:t>
      </w:r>
    </w:p>
    <w:p>
      <w:pPr>
        <w:spacing w:after="0" w:line="367"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35</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Fixed-price contracts and other derivatives</w:t>
      </w:r>
    </w:p>
    <w:p>
      <w:pPr>
        <w:spacing w:after="0" w:line="175"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42</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pacing w:after="0" w:line="7" w:lineRule="exact"/>
        <w:rPr>
          <w:sz w:val="20"/>
          <w:szCs w:val="20"/>
          <w:color w:val="auto"/>
        </w:rPr>
      </w:pPr>
    </w:p>
    <w:p>
      <w:pPr>
        <w:ind w:left="480"/>
        <w:spacing w:after="0"/>
        <w:rPr>
          <w:sz w:val="20"/>
          <w:szCs w:val="20"/>
          <w:color w:val="auto"/>
        </w:rPr>
      </w:pPr>
      <w:r>
        <w:rPr>
          <w:rFonts w:ascii="Arial" w:cs="Arial" w:eastAsia="Arial" w:hAnsi="Arial"/>
          <w:sz w:val="14"/>
          <w:szCs w:val="14"/>
          <w:color w:val="auto"/>
        </w:rPr>
        <w:t>Other</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Net change in other working capital components</w:t>
      </w:r>
    </w:p>
    <w:p>
      <w:pPr>
        <w:spacing w:after="0" w:line="175" w:lineRule="exact"/>
        <w:rPr>
          <w:sz w:val="20"/>
          <w:szCs w:val="20"/>
          <w:color w:val="auto"/>
        </w:rPr>
      </w:pPr>
    </w:p>
    <w:p>
      <w:pPr>
        <w:ind w:left="11100"/>
        <w:spacing w:after="0"/>
        <w:rPr>
          <w:sz w:val="20"/>
          <w:szCs w:val="20"/>
          <w:color w:val="auto"/>
        </w:rPr>
      </w:pPr>
      <w:r>
        <w:rPr>
          <w:rFonts w:ascii="Arial" w:cs="Arial" w:eastAsia="Arial" w:hAnsi="Arial"/>
          <w:sz w:val="14"/>
          <w:szCs w:val="14"/>
          <w:color w:val="auto"/>
        </w:rPr>
        <w:t>(247)</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115</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Changes in other assets</w:t>
      </w:r>
    </w:p>
    <w:p>
      <w:pPr>
        <w:spacing w:after="0" w:line="175"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15</w:t>
      </w:r>
    </w:p>
    <w:p>
      <w:pPr>
        <w:spacing w:after="0" w:line="175"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20</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Changes in other liabilities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Net cash provided by operating activities</w:t>
      </w:r>
    </w:p>
    <w:p>
      <w:pPr>
        <w:spacing w:after="0" w:line="1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416</w:t>
      </w:r>
    </w:p>
    <w:p>
      <w:pPr>
        <w:spacing w:after="0" w:line="165" w:lineRule="exact"/>
        <w:rPr>
          <w:sz w:val="20"/>
          <w:szCs w:val="20"/>
          <w:color w:val="auto"/>
        </w:rPr>
      </w:pPr>
    </w:p>
    <w:p>
      <w:pPr>
        <w:ind w:left="11180"/>
        <w:spacing w:after="0"/>
        <w:rPr>
          <w:sz w:val="20"/>
          <w:szCs w:val="20"/>
          <w:color w:val="auto"/>
        </w:rPr>
      </w:pPr>
      <w:r>
        <w:rPr>
          <w:rFonts w:ascii="Arial" w:cs="Arial" w:eastAsia="Arial" w:hAnsi="Arial"/>
          <w:sz w:val="14"/>
          <w:szCs w:val="14"/>
          <w:color w:val="auto"/>
        </w:rPr>
        <w:t>619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INVESTING ACTIVITIES</w:t>
      </w:r>
    </w:p>
    <w:p>
      <w:pPr>
        <w:sectPr>
          <w:pgSz w:w="11900" w:h="16838" w:orient="portrait"/>
          <w:cols w:equalWidth="0" w:num="1">
            <w:col w:w="11440"/>
          </w:cols>
          <w:pgMar w:left="240" w:top="141" w:right="219" w:bottom="381" w:gutter="0" w:footer="0" w:header="0"/>
        </w:sectPr>
      </w:pPr>
    </w:p>
    <w:bookmarkStart w:id="9" w:name="page10"/>
    <w:bookmarkEnd w:id="9"/>
    <w:p>
      <w:pPr>
        <w:ind w:left="164"/>
        <w:spacing w:after="0"/>
        <w:rPr>
          <w:sz w:val="20"/>
          <w:szCs w:val="20"/>
          <w:color w:val="auto"/>
        </w:rPr>
      </w:pPr>
      <w:r>
        <w:rPr>
          <w:rFonts w:ascii="Arial" w:cs="Arial" w:eastAsia="Arial" w:hAnsi="Arial"/>
          <w:sz w:val="14"/>
          <w:szCs w:val="14"/>
          <w:color w:val="auto"/>
        </w:rPr>
        <w:t>Expenditures for property, plant and equipment</w:t>
      </w:r>
    </w:p>
    <w:p>
      <w:pPr>
        <w:spacing w:after="0" w:line="175" w:lineRule="exact"/>
        <w:rPr>
          <w:sz w:val="20"/>
          <w:szCs w:val="20"/>
          <w:color w:val="auto"/>
        </w:rPr>
      </w:pPr>
    </w:p>
    <w:p>
      <w:pPr>
        <w:ind w:left="11104"/>
        <w:spacing w:after="0"/>
        <w:rPr>
          <w:sz w:val="20"/>
          <w:szCs w:val="20"/>
          <w:color w:val="auto"/>
        </w:rPr>
      </w:pPr>
      <w:r>
        <w:rPr>
          <w:rFonts w:ascii="Arial" w:cs="Arial" w:eastAsia="Arial" w:hAnsi="Arial"/>
          <w:sz w:val="14"/>
          <w:szCs w:val="14"/>
          <w:color w:val="auto"/>
        </w:rPr>
        <w:t>(822)</w:t>
      </w:r>
    </w:p>
    <w:p>
      <w:pPr>
        <w:spacing w:after="0" w:line="175" w:lineRule="exact"/>
        <w:rPr>
          <w:sz w:val="20"/>
          <w:szCs w:val="20"/>
          <w:color w:val="auto"/>
        </w:rPr>
      </w:pPr>
    </w:p>
    <w:p>
      <w:pPr>
        <w:ind w:left="11104"/>
        <w:spacing w:after="0"/>
        <w:rPr>
          <w:sz w:val="20"/>
          <w:szCs w:val="20"/>
          <w:color w:val="auto"/>
        </w:rPr>
      </w:pPr>
      <w:r>
        <w:rPr>
          <w:rFonts w:ascii="Arial" w:cs="Arial" w:eastAsia="Arial" w:hAnsi="Arial"/>
          <w:sz w:val="14"/>
          <w:szCs w:val="14"/>
          <w:color w:val="auto"/>
        </w:rPr>
        <w:t>(633)</w:t>
      </w:r>
    </w:p>
    <w:p>
      <w:pPr>
        <w:spacing w:after="0" w:line="7" w:lineRule="exact"/>
        <w:rPr>
          <w:sz w:val="20"/>
          <w:szCs w:val="20"/>
          <w:color w:val="auto"/>
        </w:rPr>
      </w:pPr>
    </w:p>
    <w:p>
      <w:pPr>
        <w:ind w:left="164"/>
        <w:spacing w:after="0"/>
        <w:rPr>
          <w:sz w:val="20"/>
          <w:szCs w:val="20"/>
          <w:color w:val="auto"/>
        </w:rPr>
      </w:pPr>
      <w:r>
        <w:rPr>
          <w:rFonts w:ascii="Arial" w:cs="Arial" w:eastAsia="Arial" w:hAnsi="Arial"/>
          <w:sz w:val="14"/>
          <w:szCs w:val="14"/>
          <w:color w:val="auto"/>
        </w:rPr>
        <w:t>Expenditures for short-term investments</w:t>
      </w:r>
    </w:p>
    <w:p>
      <w:pPr>
        <w:spacing w:after="0" w:line="175" w:lineRule="exact"/>
        <w:rPr>
          <w:sz w:val="20"/>
          <w:szCs w:val="20"/>
          <w:color w:val="auto"/>
        </w:rPr>
      </w:pPr>
    </w:p>
    <w:p>
      <w:pPr>
        <w:ind w:left="11344"/>
        <w:spacing w:after="0"/>
        <w:rPr>
          <w:sz w:val="20"/>
          <w:szCs w:val="20"/>
          <w:color w:val="auto"/>
        </w:rPr>
      </w:pPr>
      <w:r>
        <w:rPr>
          <w:rFonts w:ascii="Arial" w:cs="Arial" w:eastAsia="Arial" w:hAnsi="Arial"/>
          <w:sz w:val="14"/>
          <w:szCs w:val="14"/>
          <w:color w:val="auto"/>
        </w:rPr>
        <w:t>-</w:t>
      </w:r>
    </w:p>
    <w:p>
      <w:pPr>
        <w:spacing w:after="0" w:line="175" w:lineRule="exact"/>
        <w:rPr>
          <w:sz w:val="20"/>
          <w:szCs w:val="20"/>
          <w:color w:val="auto"/>
        </w:rPr>
      </w:pPr>
    </w:p>
    <w:p>
      <w:pPr>
        <w:ind w:left="11104"/>
        <w:spacing w:after="0"/>
        <w:rPr>
          <w:sz w:val="20"/>
          <w:szCs w:val="20"/>
          <w:color w:val="auto"/>
        </w:rPr>
      </w:pPr>
      <w:r>
        <w:rPr>
          <w:rFonts w:ascii="Arial" w:cs="Arial" w:eastAsia="Arial" w:hAnsi="Arial"/>
          <w:sz w:val="14"/>
          <w:szCs w:val="14"/>
          <w:color w:val="auto"/>
        </w:rPr>
        <w:t>(152)</w:t>
      </w:r>
    </w:p>
    <w:p>
      <w:pPr>
        <w:spacing w:after="0" w:line="223" w:lineRule="exact"/>
        <w:rPr>
          <w:sz w:val="20"/>
          <w:szCs w:val="20"/>
          <w:color w:val="auto"/>
        </w:rPr>
      </w:pPr>
    </w:p>
    <w:p>
      <w:pPr>
        <w:ind w:left="164"/>
        <w:spacing w:after="0"/>
        <w:rPr>
          <w:sz w:val="20"/>
          <w:szCs w:val="20"/>
          <w:color w:val="auto"/>
        </w:rPr>
      </w:pPr>
      <w:r>
        <w:rPr>
          <w:rFonts w:ascii="Arial" w:cs="Arial" w:eastAsia="Arial" w:hAnsi="Arial"/>
          <w:sz w:val="14"/>
          <w:szCs w:val="14"/>
          <w:color w:val="auto"/>
        </w:rPr>
        <w:t>Proceeds from sale of short-term investments</w:t>
      </w:r>
    </w:p>
    <w:p>
      <w:pPr>
        <w:spacing w:after="0" w:line="17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17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176</w:t>
      </w:r>
    </w:p>
    <w:p>
      <w:pPr>
        <w:spacing w:after="0" w:line="199" w:lineRule="exact"/>
        <w:rPr>
          <w:sz w:val="20"/>
          <w:szCs w:val="20"/>
          <w:color w:val="auto"/>
        </w:rPr>
      </w:pPr>
    </w:p>
    <w:p>
      <w:pPr>
        <w:ind w:left="164"/>
        <w:spacing w:after="0"/>
        <w:rPr>
          <w:sz w:val="20"/>
          <w:szCs w:val="20"/>
          <w:color w:val="auto"/>
        </w:rPr>
      </w:pPr>
      <w:r>
        <w:rPr>
          <w:rFonts w:ascii="Arial" w:cs="Arial" w:eastAsia="Arial" w:hAnsi="Arial"/>
          <w:sz w:val="14"/>
          <w:szCs w:val="14"/>
          <w:color w:val="auto"/>
        </w:rPr>
        <w:t>Purchases of nuclear decommissioning trust assets</w:t>
      </w:r>
    </w:p>
    <w:p>
      <w:pPr>
        <w:spacing w:after="0" w:line="367" w:lineRule="exact"/>
        <w:rPr>
          <w:sz w:val="20"/>
          <w:szCs w:val="20"/>
          <w:color w:val="auto"/>
        </w:rPr>
      </w:pPr>
    </w:p>
    <w:p>
      <w:pPr>
        <w:ind w:left="11104"/>
        <w:spacing w:after="0"/>
        <w:rPr>
          <w:sz w:val="20"/>
          <w:szCs w:val="20"/>
          <w:color w:val="auto"/>
        </w:rPr>
      </w:pPr>
      <w:r>
        <w:rPr>
          <w:rFonts w:ascii="Arial" w:cs="Arial" w:eastAsia="Arial" w:hAnsi="Arial"/>
          <w:sz w:val="14"/>
          <w:szCs w:val="14"/>
          <w:color w:val="auto"/>
        </w:rPr>
        <w:t>(256)</w:t>
      </w:r>
    </w:p>
    <w:p>
      <w:pPr>
        <w:spacing w:after="0" w:line="175" w:lineRule="exact"/>
        <w:rPr>
          <w:sz w:val="20"/>
          <w:szCs w:val="20"/>
          <w:color w:val="auto"/>
        </w:rPr>
      </w:pPr>
    </w:p>
    <w:p>
      <w:pPr>
        <w:ind w:left="11104"/>
        <w:spacing w:after="0"/>
        <w:rPr>
          <w:sz w:val="20"/>
          <w:szCs w:val="20"/>
          <w:color w:val="auto"/>
        </w:rPr>
      </w:pPr>
      <w:r>
        <w:rPr>
          <w:rFonts w:ascii="Arial" w:cs="Arial" w:eastAsia="Arial" w:hAnsi="Arial"/>
          <w:sz w:val="14"/>
          <w:szCs w:val="14"/>
          <w:color w:val="auto"/>
        </w:rPr>
        <w:t>(161)</w:t>
      </w:r>
    </w:p>
    <w:p>
      <w:pPr>
        <w:spacing w:after="0" w:line="7" w:lineRule="exact"/>
        <w:rPr>
          <w:sz w:val="20"/>
          <w:szCs w:val="20"/>
          <w:color w:val="auto"/>
        </w:rPr>
      </w:pPr>
    </w:p>
    <w:p>
      <w:pPr>
        <w:ind w:left="164"/>
        <w:spacing w:after="0"/>
        <w:rPr>
          <w:sz w:val="20"/>
          <w:szCs w:val="20"/>
          <w:color w:val="auto"/>
        </w:rPr>
      </w:pPr>
      <w:r>
        <w:rPr>
          <w:rFonts w:ascii="Arial" w:cs="Arial" w:eastAsia="Arial" w:hAnsi="Arial"/>
          <w:sz w:val="14"/>
          <w:szCs w:val="14"/>
          <w:color w:val="auto"/>
        </w:rPr>
        <w:t>Proceeds from sales by nuclear decommissioning trusts</w:t>
      </w:r>
    </w:p>
    <w:p>
      <w:pPr>
        <w:spacing w:after="0" w:line="175" w:lineRule="exact"/>
        <w:rPr>
          <w:sz w:val="20"/>
          <w:szCs w:val="20"/>
          <w:color w:val="auto"/>
        </w:rPr>
      </w:pPr>
    </w:p>
    <w:p>
      <w:pPr>
        <w:ind w:left="11164"/>
        <w:spacing w:after="0"/>
        <w:rPr>
          <w:sz w:val="20"/>
          <w:szCs w:val="20"/>
          <w:color w:val="auto"/>
        </w:rPr>
      </w:pPr>
      <w:r>
        <w:rPr>
          <w:rFonts w:ascii="Arial" w:cs="Arial" w:eastAsia="Arial" w:hAnsi="Arial"/>
          <w:sz w:val="14"/>
          <w:szCs w:val="14"/>
          <w:color w:val="auto"/>
        </w:rPr>
        <w:t>248</w:t>
      </w:r>
    </w:p>
    <w:p>
      <w:pPr>
        <w:spacing w:after="0" w:line="154" w:lineRule="exact"/>
        <w:rPr>
          <w:sz w:val="20"/>
          <w:szCs w:val="20"/>
          <w:color w:val="auto"/>
        </w:rPr>
      </w:pPr>
    </w:p>
    <w:p>
      <w:pPr>
        <w:ind w:left="4" w:right="1020" w:hanging="4"/>
        <w:spacing w:after="0" w:line="262" w:lineRule="auto"/>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td style="BORDER-RIGHT:0px; PADDING-RIGHT:5.75pt; BORDER-TOP:0px; PADDING-LEFT:5.75pt; BACKGROUND:white; PADDING-BOTTOM:0in; BORDER-LEFT:0px; PADDING-TOP:0in; BORDER-BOTTOM:0px; HEIGHT:12pt" valign=bottom&gt;</w:t>
      </w:r>
    </w:p>
    <w:p>
      <w:pPr>
        <w:spacing w:after="0" w:line="1" w:lineRule="exact"/>
        <w:rPr>
          <w:sz w:val="20"/>
          <w:szCs w:val="20"/>
          <w:color w:val="auto"/>
        </w:rPr>
      </w:pPr>
    </w:p>
    <w:p>
      <w:pPr>
        <w:ind w:left="11164"/>
        <w:spacing w:after="0"/>
        <w:rPr>
          <w:sz w:val="20"/>
          <w:szCs w:val="20"/>
          <w:color w:val="auto"/>
        </w:rPr>
      </w:pPr>
      <w:r>
        <w:rPr>
          <w:rFonts w:ascii="Arial" w:cs="Arial" w:eastAsia="Arial" w:hAnsi="Arial"/>
          <w:sz w:val="14"/>
          <w:szCs w:val="14"/>
          <w:color w:val="auto"/>
        </w:rPr>
        <w:t>155</w:t>
      </w:r>
    </w:p>
    <w:p>
      <w:pPr>
        <w:spacing w:after="0" w:line="7" w:lineRule="exact"/>
        <w:rPr>
          <w:sz w:val="20"/>
          <w:szCs w:val="20"/>
          <w:color w:val="auto"/>
        </w:rPr>
      </w:pPr>
    </w:p>
    <w:p>
      <w:pPr>
        <w:ind w:left="164"/>
        <w:spacing w:after="0"/>
        <w:rPr>
          <w:sz w:val="20"/>
          <w:szCs w:val="20"/>
          <w:color w:val="auto"/>
        </w:rPr>
      </w:pPr>
      <w:r>
        <w:rPr>
          <w:rFonts w:ascii="Arial" w:cs="Arial" w:eastAsia="Arial" w:hAnsi="Arial"/>
          <w:sz w:val="14"/>
          <w:szCs w:val="14"/>
          <w:color w:val="auto"/>
        </w:rPr>
        <w:t>Decrease in loans to affiliates, net</w:t>
      </w:r>
    </w:p>
    <w:p>
      <w:pPr>
        <w:spacing w:after="0" w:line="2" w:lineRule="exact"/>
        <w:rPr>
          <w:sz w:val="20"/>
          <w:szCs w:val="20"/>
          <w:color w:val="auto"/>
        </w:rPr>
      </w:pPr>
    </w:p>
    <w:p>
      <w:pPr>
        <w:ind w:left="4"/>
        <w:spacing w:after="0"/>
        <w:rPr>
          <w:sz w:val="20"/>
          <w:szCs w:val="20"/>
          <w:color w:val="auto"/>
        </w:rPr>
      </w:pPr>
      <w:r>
        <w:rPr>
          <w:rFonts w:ascii="Arial" w:cs="Arial" w:eastAsia="Arial" w:hAnsi="Arial"/>
          <w:sz w:val="19"/>
          <w:szCs w:val="19"/>
          <w:color w:val="auto"/>
        </w:rPr>
        <w:t>&lt; font style="FONT-SIZE:9pt; COLOR:black; FONT-FAMILY:'Arial','sans-serif'"&gt;</w:t>
      </w:r>
    </w:p>
    <w:p>
      <w:pPr>
        <w:spacing w:after="0" w:line="2" w:lineRule="exact"/>
        <w:rPr>
          <w:sz w:val="20"/>
          <w:szCs w:val="20"/>
          <w:color w:val="auto"/>
        </w:rPr>
      </w:pPr>
    </w:p>
    <w:p>
      <w:pPr>
        <w:ind w:left="11244"/>
        <w:spacing w:after="0"/>
        <w:rPr>
          <w:sz w:val="20"/>
          <w:szCs w:val="20"/>
          <w:color w:val="auto"/>
        </w:rPr>
      </w:pPr>
      <w:r>
        <w:rPr>
          <w:rFonts w:ascii="Arial" w:cs="Arial" w:eastAsia="Arial" w:hAnsi="Arial"/>
          <w:sz w:val="14"/>
          <w:szCs w:val="14"/>
          <w:color w:val="auto"/>
        </w:rPr>
        <w:t>13</w:t>
      </w:r>
    </w:p>
    <w:p>
      <w:pPr>
        <w:spacing w:after="0" w:line="367" w:lineRule="exact"/>
        <w:rPr>
          <w:sz w:val="20"/>
          <w:szCs w:val="20"/>
          <w:color w:val="auto"/>
        </w:rPr>
      </w:pPr>
    </w:p>
    <w:p>
      <w:pPr>
        <w:ind w:left="11244"/>
        <w:spacing w:after="0"/>
        <w:rPr>
          <w:sz w:val="20"/>
          <w:szCs w:val="20"/>
          <w:color w:val="auto"/>
        </w:rPr>
      </w:pPr>
      <w:r>
        <w:rPr>
          <w:rFonts w:ascii="Arial" w:cs="Arial" w:eastAsia="Arial" w:hAnsi="Arial"/>
          <w:sz w:val="14"/>
          <w:szCs w:val="14"/>
          <w:color w:val="auto"/>
        </w:rPr>
        <w:t>33</w:t>
      </w:r>
    </w:p>
    <w:p>
      <w:pPr>
        <w:spacing w:after="0" w:line="199" w:lineRule="exact"/>
        <w:rPr>
          <w:sz w:val="20"/>
          <w:szCs w:val="20"/>
          <w:color w:val="auto"/>
        </w:rPr>
      </w:pPr>
    </w:p>
    <w:p>
      <w:pPr>
        <w:ind w:left="164"/>
        <w:spacing w:after="0"/>
        <w:rPr>
          <w:sz w:val="20"/>
          <w:szCs w:val="20"/>
          <w:color w:val="auto"/>
        </w:rPr>
      </w:pPr>
      <w:r>
        <w:rPr>
          <w:rFonts w:ascii="Arial" w:cs="Arial" w:eastAsia="Arial" w:hAnsi="Arial"/>
          <w:sz w:val="14"/>
          <w:szCs w:val="14"/>
          <w:color w:val="auto"/>
        </w:rPr>
        <w:t>Net decrease in restricted cash</w:t>
      </w:r>
    </w:p>
    <w:p>
      <w:pPr>
        <w:spacing w:after="0" w:line="175" w:lineRule="exact"/>
        <w:rPr>
          <w:sz w:val="20"/>
          <w:szCs w:val="20"/>
          <w:color w:val="auto"/>
        </w:rPr>
      </w:pPr>
    </w:p>
    <w:p>
      <w:pPr>
        <w:ind w:left="11324"/>
        <w:spacing w:after="0"/>
        <w:rPr>
          <w:sz w:val="20"/>
          <w:szCs w:val="20"/>
          <w:color w:val="auto"/>
        </w:rPr>
      </w:pPr>
      <w:r>
        <w:rPr>
          <w:rFonts w:ascii="Arial" w:cs="Arial" w:eastAsia="Arial" w:hAnsi="Arial"/>
          <w:sz w:val="14"/>
          <w:szCs w:val="14"/>
          <w:color w:val="auto"/>
        </w:rPr>
        <w:t>4</w:t>
      </w:r>
    </w:p>
    <w:p>
      <w:pPr>
        <w:spacing w:after="0" w:line="175" w:lineRule="exact"/>
        <w:rPr>
          <w:sz w:val="20"/>
          <w:szCs w:val="20"/>
          <w:color w:val="auto"/>
        </w:rPr>
      </w:pPr>
    </w:p>
    <w:p>
      <w:pPr>
        <w:ind w:left="11344"/>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64"/>
        <w:spacing w:after="0"/>
        <w:rPr>
          <w:sz w:val="20"/>
          <w:szCs w:val="20"/>
          <w:color w:val="auto"/>
        </w:rPr>
      </w:pPr>
      <w:r>
        <w:rPr>
          <w:rFonts w:ascii="Arial" w:cs="Arial" w:eastAsia="Arial" w:hAnsi="Arial"/>
          <w:sz w:val="14"/>
          <w:szCs w:val="14"/>
          <w:color w:val="auto"/>
        </w:rPr>
        <w:t>Other</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-&amp;nbs p;</w:t>
      </w:r>
    </w:p>
    <w:p>
      <w:pPr>
        <w:spacing w:after="0" w:line="17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w:t>
      </w:r>
    </w:p>
    <w:p>
      <w:pPr>
        <w:spacing w:after="0" w:line="2" w:lineRule="exact"/>
        <w:rPr>
          <w:sz w:val="20"/>
          <w:szCs w:val="20"/>
          <w:color w:val="auto"/>
        </w:rPr>
      </w:pPr>
    </w:p>
    <w:p>
      <w:pPr>
        <w:ind w:left="384"/>
        <w:spacing w:after="0"/>
        <w:rPr>
          <w:sz w:val="20"/>
          <w:szCs w:val="20"/>
          <w:color w:val="auto"/>
        </w:rPr>
      </w:pPr>
      <w:r>
        <w:rPr>
          <w:rFonts w:ascii="Arial" w:cs="Arial" w:eastAsia="Arial" w:hAnsi="Arial"/>
          <w:sz w:val="19"/>
          <w:szCs w:val="19"/>
          <w:color w:val="auto"/>
        </w:rPr>
        <w:t>Net cash used in investing activities</w:t>
      </w:r>
    </w:p>
    <w:p>
      <w:pPr>
        <w:spacing w:after="0" w:line="170" w:lineRule="exact"/>
        <w:rPr>
          <w:sz w:val="20"/>
          <w:szCs w:val="20"/>
          <w:color w:val="auto"/>
        </w:rPr>
      </w:pPr>
    </w:p>
    <w:p>
      <w:pPr>
        <w:ind w:left="11104"/>
        <w:spacing w:after="0"/>
        <w:rPr>
          <w:sz w:val="20"/>
          <w:szCs w:val="20"/>
          <w:color w:val="auto"/>
        </w:rPr>
      </w:pPr>
      <w:r>
        <w:rPr>
          <w:rFonts w:ascii="Arial" w:cs="Arial" w:eastAsia="Arial" w:hAnsi="Arial"/>
          <w:sz w:val="14"/>
          <w:szCs w:val="14"/>
          <w:color w:val="auto"/>
        </w:rPr>
        <w:t>(813)</w:t>
      </w:r>
    </w:p>
    <w:p>
      <w:pPr>
        <w:spacing w:after="0" w:line="175" w:lineRule="exact"/>
        <w:rPr>
          <w:sz w:val="20"/>
          <w:szCs w:val="20"/>
          <w:color w:val="auto"/>
        </w:rPr>
      </w:pPr>
    </w:p>
    <w:p>
      <w:pPr>
        <w:ind w:left="11104"/>
        <w:spacing w:after="0"/>
        <w:rPr>
          <w:sz w:val="20"/>
          <w:szCs w:val="20"/>
          <w:color w:val="auto"/>
        </w:rPr>
      </w:pPr>
      <w:r>
        <w:rPr>
          <w:rFonts w:ascii="Arial" w:cs="Arial" w:eastAsia="Arial" w:hAnsi="Arial"/>
          <w:sz w:val="14"/>
          <w:szCs w:val="14"/>
          <w:color w:val="auto"/>
        </w:rPr>
        <w:t>(580)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
        <w:spacing w:after="0"/>
        <w:rPr>
          <w:sz w:val="20"/>
          <w:szCs w:val="20"/>
          <w:color w:val="auto"/>
        </w:rPr>
      </w:pPr>
      <w:r>
        <w:rPr>
          <w:rFonts w:ascii="Arial" w:cs="Arial" w:eastAsia="Arial" w:hAnsi="Arial"/>
          <w:sz w:val="14"/>
          <w:szCs w:val="14"/>
          <w:color w:val="auto"/>
        </w:rPr>
        <w:t>CASH FLOWS FROM FINANCING ACTIVITIES</w:t>
      </w:r>
    </w:p>
    <w:p>
      <w:pPr>
        <w:spacing w:after="0" w:line="2" w:lineRule="exact"/>
        <w:rPr>
          <w:sz w:val="20"/>
          <w:szCs w:val="20"/>
          <w:color w:val="auto"/>
        </w:rPr>
      </w:pPr>
    </w:p>
    <w:p>
      <w:pPr>
        <w:ind w:left="4"/>
        <w:spacing w:after="0"/>
        <w:rPr>
          <w:sz w:val="20"/>
          <w:szCs w:val="20"/>
          <w:color w:val="auto"/>
        </w:rPr>
      </w:pPr>
      <w:r>
        <w:rPr>
          <w:rFonts w:ascii="Arial" w:cs="Arial" w:eastAsia="Arial" w:hAnsi="Arial"/>
          <w:sz w:val="19"/>
          <w:szCs w:val="19"/>
          <w:color w:val="auto"/>
        </w:rPr>
        <w:t>&lt; p style="MARGIN:0in 0in 0pt"&gt;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4"/>
        <w:spacing w:after="0"/>
        <w:rPr>
          <w:sz w:val="20"/>
          <w:szCs w:val="20"/>
          <w:color w:val="auto"/>
        </w:rPr>
      </w:pPr>
      <w:r>
        <w:rPr>
          <w:rFonts w:ascii="Arial" w:cs="Arial" w:eastAsia="Arial" w:hAnsi="Arial"/>
          <w:sz w:val="14"/>
          <w:szCs w:val="14"/>
          <w:color w:val="auto"/>
        </w:rPr>
        <w:t>Common dividends paid</w:t>
      </w:r>
    </w:p>
    <w:p>
      <w:pPr>
        <w:spacing w:after="0" w:line="175" w:lineRule="exact"/>
        <w:rPr>
          <w:sz w:val="20"/>
          <w:szCs w:val="20"/>
          <w:color w:val="auto"/>
        </w:rPr>
      </w:pPr>
    </w:p>
    <w:p>
      <w:pPr>
        <w:ind w:left="11344"/>
        <w:spacing w:after="0"/>
        <w:rPr>
          <w:sz w:val="20"/>
          <w:szCs w:val="20"/>
          <w:color w:val="auto"/>
        </w:rPr>
      </w:pPr>
      <w:r>
        <w:rPr>
          <w:rFonts w:ascii="Arial" w:cs="Arial" w:eastAsia="Arial" w:hAnsi="Arial"/>
          <w:sz w:val="14"/>
          <w:szCs w:val="14"/>
          <w:color w:val="auto"/>
        </w:rPr>
        <w:t>-</w:t>
      </w:r>
    </w:p>
    <w:p>
      <w:pPr>
        <w:spacing w:after="0" w:line="175" w:lineRule="exact"/>
        <w:rPr>
          <w:sz w:val="20"/>
          <w:szCs w:val="20"/>
          <w:color w:val="auto"/>
        </w:rPr>
      </w:pPr>
    </w:p>
    <w:p>
      <w:pPr>
        <w:ind w:left="11104"/>
        <w:spacing w:after="0"/>
        <w:rPr>
          <w:sz w:val="20"/>
          <w:szCs w:val="20"/>
          <w:color w:val="auto"/>
        </w:rPr>
      </w:pPr>
      <w:r>
        <w:rPr>
          <w:rFonts w:ascii="Arial" w:cs="Arial" w:eastAsia="Arial" w:hAnsi="Arial"/>
          <w:sz w:val="14"/>
          <w:szCs w:val="14"/>
          <w:color w:val="auto"/>
        </w:rPr>
        <w:t>(150)</w:t>
      </w:r>
    </w:p>
    <w:p>
      <w:pPr>
        <w:spacing w:after="0" w:line="7" w:lineRule="exact"/>
        <w:rPr>
          <w:sz w:val="20"/>
          <w:szCs w:val="20"/>
          <w:color w:val="auto"/>
        </w:rPr>
      </w:pPr>
    </w:p>
    <w:p>
      <w:pPr>
        <w:ind w:left="164"/>
        <w:spacing w:after="0"/>
        <w:rPr>
          <w:sz w:val="20"/>
          <w:szCs w:val="20"/>
          <w:color w:val="auto"/>
        </w:rPr>
      </w:pPr>
      <w:r>
        <w:rPr>
          <w:rFonts w:ascii="Arial" w:cs="Arial" w:eastAsia="Arial" w:hAnsi="Arial"/>
          <w:sz w:val="14"/>
          <w:szCs w:val="14"/>
          <w:color w:val="auto"/>
        </w:rPr>
        <w:t>Capital contribution received by Otay Mesa VIE</w:t>
      </w:r>
    </w:p>
    <w:p>
      <w:pPr>
        <w:spacing w:after="0" w:line="175" w:lineRule="exact"/>
        <w:rPr>
          <w:sz w:val="20"/>
          <w:szCs w:val="20"/>
          <w:color w:val="auto"/>
        </w:rPr>
      </w:pPr>
    </w:p>
    <w:p>
      <w:pPr>
        <w:ind w:left="11344"/>
        <w:spacing w:after="0"/>
        <w:rPr>
          <w:sz w:val="20"/>
          <w:szCs w:val="20"/>
          <w:color w:val="auto"/>
        </w:rPr>
      </w:pPr>
      <w:r>
        <w:rPr>
          <w:rFonts w:ascii="Arial" w:cs="Arial" w:eastAsia="Arial" w:hAnsi="Arial"/>
          <w:sz w:val="14"/>
          <w:szCs w:val="14"/>
          <w:color w:val="auto"/>
        </w:rPr>
        <w:t>-</w:t>
      </w:r>
    </w:p>
    <w:p>
      <w:pPr>
        <w:spacing w:after="0" w:line="175" w:lineRule="exact"/>
        <w:rPr>
          <w:sz w:val="20"/>
          <w:szCs w:val="20"/>
          <w:color w:val="auto"/>
        </w:rPr>
      </w:pPr>
    </w:p>
    <w:p>
      <w:pPr>
        <w:ind w:left="11324"/>
        <w:spacing w:after="0"/>
        <w:rPr>
          <w:sz w:val="20"/>
          <w:szCs w:val="20"/>
          <w:color w:val="auto"/>
        </w:rPr>
      </w:pPr>
      <w:r>
        <w:rPr>
          <w:rFonts w:ascii="Arial" w:cs="Arial" w:eastAsia="Arial" w:hAnsi="Arial"/>
          <w:sz w:val="14"/>
          <w:szCs w:val="14"/>
          <w:color w:val="auto"/>
        </w:rPr>
        <w:t>4</w:t>
      </w:r>
    </w:p>
    <w:p>
      <w:pPr>
        <w:spacing w:after="0" w:line="7" w:lineRule="exact"/>
        <w:rPr>
          <w:sz w:val="20"/>
          <w:szCs w:val="20"/>
          <w:color w:val="auto"/>
        </w:rPr>
      </w:pPr>
    </w:p>
    <w:p>
      <w:pPr>
        <w:ind w:left="164"/>
        <w:spacing w:after="0"/>
        <w:rPr>
          <w:sz w:val="20"/>
          <w:szCs w:val="20"/>
          <w:color w:val="auto"/>
        </w:rPr>
      </w:pPr>
      <w:r>
        <w:rPr>
          <w:rFonts w:ascii="Arial" w:cs="Arial" w:eastAsia="Arial" w:hAnsi="Arial"/>
          <w:sz w:val="14"/>
          <w:szCs w:val="14"/>
          <w:color w:val="auto"/>
        </w:rPr>
        <w:t>Capital distribution made by Otay Mesa VIE</w:t>
      </w:r>
    </w:p>
    <w:p>
      <w:pPr>
        <w:spacing w:after="0" w:line="175" w:lineRule="exact"/>
        <w:rPr>
          <w:sz w:val="20"/>
          <w:szCs w:val="20"/>
          <w:color w:val="auto"/>
        </w:rPr>
      </w:pPr>
    </w:p>
    <w:p>
      <w:pPr>
        <w:ind w:left="11184"/>
        <w:spacing w:after="0"/>
        <w:rPr>
          <w:sz w:val="20"/>
          <w:szCs w:val="20"/>
          <w:color w:val="auto"/>
        </w:rPr>
      </w:pPr>
      <w:r>
        <w:rPr>
          <w:rFonts w:ascii="Arial" w:cs="Arial" w:eastAsia="Arial" w:hAnsi="Arial"/>
          <w:sz w:val="14"/>
          <w:szCs w:val="14"/>
          <w:color w:val="auto"/>
        </w:rPr>
        <w:t>(10)</w:t>
      </w:r>
    </w:p>
    <w:p>
      <w:pPr>
        <w:spacing w:after="0" w:line="175" w:lineRule="exact"/>
        <w:rPr>
          <w:sz w:val="20"/>
          <w:szCs w:val="20"/>
          <w:color w:val="auto"/>
        </w:rPr>
      </w:pPr>
    </w:p>
    <w:p>
      <w:pPr>
        <w:ind w:left="11344"/>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64"/>
        <w:spacing w:after="0"/>
        <w:rPr>
          <w:sz w:val="20"/>
          <w:szCs w:val="20"/>
          <w:color w:val="auto"/>
        </w:rPr>
      </w:pPr>
      <w:r>
        <w:rPr>
          <w:rFonts w:ascii="Arial" w:cs="Arial" w:eastAsia="Arial" w:hAnsi="Arial"/>
          <w:sz w:val="14"/>
          <w:szCs w:val="14"/>
          <w:color w:val="auto"/>
        </w:rPr>
        <w:t>Preferred dividends paid</w:t>
      </w:r>
    </w:p>
    <w:p>
      <w:pPr>
        <w:spacing w:after="0" w:line="175" w:lineRule="exact"/>
        <w:rPr>
          <w:sz w:val="20"/>
          <w:szCs w:val="20"/>
          <w:color w:val="auto"/>
        </w:rPr>
      </w:pPr>
    </w:p>
    <w:p>
      <w:pPr>
        <w:ind w:left="11264"/>
        <w:spacing w:after="0"/>
        <w:rPr>
          <w:sz w:val="20"/>
          <w:szCs w:val="20"/>
          <w:color w:val="auto"/>
        </w:rPr>
      </w:pPr>
      <w:r>
        <w:rPr>
          <w:rFonts w:ascii="Arial" w:cs="Arial" w:eastAsia="Arial" w:hAnsi="Arial"/>
          <w:sz w:val="14"/>
          <w:szCs w:val="14"/>
          <w:color w:val="auto"/>
        </w:rPr>
        <w:t>(4)</w:t>
      </w:r>
    </w:p>
    <w:p>
      <w:pPr>
        <w:spacing w:after="0" w:line="175" w:lineRule="exact"/>
        <w:rPr>
          <w:sz w:val="20"/>
          <w:szCs w:val="20"/>
          <w:color w:val="auto"/>
        </w:rPr>
      </w:pPr>
    </w:p>
    <w:p>
      <w:pPr>
        <w:ind w:left="11264"/>
        <w:spacing w:after="0"/>
        <w:rPr>
          <w:sz w:val="20"/>
          <w:szCs w:val="20"/>
          <w:color w:val="auto"/>
        </w:rPr>
      </w:pPr>
      <w:r>
        <w:rPr>
          <w:rFonts w:ascii="Arial" w:cs="Arial" w:eastAsia="Arial" w:hAnsi="Arial"/>
          <w:sz w:val="14"/>
          <w:szCs w:val="14"/>
          <w:color w:val="auto"/>
        </w:rPr>
        <w:t>(4)</w:t>
      </w:r>
    </w:p>
    <w:p>
      <w:pPr>
        <w:spacing w:after="0" w:line="7" w:lineRule="exact"/>
        <w:rPr>
          <w:sz w:val="20"/>
          <w:szCs w:val="20"/>
          <w:color w:val="auto"/>
        </w:rPr>
      </w:pPr>
    </w:p>
    <w:p>
      <w:pPr>
        <w:ind w:left="164"/>
        <w:spacing w:after="0"/>
        <w:rPr>
          <w:sz w:val="20"/>
          <w:szCs w:val="20"/>
          <w:color w:val="auto"/>
        </w:rPr>
      </w:pPr>
      <w:r>
        <w:rPr>
          <w:rFonts w:ascii="Arial" w:cs="Arial" w:eastAsia="Arial" w:hAnsi="Arial"/>
          <w:sz w:val="14"/>
          <w:szCs w:val="14"/>
          <w:color w:val="auto"/>
        </w:rPr>
        <w:t>Issuances of long-term debt</w:t>
      </w:r>
    </w:p>
    <w:p>
      <w:pPr>
        <w:spacing w:after="0" w:line="175" w:lineRule="exact"/>
        <w:rPr>
          <w:sz w:val="20"/>
          <w:szCs w:val="20"/>
          <w:color w:val="auto"/>
        </w:rPr>
      </w:pPr>
    </w:p>
    <w:p>
      <w:pPr>
        <w:ind w:left="11164"/>
        <w:spacing w:after="0"/>
        <w:rPr>
          <w:sz w:val="20"/>
          <w:szCs w:val="20"/>
          <w:color w:val="auto"/>
        </w:rPr>
      </w:pPr>
      <w:r>
        <w:rPr>
          <w:rFonts w:ascii="Arial" w:cs="Arial" w:eastAsia="Arial" w:hAnsi="Arial"/>
          <w:sz w:val="14"/>
          <w:szCs w:val="14"/>
          <w:color w:val="auto"/>
        </w:rPr>
        <w:t>744</w:t>
      </w:r>
    </w:p>
    <w:p>
      <w:pPr>
        <w:spacing w:after="0" w:line="175" w:lineRule="exact"/>
        <w:rPr>
          <w:sz w:val="20"/>
          <w:szCs w:val="20"/>
          <w:color w:val="auto"/>
        </w:rPr>
      </w:pPr>
    </w:p>
    <w:p>
      <w:pPr>
        <w:ind w:left="11164"/>
        <w:spacing w:after="0"/>
        <w:rPr>
          <w:sz w:val="20"/>
          <w:szCs w:val="20"/>
          <w:color w:val="auto"/>
        </w:rPr>
      </w:pPr>
      <w:r>
        <w:rPr>
          <w:rFonts w:ascii="Arial" w:cs="Arial" w:eastAsia="Arial" w:hAnsi="Arial"/>
          <w:sz w:val="14"/>
          <w:szCs w:val="14"/>
          <w:color w:val="auto"/>
        </w:rPr>
        <w:t>386</w:t>
      </w:r>
    </w:p>
    <w:p>
      <w:pPr>
        <w:spacing w:after="0" w:line="223" w:lineRule="exact"/>
        <w:rPr>
          <w:sz w:val="20"/>
          <w:szCs w:val="20"/>
          <w:color w:val="auto"/>
        </w:rPr>
      </w:pPr>
    </w:p>
    <w:p>
      <w:pPr>
        <w:ind w:left="164"/>
        <w:spacing w:after="0"/>
        <w:rPr>
          <w:sz w:val="20"/>
          <w:szCs w:val="20"/>
          <w:color w:val="auto"/>
        </w:rPr>
      </w:pPr>
      <w:r>
        <w:rPr>
          <w:rFonts w:ascii="Arial" w:cs="Arial" w:eastAsia="Arial" w:hAnsi="Arial"/>
          <w:sz w:val="14"/>
          <w:szCs w:val="14"/>
          <w:color w:val="auto"/>
        </w:rPr>
        <w:t>Payments on long-term debt</w:t>
      </w:r>
    </w:p>
    <w:p>
      <w:pPr>
        <w:spacing w:after="0" w:line="168" w:lineRule="exact"/>
        <w:rPr>
          <w:sz w:val="20"/>
          <w:szCs w:val="20"/>
          <w:color w:val="auto"/>
        </w:rPr>
      </w:pPr>
    </w:p>
    <w:p>
      <w:pPr>
        <w:ind w:left="11204"/>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444"/>
          </w:cols>
          <w:pgMar w:left="236" w:top="141" w:right="219" w:bottom="0" w:gutter="0" w:footer="0" w:header="0"/>
        </w:sectPr>
      </w:pPr>
    </w:p>
    <w:bookmarkStart w:id="10" w:name="page11"/>
    <w:bookmarkEnd w:id="10"/>
    <w:p>
      <w:pPr>
        <w:ind w:left="11344"/>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64"/>
        <w:spacing w:after="0"/>
        <w:rPr>
          <w:sz w:val="20"/>
          <w:szCs w:val="20"/>
          <w:color w:val="auto"/>
        </w:rPr>
      </w:pPr>
      <w:r>
        <w:rPr>
          <w:rFonts w:ascii="Arial" w:cs="Arial" w:eastAsia="Arial" w:hAnsi="Arial"/>
          <w:sz w:val="14"/>
          <w:szCs w:val="14"/>
          <w:color w:val="auto"/>
        </w:rPr>
        <w:t>Other</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7" w:lineRule="exact"/>
        <w:rPr>
          <w:sz w:val="20"/>
          <w:szCs w:val="20"/>
          <w:color w:val="auto"/>
        </w:rPr>
      </w:pPr>
    </w:p>
    <w:p>
      <w:pPr>
        <w:ind w:left="324"/>
        <w:spacing w:after="0"/>
        <w:rPr>
          <w:sz w:val="20"/>
          <w:szCs w:val="20"/>
          <w:color w:val="auto"/>
        </w:rPr>
      </w:pPr>
      <w:r>
        <w:rPr>
          <w:rFonts w:ascii="Arial" w:cs="Arial" w:eastAsia="Arial" w:hAnsi="Arial"/>
          <w:sz w:val="14"/>
          <w:szCs w:val="14"/>
          <w:color w:val="auto"/>
        </w:rPr>
        <w:t>Net cash provided by financing activities</w:t>
      </w:r>
    </w:p>
    <w:p>
      <w:pPr>
        <w:spacing w:after="0" w:line="2" w:lineRule="exact"/>
        <w:rPr>
          <w:sz w:val="20"/>
          <w:szCs w:val="20"/>
          <w:color w:val="auto"/>
        </w:rPr>
      </w:pPr>
    </w:p>
    <w:p>
      <w:pPr>
        <w:ind w:left="4" w:right="60" w:hanging="4"/>
        <w:spacing w:after="0" w:line="246" w:lineRule="auto"/>
        <w:tabs>
          <w:tab w:leader="none" w:pos="160" w:val="left"/>
        </w:tabs>
        <w:numPr>
          <w:ilvl w:val="0"/>
          <w:numId w:val="6"/>
        </w:numPr>
        <w:rPr>
          <w:rFonts w:ascii="Arial" w:cs="Arial" w:eastAsia="Arial" w:hAnsi="Arial"/>
          <w:sz w:val="19"/>
          <w:szCs w:val="19"/>
          <w:color w:val="auto"/>
        </w:rPr>
      </w:pPr>
      <w:r>
        <w:rPr>
          <w:rFonts w:ascii="Arial" w:cs="Arial" w:eastAsia="Arial" w:hAnsi="Arial"/>
          <w:sz w:val="19"/>
          <w:szCs w:val="19"/>
          <w:color w:val="auto"/>
        </w:rPr>
        <w:t>td style="BORDER-RIGHT:0px; PADDING-RIGHT:5.75pt; BORDER-TOP:0px; PADDING-LEFT:5.75pt; BACKGROUND:white; PADDING-BOTTOM:0in; BORDER-LEFT:0px; PADDING-TOP:0in; BORDER-BOTTOM:black 1pt solid; HEIGHT:12pt" valign=bottom&gt;</w:t>
      </w:r>
    </w:p>
    <w:p>
      <w:pPr>
        <w:spacing w:after="0" w:line="157" w:lineRule="exact"/>
        <w:rPr>
          <w:sz w:val="20"/>
          <w:szCs w:val="20"/>
          <w:color w:val="auto"/>
        </w:rPr>
      </w:pPr>
    </w:p>
    <w:p>
      <w:pPr>
        <w:ind w:left="11164"/>
        <w:spacing w:after="0"/>
        <w:rPr>
          <w:sz w:val="20"/>
          <w:szCs w:val="20"/>
          <w:color w:val="auto"/>
        </w:rPr>
      </w:pPr>
      <w:r>
        <w:rPr>
          <w:rFonts w:ascii="Arial" w:cs="Arial" w:eastAsia="Arial" w:hAnsi="Arial"/>
          <w:sz w:val="14"/>
          <w:szCs w:val="14"/>
          <w:color w:val="auto"/>
        </w:rPr>
        <w:t>716</w:t>
      </w:r>
    </w:p>
    <w:p>
      <w:pPr>
        <w:spacing w:after="0" w:line="187" w:lineRule="exact"/>
        <w:rPr>
          <w:sz w:val="20"/>
          <w:szCs w:val="20"/>
          <w:color w:val="auto"/>
        </w:rPr>
      </w:pPr>
    </w:p>
    <w:p>
      <w:pPr>
        <w:ind w:left="11164"/>
        <w:spacing w:after="0"/>
        <w:rPr>
          <w:sz w:val="20"/>
          <w:szCs w:val="20"/>
          <w:color w:val="auto"/>
        </w:rPr>
      </w:pPr>
      <w:r>
        <w:rPr>
          <w:rFonts w:ascii="Arial" w:cs="Arial" w:eastAsia="Arial" w:hAnsi="Arial"/>
          <w:sz w:val="14"/>
          <w:szCs w:val="14"/>
          <w:color w:val="auto"/>
        </w:rPr>
        <w:t>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
        <w:spacing w:after="0"/>
        <w:rPr>
          <w:sz w:val="20"/>
          <w:szCs w:val="20"/>
          <w:color w:val="auto"/>
        </w:rPr>
      </w:pPr>
      <w:r>
        <w:rPr>
          <w:rFonts w:ascii="Arial" w:cs="Arial" w:eastAsia="Arial" w:hAnsi="Arial"/>
          <w:sz w:val="14"/>
          <w:szCs w:val="14"/>
          <w:color w:val="auto"/>
        </w:rPr>
        <w:t>Increase in cash and cash equivalents</w:t>
      </w:r>
    </w:p>
    <w:p>
      <w:pPr>
        <w:spacing w:after="0" w:line="175" w:lineRule="exact"/>
        <w:rPr>
          <w:sz w:val="20"/>
          <w:szCs w:val="20"/>
          <w:color w:val="auto"/>
        </w:rPr>
      </w:pPr>
    </w:p>
    <w:p>
      <w:pPr>
        <w:ind w:left="11164"/>
        <w:spacing w:after="0"/>
        <w:rPr>
          <w:sz w:val="20"/>
          <w:szCs w:val="20"/>
          <w:color w:val="auto"/>
        </w:rPr>
      </w:pPr>
      <w:r>
        <w:rPr>
          <w:rFonts w:ascii="Arial" w:cs="Arial" w:eastAsia="Arial" w:hAnsi="Arial"/>
          <w:sz w:val="14"/>
          <w:szCs w:val="14"/>
          <w:color w:val="auto"/>
        </w:rPr>
        <w:t>319</w:t>
      </w:r>
    </w:p>
    <w:p>
      <w:pPr>
        <w:spacing w:after="0" w:line="175" w:lineRule="exact"/>
        <w:rPr>
          <w:sz w:val="20"/>
          <w:szCs w:val="20"/>
          <w:color w:val="auto"/>
        </w:rPr>
      </w:pPr>
    </w:p>
    <w:p>
      <w:pPr>
        <w:ind w:left="11164"/>
        <w:spacing w:after="0"/>
        <w:rPr>
          <w:sz w:val="20"/>
          <w:szCs w:val="20"/>
          <w:color w:val="auto"/>
        </w:rPr>
      </w:pPr>
      <w:r>
        <w:rPr>
          <w:rFonts w:ascii="Arial" w:cs="Arial" w:eastAsia="Arial" w:hAnsi="Arial"/>
          <w:sz w:val="14"/>
          <w:szCs w:val="14"/>
          <w:color w:val="auto"/>
        </w:rPr>
        <w:t>272</w:t>
      </w:r>
    </w:p>
    <w:p>
      <w:pPr>
        <w:spacing w:after="0" w:line="7" w:lineRule="exact"/>
        <w:rPr>
          <w:sz w:val="20"/>
          <w:szCs w:val="20"/>
          <w:color w:val="auto"/>
        </w:rPr>
      </w:pPr>
    </w:p>
    <w:p>
      <w:pPr>
        <w:ind w:left="4"/>
        <w:spacing w:after="0"/>
        <w:rPr>
          <w:sz w:val="20"/>
          <w:szCs w:val="20"/>
          <w:color w:val="auto"/>
        </w:rPr>
      </w:pPr>
      <w:r>
        <w:rPr>
          <w:rFonts w:ascii="Arial" w:cs="Arial" w:eastAsia="Arial" w:hAnsi="Arial"/>
          <w:sz w:val="14"/>
          <w:szCs w:val="14"/>
          <w:color w:val="auto"/>
        </w:rPr>
        <w:t>Cash and cash equivalents, January 1</w:t>
      </w:r>
    </w:p>
    <w:p>
      <w:pPr>
        <w:spacing w:after="0" w:line="175" w:lineRule="exact"/>
        <w:rPr>
          <w:sz w:val="20"/>
          <w:szCs w:val="20"/>
          <w:color w:val="auto"/>
        </w:rPr>
      </w:pPr>
    </w:p>
    <w:p>
      <w:pPr>
        <w:ind w:left="11244"/>
        <w:spacing w:after="0"/>
        <w:rPr>
          <w:sz w:val="20"/>
          <w:szCs w:val="20"/>
          <w:color w:val="auto"/>
        </w:rPr>
      </w:pPr>
      <w:r>
        <w:rPr>
          <w:rFonts w:ascii="Arial" w:cs="Arial" w:eastAsia="Arial" w:hAnsi="Arial"/>
          <w:sz w:val="14"/>
          <w:szCs w:val="14"/>
          <w:color w:val="auto"/>
        </w:rPr>
        <w:t>13</w:t>
      </w:r>
    </w:p>
    <w:p>
      <w:pPr>
        <w:spacing w:after="0" w:line="175" w:lineRule="exact"/>
        <w:rPr>
          <w:sz w:val="20"/>
          <w:szCs w:val="20"/>
          <w:color w:val="auto"/>
        </w:rPr>
      </w:pPr>
    </w:p>
    <w:p>
      <w:pPr>
        <w:ind w:left="11244"/>
        <w:spacing w:after="0"/>
        <w:rPr>
          <w:sz w:val="20"/>
          <w:szCs w:val="20"/>
          <w:color w:val="auto"/>
        </w:rPr>
      </w:pPr>
      <w:r>
        <w:rPr>
          <w:rFonts w:ascii="Arial" w:cs="Arial" w:eastAsia="Arial" w:hAnsi="Arial"/>
          <w:sz w:val="14"/>
          <w:szCs w:val="14"/>
          <w:color w:val="auto"/>
        </w:rPr>
        <w:t>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4"/>
          <w:szCs w:val="14"/>
          <w:color w:val="auto"/>
        </w:rPr>
        <w:t>Cash and cash equivalents, September 30</w:t>
      </w:r>
    </w:p>
    <w:p>
      <w:pPr>
        <w:spacing w:after="0" w:line="17" w:lineRule="exact"/>
        <w:rPr>
          <w:sz w:val="20"/>
          <w:szCs w:val="20"/>
          <w:color w:val="auto"/>
        </w:rPr>
      </w:pPr>
    </w:p>
    <w:p>
      <w:pPr>
        <w:ind w:left="4"/>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1164"/>
        <w:spacing w:after="0"/>
        <w:rPr>
          <w:sz w:val="20"/>
          <w:szCs w:val="20"/>
          <w:color w:val="auto"/>
        </w:rPr>
      </w:pPr>
      <w:r>
        <w:rPr>
          <w:rFonts w:ascii="Arial" w:cs="Arial" w:eastAsia="Arial" w:hAnsi="Arial"/>
          <w:sz w:val="14"/>
          <w:szCs w:val="14"/>
          <w:color w:val="auto"/>
        </w:rPr>
        <w:t>332</w:t>
      </w:r>
    </w:p>
    <w:p>
      <w:pPr>
        <w:spacing w:after="0" w:line="7" w:lineRule="exact"/>
        <w:rPr>
          <w:sz w:val="20"/>
          <w:szCs w:val="20"/>
          <w:color w:val="auto"/>
        </w:rPr>
      </w:pPr>
    </w:p>
    <w:p>
      <w:pPr>
        <w:ind w:left="4"/>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1164"/>
        <w:spacing w:after="0"/>
        <w:rPr>
          <w:sz w:val="20"/>
          <w:szCs w:val="20"/>
          <w:color w:val="auto"/>
        </w:rPr>
      </w:pPr>
      <w:r>
        <w:rPr>
          <w:rFonts w:ascii="Arial" w:cs="Arial" w:eastAsia="Arial" w:hAnsi="Arial"/>
          <w:sz w:val="14"/>
          <w:szCs w:val="14"/>
          <w:color w:val="auto"/>
        </w:rPr>
        <w:t>291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
        <w:spacing w:after="0"/>
        <w:rPr>
          <w:sz w:val="20"/>
          <w:szCs w:val="20"/>
          <w:color w:val="auto"/>
        </w:rPr>
      </w:pPr>
      <w:r>
        <w:rPr>
          <w:rFonts w:ascii="Arial" w:cs="Arial" w:eastAsia="Arial" w:hAnsi="Arial"/>
          <w:sz w:val="14"/>
          <w:szCs w:val="14"/>
          <w:color w:val="auto"/>
        </w:rPr>
        <w:t>SUPPLEMENTAL DISCLOSURE OF CASH FLOW INFORMATION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4"/>
        <w:spacing w:after="0"/>
        <w:rPr>
          <w:sz w:val="20"/>
          <w:szCs w:val="20"/>
          <w:color w:val="auto"/>
        </w:rPr>
      </w:pPr>
      <w:r>
        <w:rPr>
          <w:rFonts w:ascii="Arial" w:cs="Arial" w:eastAsia="Arial" w:hAnsi="Arial"/>
          <w:sz w:val="14"/>
          <w:szCs w:val="14"/>
          <w:color w:val="auto"/>
        </w:rPr>
        <w:t>Interest payments, net of amounts capitalized</w:t>
      </w:r>
    </w:p>
    <w:p>
      <w:pPr>
        <w:spacing w:after="0" w:line="7" w:lineRule="exact"/>
        <w:rPr>
          <w:sz w:val="20"/>
          <w:szCs w:val="20"/>
          <w:color w:val="auto"/>
        </w:rPr>
      </w:pPr>
    </w:p>
    <w:p>
      <w:pPr>
        <w:ind w:left="4"/>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1244"/>
        <w:spacing w:after="0"/>
        <w:rPr>
          <w:sz w:val="20"/>
          <w:szCs w:val="20"/>
          <w:color w:val="auto"/>
        </w:rPr>
      </w:pPr>
      <w:r>
        <w:rPr>
          <w:rFonts w:ascii="Arial" w:cs="Arial" w:eastAsia="Arial" w:hAnsi="Arial"/>
          <w:sz w:val="14"/>
          <w:szCs w:val="14"/>
          <w:color w:val="auto"/>
        </w:rPr>
        <w:t>67</w:t>
      </w:r>
    </w:p>
    <w:p>
      <w:pPr>
        <w:spacing w:after="0" w:line="7" w:lineRule="exact"/>
        <w:rPr>
          <w:sz w:val="20"/>
          <w:szCs w:val="20"/>
          <w:color w:val="auto"/>
        </w:rPr>
      </w:pPr>
    </w:p>
    <w:p>
      <w:pPr>
        <w:ind w:left="4"/>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1244"/>
        <w:spacing w:after="0"/>
        <w:rPr>
          <w:sz w:val="20"/>
          <w:szCs w:val="20"/>
          <w:color w:val="auto"/>
        </w:rPr>
      </w:pPr>
      <w:r>
        <w:rPr>
          <w:rFonts w:ascii="Arial" w:cs="Arial" w:eastAsia="Arial" w:hAnsi="Arial"/>
          <w:sz w:val="14"/>
          <w:szCs w:val="14"/>
          <w:color w:val="auto"/>
        </w:rPr>
        <w:t>51</w:t>
      </w:r>
    </w:p>
    <w:p>
      <w:pPr>
        <w:spacing w:after="0" w:line="199" w:lineRule="exact"/>
        <w:rPr>
          <w:sz w:val="20"/>
          <w:szCs w:val="20"/>
          <w:color w:val="auto"/>
        </w:rPr>
      </w:pPr>
    </w:p>
    <w:p>
      <w:pPr>
        <w:ind w:left="164"/>
        <w:spacing w:after="0"/>
        <w:rPr>
          <w:sz w:val="20"/>
          <w:szCs w:val="20"/>
          <w:color w:val="auto"/>
        </w:rPr>
      </w:pPr>
      <w:r>
        <w:rPr>
          <w:rFonts w:ascii="Arial" w:cs="Arial" w:eastAsia="Arial" w:hAnsi="Arial"/>
          <w:sz w:val="14"/>
          <w:szCs w:val="14"/>
          <w:color w:val="auto"/>
        </w:rPr>
        <w:t>Income tax payments, net of refunds</w:t>
      </w:r>
    </w:p>
    <w:p>
      <w:pPr>
        <w:spacing w:after="0" w:line="367" w:lineRule="exact"/>
        <w:rPr>
          <w:sz w:val="20"/>
          <w:szCs w:val="20"/>
          <w:color w:val="auto"/>
        </w:rPr>
      </w:pPr>
    </w:p>
    <w:p>
      <w:pPr>
        <w:ind w:left="11244"/>
        <w:spacing w:after="0"/>
        <w:rPr>
          <w:sz w:val="20"/>
          <w:szCs w:val="20"/>
          <w:color w:val="auto"/>
        </w:rPr>
      </w:pPr>
      <w:r>
        <w:rPr>
          <w:rFonts w:ascii="Arial" w:cs="Arial" w:eastAsia="Arial" w:hAnsi="Arial"/>
          <w:sz w:val="14"/>
          <w:szCs w:val="14"/>
          <w:color w:val="auto"/>
        </w:rPr>
        <w:t>61</w:t>
      </w:r>
    </w:p>
    <w:p>
      <w:pPr>
        <w:spacing w:after="0" w:line="175" w:lineRule="exact"/>
        <w:rPr>
          <w:sz w:val="20"/>
          <w:szCs w:val="20"/>
          <w:color w:val="auto"/>
        </w:rPr>
      </w:pPr>
    </w:p>
    <w:p>
      <w:pPr>
        <w:ind w:left="11164"/>
        <w:spacing w:after="0"/>
        <w:rPr>
          <w:sz w:val="20"/>
          <w:szCs w:val="20"/>
          <w:color w:val="auto"/>
        </w:rPr>
      </w:pPr>
      <w:r>
        <w:rPr>
          <w:rFonts w:ascii="Arial" w:cs="Arial" w:eastAsia="Arial" w:hAnsi="Arial"/>
          <w:sz w:val="14"/>
          <w:szCs w:val="14"/>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
        <w:spacing w:after="0"/>
        <w:rPr>
          <w:sz w:val="20"/>
          <w:szCs w:val="20"/>
          <w:color w:val="auto"/>
        </w:rPr>
      </w:pPr>
      <w:r>
        <w:rPr>
          <w:rFonts w:ascii="Arial" w:cs="Arial" w:eastAsia="Arial" w:hAnsi="Arial"/>
          <w:sz w:val="14"/>
          <w:szCs w:val="14"/>
          <w:color w:val="auto"/>
        </w:rPr>
        <w:t>SUPPLEMENTAL DISCLOSURE OF NONCASH ACTIVITIES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4"/>
        <w:spacing w:after="0"/>
        <w:rPr>
          <w:sz w:val="20"/>
          <w:szCs w:val="20"/>
          <w:color w:val="auto"/>
        </w:rPr>
      </w:pPr>
      <w:r>
        <w:rPr>
          <w:rFonts w:ascii="Arial" w:cs="Arial" w:eastAsia="Arial" w:hAnsi="Arial"/>
          <w:sz w:val="14"/>
          <w:szCs w:val="14"/>
          <w:color w:val="auto"/>
        </w:rPr>
        <w:t>Increase in capital lease obligations for investments in property, plant 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4" w:hanging="324"/>
        <w:spacing w:after="0"/>
        <w:tabs>
          <w:tab w:leader="none" w:pos="404" w:val="left"/>
        </w:tabs>
        <w:numPr>
          <w:ilvl w:val="0"/>
          <w:numId w:val="7"/>
        </w:numPr>
        <w:rPr>
          <w:rFonts w:ascii="Arial" w:cs="Arial" w:eastAsia="Arial" w:hAnsi="Arial"/>
          <w:sz w:val="14"/>
          <w:szCs w:val="14"/>
          <w:color w:val="auto"/>
        </w:rPr>
      </w:pPr>
      <w:r>
        <w:rPr>
          <w:rFonts w:ascii="Arial" w:cs="Arial" w:eastAsia="Arial" w:hAnsi="Arial"/>
          <w:sz w:val="14"/>
          <w:szCs w:val="14"/>
          <w:color w:val="auto"/>
        </w:rPr>
        <w:t>equipment</w:t>
      </w:r>
    </w:p>
    <w:p>
      <w:pPr>
        <w:spacing w:after="0" w:line="7" w:lineRule="exact"/>
        <w:rPr>
          <w:sz w:val="20"/>
          <w:szCs w:val="20"/>
          <w:color w:val="auto"/>
        </w:rPr>
      </w:pPr>
    </w:p>
    <w:p>
      <w:pPr>
        <w:ind w:left="4"/>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1164"/>
        <w:spacing w:after="0"/>
        <w:rPr>
          <w:sz w:val="20"/>
          <w:szCs w:val="20"/>
          <w:color w:val="auto"/>
        </w:rPr>
      </w:pPr>
      <w:r>
        <w:rPr>
          <w:rFonts w:ascii="Arial" w:cs="Arial" w:eastAsia="Arial" w:hAnsi="Arial"/>
          <w:sz w:val="14"/>
          <w:szCs w:val="14"/>
          <w:color w:val="auto"/>
        </w:rPr>
        <w:t>183</w:t>
      </w:r>
    </w:p>
    <w:p>
      <w:pPr>
        <w:ind w:left="4"/>
        <w:spacing w:after="0"/>
        <w:rPr>
          <w:sz w:val="20"/>
          <w:szCs w:val="20"/>
          <w:color w:val="auto"/>
        </w:rPr>
      </w:pPr>
      <w:r>
        <w:rPr>
          <w:rFonts w:ascii="Arial" w:cs="Arial" w:eastAsia="Arial" w:hAnsi="Arial"/>
          <w:sz w:val="19"/>
          <w:szCs w:val="19"/>
          <w:color w:val="auto"/>
        </w:rPr>
        <w:t>$</w:t>
      </w:r>
    </w:p>
    <w:p>
      <w:pPr>
        <w:spacing w:after="0" w:line="5" w:lineRule="exact"/>
        <w:rPr>
          <w:sz w:val="20"/>
          <w:szCs w:val="20"/>
          <w:color w:val="auto"/>
        </w:rPr>
      </w:pPr>
    </w:p>
    <w:p>
      <w:pPr>
        <w:ind w:left="11344"/>
        <w:spacing w:after="0"/>
        <w:rPr>
          <w:sz w:val="20"/>
          <w:szCs w:val="20"/>
          <w:color w:val="auto"/>
        </w:rPr>
      </w:pPr>
      <w:r>
        <w:rPr>
          <w:rFonts w:ascii="Arial" w:cs="Arial" w:eastAsia="Arial" w:hAnsi="Arial"/>
          <w:sz w:val="14"/>
          <w:szCs w:val="14"/>
          <w:color w:val="auto"/>
        </w:rPr>
        <w:t>-</w:t>
      </w:r>
    </w:p>
    <w:p>
      <w:pPr>
        <w:spacing w:after="0" w:line="7" w:lineRule="exact"/>
        <w:rPr>
          <w:sz w:val="20"/>
          <w:szCs w:val="20"/>
          <w:color w:val="auto"/>
        </w:rPr>
      </w:pPr>
    </w:p>
    <w:p>
      <w:pPr>
        <w:ind w:left="164"/>
        <w:spacing w:after="0"/>
        <w:rPr>
          <w:sz w:val="20"/>
          <w:szCs w:val="20"/>
          <w:color w:val="auto"/>
        </w:rPr>
      </w:pPr>
      <w:r>
        <w:rPr>
          <w:rFonts w:ascii="Arial" w:cs="Arial" w:eastAsia="Arial" w:hAnsi="Arial"/>
          <w:sz w:val="14"/>
          <w:szCs w:val="14"/>
          <w:color w:val="auto"/>
        </w:rPr>
        <w:t>Dividends declared but not paid</w:t>
      </w:r>
    </w:p>
    <w:p>
      <w:pPr>
        <w:spacing w:after="0" w:line="175" w:lineRule="exact"/>
        <w:rPr>
          <w:sz w:val="20"/>
          <w:szCs w:val="20"/>
          <w:color w:val="auto"/>
        </w:rPr>
      </w:pPr>
    </w:p>
    <w:p>
      <w:pPr>
        <w:ind w:left="11324"/>
        <w:spacing w:after="0"/>
        <w:rPr>
          <w:sz w:val="20"/>
          <w:szCs w:val="20"/>
          <w:color w:val="auto"/>
        </w:rPr>
      </w:pPr>
      <w:r>
        <w:rPr>
          <w:rFonts w:ascii="Arial" w:cs="Arial" w:eastAsia="Arial" w:hAnsi="Arial"/>
          <w:sz w:val="14"/>
          <w:szCs w:val="14"/>
          <w:color w:val="auto"/>
        </w:rPr>
        <w:t>1</w:t>
      </w:r>
    </w:p>
    <w:p>
      <w:pPr>
        <w:spacing w:after="0" w:line="175" w:lineRule="exact"/>
        <w:rPr>
          <w:sz w:val="20"/>
          <w:szCs w:val="20"/>
          <w:color w:val="auto"/>
        </w:rPr>
      </w:pPr>
    </w:p>
    <w:p>
      <w:pPr>
        <w:ind w:left="11324"/>
        <w:spacing w:after="0"/>
        <w:rPr>
          <w:sz w:val="20"/>
          <w:szCs w:val="20"/>
          <w:color w:val="auto"/>
        </w:rPr>
      </w:pPr>
      <w:r>
        <w:rPr>
          <w:rFonts w:ascii="Arial" w:cs="Arial" w:eastAsia="Arial" w:hAnsi="Arial"/>
          <w:sz w:val="14"/>
          <w:szCs w:val="14"/>
          <w:color w:val="auto"/>
        </w:rPr>
        <w:t>1</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527050</wp:posOffset>
            </wp:positionV>
            <wp:extent cx="4160520" cy="434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6052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PACIFIC ENTERPRISES AND SUBSIDIARIES</w:t>
      </w:r>
    </w:p>
    <w:p>
      <w:pPr>
        <w:spacing w:after="0" w:line="67"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100"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(Dollars in millions)</w:t>
      </w:r>
    </w:p>
    <w:p>
      <w:pPr>
        <w:spacing w:after="0" w:line="43" w:lineRule="exact"/>
        <w:rPr>
          <w:sz w:val="20"/>
          <w:szCs w:val="20"/>
          <w:color w:val="auto"/>
        </w:rPr>
      </w:pPr>
    </w:p>
    <w:tbl>
      <w:tblPr>
        <w:tblLayout w:type="fixed"/>
        <w:tblInd w:w="4" w:type="dxa"/>
        <w:tblCellMar>
          <w:top w:w="0" w:type="dxa"/>
          <w:left w:w="0" w:type="dxa"/>
          <w:bottom w:w="0" w:type="dxa"/>
          <w:right w:w="0" w:type="dxa"/>
        </w:tblCellMar>
      </w:tblPr>
      <w:tr>
        <w:trPr>
          <w:trHeight w:val="154"/>
        </w:trPr>
        <w:tc>
          <w:tcPr>
            <w:tcW w:w="2740" w:type="dxa"/>
            <w:vAlign w:val="bottom"/>
          </w:tcPr>
          <w:p>
            <w:pPr>
              <w:spacing w:after="0"/>
              <w:rPr>
                <w:sz w:val="13"/>
                <w:szCs w:val="13"/>
                <w:color w:val="auto"/>
              </w:rPr>
            </w:pPr>
          </w:p>
        </w:tc>
        <w:tc>
          <w:tcPr>
            <w:tcW w:w="1460" w:type="dxa"/>
            <w:vAlign w:val="bottom"/>
            <w:gridSpan w:val="2"/>
          </w:tcPr>
          <w:p>
            <w:pPr>
              <w:jc w:val="center"/>
              <w:ind w:left="16"/>
              <w:spacing w:after="0"/>
              <w:rPr>
                <w:sz w:val="20"/>
                <w:szCs w:val="20"/>
                <w:color w:val="auto"/>
              </w:rPr>
            </w:pPr>
            <w:r>
              <w:rPr>
                <w:rFonts w:ascii="Arial" w:cs="Arial" w:eastAsia="Arial" w:hAnsi="Arial"/>
                <w:sz w:val="13"/>
                <w:szCs w:val="13"/>
                <w:color w:val="auto"/>
                <w:w w:val="98"/>
              </w:rPr>
              <w:t>Three months ended</w:t>
            </w:r>
          </w:p>
        </w:tc>
        <w:tc>
          <w:tcPr>
            <w:tcW w:w="2340" w:type="dxa"/>
            <w:vAlign w:val="bottom"/>
            <w:gridSpan w:val="2"/>
          </w:tcPr>
          <w:p>
            <w:pPr>
              <w:jc w:val="center"/>
              <w:ind w:left="36"/>
              <w:spacing w:after="0"/>
              <w:rPr>
                <w:sz w:val="20"/>
                <w:szCs w:val="20"/>
                <w:color w:val="auto"/>
              </w:rPr>
            </w:pPr>
            <w:r>
              <w:rPr>
                <w:rFonts w:ascii="Arial" w:cs="Arial" w:eastAsia="Arial" w:hAnsi="Arial"/>
                <w:sz w:val="13"/>
                <w:szCs w:val="13"/>
                <w:color w:val="auto"/>
                <w:w w:val="99"/>
              </w:rPr>
              <w:t>Nine months ended</w:t>
            </w:r>
          </w:p>
        </w:tc>
      </w:tr>
      <w:tr>
        <w:trPr>
          <w:trHeight w:val="166"/>
        </w:trPr>
        <w:tc>
          <w:tcPr>
            <w:tcW w:w="2740" w:type="dxa"/>
            <w:vAlign w:val="bottom"/>
          </w:tcPr>
          <w:p>
            <w:pPr>
              <w:spacing w:after="0"/>
              <w:rPr>
                <w:sz w:val="14"/>
                <w:szCs w:val="14"/>
                <w:color w:val="auto"/>
              </w:rPr>
            </w:pPr>
          </w:p>
        </w:tc>
        <w:tc>
          <w:tcPr>
            <w:tcW w:w="1460" w:type="dxa"/>
            <w:vAlign w:val="bottom"/>
            <w:tcBorders>
              <w:bottom w:val="single" w:sz="8" w:color="auto"/>
            </w:tcBorders>
            <w:gridSpan w:val="2"/>
          </w:tcPr>
          <w:p>
            <w:pPr>
              <w:jc w:val="center"/>
              <w:ind w:left="36"/>
              <w:spacing w:after="0"/>
              <w:rPr>
                <w:sz w:val="20"/>
                <w:szCs w:val="20"/>
                <w:color w:val="auto"/>
              </w:rPr>
            </w:pPr>
            <w:r>
              <w:rPr>
                <w:rFonts w:ascii="Arial" w:cs="Arial" w:eastAsia="Arial" w:hAnsi="Arial"/>
                <w:sz w:val="13"/>
                <w:szCs w:val="13"/>
                <w:color w:val="auto"/>
                <w:w w:val="98"/>
              </w:rPr>
              <w:t>September 30,</w:t>
            </w:r>
          </w:p>
        </w:tc>
        <w:tc>
          <w:tcPr>
            <w:tcW w:w="1680" w:type="dxa"/>
            <w:vAlign w:val="bottom"/>
            <w:tcBorders>
              <w:bottom w:val="single" w:sz="8" w:color="auto"/>
            </w:tcBorders>
          </w:tcPr>
          <w:p>
            <w:pPr>
              <w:jc w:val="center"/>
              <w:ind w:left="696"/>
              <w:spacing w:after="0"/>
              <w:rPr>
                <w:sz w:val="20"/>
                <w:szCs w:val="20"/>
                <w:color w:val="auto"/>
              </w:rPr>
            </w:pPr>
            <w:r>
              <w:rPr>
                <w:rFonts w:ascii="Arial" w:cs="Arial" w:eastAsia="Arial" w:hAnsi="Arial"/>
                <w:sz w:val="13"/>
                <w:szCs w:val="13"/>
                <w:color w:val="auto"/>
                <w:w w:val="98"/>
              </w:rPr>
              <w:t>September 30,</w:t>
            </w:r>
          </w:p>
        </w:tc>
        <w:tc>
          <w:tcPr>
            <w:tcW w:w="660" w:type="dxa"/>
            <w:vAlign w:val="bottom"/>
            <w:tcBorders>
              <w:bottom w:val="single" w:sz="8" w:color="auto"/>
            </w:tcBorders>
          </w:tcPr>
          <w:p>
            <w:pPr>
              <w:spacing w:after="0"/>
              <w:rPr>
                <w:sz w:val="14"/>
                <w:szCs w:val="14"/>
                <w:color w:val="auto"/>
              </w:rPr>
            </w:pPr>
          </w:p>
        </w:tc>
      </w:tr>
      <w:tr>
        <w:trPr>
          <w:trHeight w:val="160"/>
        </w:trPr>
        <w:tc>
          <w:tcPr>
            <w:tcW w:w="350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3"/>
                <w:szCs w:val="13"/>
                <w:color w:val="auto"/>
              </w:rPr>
              <w:t>2010</w:t>
            </w: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2009</w:t>
            </w:r>
          </w:p>
        </w:tc>
        <w:tc>
          <w:tcPr>
            <w:tcW w:w="16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2010</w:t>
            </w:r>
          </w:p>
        </w:tc>
        <w:tc>
          <w:tcPr>
            <w:tcW w:w="6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2009</w:t>
            </w:r>
          </w:p>
        </w:tc>
      </w:tr>
      <w:tr>
        <w:trPr>
          <w:trHeight w:val="174"/>
        </w:trPr>
        <w:tc>
          <w:tcPr>
            <w:tcW w:w="2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jc w:val="right"/>
              <w:ind w:right="856"/>
              <w:spacing w:after="0"/>
              <w:rPr>
                <w:sz w:val="20"/>
                <w:szCs w:val="20"/>
                <w:color w:val="auto"/>
              </w:rPr>
            </w:pPr>
            <w:r>
              <w:rPr>
                <w:rFonts w:ascii="Arial" w:cs="Arial" w:eastAsia="Arial" w:hAnsi="Arial"/>
                <w:sz w:val="13"/>
                <w:szCs w:val="13"/>
                <w:color w:val="auto"/>
              </w:rPr>
              <w:t>(unaudited)</w:t>
            </w:r>
          </w:p>
        </w:tc>
        <w:tc>
          <w:tcPr>
            <w:tcW w:w="660" w:type="dxa"/>
            <w:vAlign w:val="bottom"/>
          </w:tcPr>
          <w:p>
            <w:pPr>
              <w:spacing w:after="0"/>
              <w:rPr>
                <w:sz w:val="15"/>
                <w:szCs w:val="15"/>
                <w:color w:val="auto"/>
              </w:rPr>
            </w:pPr>
          </w:p>
        </w:tc>
      </w:tr>
    </w:tbl>
    <w:p>
      <w:pPr>
        <w:sectPr>
          <w:pgSz w:w="11900" w:h="16838" w:orient="portrait"/>
          <w:cols w:equalWidth="0" w:num="1">
            <w:col w:w="11444"/>
          </w:cols>
          <w:pgMar w:left="236" w:top="141" w:right="219" w:bottom="0" w:gutter="0" w:footer="0" w:header="0"/>
        </w:sectPr>
      </w:pPr>
    </w:p>
    <w:bookmarkStart w:id="11" w:name="page12"/>
    <w:bookmarkEnd w:id="11"/>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40" w:type="dxa"/>
            <w:vAlign w:val="bottom"/>
          </w:tcPr>
          <w:p>
            <w:pPr>
              <w:ind w:left="80"/>
              <w:spacing w:after="0"/>
              <w:rPr>
                <w:sz w:val="20"/>
                <w:szCs w:val="20"/>
                <w:color w:val="auto"/>
              </w:rPr>
            </w:pPr>
            <w:r>
              <w:rPr>
                <w:rFonts w:ascii="Arial" w:cs="Arial" w:eastAsia="Arial" w:hAnsi="Arial"/>
                <w:sz w:val="14"/>
                <w:szCs w:val="14"/>
                <w:color w:val="auto"/>
              </w:rPr>
              <w:t>Operating revenues</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776</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662</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2,792</w:t>
            </w: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2,276</w:t>
            </w:r>
          </w:p>
        </w:tc>
      </w:tr>
      <w:tr>
        <w:trPr>
          <w:trHeight w:val="226"/>
        </w:trPr>
        <w:tc>
          <w:tcPr>
            <w:tcW w:w="2740" w:type="dxa"/>
            <w:vAlign w:val="bottom"/>
          </w:tcPr>
          <w:p>
            <w:pPr>
              <w:ind w:left="8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192"/>
        </w:trPr>
        <w:tc>
          <w:tcPr>
            <w:tcW w:w="2740" w:type="dxa"/>
            <w:vAlign w:val="bottom"/>
          </w:tcPr>
          <w:p>
            <w:pPr>
              <w:ind w:left="240"/>
              <w:spacing w:after="0"/>
              <w:rPr>
                <w:sz w:val="20"/>
                <w:szCs w:val="20"/>
                <w:color w:val="auto"/>
              </w:rPr>
            </w:pPr>
            <w:r>
              <w:rPr>
                <w:rFonts w:ascii="Arial" w:cs="Arial" w:eastAsia="Arial" w:hAnsi="Arial"/>
                <w:sz w:val="14"/>
                <w:szCs w:val="14"/>
                <w:color w:val="auto"/>
              </w:rPr>
              <w:t>Cost of natural gas</w:t>
            </w:r>
          </w:p>
        </w:tc>
        <w:tc>
          <w:tcPr>
            <w:tcW w:w="2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252</w:t>
            </w:r>
          </w:p>
        </w:tc>
        <w:tc>
          <w:tcPr>
            <w:tcW w:w="2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180</w:t>
            </w:r>
          </w:p>
        </w:tc>
        <w:tc>
          <w:tcPr>
            <w:tcW w:w="68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1,244</w:t>
            </w:r>
          </w:p>
        </w:tc>
        <w:tc>
          <w:tcPr>
            <w:tcW w:w="3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849</w:t>
            </w:r>
          </w:p>
        </w:tc>
      </w:tr>
      <w:tr>
        <w:trPr>
          <w:trHeight w:val="192"/>
        </w:trPr>
        <w:tc>
          <w:tcPr>
            <w:tcW w:w="2740" w:type="dxa"/>
            <w:vAlign w:val="bottom"/>
          </w:tcPr>
          <w:p>
            <w:pPr>
              <w:ind w:left="240"/>
              <w:spacing w:after="0"/>
              <w:rPr>
                <w:sz w:val="20"/>
                <w:szCs w:val="20"/>
                <w:color w:val="auto"/>
              </w:rPr>
            </w:pPr>
            <w:r>
              <w:rPr>
                <w:rFonts w:ascii="Arial" w:cs="Arial" w:eastAsia="Arial" w:hAnsi="Arial"/>
                <w:sz w:val="14"/>
                <w:szCs w:val="14"/>
                <w:color w:val="auto"/>
              </w:rPr>
              <w:t>Operation and maintenance</w:t>
            </w:r>
          </w:p>
        </w:tc>
        <w:tc>
          <w:tcPr>
            <w:tcW w:w="2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283</w:t>
            </w:r>
          </w:p>
        </w:tc>
        <w:tc>
          <w:tcPr>
            <w:tcW w:w="2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249</w:t>
            </w:r>
          </w:p>
        </w:tc>
        <w:tc>
          <w:tcPr>
            <w:tcW w:w="68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838</w:t>
            </w:r>
          </w:p>
        </w:tc>
        <w:tc>
          <w:tcPr>
            <w:tcW w:w="3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766</w:t>
            </w:r>
          </w:p>
        </w:tc>
      </w:tr>
      <w:tr>
        <w:trPr>
          <w:trHeight w:val="192"/>
        </w:trPr>
        <w:tc>
          <w:tcPr>
            <w:tcW w:w="2740" w:type="dxa"/>
            <w:vAlign w:val="bottom"/>
          </w:tcPr>
          <w:p>
            <w:pPr>
              <w:ind w:left="24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78</w:t>
            </w:r>
          </w:p>
        </w:tc>
        <w:tc>
          <w:tcPr>
            <w:tcW w:w="2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68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230</w:t>
            </w:r>
          </w:p>
        </w:tc>
        <w:tc>
          <w:tcPr>
            <w:tcW w:w="3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220</w:t>
            </w:r>
          </w:p>
        </w:tc>
      </w:tr>
      <w:tr>
        <w:trPr>
          <w:trHeight w:val="186"/>
        </w:trPr>
        <w:tc>
          <w:tcPr>
            <w:tcW w:w="2740" w:type="dxa"/>
            <w:vAlign w:val="bottom"/>
          </w:tcPr>
          <w:p>
            <w:pPr>
              <w:ind w:left="240"/>
              <w:spacing w:after="0"/>
              <w:rPr>
                <w:sz w:val="20"/>
                <w:szCs w:val="20"/>
                <w:color w:val="auto"/>
              </w:rPr>
            </w:pPr>
            <w:r>
              <w:rPr>
                <w:rFonts w:ascii="Arial" w:cs="Arial" w:eastAsia="Arial" w:hAnsi="Arial"/>
                <w:sz w:val="14"/>
                <w:szCs w:val="14"/>
                <w:color w:val="auto"/>
              </w:rPr>
              <w:t>Franchise fees and other taxes</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w:t>
            </w:r>
          </w:p>
        </w:tc>
        <w:tc>
          <w:tcPr>
            <w:tcW w:w="680" w:type="dxa"/>
            <w:vAlign w:val="bottom"/>
            <w:tcBorders>
              <w:bottom w:val="single" w:sz="8" w:color="auto"/>
            </w:tcBorders>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92</w:t>
            </w: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w:t>
            </w:r>
          </w:p>
        </w:tc>
      </w:tr>
      <w:tr>
        <w:trPr>
          <w:trHeight w:val="220"/>
        </w:trPr>
        <w:tc>
          <w:tcPr>
            <w:tcW w:w="2740" w:type="dxa"/>
            <w:vAlign w:val="bottom"/>
          </w:tcPr>
          <w:p>
            <w:pPr>
              <w:ind w:left="40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640</w:t>
            </w: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527</w:t>
            </w: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2,404</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1,916</w:t>
            </w:r>
          </w:p>
        </w:tc>
      </w:tr>
      <w:tr>
        <w:trPr>
          <w:trHeight w:val="226"/>
        </w:trPr>
        <w:tc>
          <w:tcPr>
            <w:tcW w:w="2740" w:type="dxa"/>
            <w:vAlign w:val="bottom"/>
          </w:tcPr>
          <w:p>
            <w:pPr>
              <w:ind w:left="80"/>
              <w:spacing w:after="0"/>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136</w:t>
            </w:r>
          </w:p>
        </w:tc>
        <w:tc>
          <w:tcPr>
            <w:tcW w:w="26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135</w:t>
            </w:r>
          </w:p>
        </w:tc>
        <w:tc>
          <w:tcPr>
            <w:tcW w:w="680" w:type="dxa"/>
            <w:vAlign w:val="bottom"/>
          </w:tcPr>
          <w:p>
            <w:pPr>
              <w:spacing w:after="0"/>
              <w:rPr>
                <w:sz w:val="19"/>
                <w:szCs w:val="19"/>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388</w:t>
            </w:r>
          </w:p>
        </w:tc>
        <w:tc>
          <w:tcPr>
            <w:tcW w:w="320" w:type="dxa"/>
            <w:vAlign w:val="bottom"/>
          </w:tcPr>
          <w:p>
            <w:pPr>
              <w:spacing w:after="0"/>
              <w:rPr>
                <w:sz w:val="19"/>
                <w:szCs w:val="19"/>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360</w:t>
            </w:r>
          </w:p>
        </w:tc>
      </w:tr>
      <w:tr>
        <w:trPr>
          <w:trHeight w:val="240"/>
        </w:trPr>
        <w:tc>
          <w:tcPr>
            <w:tcW w:w="2740" w:type="dxa"/>
            <w:vAlign w:val="bottom"/>
          </w:tcPr>
          <w:p>
            <w:pPr>
              <w:ind w:left="80"/>
              <w:spacing w:after="0"/>
              <w:rPr>
                <w:sz w:val="20"/>
                <w:szCs w:val="20"/>
                <w:color w:val="auto"/>
              </w:rPr>
            </w:pPr>
            <w:r>
              <w:rPr>
                <w:rFonts w:ascii="Arial" w:cs="Arial" w:eastAsia="Arial" w:hAnsi="Arial"/>
                <w:sz w:val="14"/>
                <w:szCs w:val="14"/>
                <w:color w:val="auto"/>
              </w:rPr>
              <w:t>Other income (expense), net</w:t>
            </w:r>
          </w:p>
        </w:tc>
        <w:tc>
          <w:tcPr>
            <w:tcW w:w="260" w:type="dxa"/>
            <w:vAlign w:val="bottom"/>
          </w:tcPr>
          <w:p>
            <w:pPr>
              <w:spacing w:after="0"/>
              <w:rPr>
                <w:sz w:val="20"/>
                <w:szCs w:val="20"/>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20"/>
                <w:szCs w:val="20"/>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680" w:type="dxa"/>
            <w:vAlign w:val="bottom"/>
          </w:tcPr>
          <w:p>
            <w:pPr>
              <w:spacing w:after="0"/>
              <w:rPr>
                <w:sz w:val="20"/>
                <w:szCs w:val="20"/>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20"/>
                <w:szCs w:val="20"/>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w:t>
            </w:r>
          </w:p>
        </w:tc>
      </w:tr>
      <w:tr>
        <w:trPr>
          <w:trHeight w:val="192"/>
        </w:trPr>
        <w:tc>
          <w:tcPr>
            <w:tcW w:w="2740" w:type="dxa"/>
            <w:vAlign w:val="bottom"/>
          </w:tcPr>
          <w:p>
            <w:pPr>
              <w:ind w:left="8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ind w:left="100"/>
              <w:spacing w:after="0"/>
              <w:rPr>
                <w:sz w:val="20"/>
                <w:szCs w:val="20"/>
                <w:color w:val="auto"/>
              </w:rPr>
            </w:pPr>
            <w:r>
              <w:rPr>
                <w:rFonts w:ascii="Arial" w:cs="Arial" w:eastAsia="Arial" w:hAnsi="Arial"/>
                <w:sz w:val="14"/>
                <w:szCs w:val="14"/>
                <w:color w:val="auto"/>
              </w:rPr>
              <w:t>&amp;n bsp;</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w:t>
            </w:r>
          </w:p>
        </w:tc>
      </w:tr>
      <w:tr>
        <w:trPr>
          <w:trHeight w:val="186"/>
        </w:trPr>
        <w:tc>
          <w:tcPr>
            <w:tcW w:w="2740" w:type="dxa"/>
            <w:vAlign w:val="bottom"/>
          </w:tcPr>
          <w:p>
            <w:pPr>
              <w:ind w:left="8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r>
      <w:tr>
        <w:trPr>
          <w:trHeight w:val="224"/>
        </w:trPr>
        <w:tc>
          <w:tcPr>
            <w:tcW w:w="2740" w:type="dxa"/>
            <w:vAlign w:val="bottom"/>
          </w:tcPr>
          <w:p>
            <w:pPr>
              <w:ind w:left="80"/>
              <w:spacing w:after="0"/>
              <w:rPr>
                <w:sz w:val="20"/>
                <w:szCs w:val="20"/>
                <w:color w:val="auto"/>
              </w:rPr>
            </w:pPr>
            <w:r>
              <w:rPr>
                <w:rFonts w:ascii="Arial" w:cs="Arial" w:eastAsia="Arial" w:hAnsi="Arial"/>
                <w:sz w:val="14"/>
                <w:szCs w:val="14"/>
                <w:color w:val="auto"/>
              </w:rPr>
              <w:t>Income before income taxes</w:t>
            </w:r>
          </w:p>
        </w:tc>
        <w:tc>
          <w:tcPr>
            <w:tcW w:w="26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121</w:t>
            </w:r>
          </w:p>
        </w:tc>
        <w:tc>
          <w:tcPr>
            <w:tcW w:w="26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114</w:t>
            </w:r>
          </w:p>
        </w:tc>
        <w:tc>
          <w:tcPr>
            <w:tcW w:w="680" w:type="dxa"/>
            <w:vAlign w:val="bottom"/>
          </w:tcPr>
          <w:p>
            <w:pPr>
              <w:spacing w:after="0"/>
              <w:rPr>
                <w:sz w:val="19"/>
                <w:szCs w:val="19"/>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347</w:t>
            </w:r>
          </w:p>
        </w:tc>
        <w:tc>
          <w:tcPr>
            <w:tcW w:w="320" w:type="dxa"/>
            <w:vAlign w:val="bottom"/>
          </w:tcPr>
          <w:p>
            <w:pPr>
              <w:spacing w:after="0"/>
              <w:rPr>
                <w:sz w:val="19"/>
                <w:szCs w:val="19"/>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312</w:t>
            </w:r>
          </w:p>
        </w:tc>
      </w:tr>
      <w:tr>
        <w:trPr>
          <w:trHeight w:val="188"/>
        </w:trPr>
        <w:tc>
          <w:tcPr>
            <w:tcW w:w="2740" w:type="dxa"/>
            <w:vAlign w:val="bottom"/>
          </w:tcPr>
          <w:p>
            <w:pPr>
              <w:ind w:left="8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c>
          <w:tcPr>
            <w:tcW w:w="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w:t>
            </w:r>
          </w:p>
        </w:tc>
      </w:tr>
      <w:tr>
        <w:trPr>
          <w:trHeight w:val="226"/>
        </w:trPr>
        <w:tc>
          <w:tcPr>
            <w:tcW w:w="274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79</w:t>
            </w:r>
          </w:p>
        </w:tc>
        <w:tc>
          <w:tcPr>
            <w:tcW w:w="26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680" w:type="dxa"/>
            <w:vAlign w:val="bottom"/>
          </w:tcPr>
          <w:p>
            <w:pPr>
              <w:spacing w:after="0"/>
              <w:rPr>
                <w:sz w:val="19"/>
                <w:szCs w:val="19"/>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215</w:t>
            </w:r>
          </w:p>
        </w:tc>
        <w:tc>
          <w:tcPr>
            <w:tcW w:w="320" w:type="dxa"/>
            <w:vAlign w:val="bottom"/>
          </w:tcPr>
          <w:p>
            <w:pPr>
              <w:spacing w:after="0"/>
              <w:rPr>
                <w:sz w:val="19"/>
                <w:szCs w:val="19"/>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195</w:t>
            </w:r>
          </w:p>
        </w:tc>
      </w:tr>
      <w:tr>
        <w:trPr>
          <w:trHeight w:val="186"/>
        </w:trPr>
        <w:tc>
          <w:tcPr>
            <w:tcW w:w="2740" w:type="dxa"/>
            <w:vAlign w:val="bottom"/>
          </w:tcPr>
          <w:p>
            <w:pPr>
              <w:ind w:left="80"/>
              <w:spacing w:after="0"/>
              <w:rPr>
                <w:sz w:val="20"/>
                <w:szCs w:val="20"/>
                <w:color w:val="auto"/>
              </w:rPr>
            </w:pPr>
            <w:r>
              <w:rPr>
                <w:rFonts w:ascii="Arial" w:cs="Arial" w:eastAsia="Arial" w:hAnsi="Arial"/>
                <w:sz w:val="14"/>
                <w:szCs w:val="14"/>
                <w:color w:val="auto"/>
              </w:rPr>
              <w:t>Preferred dividends of subsidiary</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r>
      <w:tr>
        <w:trPr>
          <w:trHeight w:val="226"/>
        </w:trPr>
        <w:tc>
          <w:tcPr>
            <w:tcW w:w="2740" w:type="dxa"/>
            <w:vAlign w:val="bottom"/>
          </w:tcPr>
          <w:p>
            <w:pPr>
              <w:ind w:left="80"/>
              <w:spacing w:after="0"/>
              <w:rPr>
                <w:sz w:val="20"/>
                <w:szCs w:val="20"/>
                <w:color w:val="auto"/>
              </w:rPr>
            </w:pPr>
            <w:r>
              <w:rPr>
                <w:rFonts w:ascii="Arial" w:cs="Arial" w:eastAsia="Arial" w:hAnsi="Arial"/>
                <w:sz w:val="14"/>
                <w:szCs w:val="14"/>
                <w:color w:val="auto"/>
              </w:rPr>
              <w:t>Earnings</w:t>
            </w:r>
          </w:p>
        </w:tc>
        <w:tc>
          <w:tcPr>
            <w:tcW w:w="26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79</w:t>
            </w:r>
          </w:p>
        </w:tc>
        <w:tc>
          <w:tcPr>
            <w:tcW w:w="260" w:type="dxa"/>
            <w:vAlign w:val="bottom"/>
          </w:tcPr>
          <w:p>
            <w:pPr>
              <w:spacing w:after="0"/>
              <w:rPr>
                <w:sz w:val="19"/>
                <w:szCs w:val="19"/>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680" w:type="dxa"/>
            <w:vAlign w:val="bottom"/>
          </w:tcPr>
          <w:p>
            <w:pPr>
              <w:spacing w:after="0"/>
              <w:rPr>
                <w:sz w:val="19"/>
                <w:szCs w:val="19"/>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214</w:t>
            </w:r>
          </w:p>
        </w:tc>
        <w:tc>
          <w:tcPr>
            <w:tcW w:w="320" w:type="dxa"/>
            <w:vAlign w:val="bottom"/>
          </w:tcPr>
          <w:p>
            <w:pPr>
              <w:spacing w:after="0"/>
              <w:rPr>
                <w:sz w:val="19"/>
                <w:szCs w:val="19"/>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194</w:t>
            </w:r>
          </w:p>
        </w:tc>
      </w:tr>
      <w:tr>
        <w:trPr>
          <w:trHeight w:val="186"/>
        </w:trPr>
        <w:tc>
          <w:tcPr>
            <w:tcW w:w="2740" w:type="dxa"/>
            <w:vAlign w:val="bottom"/>
          </w:tcPr>
          <w:p>
            <w:pPr>
              <w:ind w:left="80"/>
              <w:spacing w:after="0"/>
              <w:rPr>
                <w:sz w:val="20"/>
                <w:szCs w:val="20"/>
                <w:color w:val="auto"/>
              </w:rPr>
            </w:pPr>
            <w:r>
              <w:rPr>
                <w:rFonts w:ascii="Arial" w:cs="Arial" w:eastAsia="Arial" w:hAnsi="Arial"/>
                <w:sz w:val="14"/>
                <w:szCs w:val="14"/>
                <w:color w:val="auto"/>
              </w:rPr>
              <w:t>Preferred dividend requirements</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r>
      <w:tr>
        <w:trPr>
          <w:trHeight w:val="224"/>
        </w:trPr>
        <w:tc>
          <w:tcPr>
            <w:tcW w:w="27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Earnings attributable to common shares</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211</w:t>
            </w:r>
          </w:p>
        </w:tc>
        <w:tc>
          <w:tcPr>
            <w:tcW w:w="320" w:type="dxa"/>
            <w:vAlign w:val="bottom"/>
            <w:tcBorders>
              <w:bottom w:val="single" w:sz="8" w:color="auto"/>
            </w:tcBorders>
          </w:tcPr>
          <w:p>
            <w:pPr>
              <w:jc w:val="right"/>
              <w:ind w:right="36"/>
              <w:spacing w:after="0" w:line="208" w:lineRule="exact"/>
              <w:rPr>
                <w:sz w:val="20"/>
                <w:szCs w:val="20"/>
                <w:color w:val="auto"/>
              </w:rPr>
            </w:pPr>
            <w:r>
              <w:rPr>
                <w:rFonts w:ascii="Arial" w:cs="Arial" w:eastAsia="Arial" w:hAnsi="Arial"/>
                <w:sz w:val="19"/>
                <w:szCs w:val="19"/>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r>
    </w:tbl>
    <w:p>
      <w:pPr>
        <w:spacing w:after="0" w:line="64"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4450080" cy="434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50080" cy="434340"/>
                    </a:xfrm>
                    <a:prstGeom prst="rect">
                      <a:avLst/>
                    </a:prstGeom>
                    <a:noFill/>
                  </pic:spPr>
                </pic:pic>
              </a:graphicData>
            </a:graphic>
          </wp:anchor>
        </w:drawing>
      </w:r>
    </w:p>
    <w:p>
      <w:pPr>
        <w:spacing w:after="0" w:line="24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PACIFIC ENTERPRISES AND SUBSIDIARIES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4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40" w:type="dxa"/>
            <w:vAlign w:val="bottom"/>
          </w:tcPr>
          <w:p>
            <w:pPr>
              <w:spacing w:after="0"/>
              <w:rPr>
                <w:sz w:val="14"/>
                <w:szCs w:val="14"/>
                <w:color w:val="auto"/>
              </w:rPr>
            </w:pPr>
          </w:p>
        </w:tc>
        <w:tc>
          <w:tcPr>
            <w:tcW w:w="1000" w:type="dxa"/>
            <w:vAlign w:val="bottom"/>
            <w:gridSpan w:val="3"/>
          </w:tcPr>
          <w:p>
            <w:pPr>
              <w:ind w:left="100"/>
              <w:spacing w:after="0"/>
              <w:rPr>
                <w:sz w:val="20"/>
                <w:szCs w:val="20"/>
                <w:color w:val="auto"/>
              </w:rPr>
            </w:pPr>
            <w:r>
              <w:rPr>
                <w:rFonts w:ascii="Arial" w:cs="Arial" w:eastAsia="Arial" w:hAnsi="Arial"/>
                <w:sz w:val="13"/>
                <w:szCs w:val="13"/>
                <w:color w:val="auto"/>
              </w:rPr>
              <w:t>September 30,</w:t>
            </w:r>
          </w:p>
        </w:tc>
        <w:tc>
          <w:tcPr>
            <w:tcW w:w="40" w:type="dxa"/>
            <w:vAlign w:val="bottom"/>
          </w:tcPr>
          <w:p>
            <w:pPr>
              <w:spacing w:after="0"/>
              <w:rPr>
                <w:sz w:val="14"/>
                <w:szCs w:val="14"/>
                <w:color w:val="auto"/>
              </w:rPr>
            </w:pPr>
          </w:p>
        </w:tc>
        <w:tc>
          <w:tcPr>
            <w:tcW w:w="1520" w:type="dxa"/>
            <w:vAlign w:val="bottom"/>
            <w:gridSpan w:val="5"/>
          </w:tcPr>
          <w:p>
            <w:pPr>
              <w:jc w:val="right"/>
              <w:ind w:right="360"/>
              <w:spacing w:after="0"/>
              <w:rPr>
                <w:sz w:val="20"/>
                <w:szCs w:val="20"/>
                <w:color w:val="auto"/>
              </w:rPr>
            </w:pPr>
            <w:r>
              <w:rPr>
                <w:rFonts w:ascii="Arial" w:cs="Arial" w:eastAsia="Arial" w:hAnsi="Arial"/>
                <w:sz w:val="13"/>
                <w:szCs w:val="13"/>
                <w:color w:val="auto"/>
              </w:rPr>
              <w:t>December 31,</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4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color w:val="auto"/>
                <w:w w:val="89"/>
              </w:rPr>
              <w:t>2010</w:t>
            </w: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right"/>
              <w:ind w:right="476"/>
              <w:spacing w:after="0"/>
              <w:rPr>
                <w:sz w:val="20"/>
                <w:szCs w:val="20"/>
                <w:color w:val="auto"/>
              </w:rPr>
            </w:pPr>
            <w:r>
              <w:rPr>
                <w:rFonts w:ascii="Arial" w:cs="Arial" w:eastAsia="Arial" w:hAnsi="Arial"/>
                <w:sz w:val="13"/>
                <w:szCs w:val="13"/>
                <w:color w:val="auto"/>
              </w:rPr>
              <w:t>2009</w:t>
            </w:r>
          </w:p>
        </w:tc>
        <w:tc>
          <w:tcPr>
            <w:tcW w:w="10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44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3"/>
                <w:szCs w:val="13"/>
                <w:color w:val="auto"/>
                <w:w w:val="97"/>
              </w:rPr>
              <w:t>(unaudited)</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40" w:type="dxa"/>
            <w:vAlign w:val="bottom"/>
          </w:tcPr>
          <w:p>
            <w:pPr>
              <w:ind w:left="80"/>
              <w:spacing w:after="0"/>
              <w:rPr>
                <w:sz w:val="20"/>
                <w:szCs w:val="20"/>
                <w:color w:val="auto"/>
              </w:rPr>
            </w:pPr>
            <w:r>
              <w:rPr>
                <w:rFonts w:ascii="Arial" w:cs="Arial" w:eastAsia="Arial" w:hAnsi="Arial"/>
                <w:sz w:val="14"/>
                <w:szCs w:val="14"/>
                <w:color w:val="auto"/>
              </w:rPr>
              <w:t>ASSETS</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40" w:type="dxa"/>
            <w:vAlign w:val="bottom"/>
          </w:tcPr>
          <w:p>
            <w:pPr>
              <w:ind w:left="80"/>
              <w:spacing w:after="0"/>
              <w:rPr>
                <w:sz w:val="20"/>
                <w:szCs w:val="20"/>
                <w:color w:val="auto"/>
              </w:rPr>
            </w:pPr>
            <w:r>
              <w:rPr>
                <w:rFonts w:ascii="Arial" w:cs="Arial" w:eastAsia="Arial" w:hAnsi="Arial"/>
                <w:sz w:val="14"/>
                <w:szCs w:val="14"/>
                <w:color w:val="auto"/>
              </w:rPr>
              <w:t>Current assets:</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6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49&amp;nbs p;</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Accounts receivable - trade</w:t>
            </w:r>
          </w:p>
        </w:tc>
        <w:tc>
          <w:tcPr>
            <w:tcW w:w="360" w:type="dxa"/>
            <w:vAlign w:val="bottom"/>
          </w:tcPr>
          <w:p>
            <w:pPr>
              <w:spacing w:after="0"/>
              <w:rPr>
                <w:sz w:val="16"/>
                <w:szCs w:val="16"/>
                <w:color w:val="auto"/>
              </w:rPr>
            </w:pPr>
          </w:p>
        </w:tc>
        <w:tc>
          <w:tcPr>
            <w:tcW w:w="640" w:type="dxa"/>
            <w:vAlign w:val="bottom"/>
            <w:gridSpan w:val="2"/>
          </w:tcPr>
          <w:p>
            <w:pPr>
              <w:jc w:val="right"/>
              <w:ind w:right="36"/>
              <w:spacing w:after="0"/>
              <w:rPr>
                <w:sz w:val="20"/>
                <w:szCs w:val="20"/>
                <w:color w:val="auto"/>
              </w:rPr>
            </w:pPr>
            <w:r>
              <w:rPr>
                <w:rFonts w:ascii="Arial" w:cs="Arial" w:eastAsia="Arial" w:hAnsi="Arial"/>
                <w:sz w:val="14"/>
                <w:szCs w:val="14"/>
                <w:color w:val="auto"/>
              </w:rPr>
              <w:t>302</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Accounts receivable - other</w:t>
            </w:r>
          </w:p>
        </w:tc>
        <w:tc>
          <w:tcPr>
            <w:tcW w:w="360" w:type="dxa"/>
            <w:vAlign w:val="bottom"/>
          </w:tcPr>
          <w:p>
            <w:pPr>
              <w:spacing w:after="0"/>
              <w:rPr>
                <w:sz w:val="16"/>
                <w:szCs w:val="16"/>
                <w:color w:val="auto"/>
              </w:rPr>
            </w:pPr>
          </w:p>
        </w:tc>
        <w:tc>
          <w:tcPr>
            <w:tcW w:w="640" w:type="dxa"/>
            <w:vAlign w:val="bottom"/>
            <w:gridSpan w:val="2"/>
          </w:tcPr>
          <w:p>
            <w:pPr>
              <w:jc w:val="right"/>
              <w:ind w:right="36"/>
              <w:spacing w:after="0"/>
              <w:rPr>
                <w:sz w:val="20"/>
                <w:szCs w:val="20"/>
                <w:color w:val="auto"/>
              </w:rPr>
            </w:pPr>
            <w:r>
              <w:rPr>
                <w:rFonts w:ascii="Arial" w:cs="Arial" w:eastAsia="Arial" w:hAnsi="Arial"/>
                <w:sz w:val="14"/>
                <w:szCs w:val="14"/>
                <w:color w:val="auto"/>
              </w:rPr>
              <w:t>57</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Due from unconsolidated affiliates</w:t>
            </w:r>
          </w:p>
        </w:tc>
        <w:tc>
          <w:tcPr>
            <w:tcW w:w="360" w:type="dxa"/>
            <w:vAlign w:val="bottom"/>
          </w:tcPr>
          <w:p>
            <w:pPr>
              <w:spacing w:after="0"/>
              <w:rPr>
                <w:sz w:val="16"/>
                <w:szCs w:val="16"/>
                <w:color w:val="auto"/>
              </w:rPr>
            </w:pPr>
          </w:p>
        </w:tc>
        <w:tc>
          <w:tcPr>
            <w:tcW w:w="640" w:type="dxa"/>
            <w:vAlign w:val="bottom"/>
            <w:gridSpan w:val="2"/>
          </w:tcPr>
          <w:p>
            <w:pPr>
              <w:jc w:val="right"/>
              <w:ind w:right="36"/>
              <w:spacing w:after="0"/>
              <w:rPr>
                <w:sz w:val="20"/>
                <w:szCs w:val="20"/>
                <w:color w:val="auto"/>
              </w:rPr>
            </w:pPr>
            <w:r>
              <w:rPr>
                <w:rFonts w:ascii="Arial" w:cs="Arial" w:eastAsia="Arial" w:hAnsi="Arial"/>
                <w:sz w:val="14"/>
                <w:szCs w:val="14"/>
                <w:color w:val="auto"/>
              </w:rPr>
              <w:t>118</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40"/>
              <w:spacing w:after="0"/>
              <w:rPr>
                <w:sz w:val="20"/>
                <w:szCs w:val="20"/>
                <w:color w:val="auto"/>
              </w:rPr>
            </w:pPr>
            <w:r>
              <w:rPr>
                <w:rFonts w:ascii="Arial" w:cs="Arial" w:eastAsia="Arial" w:hAnsi="Arial"/>
                <w:sz w:val="14"/>
                <w:szCs w:val="14"/>
                <w:color w:val="auto"/>
              </w:rPr>
              <w:t>Income taxes receivable</w:t>
            </w:r>
          </w:p>
        </w:tc>
        <w:tc>
          <w:tcPr>
            <w:tcW w:w="360" w:type="dxa"/>
            <w:vAlign w:val="bottom"/>
          </w:tcPr>
          <w:p>
            <w:pPr>
              <w:spacing w:after="0"/>
              <w:rPr>
                <w:sz w:val="18"/>
                <w:szCs w:val="18"/>
                <w:color w:val="auto"/>
              </w:rPr>
            </w:pPr>
          </w:p>
        </w:tc>
        <w:tc>
          <w:tcPr>
            <w:tcW w:w="640" w:type="dxa"/>
            <w:vAlign w:val="bottom"/>
            <w:gridSpan w:val="2"/>
          </w:tcPr>
          <w:p>
            <w:pPr>
              <w:jc w:val="right"/>
              <w:ind w:right="36"/>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6"/>
                <w:szCs w:val="16"/>
                <w:color w:val="auto"/>
              </w:rPr>
            </w:pPr>
          </w:p>
        </w:tc>
        <w:tc>
          <w:tcPr>
            <w:tcW w:w="640" w:type="dxa"/>
            <w:vAlign w:val="bottom"/>
            <w:gridSpan w:val="2"/>
          </w:tcPr>
          <w:p>
            <w:pPr>
              <w:jc w:val="right"/>
              <w:ind w:right="36"/>
              <w:spacing w:after="0"/>
              <w:rPr>
                <w:sz w:val="20"/>
                <w:szCs w:val="20"/>
                <w:color w:val="auto"/>
              </w:rPr>
            </w:pPr>
            <w:r>
              <w:rPr>
                <w:rFonts w:ascii="Arial" w:cs="Arial" w:eastAsia="Arial" w:hAnsi="Arial"/>
                <w:sz w:val="14"/>
                <w:szCs w:val="14"/>
                <w:color w:val="auto"/>
              </w:rPr>
              <w:t>181</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40" w:type="dxa"/>
            <w:vAlign w:val="bottom"/>
          </w:tcPr>
          <w:p>
            <w:pPr>
              <w:ind w:left="160"/>
              <w:spacing w:after="0"/>
              <w:rPr>
                <w:sz w:val="20"/>
                <w:szCs w:val="20"/>
                <w:color w:val="auto"/>
              </w:rPr>
            </w:pPr>
            <w:r>
              <w:rPr>
                <w:rFonts w:ascii="Arial" w:cs="Arial" w:eastAsia="Arial" w:hAnsi="Arial"/>
                <w:sz w:val="14"/>
                <w:szCs w:val="14"/>
                <w:color w:val="auto"/>
              </w:rPr>
              <w:t>Other regulatory assets</w:t>
            </w:r>
          </w:p>
        </w:tc>
        <w:tc>
          <w:tcPr>
            <w:tcW w:w="360" w:type="dxa"/>
            <w:vAlign w:val="bottom"/>
          </w:tcPr>
          <w:p>
            <w:pPr>
              <w:spacing w:after="0"/>
              <w:rPr>
                <w:sz w:val="16"/>
                <w:szCs w:val="16"/>
                <w:color w:val="auto"/>
              </w:rPr>
            </w:pPr>
          </w:p>
        </w:tc>
        <w:tc>
          <w:tcPr>
            <w:tcW w:w="640" w:type="dxa"/>
            <w:vAlign w:val="bottom"/>
            <w:gridSpan w:val="2"/>
          </w:tcPr>
          <w:p>
            <w:pPr>
              <w:jc w:val="right"/>
              <w:ind w:right="36"/>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tcPr>
          <w:p>
            <w:pPr>
              <w:ind w:left="24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35</w:t>
            </w:r>
          </w:p>
        </w:tc>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440" w:type="dxa"/>
            <w:vAlign w:val="bottom"/>
          </w:tcPr>
          <w:p>
            <w:pPr>
              <w:ind w:left="400"/>
              <w:spacing w:after="0"/>
              <w:rPr>
                <w:sz w:val="20"/>
                <w:szCs w:val="20"/>
                <w:color w:val="auto"/>
              </w:rPr>
            </w:pPr>
            <w:r>
              <w:rPr>
                <w:rFonts w:ascii="Arial" w:cs="Arial" w:eastAsia="Arial" w:hAnsi="Arial"/>
                <w:sz w:val="14"/>
                <w:szCs w:val="14"/>
                <w:color w:val="auto"/>
              </w:rPr>
              <w:t>Total current assets</w:t>
            </w: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798</w:t>
            </w: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4440" w:type="dxa"/>
            <w:vAlign w:val="bottom"/>
          </w:tcPr>
          <w:p>
            <w:pPr>
              <w:ind w:left="8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0"/>
              <w:spacing w:after="0"/>
              <w:rPr>
                <w:sz w:val="20"/>
                <w:szCs w:val="20"/>
                <w:color w:val="auto"/>
              </w:rPr>
            </w:pPr>
            <w:r>
              <w:rPr>
                <w:rFonts w:ascii="Arial" w:cs="Arial" w:eastAsia="Arial" w:hAnsi="Arial"/>
                <w:sz w:val="14"/>
                <w:szCs w:val="14"/>
                <w:color w:val="auto"/>
              </w:rPr>
              <w:t>; Due from unconsolidated affiliate</w:t>
            </w:r>
          </w:p>
        </w:tc>
        <w:tc>
          <w:tcPr>
            <w:tcW w:w="360" w:type="dxa"/>
            <w:vAlign w:val="bottom"/>
          </w:tcPr>
          <w:p>
            <w:pPr>
              <w:spacing w:after="0"/>
              <w:rPr>
                <w:sz w:val="18"/>
                <w:szCs w:val="18"/>
                <w:color w:val="auto"/>
              </w:rPr>
            </w:pPr>
          </w:p>
        </w:tc>
        <w:tc>
          <w:tcPr>
            <w:tcW w:w="640" w:type="dxa"/>
            <w:vAlign w:val="bottom"/>
            <w:gridSpan w:val="2"/>
          </w:tcPr>
          <w:p>
            <w:pPr>
              <w:jc w:val="right"/>
              <w:ind w:right="36"/>
              <w:spacing w:after="0"/>
              <w:rPr>
                <w:sz w:val="20"/>
                <w:szCs w:val="20"/>
                <w:color w:val="auto"/>
              </w:rPr>
            </w:pPr>
            <w:r>
              <w:rPr>
                <w:rFonts w:ascii="Arial" w:cs="Arial" w:eastAsia="Arial" w:hAnsi="Arial"/>
                <w:sz w:val="14"/>
                <w:szCs w:val="14"/>
                <w:color w:val="auto"/>
              </w:rPr>
              <w:t>504</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Regulatory assets arising from pension and other postretirement</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40" w:type="dxa"/>
            <w:vAlign w:val="bottom"/>
          </w:tcPr>
          <w:p>
            <w:pPr>
              <w:ind w:left="400"/>
              <w:spacing w:after="0"/>
              <w:rPr>
                <w:sz w:val="20"/>
                <w:szCs w:val="20"/>
                <w:color w:val="auto"/>
              </w:rPr>
            </w:pPr>
            <w:r>
              <w:rPr>
                <w:rFonts w:ascii="Arial" w:cs="Arial" w:eastAsia="Arial" w:hAnsi="Arial"/>
                <w:sz w:val="14"/>
                <w:szCs w:val="14"/>
                <w:color w:val="auto"/>
              </w:rPr>
              <w:t>benefit obligations</w:t>
            </w:r>
          </w:p>
        </w:tc>
        <w:tc>
          <w:tcPr>
            <w:tcW w:w="360" w:type="dxa"/>
            <w:vAlign w:val="bottom"/>
          </w:tcPr>
          <w:p>
            <w:pPr>
              <w:spacing w:after="0"/>
              <w:rPr>
                <w:sz w:val="16"/>
                <w:szCs w:val="16"/>
                <w:color w:val="auto"/>
              </w:rPr>
            </w:pPr>
          </w:p>
        </w:tc>
        <w:tc>
          <w:tcPr>
            <w:tcW w:w="640" w:type="dxa"/>
            <w:vAlign w:val="bottom"/>
            <w:gridSpan w:val="2"/>
          </w:tcPr>
          <w:p>
            <w:pPr>
              <w:jc w:val="right"/>
              <w:ind w:right="36"/>
              <w:spacing w:after="0"/>
              <w:rPr>
                <w:sz w:val="20"/>
                <w:szCs w:val="20"/>
                <w:color w:val="auto"/>
              </w:rPr>
            </w:pPr>
            <w:r>
              <w:rPr>
                <w:rFonts w:ascii="Arial" w:cs="Arial" w:eastAsia="Arial" w:hAnsi="Arial"/>
                <w:sz w:val="14"/>
                <w:szCs w:val="14"/>
                <w:color w:val="auto"/>
              </w:rPr>
              <w:t>614</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40" w:type="dxa"/>
            <w:vAlign w:val="bottom"/>
          </w:tcPr>
          <w:p>
            <w:pPr>
              <w:ind w:left="240"/>
              <w:spacing w:after="0"/>
              <w:rPr>
                <w:sz w:val="20"/>
                <w:szCs w:val="20"/>
                <w:color w:val="auto"/>
              </w:rPr>
            </w:pPr>
            <w:r>
              <w:rPr>
                <w:rFonts w:ascii="Arial" w:cs="Arial" w:eastAsia="Arial" w:hAnsi="Arial"/>
                <w:sz w:val="14"/>
                <w:szCs w:val="14"/>
                <w:color w:val="auto"/>
              </w:rPr>
              <w:t>Other regulatory assets</w:t>
            </w:r>
          </w:p>
        </w:tc>
        <w:tc>
          <w:tcPr>
            <w:tcW w:w="360" w:type="dxa"/>
            <w:vAlign w:val="bottom"/>
          </w:tcPr>
          <w:p>
            <w:pPr>
              <w:spacing w:after="0"/>
              <w:rPr>
                <w:sz w:val="16"/>
                <w:szCs w:val="16"/>
                <w:color w:val="auto"/>
              </w:rPr>
            </w:pPr>
          </w:p>
        </w:tc>
        <w:tc>
          <w:tcPr>
            <w:tcW w:w="640" w:type="dxa"/>
            <w:vAlign w:val="bottom"/>
            <w:gridSpan w:val="2"/>
          </w:tcPr>
          <w:p>
            <w:pPr>
              <w:jc w:val="right"/>
              <w:ind w:right="16"/>
              <w:spacing w:after="0"/>
              <w:rPr>
                <w:sz w:val="20"/>
                <w:szCs w:val="20"/>
                <w:color w:val="auto"/>
              </w:rPr>
            </w:pPr>
            <w:r>
              <w:rPr>
                <w:rFonts w:ascii="Arial" w:cs="Arial" w:eastAsia="Arial" w:hAnsi="Arial"/>
                <w:sz w:val="14"/>
                <w:szCs w:val="14"/>
                <w:color w:val="auto"/>
              </w:rPr>
              <w:t>114</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40" w:type="dxa"/>
            <w:vAlign w:val="bottom"/>
          </w:tcPr>
          <w:p>
            <w:pPr>
              <w:ind w:left="240"/>
              <w:spacing w:after="0"/>
              <w:rPr>
                <w:sz w:val="20"/>
                <w:szCs w:val="20"/>
                <w:color w:val="auto"/>
              </w:rPr>
            </w:pPr>
            <w:r>
              <w:rPr>
                <w:rFonts w:ascii="Arial" w:cs="Arial" w:eastAsia="Arial" w:hAnsi="Arial"/>
                <w:sz w:val="14"/>
                <w:szCs w:val="14"/>
                <w:color w:val="auto"/>
              </w:rPr>
              <w:t>Sundry</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38</w:t>
            </w:r>
          </w:p>
        </w:tc>
        <w:tc>
          <w:tcPr>
            <w:tcW w:w="4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440" w:type="dxa"/>
            <w:vAlign w:val="bottom"/>
          </w:tcPr>
          <w:p>
            <w:pPr>
              <w:ind w:left="400"/>
              <w:spacing w:after="0"/>
              <w:rPr>
                <w:sz w:val="20"/>
                <w:szCs w:val="20"/>
                <w:color w:val="auto"/>
              </w:rPr>
            </w:pPr>
            <w:r>
              <w:rPr>
                <w:rFonts w:ascii="Arial" w:cs="Arial" w:eastAsia="Arial" w:hAnsi="Arial"/>
                <w:sz w:val="14"/>
                <w:szCs w:val="14"/>
                <w:color w:val="auto"/>
              </w:rPr>
              <w:t>Total other assets</w:t>
            </w: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1,270</w:t>
            </w: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1,301</w:t>
            </w:r>
          </w:p>
        </w:tc>
        <w:tc>
          <w:tcPr>
            <w:tcW w:w="1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4440" w:type="dxa"/>
            <w:vAlign w:val="bottom"/>
          </w:tcPr>
          <w:p>
            <w:pPr>
              <w:ind w:left="80"/>
              <w:spacing w:after="0"/>
              <w:rPr>
                <w:sz w:val="20"/>
                <w:szCs w:val="20"/>
                <w:color w:val="auto"/>
              </w:rPr>
            </w:pPr>
            <w:r>
              <w:rPr>
                <w:rFonts w:ascii="Arial" w:cs="Arial" w:eastAsia="Arial" w:hAnsi="Arial"/>
                <w:sz w:val="14"/>
                <w:szCs w:val="14"/>
                <w:color w:val="auto"/>
              </w:rPr>
              <w:t>Property, plant and equipment:</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Property, plant and equipment</w:t>
            </w:r>
          </w:p>
        </w:tc>
        <w:tc>
          <w:tcPr>
            <w:tcW w:w="360" w:type="dxa"/>
            <w:vAlign w:val="bottom"/>
          </w:tcPr>
          <w:p>
            <w:pPr>
              <w:spacing w:after="0"/>
              <w:rPr>
                <w:sz w:val="16"/>
                <w:szCs w:val="16"/>
                <w:color w:val="auto"/>
              </w:rPr>
            </w:pPr>
          </w:p>
        </w:tc>
        <w:tc>
          <w:tcPr>
            <w:tcW w:w="640" w:type="dxa"/>
            <w:vAlign w:val="bottom"/>
            <w:gridSpan w:val="2"/>
          </w:tcPr>
          <w:p>
            <w:pPr>
              <w:jc w:val="right"/>
              <w:ind w:right="36"/>
              <w:spacing w:after="0"/>
              <w:rPr>
                <w:sz w:val="20"/>
                <w:szCs w:val="20"/>
                <w:color w:val="auto"/>
              </w:rPr>
            </w:pPr>
            <w:r>
              <w:rPr>
                <w:rFonts w:ascii="Arial" w:cs="Arial" w:eastAsia="Arial" w:hAnsi="Arial"/>
                <w:sz w:val="14"/>
                <w:szCs w:val="14"/>
                <w:color w:val="auto"/>
              </w:rPr>
              <w:t>9,558</w:t>
            </w:r>
          </w:p>
        </w:tc>
        <w:tc>
          <w:tcPr>
            <w:tcW w:w="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9"/>
                <w:szCs w:val="19"/>
                <w:color w:val="auto"/>
              </w:rPr>
              <w:t>&lt; /p&gt;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9,299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40"/>
              <w:spacing w:after="0"/>
              <w:rPr>
                <w:sz w:val="20"/>
                <w:szCs w:val="20"/>
                <w:color w:val="auto"/>
              </w:rPr>
            </w:pPr>
            <w:r>
              <w:rPr>
                <w:rFonts w:ascii="Arial" w:cs="Arial" w:eastAsia="Arial" w:hAnsi="Arial"/>
                <w:sz w:val="14"/>
                <w:szCs w:val="14"/>
                <w:color w:val="auto"/>
              </w:rPr>
              <w:t>Less accumulated depreciation and amortization</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(3,735)</w:t>
            </w: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(3,615)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440" w:type="dxa"/>
            <w:vAlign w:val="bottom"/>
          </w:tcPr>
          <w:p>
            <w:pPr>
              <w:ind w:left="400"/>
              <w:spacing w:after="0"/>
              <w:rPr>
                <w:sz w:val="20"/>
                <w:szCs w:val="20"/>
                <w:color w:val="auto"/>
              </w:rPr>
            </w:pPr>
            <w:r>
              <w:rPr>
                <w:rFonts w:ascii="Arial" w:cs="Arial" w:eastAsia="Arial" w:hAnsi="Arial"/>
                <w:sz w:val="14"/>
                <w:szCs w:val="14"/>
                <w:color w:val="auto"/>
              </w:rPr>
              <w:t>Property, plant and equipment, net</w:t>
            </w: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5,823</w:t>
            </w: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5,684</w:t>
            </w:r>
          </w:p>
        </w:tc>
        <w:tc>
          <w:tcPr>
            <w:tcW w:w="1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7,891</w:t>
            </w:r>
          </w:p>
        </w:tc>
        <w:tc>
          <w:tcPr>
            <w:tcW w:w="6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7,834</w:t>
            </w:r>
          </w:p>
        </w:tc>
        <w:tc>
          <w:tcPr>
            <w:tcW w:w="10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40" w:type="dxa"/>
            <w:vAlign w:val="bottom"/>
          </w:tcPr>
          <w:p>
            <w:pPr>
              <w:ind w:left="80"/>
              <w:spacing w:after="0"/>
              <w:rPr>
                <w:sz w:val="20"/>
                <w:szCs w:val="20"/>
                <w:color w:val="auto"/>
              </w:rPr>
            </w:pPr>
            <w:r>
              <w:rPr>
                <w:rFonts w:ascii="Arial" w:cs="Arial" w:eastAsia="Arial" w:hAnsi="Arial"/>
                <w:sz w:val="13"/>
                <w:szCs w:val="13"/>
                <w:i w:val="1"/>
                <w:iCs w:val="1"/>
                <w:color w:val="auto"/>
              </w:rPr>
              <w:t>See Notes to Condensed Consolidated Financial Statements.</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4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440" w:type="dxa"/>
            <w:vAlign w:val="bottom"/>
          </w:tcPr>
          <w:p>
            <w:pPr>
              <w:ind w:left="80"/>
              <w:spacing w:after="0"/>
              <w:rPr>
                <w:sz w:val="20"/>
                <w:szCs w:val="20"/>
                <w:color w:val="auto"/>
              </w:rPr>
            </w:pPr>
            <w:r>
              <w:rPr>
                <w:rFonts w:ascii="Arial" w:cs="Arial" w:eastAsia="Arial" w:hAnsi="Arial"/>
                <w:sz w:val="14"/>
                <w:szCs w:val="14"/>
                <w:b w:val="1"/>
                <w:bCs w:val="1"/>
                <w:color w:val="auto"/>
              </w:rPr>
              <w:t>PACIFIC ENTERPRISES AND SUBSIDIARIES</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0C0C0"/>
          </w:tcPr>
          <w:p>
            <w:pPr>
              <w:ind w:left="80"/>
              <w:spacing w:after="0"/>
              <w:rPr>
                <w:sz w:val="20"/>
                <w:szCs w:val="20"/>
                <w:color w:val="auto"/>
              </w:rPr>
            </w:pPr>
            <w:r>
              <w:rPr>
                <w:rFonts w:ascii="Arial" w:cs="Arial" w:eastAsia="Arial" w:hAnsi="Arial"/>
                <w:sz w:val="14"/>
                <w:szCs w:val="14"/>
                <w:b w:val="1"/>
                <w:bCs w:val="1"/>
                <w:color w:val="auto"/>
              </w:rPr>
              <w:t>CONDENSED CONSOLIDATED BALANCE SHEETS</w:t>
            </w:r>
          </w:p>
        </w:tc>
        <w:tc>
          <w:tcPr>
            <w:tcW w:w="36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440" w:type="dxa"/>
            <w:vAlign w:val="bottom"/>
            <w:shd w:val="clear" w:color="auto" w:fill="C0C0C0"/>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36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4"/>
          </w:tcPr>
          <w:p>
            <w:pPr>
              <w:ind w:left="80"/>
              <w:spacing w:after="0"/>
              <w:rPr>
                <w:sz w:val="20"/>
                <w:szCs w:val="20"/>
                <w:color w:val="auto"/>
              </w:rPr>
            </w:pPr>
            <w:r>
              <w:rPr>
                <w:rFonts w:ascii="Arial" w:cs="Arial" w:eastAsia="Arial" w:hAnsi="Arial"/>
                <w:sz w:val="13"/>
                <w:szCs w:val="13"/>
                <w:color w:val="auto"/>
              </w:rPr>
              <w:t>September 30,</w:t>
            </w:r>
          </w:p>
        </w:tc>
        <w:tc>
          <w:tcPr>
            <w:tcW w:w="60" w:type="dxa"/>
            <w:vAlign w:val="bottom"/>
          </w:tcPr>
          <w:p>
            <w:pPr>
              <w:spacing w:after="0"/>
              <w:rPr>
                <w:sz w:val="15"/>
                <w:szCs w:val="15"/>
                <w:color w:val="auto"/>
              </w:rPr>
            </w:pPr>
          </w:p>
        </w:tc>
        <w:tc>
          <w:tcPr>
            <w:tcW w:w="1260" w:type="dxa"/>
            <w:vAlign w:val="bottom"/>
            <w:gridSpan w:val="3"/>
          </w:tcPr>
          <w:p>
            <w:pPr>
              <w:jc w:val="right"/>
              <w:ind w:right="148"/>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54"/>
        </w:trPr>
        <w:tc>
          <w:tcPr>
            <w:tcW w:w="44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2010</w:t>
            </w: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235"/>
        </w:trPr>
        <w:tc>
          <w:tcPr>
            <w:tcW w:w="4440" w:type="dxa"/>
            <w:vAlign w:val="bottom"/>
          </w:tcPr>
          <w:p>
            <w:pPr>
              <w:ind w:left="80"/>
              <w:spacing w:after="0"/>
              <w:rPr>
                <w:sz w:val="20"/>
                <w:szCs w:val="20"/>
                <w:color w:val="auto"/>
              </w:rPr>
            </w:pPr>
            <w:r>
              <w:rPr>
                <w:rFonts w:ascii="Arial" w:cs="Arial" w:eastAsia="Arial" w:hAnsi="Arial"/>
                <w:sz w:val="19"/>
                <w:szCs w:val="19"/>
                <w:color w:val="auto"/>
              </w:rPr>
              <w:t>&lt; p style="MARGIN:0in 0in 0pt"&gt;</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w w:val="97"/>
              </w:rPr>
              <w:t>(unaudited)</w:t>
            </w:r>
          </w:p>
        </w:tc>
        <w:tc>
          <w:tcPr>
            <w:tcW w:w="6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Arial" w:cs="Arial" w:eastAsia="Arial" w:hAnsi="Arial"/>
                <w:sz w:val="13"/>
                <w:szCs w:val="13"/>
                <w:color w:val="auto"/>
              </w:rPr>
              <w:t>&amp;n bsp;</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40" w:type="dxa"/>
            <w:vAlign w:val="bottom"/>
          </w:tcPr>
          <w:p>
            <w:pPr>
              <w:ind w:left="80"/>
              <w:spacing w:after="0"/>
              <w:rPr>
                <w:sz w:val="20"/>
                <w:szCs w:val="20"/>
                <w:color w:val="auto"/>
              </w:rPr>
            </w:pPr>
            <w:r>
              <w:rPr>
                <w:rFonts w:ascii="Arial" w:cs="Arial" w:eastAsia="Arial" w:hAnsi="Arial"/>
                <w:sz w:val="14"/>
                <w:szCs w:val="14"/>
                <w:color w:val="auto"/>
              </w:rPr>
              <w:t>LIABILITIES AND EQUITY</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40" w:type="dxa"/>
            <w:vAlign w:val="bottom"/>
          </w:tcPr>
          <w:p>
            <w:pPr>
              <w:ind w:left="80"/>
              <w:spacing w:after="0"/>
              <w:rPr>
                <w:sz w:val="20"/>
                <w:szCs w:val="20"/>
                <w:color w:val="auto"/>
              </w:rPr>
            </w:pPr>
            <w:r>
              <w:rPr>
                <w:rFonts w:ascii="Arial" w:cs="Arial" w:eastAsia="Arial" w:hAnsi="Arial"/>
                <w:sz w:val="14"/>
                <w:szCs w:val="14"/>
                <w:color w:val="auto"/>
              </w:rPr>
              <w:t>Current liabilities:</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Accounts payable - trade</w:t>
            </w:r>
          </w:p>
        </w:tc>
        <w:tc>
          <w:tcPr>
            <w:tcW w:w="360" w:type="dxa"/>
            <w:vAlign w:val="bottom"/>
          </w:tcPr>
          <w:p>
            <w:pPr>
              <w:spacing w:after="0"/>
              <w:rPr>
                <w:sz w:val="16"/>
                <w:szCs w:val="16"/>
                <w:color w:val="auto"/>
              </w:rPr>
            </w:pPr>
          </w:p>
        </w:tc>
        <w:tc>
          <w:tcPr>
            <w:tcW w:w="6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167</w:t>
            </w:r>
          </w:p>
        </w:tc>
        <w:tc>
          <w:tcPr>
            <w:tcW w:w="6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Accounts payable - other</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77</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Due to unconsolidated affiliates</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87</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Accrued compensation and benefits</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89</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Regulatory balancing accounts, net</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163</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Current portion of long-term debt</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260</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Customer deposits</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77</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6"/>
        </w:trPr>
        <w:tc>
          <w:tcPr>
            <w:tcW w:w="4440" w:type="dxa"/>
            <w:vAlign w:val="bottom"/>
          </w:tcPr>
          <w:p>
            <w:pPr>
              <w:ind w:left="24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193</w:t>
            </w: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72"/>
        </w:trPr>
        <w:tc>
          <w:tcPr>
            <w:tcW w:w="4440" w:type="dxa"/>
            <w:vAlign w:val="bottom"/>
          </w:tcPr>
          <w:p>
            <w:pPr>
              <w:ind w:left="400"/>
              <w:spacing w:after="0"/>
              <w:rPr>
                <w:sz w:val="20"/>
                <w:szCs w:val="20"/>
                <w:color w:val="auto"/>
              </w:rPr>
            </w:pPr>
            <w:r>
              <w:rPr>
                <w:rFonts w:ascii="Arial" w:cs="Arial" w:eastAsia="Arial" w:hAnsi="Arial"/>
                <w:sz w:val="14"/>
                <w:szCs w:val="14"/>
                <w:color w:val="auto"/>
              </w:rPr>
              <w:t>Total current liabilities</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1,116</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72"/>
        </w:trPr>
        <w:tc>
          <w:tcPr>
            <w:tcW w:w="4440" w:type="dxa"/>
            <w:vAlign w:val="bottom"/>
          </w:tcPr>
          <w:p>
            <w:pPr>
              <w:ind w:left="80"/>
              <w:spacing w:after="0"/>
              <w:rPr>
                <w:sz w:val="20"/>
                <w:szCs w:val="20"/>
                <w:color w:val="auto"/>
              </w:rPr>
            </w:pPr>
            <w:r>
              <w:rPr>
                <w:rFonts w:ascii="Arial" w:cs="Arial" w:eastAsia="Arial" w:hAnsi="Arial"/>
                <w:sz w:val="14"/>
                <w:szCs w:val="14"/>
                <w:color w:val="auto"/>
              </w:rPr>
              <w:t>Long-term debt</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1,021</w:t>
            </w:r>
          </w:p>
        </w:tc>
        <w:tc>
          <w:tcPr>
            <w:tcW w:w="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262"/>
        </w:trPr>
        <w:tc>
          <w:tcPr>
            <w:tcW w:w="4440" w:type="dxa"/>
            <w:vAlign w:val="bottom"/>
          </w:tcPr>
          <w:p>
            <w:pPr>
              <w:ind w:left="80"/>
              <w:spacing w:after="0"/>
              <w:rPr>
                <w:sz w:val="20"/>
                <w:szCs w:val="20"/>
                <w:color w:val="auto"/>
              </w:rPr>
            </w:pPr>
            <w:r>
              <w:rPr>
                <w:rFonts w:ascii="Arial" w:cs="Arial" w:eastAsia="Arial" w:hAnsi="Arial"/>
                <w:sz w:val="14"/>
                <w:szCs w:val="14"/>
                <w:color w:val="auto"/>
              </w:rPr>
              <w:t>Deferred credits and other liabilities:</w:t>
            </w: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Customer advances for construction</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125</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0" w:type="dxa"/>
            <w:vAlign w:val="bottom"/>
            <w:gridSpan w:val="2"/>
          </w:tcPr>
          <w:p>
            <w:pPr>
              <w:ind w:left="240"/>
              <w:spacing w:after="0"/>
              <w:rPr>
                <w:sz w:val="20"/>
                <w:szCs w:val="20"/>
                <w:color w:val="auto"/>
              </w:rPr>
            </w:pPr>
            <w:r>
              <w:rPr>
                <w:rFonts w:ascii="Arial" w:cs="Arial" w:eastAsia="Arial" w:hAnsi="Arial"/>
                <w:sz w:val="14"/>
                <w:szCs w:val="14"/>
                <w:color w:val="auto"/>
              </w:rPr>
              <w:t>Pension and other postretirement benefit obligations, net of plan assets</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643</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373</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bl>
    <w:p>
      <w:pPr>
        <w:sectPr>
          <w:pgSz w:w="11900" w:h="16918" w:orient="portrait"/>
          <w:cols w:equalWidth="0" w:num="1">
            <w:col w:w="11400"/>
          </w:cols>
          <w:pgMar w:left="240" w:top="333" w:right="259" w:bottom="0" w:gutter="0" w:footer="0" w:header="0"/>
        </w:sectPr>
      </w:pPr>
    </w:p>
    <w:bookmarkStart w:id="12" w:name="page13"/>
    <w:bookmarkEnd w:id="12"/>
    <w:p>
      <w:pPr>
        <w:spacing w:after="0" w:line="4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700" w:type="dxa"/>
            <w:vAlign w:val="bottom"/>
          </w:tcPr>
          <w:p>
            <w:pPr>
              <w:ind w:left="120"/>
              <w:spacing w:after="0"/>
              <w:rPr>
                <w:sz w:val="20"/>
                <w:szCs w:val="20"/>
                <w:color w:val="auto"/>
              </w:rPr>
            </w:pPr>
            <w:r>
              <w:rPr>
                <w:rFonts w:ascii="Arial" w:cs="Arial" w:eastAsia="Arial" w:hAnsi="Arial"/>
                <w:sz w:val="14"/>
                <w:szCs w:val="14"/>
                <w:color w:val="auto"/>
              </w:rPr>
              <w:t>&amp;nb sp;</w:t>
            </w:r>
          </w:p>
        </w:tc>
        <w:tc>
          <w:tcPr>
            <w:tcW w:w="4560" w:type="dxa"/>
            <w:vAlign w:val="bottom"/>
          </w:tcPr>
          <w:p>
            <w:pPr>
              <w:spacing w:after="0"/>
              <w:rPr>
                <w:sz w:val="20"/>
                <w:szCs w:val="20"/>
                <w:color w:val="auto"/>
              </w:rPr>
            </w:pPr>
            <w:r>
              <w:rPr>
                <w:rFonts w:ascii="Arial" w:cs="Arial" w:eastAsia="Arial" w:hAnsi="Arial"/>
                <w:sz w:val="14"/>
                <w:szCs w:val="14"/>
                <w:color w:val="auto"/>
              </w:rPr>
              <w:t>Deferred investment tax credits</w:t>
            </w:r>
          </w:p>
        </w:tc>
        <w:tc>
          <w:tcPr>
            <w:tcW w:w="3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4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w:t>
            </w:r>
          </w:p>
        </w:tc>
      </w:tr>
      <w:tr>
        <w:trPr>
          <w:trHeight w:val="192"/>
        </w:trPr>
        <w:tc>
          <w:tcPr>
            <w:tcW w:w="5260" w:type="dxa"/>
            <w:vAlign w:val="bottom"/>
            <w:gridSpan w:val="2"/>
          </w:tcPr>
          <w:p>
            <w:pPr>
              <w:ind w:left="240"/>
              <w:spacing w:after="0"/>
              <w:rPr>
                <w:sz w:val="20"/>
                <w:szCs w:val="20"/>
                <w:color w:val="auto"/>
              </w:rPr>
            </w:pPr>
            <w:r>
              <w:rPr>
                <w:rFonts w:ascii="Arial" w:cs="Arial" w:eastAsia="Arial" w:hAnsi="Arial"/>
                <w:sz w:val="14"/>
                <w:szCs w:val="14"/>
                <w:color w:val="auto"/>
              </w:rPr>
              <w:t>Regulatory liabilities arising from removal obligations</w:t>
            </w:r>
          </w:p>
        </w:tc>
        <w:tc>
          <w:tcPr>
            <w:tcW w:w="3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1,247</w:t>
            </w:r>
          </w:p>
        </w:tc>
        <w:tc>
          <w:tcPr>
            <w:tcW w:w="48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1,227</w:t>
            </w:r>
          </w:p>
        </w:tc>
      </w:tr>
      <w:tr>
        <w:trPr>
          <w:trHeight w:val="192"/>
        </w:trPr>
        <w:tc>
          <w:tcPr>
            <w:tcW w:w="5260" w:type="dxa"/>
            <w:vAlign w:val="bottom"/>
            <w:gridSpan w:val="2"/>
          </w:tcPr>
          <w:p>
            <w:pPr>
              <w:ind w:left="240"/>
              <w:spacing w:after="0"/>
              <w:rPr>
                <w:sz w:val="20"/>
                <w:szCs w:val="20"/>
                <w:color w:val="auto"/>
              </w:rPr>
            </w:pPr>
            <w:r>
              <w:rPr>
                <w:rFonts w:ascii="Arial" w:cs="Arial" w:eastAsia="Arial" w:hAnsi="Arial"/>
                <w:sz w:val="14"/>
                <w:szCs w:val="14"/>
                <w:color w:val="auto"/>
              </w:rPr>
              <w:t>Asset retirement obligations</w:t>
            </w:r>
          </w:p>
        </w:tc>
        <w:tc>
          <w:tcPr>
            <w:tcW w:w="3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690</w:t>
            </w:r>
          </w:p>
        </w:tc>
        <w:tc>
          <w:tcPr>
            <w:tcW w:w="48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662</w:t>
            </w:r>
          </w:p>
        </w:tc>
      </w:tr>
      <w:tr>
        <w:trPr>
          <w:trHeight w:val="192"/>
        </w:trPr>
        <w:tc>
          <w:tcPr>
            <w:tcW w:w="5260" w:type="dxa"/>
            <w:vAlign w:val="bottom"/>
            <w:gridSpan w:val="2"/>
          </w:tcPr>
          <w:p>
            <w:pPr>
              <w:ind w:left="240"/>
              <w:spacing w:after="0"/>
              <w:rPr>
                <w:sz w:val="20"/>
                <w:szCs w:val="20"/>
                <w:color w:val="auto"/>
              </w:rPr>
            </w:pPr>
            <w:r>
              <w:rPr>
                <w:rFonts w:ascii="Arial" w:cs="Arial" w:eastAsia="Arial" w:hAnsi="Arial"/>
                <w:sz w:val="14"/>
                <w:szCs w:val="14"/>
                <w:color w:val="auto"/>
              </w:rPr>
              <w:t>Deferred taxes refundable in rates</w:t>
            </w:r>
          </w:p>
        </w:tc>
        <w:tc>
          <w:tcPr>
            <w:tcW w:w="3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48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175</w:t>
            </w:r>
          </w:p>
        </w:tc>
      </w:tr>
      <w:tr>
        <w:trPr>
          <w:trHeight w:val="186"/>
        </w:trPr>
        <w:tc>
          <w:tcPr>
            <w:tcW w:w="5260" w:type="dxa"/>
            <w:vAlign w:val="bottom"/>
            <w:gridSpan w:val="2"/>
          </w:tcPr>
          <w:p>
            <w:pPr>
              <w:ind w:left="240"/>
              <w:spacing w:after="0"/>
              <w:rPr>
                <w:sz w:val="20"/>
                <w:szCs w:val="20"/>
                <w:color w:val="auto"/>
              </w:rPr>
            </w:pPr>
            <w:r>
              <w:rPr>
                <w:rFonts w:ascii="Arial" w:cs="Arial" w:eastAsia="Arial" w:hAnsi="Arial"/>
                <w:sz w:val="14"/>
                <w:szCs w:val="14"/>
                <w:color w:val="auto"/>
              </w:rPr>
              <w:t>Deferred credits and other</w:t>
            </w: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r>
      <w:tr>
        <w:trPr>
          <w:trHeight w:val="172"/>
        </w:trPr>
        <w:tc>
          <w:tcPr>
            <w:tcW w:w="700" w:type="dxa"/>
            <w:vAlign w:val="bottom"/>
          </w:tcPr>
          <w:p>
            <w:pPr>
              <w:ind w:left="200"/>
              <w:spacing w:after="0"/>
              <w:rPr>
                <w:sz w:val="20"/>
                <w:szCs w:val="20"/>
                <w:color w:val="auto"/>
              </w:rPr>
            </w:pPr>
            <w:r>
              <w:rPr>
                <w:rFonts w:ascii="Arial" w:cs="Arial" w:eastAsia="Arial" w:hAnsi="Arial"/>
                <w:sz w:val="14"/>
                <w:szCs w:val="14"/>
                <w:color w:val="auto"/>
              </w:rPr>
              <w:t>&amp;nbs p;</w:t>
            </w:r>
          </w:p>
        </w:tc>
        <w:tc>
          <w:tcPr>
            <w:tcW w:w="4560" w:type="dxa"/>
            <w:vAlign w:val="bottom"/>
          </w:tcPr>
          <w:p>
            <w:pPr>
              <w:ind w:left="160"/>
              <w:spacing w:after="0"/>
              <w:rPr>
                <w:sz w:val="20"/>
                <w:szCs w:val="20"/>
                <w:color w:val="auto"/>
              </w:rPr>
            </w:pPr>
            <w:r>
              <w:rPr>
                <w:rFonts w:ascii="Arial" w:cs="Arial" w:eastAsia="Arial" w:hAnsi="Arial"/>
                <w:sz w:val="14"/>
                <w:szCs w:val="14"/>
                <w:color w:val="auto"/>
              </w:rPr>
              <w:t>Total deferred credits and other liabilities</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3,413</w:t>
            </w: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3,335</w:t>
            </w:r>
          </w:p>
        </w:tc>
      </w:tr>
      <w:tr>
        <w:trPr>
          <w:trHeight w:val="370"/>
        </w:trPr>
        <w:tc>
          <w:tcPr>
            <w:tcW w:w="5260" w:type="dxa"/>
            <w:vAlign w:val="bottom"/>
            <w:gridSpan w:val="2"/>
          </w:tcPr>
          <w:p>
            <w:pPr>
              <w:ind w:left="80"/>
              <w:spacing w:after="0"/>
              <w:rPr>
                <w:sz w:val="20"/>
                <w:szCs w:val="20"/>
                <w:color w:val="auto"/>
              </w:rPr>
            </w:pPr>
            <w:r>
              <w:rPr>
                <w:rFonts w:ascii="Arial" w:cs="Arial" w:eastAsia="Arial" w:hAnsi="Arial"/>
                <w:sz w:val="14"/>
                <w:szCs w:val="14"/>
                <w:color w:val="auto"/>
              </w:rPr>
              <w:t>Commitments and contingencies (Note 10)</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4"/>
        </w:trPr>
        <w:tc>
          <w:tcPr>
            <w:tcW w:w="700" w:type="dxa"/>
            <w:vAlign w:val="bottom"/>
          </w:tcPr>
          <w:p>
            <w:pPr>
              <w:ind w:left="80"/>
              <w:spacing w:after="0"/>
              <w:rPr>
                <w:sz w:val="20"/>
                <w:szCs w:val="20"/>
                <w:color w:val="auto"/>
              </w:rPr>
            </w:pPr>
            <w:r>
              <w:rPr>
                <w:rFonts w:ascii="Arial" w:cs="Arial" w:eastAsia="Arial" w:hAnsi="Arial"/>
                <w:sz w:val="14"/>
                <w:szCs w:val="14"/>
                <w:color w:val="auto"/>
              </w:rPr>
              <w:t>Equity:</w:t>
            </w:r>
          </w:p>
        </w:tc>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2"/>
        </w:trPr>
        <w:tc>
          <w:tcPr>
            <w:tcW w:w="5260" w:type="dxa"/>
            <w:vAlign w:val="bottom"/>
            <w:gridSpan w:val="2"/>
          </w:tcPr>
          <w:p>
            <w:pPr>
              <w:ind w:left="240"/>
              <w:spacing w:after="0"/>
              <w:rPr>
                <w:sz w:val="20"/>
                <w:szCs w:val="20"/>
                <w:color w:val="auto"/>
              </w:rPr>
            </w:pPr>
            <w:r>
              <w:rPr>
                <w:rFonts w:ascii="Arial" w:cs="Arial" w:eastAsia="Arial" w:hAnsi="Arial"/>
                <w:sz w:val="14"/>
                <w:szCs w:val="14"/>
                <w:color w:val="auto"/>
              </w:rPr>
              <w:t>Preferred stock</w:t>
            </w:r>
          </w:p>
        </w:tc>
        <w:tc>
          <w:tcPr>
            <w:tcW w:w="3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48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80</w:t>
            </w:r>
          </w:p>
        </w:tc>
      </w:tr>
      <w:tr>
        <w:trPr>
          <w:trHeight w:val="204"/>
        </w:trPr>
        <w:tc>
          <w:tcPr>
            <w:tcW w:w="5260" w:type="dxa"/>
            <w:vAlign w:val="bottom"/>
            <w:gridSpan w:val="2"/>
          </w:tcPr>
          <w:p>
            <w:pPr>
              <w:ind w:left="240"/>
              <w:spacing w:after="0"/>
              <w:rPr>
                <w:sz w:val="20"/>
                <w:szCs w:val="20"/>
                <w:color w:val="auto"/>
              </w:rPr>
            </w:pPr>
            <w:r>
              <w:rPr>
                <w:rFonts w:ascii="Arial" w:cs="Arial" w:eastAsia="Arial" w:hAnsi="Arial"/>
                <w:sz w:val="14"/>
                <w:szCs w:val="14"/>
                <w:color w:val="auto"/>
              </w:rPr>
              <w:t>Common stock (600 million shares authorized; 84 million shares outstanding;</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5260" w:type="dxa"/>
            <w:vAlign w:val="bottom"/>
            <w:gridSpan w:val="2"/>
          </w:tcPr>
          <w:p>
            <w:pPr>
              <w:ind w:left="520"/>
              <w:spacing w:after="0"/>
              <w:rPr>
                <w:sz w:val="20"/>
                <w:szCs w:val="20"/>
                <w:color w:val="auto"/>
              </w:rPr>
            </w:pPr>
            <w:r>
              <w:rPr>
                <w:rFonts w:ascii="Arial" w:cs="Arial" w:eastAsia="Arial" w:hAnsi="Arial"/>
                <w:sz w:val="19"/>
                <w:szCs w:val="19"/>
                <w:color w:val="auto"/>
              </w:rPr>
              <w:t>no par value)</w:t>
            </w:r>
          </w:p>
        </w:tc>
        <w:tc>
          <w:tcPr>
            <w:tcW w:w="340" w:type="dxa"/>
            <w:vAlign w:val="bottom"/>
          </w:tcPr>
          <w:p>
            <w:pPr>
              <w:spacing w:after="0"/>
              <w:rPr>
                <w:sz w:val="19"/>
                <w:szCs w:val="19"/>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1,462</w:t>
            </w:r>
          </w:p>
        </w:tc>
        <w:tc>
          <w:tcPr>
            <w:tcW w:w="480" w:type="dxa"/>
            <w:vAlign w:val="bottom"/>
          </w:tcPr>
          <w:p>
            <w:pPr>
              <w:spacing w:after="0"/>
              <w:rPr>
                <w:sz w:val="19"/>
                <w:szCs w:val="19"/>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1,462</w:t>
            </w:r>
          </w:p>
        </w:tc>
      </w:tr>
      <w:tr>
        <w:trPr>
          <w:trHeight w:val="190"/>
        </w:trPr>
        <w:tc>
          <w:tcPr>
            <w:tcW w:w="5260" w:type="dxa"/>
            <w:vAlign w:val="bottom"/>
            <w:gridSpan w:val="2"/>
          </w:tcPr>
          <w:p>
            <w:pPr>
              <w:ind w:left="240"/>
              <w:spacing w:after="0"/>
              <w:rPr>
                <w:sz w:val="20"/>
                <w:szCs w:val="20"/>
                <w:color w:val="auto"/>
              </w:rPr>
            </w:pPr>
            <w:r>
              <w:rPr>
                <w:rFonts w:ascii="Arial" w:cs="Arial" w:eastAsia="Arial" w:hAnsi="Arial"/>
                <w:sz w:val="14"/>
                <w:szCs w:val="14"/>
                <w:color w:val="auto"/>
              </w:rPr>
              <w:t>Retained earnings</w:t>
            </w:r>
          </w:p>
        </w:tc>
        <w:tc>
          <w:tcPr>
            <w:tcW w:w="3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802</w:t>
            </w:r>
          </w:p>
        </w:tc>
        <w:tc>
          <w:tcPr>
            <w:tcW w:w="48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691</w:t>
            </w:r>
          </w:p>
        </w:tc>
      </w:tr>
      <w:tr>
        <w:trPr>
          <w:trHeight w:val="186"/>
        </w:trPr>
        <w:tc>
          <w:tcPr>
            <w:tcW w:w="5260" w:type="dxa"/>
            <w:vAlign w:val="bottom"/>
            <w:gridSpan w:val="2"/>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r>
      <w:tr>
        <w:trPr>
          <w:trHeight w:val="176"/>
        </w:trPr>
        <w:tc>
          <w:tcPr>
            <w:tcW w:w="5260" w:type="dxa"/>
            <w:vAlign w:val="bottom"/>
            <w:gridSpan w:val="2"/>
          </w:tcPr>
          <w:p>
            <w:pPr>
              <w:ind w:left="400"/>
              <w:spacing w:after="0"/>
              <w:rPr>
                <w:sz w:val="20"/>
                <w:szCs w:val="20"/>
                <w:color w:val="auto"/>
              </w:rPr>
            </w:pPr>
            <w:r>
              <w:rPr>
                <w:rFonts w:ascii="Arial" w:cs="Arial" w:eastAsia="Arial" w:hAnsi="Arial"/>
                <w:sz w:val="14"/>
                <w:szCs w:val="14"/>
                <w:color w:val="auto"/>
              </w:rPr>
              <w:t>Total Pacific Enterprises shareholders' equity</w:t>
            </w:r>
          </w:p>
        </w:tc>
        <w:tc>
          <w:tcPr>
            <w:tcW w:w="3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2,321</w:t>
            </w:r>
          </w:p>
        </w:tc>
        <w:tc>
          <w:tcPr>
            <w:tcW w:w="48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2,208</w:t>
            </w:r>
          </w:p>
        </w:tc>
      </w:tr>
      <w:tr>
        <w:trPr>
          <w:trHeight w:val="188"/>
        </w:trPr>
        <w:tc>
          <w:tcPr>
            <w:tcW w:w="5260" w:type="dxa"/>
            <w:vAlign w:val="bottom"/>
            <w:gridSpan w:val="2"/>
          </w:tcPr>
          <w:p>
            <w:pPr>
              <w:ind w:left="240"/>
              <w:spacing w:after="0"/>
              <w:rPr>
                <w:sz w:val="20"/>
                <w:szCs w:val="20"/>
                <w:color w:val="auto"/>
              </w:rPr>
            </w:pPr>
            <w:r>
              <w:rPr>
                <w:rFonts w:ascii="Arial" w:cs="Arial" w:eastAsia="Arial" w:hAnsi="Arial"/>
                <w:sz w:val="14"/>
                <w:szCs w:val="14"/>
                <w:color w:val="auto"/>
              </w:rPr>
              <w:t>Preferred stock of subsidiary</w:t>
            </w: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r>
      <w:tr>
        <w:trPr>
          <w:trHeight w:val="164"/>
        </w:trPr>
        <w:tc>
          <w:tcPr>
            <w:tcW w:w="5260" w:type="dxa"/>
            <w:vAlign w:val="bottom"/>
            <w:gridSpan w:val="2"/>
          </w:tcPr>
          <w:p>
            <w:pPr>
              <w:ind w:left="400"/>
              <w:spacing w:after="0" w:line="153" w:lineRule="exact"/>
              <w:rPr>
                <w:sz w:val="20"/>
                <w:szCs w:val="20"/>
                <w:color w:val="auto"/>
              </w:rPr>
            </w:pPr>
            <w:r>
              <w:rPr>
                <w:rFonts w:ascii="Arial" w:cs="Arial" w:eastAsia="Arial" w:hAnsi="Arial"/>
                <w:sz w:val="14"/>
                <w:szCs w:val="14"/>
                <w:color w:val="auto"/>
              </w:rPr>
              <w:t>Total equity</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color w:val="auto"/>
              </w:rPr>
              <w:t>2,341</w:t>
            </w: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color w:val="auto"/>
              </w:rPr>
              <w:t>2,228</w:t>
            </w:r>
          </w:p>
        </w:tc>
      </w:tr>
      <w:tr>
        <w:trPr>
          <w:trHeight w:val="220"/>
        </w:trPr>
        <w:tc>
          <w:tcPr>
            <w:tcW w:w="5260" w:type="dxa"/>
            <w:vAlign w:val="bottom"/>
            <w:tcBorders>
              <w:bottom w:val="single" w:sz="8" w:color="auto"/>
            </w:tcBorders>
            <w:gridSpan w:val="2"/>
          </w:tcPr>
          <w:p>
            <w:pPr>
              <w:ind w:left="80"/>
              <w:spacing w:after="0" w:line="204" w:lineRule="exact"/>
              <w:rPr>
                <w:sz w:val="20"/>
                <w:szCs w:val="20"/>
                <w:color w:val="auto"/>
              </w:rPr>
            </w:pPr>
            <w:r>
              <w:rPr>
                <w:rFonts w:ascii="Arial" w:cs="Arial" w:eastAsia="Arial" w:hAnsi="Arial"/>
                <w:sz w:val="14"/>
                <w:szCs w:val="14"/>
                <w:color w:val="auto"/>
              </w:rPr>
              <w:t>Total liabilities and equity</w:t>
            </w:r>
            <w:r>
              <w:rPr>
                <w:rFonts w:ascii="Arial" w:cs="Arial" w:eastAsia="Arial" w:hAnsi="Arial"/>
                <w:sz w:val="19"/>
                <w:szCs w:val="19"/>
                <w:color w:val="auto"/>
              </w:rPr>
              <w:t>&lt; /p&gt;</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7,891</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7,834</w:t>
            </w:r>
          </w:p>
        </w:tc>
      </w:tr>
    </w:tbl>
    <w:p>
      <w:pPr>
        <w:spacing w:after="0" w:line="40" w:lineRule="exact"/>
        <w:rPr>
          <w:sz w:val="20"/>
          <w:szCs w:val="20"/>
          <w:color w:val="auto"/>
        </w:rPr>
      </w:pPr>
    </w:p>
    <w:p>
      <w:pPr>
        <w:ind w:left="84"/>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83" w:lineRule="exact"/>
        <w:rPr>
          <w:sz w:val="20"/>
          <w:szCs w:val="20"/>
          <w:color w:val="auto"/>
        </w:rPr>
      </w:pPr>
    </w:p>
    <w:p>
      <w:pPr>
        <w:ind w:left="4" w:hanging="4"/>
        <w:spacing w:after="0" w:line="264" w:lineRule="auto"/>
        <w:tabs>
          <w:tab w:leader="none" w:pos="1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td style="BORDER-RIGHT:0px; PADDING-RIGHT:5.75pt; BORDER-TOP:0px; PADDING-LEFT:5.75pt; BACKGROUND:white; PADDING-BOTTOM:0in; BORDER-LEFT:0px; PADDING-TOP:0in; BORDER-BOTTOM:0px; HEIGHT:12.75pt" valign=bottom&gt;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4564380" cy="434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64380" cy="434340"/>
                    </a:xfrm>
                    <a:prstGeom prst="rect">
                      <a:avLst/>
                    </a:prstGeom>
                    <a:noFill/>
                  </pic:spPr>
                </pic:pic>
              </a:graphicData>
            </a:graphic>
          </wp:anchor>
        </w:drawing>
      </w:r>
    </w:p>
    <w:p>
      <w:pPr>
        <w:spacing w:after="0" w:line="162"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PACIFIC ENTERPRISES AND SUBSIDIARIES</w:t>
      </w:r>
    </w:p>
    <w:p>
      <w:pPr>
        <w:spacing w:after="0" w:line="67"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CONDENSED STATEMENTS OF CONSOLIDATED CASH FLOWS</w:t>
      </w:r>
    </w:p>
    <w:p>
      <w:pPr>
        <w:spacing w:after="0" w:line="100" w:lineRule="exact"/>
        <w:rPr>
          <w:sz w:val="20"/>
          <w:szCs w:val="20"/>
          <w:color w:val="auto"/>
        </w:rPr>
      </w:pPr>
    </w:p>
    <w:p>
      <w:pPr>
        <w:ind w:left="84"/>
        <w:spacing w:after="0"/>
        <w:rPr>
          <w:sz w:val="20"/>
          <w:szCs w:val="20"/>
          <w:color w:val="auto"/>
        </w:rPr>
      </w:pPr>
      <w:r>
        <w:rPr>
          <w:rFonts w:ascii="Arial" w:cs="Arial" w:eastAsia="Arial" w:hAnsi="Arial"/>
          <w:sz w:val="13"/>
          <w:szCs w:val="13"/>
          <w:i w:val="1"/>
          <w:iCs w:val="1"/>
          <w:color w:val="auto"/>
        </w:rPr>
        <w:t>(Dollars in millions)</w:t>
      </w:r>
    </w:p>
    <w:p>
      <w:pPr>
        <w:spacing w:after="0" w:line="115" w:lineRule="exact"/>
        <w:rPr>
          <w:sz w:val="20"/>
          <w:szCs w:val="20"/>
          <w:color w:val="auto"/>
        </w:rPr>
      </w:pPr>
    </w:p>
    <w:tbl>
      <w:tblPr>
        <w:tblLayout w:type="fixed"/>
        <w:tblInd w:w="4" w:type="dxa"/>
        <w:tblCellMar>
          <w:top w:w="0" w:type="dxa"/>
          <w:left w:w="0" w:type="dxa"/>
          <w:bottom w:w="0" w:type="dxa"/>
          <w:right w:w="0" w:type="dxa"/>
        </w:tblCellMar>
      </w:tblPr>
      <w:tr>
        <w:trPr>
          <w:trHeight w:val="154"/>
        </w:trPr>
        <w:tc>
          <w:tcPr>
            <w:tcW w:w="5020" w:type="dxa"/>
            <w:vAlign w:val="bottom"/>
          </w:tcPr>
          <w:p>
            <w:pPr>
              <w:spacing w:after="0"/>
              <w:rPr>
                <w:sz w:val="13"/>
                <w:szCs w:val="13"/>
                <w:color w:val="auto"/>
              </w:rPr>
            </w:pPr>
          </w:p>
        </w:tc>
        <w:tc>
          <w:tcPr>
            <w:tcW w:w="2160" w:type="dxa"/>
            <w:vAlign w:val="bottom"/>
            <w:gridSpan w:val="4"/>
          </w:tcPr>
          <w:p>
            <w:pPr>
              <w:ind w:left="80"/>
              <w:spacing w:after="0"/>
              <w:rPr>
                <w:sz w:val="20"/>
                <w:szCs w:val="20"/>
                <w:color w:val="auto"/>
              </w:rPr>
            </w:pPr>
            <w:r>
              <w:rPr>
                <w:rFonts w:ascii="Arial" w:cs="Arial" w:eastAsia="Arial" w:hAnsi="Arial"/>
                <w:sz w:val="13"/>
                <w:szCs w:val="13"/>
                <w:color w:val="auto"/>
              </w:rPr>
              <w:t>Nine months ended September 30,</w:t>
            </w:r>
          </w:p>
        </w:tc>
        <w:tc>
          <w:tcPr>
            <w:tcW w:w="0" w:type="dxa"/>
            <w:vAlign w:val="bottom"/>
          </w:tcPr>
          <w:p>
            <w:pPr>
              <w:spacing w:after="0"/>
              <w:rPr>
                <w:sz w:val="1"/>
                <w:szCs w:val="1"/>
                <w:color w:val="auto"/>
              </w:rPr>
            </w:pPr>
          </w:p>
        </w:tc>
      </w:tr>
      <w:tr>
        <w:trPr>
          <w:trHeight w:val="106"/>
        </w:trPr>
        <w:tc>
          <w:tcPr>
            <w:tcW w:w="50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0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7"/>
              <w:spacing w:after="0" w:line="148" w:lineRule="exact"/>
              <w:rPr>
                <w:sz w:val="20"/>
                <w:szCs w:val="20"/>
                <w:color w:val="auto"/>
              </w:rPr>
            </w:pPr>
            <w:r>
              <w:rPr>
                <w:rFonts w:ascii="Arial" w:cs="Arial" w:eastAsia="Arial" w:hAnsi="Arial"/>
                <w:sz w:val="13"/>
                <w:szCs w:val="13"/>
                <w:color w:val="auto"/>
              </w:rPr>
              <w:t>2010</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6"/>
              <w:spacing w:after="0" w:line="148" w:lineRule="exact"/>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3"/>
          </w:tcPr>
          <w:p>
            <w:pPr>
              <w:jc w:val="right"/>
              <w:ind w:right="686"/>
              <w:spacing w:after="0"/>
              <w:rPr>
                <w:sz w:val="20"/>
                <w:szCs w:val="20"/>
                <w:color w:val="auto"/>
              </w:rPr>
            </w:pPr>
            <w:r>
              <w:rPr>
                <w:rFonts w:ascii="Arial" w:cs="Arial" w:eastAsia="Arial" w:hAnsi="Arial"/>
                <w:sz w:val="13"/>
                <w:szCs w:val="13"/>
                <w:color w:val="auto"/>
              </w:rPr>
              <w:t>(unaudited)</w:t>
            </w:r>
          </w:p>
        </w:tc>
        <w:tc>
          <w:tcPr>
            <w:tcW w:w="0" w:type="dxa"/>
            <w:vAlign w:val="bottom"/>
          </w:tcPr>
          <w:p>
            <w:pPr>
              <w:spacing w:after="0"/>
              <w:rPr>
                <w:sz w:val="1"/>
                <w:szCs w:val="1"/>
                <w:color w:val="auto"/>
              </w:rPr>
            </w:pPr>
          </w:p>
        </w:tc>
      </w:tr>
      <w:tr>
        <w:trPr>
          <w:trHeight w:val="184"/>
        </w:trPr>
        <w:tc>
          <w:tcPr>
            <w:tcW w:w="5020" w:type="dxa"/>
            <w:vAlign w:val="bottom"/>
          </w:tcPr>
          <w:p>
            <w:pPr>
              <w:ind w:left="8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2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7"/>
              <w:spacing w:after="0"/>
              <w:rPr>
                <w:sz w:val="20"/>
                <w:szCs w:val="20"/>
                <w:color w:val="auto"/>
              </w:rPr>
            </w:pPr>
            <w:r>
              <w:rPr>
                <w:rFonts w:ascii="Arial" w:cs="Arial" w:eastAsia="Arial" w:hAnsi="Arial"/>
                <w:sz w:val="14"/>
                <w:szCs w:val="14"/>
                <w:color w:val="auto"/>
              </w:rPr>
              <w:t>215</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92"/>
        </w:trPr>
        <w:tc>
          <w:tcPr>
            <w:tcW w:w="5020" w:type="dxa"/>
            <w:vAlign w:val="bottom"/>
          </w:tcPr>
          <w:p>
            <w:pPr>
              <w:ind w:left="240"/>
              <w:spacing w:after="0"/>
              <w:rPr>
                <w:sz w:val="20"/>
                <w:szCs w:val="20"/>
                <w:color w:val="auto"/>
              </w:rPr>
            </w:pPr>
            <w:r>
              <w:rPr>
                <w:rFonts w:ascii="Arial" w:cs="Arial" w:eastAsia="Arial" w:hAnsi="Arial"/>
                <w:sz w:val="14"/>
                <w:szCs w:val="14"/>
                <w:color w:val="auto"/>
              </w:rPr>
              <w:t>Adjustments to reconcile net income to net cash provided by</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20" w:type="dxa"/>
            <w:vAlign w:val="bottom"/>
          </w:tcPr>
          <w:p>
            <w:pPr>
              <w:ind w:left="400"/>
              <w:spacing w:after="0"/>
              <w:rPr>
                <w:sz w:val="20"/>
                <w:szCs w:val="20"/>
                <w:color w:val="auto"/>
              </w:rPr>
            </w:pPr>
            <w:r>
              <w:rPr>
                <w:rFonts w:ascii="Arial" w:cs="Arial" w:eastAsia="Arial" w:hAnsi="Arial"/>
                <w:sz w:val="14"/>
                <w:szCs w:val="14"/>
                <w:color w:val="auto"/>
              </w:rPr>
              <w:t>operating activities:</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20" w:type="dxa"/>
            <w:vAlign w:val="bottom"/>
          </w:tcPr>
          <w:p>
            <w:pPr>
              <w:ind w:left="56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16"/>
                <w:szCs w:val="16"/>
                <w:color w:val="auto"/>
              </w:rPr>
            </w:pPr>
          </w:p>
        </w:tc>
        <w:tc>
          <w:tcPr>
            <w:tcW w:w="620" w:type="dxa"/>
            <w:vAlign w:val="bottom"/>
          </w:tcPr>
          <w:p>
            <w:pPr>
              <w:jc w:val="right"/>
              <w:ind w:right="67"/>
              <w:spacing w:after="0"/>
              <w:rPr>
                <w:sz w:val="20"/>
                <w:szCs w:val="20"/>
                <w:color w:val="auto"/>
              </w:rPr>
            </w:pPr>
            <w:r>
              <w:rPr>
                <w:rFonts w:ascii="Arial" w:cs="Arial" w:eastAsia="Arial" w:hAnsi="Arial"/>
                <w:sz w:val="14"/>
                <w:szCs w:val="14"/>
                <w:color w:val="auto"/>
              </w:rPr>
              <w:t>230</w:t>
            </w:r>
          </w:p>
        </w:tc>
        <w:tc>
          <w:tcPr>
            <w:tcW w:w="30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92"/>
        </w:trPr>
        <w:tc>
          <w:tcPr>
            <w:tcW w:w="5020" w:type="dxa"/>
            <w:vAlign w:val="bottom"/>
          </w:tcPr>
          <w:p>
            <w:pPr>
              <w:ind w:left="560"/>
              <w:spacing w:after="0"/>
              <w:rPr>
                <w:sz w:val="20"/>
                <w:szCs w:val="20"/>
                <w:color w:val="auto"/>
              </w:rPr>
            </w:pPr>
            <w:r>
              <w:rPr>
                <w:rFonts w:ascii="Arial" w:cs="Arial" w:eastAsia="Arial" w:hAnsi="Arial"/>
                <w:sz w:val="14"/>
                <w:szCs w:val="14"/>
                <w:color w:val="auto"/>
              </w:rPr>
              <w:t>Deferred income taxes and invest ment tax credits</w:t>
            </w:r>
          </w:p>
        </w:tc>
        <w:tc>
          <w:tcPr>
            <w:tcW w:w="240" w:type="dxa"/>
            <w:vAlign w:val="bottom"/>
          </w:tcPr>
          <w:p>
            <w:pPr>
              <w:spacing w:after="0"/>
              <w:rPr>
                <w:sz w:val="16"/>
                <w:szCs w:val="16"/>
                <w:color w:val="auto"/>
              </w:rPr>
            </w:pPr>
          </w:p>
        </w:tc>
        <w:tc>
          <w:tcPr>
            <w:tcW w:w="620" w:type="dxa"/>
            <w:vAlign w:val="bottom"/>
          </w:tcPr>
          <w:p>
            <w:pPr>
              <w:jc w:val="right"/>
              <w:ind w:right="67"/>
              <w:spacing w:after="0"/>
              <w:rPr>
                <w:sz w:val="20"/>
                <w:szCs w:val="20"/>
                <w:color w:val="auto"/>
              </w:rPr>
            </w:pPr>
            <w:r>
              <w:rPr>
                <w:rFonts w:ascii="Arial" w:cs="Arial" w:eastAsia="Arial" w:hAnsi="Arial"/>
                <w:sz w:val="14"/>
                <w:szCs w:val="14"/>
                <w:color w:val="auto"/>
              </w:rPr>
              <w:t>63</w:t>
            </w:r>
          </w:p>
        </w:tc>
        <w:tc>
          <w:tcPr>
            <w:tcW w:w="30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2"/>
        </w:trPr>
        <w:tc>
          <w:tcPr>
            <w:tcW w:w="5020" w:type="dxa"/>
            <w:vAlign w:val="bottom"/>
          </w:tcPr>
          <w:p>
            <w:pPr>
              <w:ind w:left="56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620" w:type="dxa"/>
            <w:vAlign w:val="bottom"/>
          </w:tcPr>
          <w:p>
            <w:pPr>
              <w:jc w:val="right"/>
              <w:ind w:right="67"/>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5020" w:type="dxa"/>
            <w:vAlign w:val="bottom"/>
          </w:tcPr>
          <w:p>
            <w:pPr>
              <w:ind w:left="240"/>
              <w:spacing w:after="0"/>
              <w:rPr>
                <w:sz w:val="20"/>
                <w:szCs w:val="20"/>
                <w:color w:val="auto"/>
              </w:rPr>
            </w:pPr>
            <w:r>
              <w:rPr>
                <w:rFonts w:ascii="Arial" w:cs="Arial" w:eastAsia="Arial" w:hAnsi="Arial"/>
                <w:sz w:val="14"/>
                <w:szCs w:val="14"/>
                <w:color w:val="auto"/>
              </w:rPr>
              <w:t>Net change in other working capital components</w:t>
            </w:r>
          </w:p>
        </w:tc>
        <w:tc>
          <w:tcPr>
            <w:tcW w:w="240" w:type="dxa"/>
            <w:vAlign w:val="bottom"/>
          </w:tcPr>
          <w:p>
            <w:pPr>
              <w:spacing w:after="0"/>
              <w:rPr>
                <w:sz w:val="16"/>
                <w:szCs w:val="16"/>
                <w:color w:val="auto"/>
              </w:rPr>
            </w:pPr>
          </w:p>
        </w:tc>
        <w:tc>
          <w:tcPr>
            <w:tcW w:w="620" w:type="dxa"/>
            <w:vAlign w:val="bottom"/>
          </w:tcPr>
          <w:p>
            <w:pPr>
              <w:jc w:val="right"/>
              <w:ind w:right="67"/>
              <w:spacing w:after="0"/>
              <w:rPr>
                <w:sz w:val="20"/>
                <w:szCs w:val="20"/>
                <w:color w:val="auto"/>
              </w:rPr>
            </w:pPr>
            <w:r>
              <w:rPr>
                <w:rFonts w:ascii="Arial" w:cs="Arial" w:eastAsia="Arial" w:hAnsi="Arial"/>
                <w:sz w:val="14"/>
                <w:szCs w:val="14"/>
                <w:color w:val="auto"/>
              </w:rPr>
              <w:t>56</w:t>
            </w:r>
          </w:p>
        </w:tc>
        <w:tc>
          <w:tcPr>
            <w:tcW w:w="30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4"/>
                <w:szCs w:val="14"/>
                <w:color w:val="auto"/>
              </w:rPr>
              <w:t>129 &lt; /font&gt;</w:t>
            </w:r>
          </w:p>
        </w:tc>
        <w:tc>
          <w:tcPr>
            <w:tcW w:w="0" w:type="dxa"/>
            <w:vAlign w:val="bottom"/>
          </w:tcPr>
          <w:p>
            <w:pPr>
              <w:spacing w:after="0"/>
              <w:rPr>
                <w:sz w:val="1"/>
                <w:szCs w:val="1"/>
                <w:color w:val="auto"/>
              </w:rPr>
            </w:pPr>
          </w:p>
        </w:tc>
      </w:tr>
      <w:tr>
        <w:trPr>
          <w:trHeight w:val="192"/>
        </w:trPr>
        <w:tc>
          <w:tcPr>
            <w:tcW w:w="5020" w:type="dxa"/>
            <w:vAlign w:val="bottom"/>
          </w:tcPr>
          <w:p>
            <w:pPr>
              <w:ind w:left="240"/>
              <w:spacing w:after="0"/>
              <w:rPr>
                <w:sz w:val="20"/>
                <w:szCs w:val="20"/>
                <w:color w:val="auto"/>
              </w:rPr>
            </w:pPr>
            <w:r>
              <w:rPr>
                <w:rFonts w:ascii="Arial" w:cs="Arial" w:eastAsia="Arial" w:hAnsi="Arial"/>
                <w:sz w:val="14"/>
                <w:szCs w:val="14"/>
                <w:color w:val="auto"/>
              </w:rPr>
              <w:t>Changes in other assets</w:t>
            </w:r>
          </w:p>
        </w:tc>
        <w:tc>
          <w:tcPr>
            <w:tcW w:w="240" w:type="dxa"/>
            <w:vAlign w:val="bottom"/>
          </w:tcPr>
          <w:p>
            <w:pPr>
              <w:spacing w:after="0"/>
              <w:rPr>
                <w:sz w:val="16"/>
                <w:szCs w:val="16"/>
                <w:color w:val="auto"/>
              </w:rPr>
            </w:pPr>
          </w:p>
        </w:tc>
        <w:tc>
          <w:tcPr>
            <w:tcW w:w="620" w:type="dxa"/>
            <w:vAlign w:val="bottom"/>
          </w:tcPr>
          <w:p>
            <w:pPr>
              <w:jc w:val="right"/>
              <w:ind w:right="67"/>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5020" w:type="dxa"/>
            <w:vAlign w:val="bottom"/>
          </w:tcPr>
          <w:p>
            <w:pPr>
              <w:ind w:left="240"/>
              <w:spacing w:after="0"/>
              <w:rPr>
                <w:sz w:val="20"/>
                <w:szCs w:val="20"/>
                <w:color w:val="auto"/>
              </w:rPr>
            </w:pPr>
            <w:r>
              <w:rPr>
                <w:rFonts w:ascii="Arial" w:cs="Arial" w:eastAsia="Arial" w:hAnsi="Arial"/>
                <w:sz w:val="14"/>
                <w:szCs w:val="14"/>
                <w:color w:val="auto"/>
              </w:rPr>
              <w:t>Changes in other liabilities</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(10)</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2"/>
        </w:trPr>
        <w:tc>
          <w:tcPr>
            <w:tcW w:w="5020" w:type="dxa"/>
            <w:vAlign w:val="bottom"/>
          </w:tcPr>
          <w:p>
            <w:pPr>
              <w:ind w:left="40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562</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382"/>
        </w:trPr>
        <w:tc>
          <w:tcPr>
            <w:tcW w:w="5020" w:type="dxa"/>
            <w:vAlign w:val="bottom"/>
          </w:tcPr>
          <w:p>
            <w:pPr>
              <w:ind w:left="8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20" w:type="dxa"/>
            <w:vAlign w:val="bottom"/>
          </w:tcPr>
          <w:p>
            <w:pPr>
              <w:ind w:left="240"/>
              <w:spacing w:after="0"/>
              <w:rPr>
                <w:sz w:val="20"/>
                <w:szCs w:val="20"/>
                <w:color w:val="auto"/>
              </w:rPr>
            </w:pPr>
            <w:r>
              <w:rPr>
                <w:rFonts w:ascii="Arial" w:cs="Arial" w:eastAsia="Arial" w:hAnsi="Arial"/>
                <w:sz w:val="14"/>
                <w:szCs w:val="14"/>
                <w:color w:val="auto"/>
              </w:rPr>
              <w:t>Expenditures for property, plant and equipment</w:t>
            </w:r>
          </w:p>
        </w:tc>
        <w:tc>
          <w:tcPr>
            <w:tcW w:w="240" w:type="dxa"/>
            <w:vAlign w:val="bottom"/>
          </w:tcPr>
          <w:p>
            <w:pPr>
              <w:spacing w:after="0"/>
              <w:rPr>
                <w:sz w:val="16"/>
                <w:szCs w:val="16"/>
                <w:color w:val="auto"/>
              </w:rPr>
            </w:pPr>
          </w:p>
        </w:tc>
        <w:tc>
          <w:tcPr>
            <w:tcW w:w="620" w:type="dxa"/>
            <w:vAlign w:val="bottom"/>
          </w:tcPr>
          <w:p>
            <w:pPr>
              <w:jc w:val="right"/>
              <w:ind w:right="27"/>
              <w:spacing w:after="0"/>
              <w:rPr>
                <w:sz w:val="20"/>
                <w:szCs w:val="20"/>
                <w:color w:val="auto"/>
              </w:rPr>
            </w:pPr>
            <w:r>
              <w:rPr>
                <w:rFonts w:ascii="Arial" w:cs="Arial" w:eastAsia="Arial" w:hAnsi="Arial"/>
                <w:sz w:val="14"/>
                <w:szCs w:val="14"/>
                <w:color w:val="auto"/>
              </w:rPr>
              <w:t>(337)</w:t>
            </w:r>
          </w:p>
        </w:tc>
        <w:tc>
          <w:tcPr>
            <w:tcW w:w="30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92"/>
        </w:trPr>
        <w:tc>
          <w:tcPr>
            <w:tcW w:w="5020" w:type="dxa"/>
            <w:vAlign w:val="bottom"/>
          </w:tcPr>
          <w:p>
            <w:pPr>
              <w:ind w:left="240"/>
              <w:spacing w:after="0"/>
              <w:rPr>
                <w:sz w:val="20"/>
                <w:szCs w:val="20"/>
                <w:color w:val="auto"/>
              </w:rPr>
            </w:pPr>
            <w:r>
              <w:rPr>
                <w:rFonts w:ascii="Arial" w:cs="Arial" w:eastAsia="Arial" w:hAnsi="Arial"/>
                <w:sz w:val="14"/>
                <w:szCs w:val="14"/>
                <w:color w:val="auto"/>
              </w:rPr>
              <w:t>(Increase) d ecrease in loans to affiliates, net</w:t>
            </w:r>
          </w:p>
        </w:tc>
        <w:tc>
          <w:tcPr>
            <w:tcW w:w="240" w:type="dxa"/>
            <w:vAlign w:val="bottom"/>
          </w:tcPr>
          <w:p>
            <w:pPr>
              <w:spacing w:after="0"/>
              <w:rPr>
                <w:sz w:val="16"/>
                <w:szCs w:val="16"/>
                <w:color w:val="auto"/>
              </w:rPr>
            </w:pPr>
          </w:p>
        </w:tc>
        <w:tc>
          <w:tcPr>
            <w:tcW w:w="620" w:type="dxa"/>
            <w:vAlign w:val="bottom"/>
          </w:tcPr>
          <w:p>
            <w:pPr>
              <w:jc w:val="right"/>
              <w:ind w:right="27"/>
              <w:spacing w:after="0"/>
              <w:rPr>
                <w:sz w:val="20"/>
                <w:szCs w:val="20"/>
                <w:color w:val="auto"/>
              </w:rPr>
            </w:pPr>
            <w:r>
              <w:rPr>
                <w:rFonts w:ascii="Arial" w:cs="Arial" w:eastAsia="Arial" w:hAnsi="Arial"/>
                <w:sz w:val="14"/>
                <w:szCs w:val="14"/>
                <w:color w:val="auto"/>
              </w:rPr>
              <w:t>(97)</w:t>
            </w:r>
          </w:p>
        </w:tc>
        <w:tc>
          <w:tcPr>
            <w:tcW w:w="30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5020" w:type="dxa"/>
            <w:vAlign w:val="bottom"/>
          </w:tcPr>
          <w:p>
            <w:pPr>
              <w:ind w:left="2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5020" w:type="dxa"/>
            <w:vAlign w:val="bottom"/>
          </w:tcPr>
          <w:p>
            <w:pPr>
              <w:ind w:left="40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(435)</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
              <w:spacing w:after="0" w:line="208" w:lineRule="exact"/>
              <w:rPr>
                <w:sz w:val="20"/>
                <w:szCs w:val="20"/>
                <w:color w:val="auto"/>
              </w:rPr>
            </w:pPr>
            <w:r>
              <w:rPr>
                <w:rFonts w:ascii="Arial" w:cs="Arial" w:eastAsia="Arial" w:hAnsi="Arial"/>
                <w:sz w:val="19"/>
                <w:szCs w:val="19"/>
                <w:color w:val="auto"/>
              </w:rPr>
              <w:t>(329)</w:t>
            </w:r>
          </w:p>
        </w:tc>
        <w:tc>
          <w:tcPr>
            <w:tcW w:w="0" w:type="dxa"/>
            <w:vAlign w:val="bottom"/>
          </w:tcPr>
          <w:p>
            <w:pPr>
              <w:spacing w:after="0"/>
              <w:rPr>
                <w:sz w:val="1"/>
                <w:szCs w:val="1"/>
                <w:color w:val="auto"/>
              </w:rPr>
            </w:pPr>
          </w:p>
        </w:tc>
      </w:tr>
      <w:tr>
        <w:trPr>
          <w:trHeight w:val="406"/>
        </w:trPr>
        <w:tc>
          <w:tcPr>
            <w:tcW w:w="5020" w:type="dxa"/>
            <w:vAlign w:val="bottom"/>
          </w:tcPr>
          <w:p>
            <w:pPr>
              <w:ind w:left="8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20" w:type="dxa"/>
            <w:vAlign w:val="bottom"/>
          </w:tcPr>
          <w:p>
            <w:pPr>
              <w:ind w:left="240"/>
              <w:spacing w:after="0"/>
              <w:rPr>
                <w:sz w:val="20"/>
                <w:szCs w:val="20"/>
                <w:color w:val="auto"/>
              </w:rPr>
            </w:pPr>
            <w:r>
              <w:rPr>
                <w:rFonts w:ascii="Arial" w:cs="Arial" w:eastAsia="Arial" w:hAnsi="Arial"/>
                <w:sz w:val="14"/>
                <w:szCs w:val="14"/>
                <w:color w:val="auto"/>
              </w:rPr>
              <w:t>Common dividends paid</w:t>
            </w:r>
          </w:p>
        </w:tc>
        <w:tc>
          <w:tcPr>
            <w:tcW w:w="240" w:type="dxa"/>
            <w:vAlign w:val="bottom"/>
          </w:tcPr>
          <w:p>
            <w:pPr>
              <w:spacing w:after="0"/>
              <w:rPr>
                <w:sz w:val="16"/>
                <w:szCs w:val="16"/>
                <w:color w:val="auto"/>
              </w:rPr>
            </w:pPr>
          </w:p>
        </w:tc>
        <w:tc>
          <w:tcPr>
            <w:tcW w:w="620" w:type="dxa"/>
            <w:vAlign w:val="bottom"/>
          </w:tcPr>
          <w:p>
            <w:pPr>
              <w:jc w:val="right"/>
              <w:ind w:right="27"/>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020" w:type="dxa"/>
            <w:vAlign w:val="bottom"/>
          </w:tcPr>
          <w:p>
            <w:pPr>
              <w:ind w:left="240"/>
              <w:spacing w:after="0"/>
              <w:rPr>
                <w:sz w:val="20"/>
                <w:szCs w:val="20"/>
                <w:color w:val="auto"/>
              </w:rPr>
            </w:pPr>
            <w:r>
              <w:rPr>
                <w:rFonts w:ascii="Arial" w:cs="Arial" w:eastAsia="Arial" w:hAnsi="Arial"/>
                <w:sz w:val="14"/>
                <w:szCs w:val="14"/>
                <w:color w:val="auto"/>
              </w:rPr>
              <w:t>Preferred dividends paid</w:t>
            </w:r>
          </w:p>
        </w:tc>
        <w:tc>
          <w:tcPr>
            <w:tcW w:w="240" w:type="dxa"/>
            <w:vAlign w:val="bottom"/>
          </w:tcPr>
          <w:p>
            <w:pPr>
              <w:spacing w:after="0"/>
              <w:rPr>
                <w:sz w:val="15"/>
                <w:szCs w:val="15"/>
                <w:color w:val="auto"/>
              </w:rPr>
            </w:pPr>
          </w:p>
        </w:tc>
        <w:tc>
          <w:tcPr>
            <w:tcW w:w="620" w:type="dxa"/>
            <w:vAlign w:val="bottom"/>
          </w:tcPr>
          <w:p>
            <w:pPr>
              <w:jc w:val="right"/>
              <w:ind w:right="27"/>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5"/>
                <w:szCs w:val="15"/>
                <w:color w:val="auto"/>
              </w:rPr>
            </w:pPr>
          </w:p>
        </w:tc>
        <w:tc>
          <w:tcPr>
            <w:tcW w:w="1000" w:type="dxa"/>
            <w:vAlign w:val="bottom"/>
          </w:tcPr>
          <w:p>
            <w:pPr>
              <w:jc w:val="right"/>
              <w:ind w:right="6"/>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2"/>
        </w:trPr>
        <w:tc>
          <w:tcPr>
            <w:tcW w:w="5020" w:type="dxa"/>
            <w:vAlign w:val="bottom"/>
          </w:tcPr>
          <w:p>
            <w:pPr>
              <w:ind w:left="240"/>
              <w:spacing w:after="0"/>
              <w:rPr>
                <w:sz w:val="20"/>
                <w:szCs w:val="20"/>
                <w:color w:val="auto"/>
              </w:rPr>
            </w:pPr>
            <w:r>
              <w:rPr>
                <w:rFonts w:ascii="Arial" w:cs="Arial" w:eastAsia="Arial" w:hAnsi="Arial"/>
                <w:sz w:val="14"/>
                <w:szCs w:val="14"/>
                <w:color w:val="auto"/>
              </w:rPr>
              <w:t>Preferred dividends paid by subsidiary</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19"/>
                <w:szCs w:val="19"/>
                <w:color w:val="auto"/>
              </w:rPr>
              <w:t>(1)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2"/>
        </w:trPr>
        <w:tc>
          <w:tcPr>
            <w:tcW w:w="5020" w:type="dxa"/>
            <w:vAlign w:val="bottom"/>
          </w:tcPr>
          <w:p>
            <w:pPr>
              <w:ind w:left="400"/>
              <w:spacing w:after="0"/>
              <w:rPr>
                <w:sz w:val="20"/>
                <w:szCs w:val="20"/>
                <w:color w:val="auto"/>
              </w:rPr>
            </w:pPr>
            <w:r>
              <w:rPr>
                <w:rFonts w:ascii="Arial" w:cs="Arial" w:eastAsia="Arial" w:hAnsi="Arial"/>
                <w:sz w:val="14"/>
                <w:szCs w:val="14"/>
                <w:color w:val="auto"/>
              </w:rPr>
              <w:t>Net cash used in financing activities</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(104)</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96"/>
        </w:trPr>
        <w:tc>
          <w:tcPr>
            <w:tcW w:w="5020" w:type="dxa"/>
            <w:vAlign w:val="bottom"/>
          </w:tcPr>
          <w:p>
            <w:pPr>
              <w:ind w:left="80"/>
              <w:spacing w:after="0"/>
              <w:rPr>
                <w:sz w:val="20"/>
                <w:szCs w:val="20"/>
                <w:color w:val="auto"/>
              </w:rPr>
            </w:pPr>
            <w:r>
              <w:rPr>
                <w:rFonts w:ascii="Arial" w:cs="Arial" w:eastAsia="Arial" w:hAnsi="Arial"/>
                <w:sz w:val="14"/>
                <w:szCs w:val="14"/>
                <w:color w:val="auto"/>
              </w:rPr>
              <w:t>Increase in cash and cash equivalents</w:t>
            </w:r>
          </w:p>
        </w:tc>
        <w:tc>
          <w:tcPr>
            <w:tcW w:w="240" w:type="dxa"/>
            <w:vAlign w:val="bottom"/>
          </w:tcPr>
          <w:p>
            <w:pPr>
              <w:spacing w:after="0"/>
              <w:rPr>
                <w:sz w:val="24"/>
                <w:szCs w:val="24"/>
                <w:color w:val="auto"/>
              </w:rPr>
            </w:pPr>
          </w:p>
        </w:tc>
        <w:tc>
          <w:tcPr>
            <w:tcW w:w="620" w:type="dxa"/>
            <w:vAlign w:val="bottom"/>
          </w:tcPr>
          <w:p>
            <w:pPr>
              <w:jc w:val="right"/>
              <w:ind w:right="67"/>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24"/>
                <w:szCs w:val="24"/>
                <w:color w:val="auto"/>
              </w:rPr>
            </w:pPr>
          </w:p>
        </w:tc>
        <w:tc>
          <w:tcPr>
            <w:tcW w:w="1000" w:type="dxa"/>
            <w:vAlign w:val="bottom"/>
          </w:tcPr>
          <w:p>
            <w:pPr>
              <w:jc w:val="right"/>
              <w:ind w:right="66"/>
              <w:spacing w:after="0"/>
              <w:rPr>
                <w:sz w:val="20"/>
                <w:szCs w:val="20"/>
                <w:color w:val="auto"/>
              </w:rPr>
            </w:pPr>
            <w:r>
              <w:rPr>
                <w:rFonts w:ascii="Arial" w:cs="Arial" w:eastAsia="Arial" w:hAnsi="Arial"/>
                <w:sz w:val="19"/>
                <w:szCs w:val="19"/>
                <w:color w:val="auto"/>
              </w:rPr>
              <w:t>212</w:t>
            </w:r>
          </w:p>
        </w:tc>
        <w:tc>
          <w:tcPr>
            <w:tcW w:w="0" w:type="dxa"/>
            <w:vAlign w:val="bottom"/>
          </w:tcPr>
          <w:p>
            <w:pPr>
              <w:spacing w:after="0"/>
              <w:rPr>
                <w:sz w:val="1"/>
                <w:szCs w:val="1"/>
                <w:color w:val="auto"/>
              </w:rPr>
            </w:pPr>
          </w:p>
        </w:tc>
      </w:tr>
      <w:tr>
        <w:trPr>
          <w:trHeight w:val="184"/>
        </w:trPr>
        <w:tc>
          <w:tcPr>
            <w:tcW w:w="5020" w:type="dxa"/>
            <w:vAlign w:val="bottom"/>
          </w:tcPr>
          <w:p>
            <w:pPr>
              <w:ind w:left="80"/>
              <w:spacing w:after="0"/>
              <w:rPr>
                <w:sz w:val="20"/>
                <w:szCs w:val="20"/>
                <w:color w:val="auto"/>
              </w:rPr>
            </w:pPr>
            <w:r>
              <w:rPr>
                <w:rFonts w:ascii="Arial" w:cs="Arial" w:eastAsia="Arial" w:hAnsi="Arial"/>
                <w:sz w:val="14"/>
                <w:szCs w:val="14"/>
                <w:color w:val="auto"/>
              </w:rPr>
              <w:t>Cash and cash equivalents, January 1</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49</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76"/>
        </w:trPr>
        <w:tc>
          <w:tcPr>
            <w:tcW w:w="5020" w:type="dxa"/>
            <w:vAlign w:val="bottom"/>
          </w:tcPr>
          <w:p>
            <w:pPr>
              <w:spacing w:after="0"/>
              <w:rPr>
                <w:sz w:val="20"/>
                <w:szCs w:val="20"/>
                <w:color w:val="auto"/>
              </w:rPr>
            </w:pPr>
            <w:r>
              <w:rPr>
                <w:rFonts w:ascii="Arial" w:cs="Arial" w:eastAsia="Arial" w:hAnsi="Arial"/>
                <w:sz w:val="14"/>
                <w:szCs w:val="14"/>
                <w:color w:val="auto"/>
              </w:rPr>
              <w:t>Cash and cash equivalents, September 30</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72</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402"/>
        </w:trPr>
        <w:tc>
          <w:tcPr>
            <w:tcW w:w="5020" w:type="dxa"/>
            <w:vAlign w:val="bottom"/>
          </w:tcPr>
          <w:p>
            <w:pPr>
              <w:ind w:left="80"/>
              <w:spacing w:after="0"/>
              <w:rPr>
                <w:sz w:val="20"/>
                <w:szCs w:val="20"/>
                <w:color w:val="auto"/>
              </w:rPr>
            </w:pPr>
            <w:r>
              <w:rPr>
                <w:rFonts w:ascii="Arial" w:cs="Arial" w:eastAsia="Arial" w:hAnsi="Arial"/>
                <w:sz w:val="14"/>
                <w:szCs w:val="14"/>
                <w:color w:val="auto"/>
              </w:rPr>
              <w:t>SUPPLEMENTAL DISCLOSURE OF CASH FLOW INFORMATION</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020" w:type="dxa"/>
            <w:vAlign w:val="bottom"/>
          </w:tcPr>
          <w:p>
            <w:pPr>
              <w:ind w:left="240"/>
              <w:spacing w:after="0"/>
              <w:rPr>
                <w:sz w:val="20"/>
                <w:szCs w:val="20"/>
                <w:color w:val="auto"/>
              </w:rPr>
            </w:pPr>
            <w:r>
              <w:rPr>
                <w:rFonts w:ascii="Arial" w:cs="Arial" w:eastAsia="Arial" w:hAnsi="Arial"/>
                <w:sz w:val="14"/>
                <w:szCs w:val="14"/>
                <w:color w:val="auto"/>
              </w:rPr>
              <w:t>Interest payments, net of amounts capitalized</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38</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4"/>
        </w:trPr>
        <w:tc>
          <w:tcPr>
            <w:tcW w:w="5020" w:type="dxa"/>
            <w:vAlign w:val="bottom"/>
          </w:tcPr>
          <w:p>
            <w:pPr>
              <w:ind w:left="240"/>
              <w:spacing w:after="0"/>
              <w:rPr>
                <w:sz w:val="20"/>
                <w:szCs w:val="20"/>
                <w:color w:val="auto"/>
              </w:rPr>
            </w:pPr>
            <w:r>
              <w:rPr>
                <w:rFonts w:ascii="Arial" w:cs="Arial" w:eastAsia="Arial" w:hAnsi="Arial"/>
                <w:sz w:val="14"/>
                <w:szCs w:val="14"/>
                <w:color w:val="auto"/>
              </w:rPr>
              <w:t>Income tax payments, net of refunds</w:t>
            </w:r>
          </w:p>
        </w:tc>
        <w:tc>
          <w:tcPr>
            <w:tcW w:w="240" w:type="dxa"/>
            <w:vAlign w:val="bottom"/>
          </w:tcPr>
          <w:p>
            <w:pPr>
              <w:spacing w:after="0"/>
              <w:rPr>
                <w:sz w:val="17"/>
                <w:szCs w:val="17"/>
                <w:color w:val="auto"/>
              </w:rPr>
            </w:pPr>
          </w:p>
        </w:tc>
        <w:tc>
          <w:tcPr>
            <w:tcW w:w="620" w:type="dxa"/>
            <w:vAlign w:val="bottom"/>
          </w:tcPr>
          <w:p>
            <w:pPr>
              <w:jc w:val="right"/>
              <w:ind w:right="67"/>
              <w:spacing w:after="0"/>
              <w:rPr>
                <w:sz w:val="20"/>
                <w:szCs w:val="20"/>
                <w:color w:val="auto"/>
              </w:rPr>
            </w:pPr>
            <w:r>
              <w:rPr>
                <w:rFonts w:ascii="Arial" w:cs="Arial" w:eastAsia="Arial" w:hAnsi="Arial"/>
                <w:sz w:val="14"/>
                <w:szCs w:val="14"/>
                <w:color w:val="auto"/>
              </w:rPr>
              <w:t>63</w:t>
            </w:r>
          </w:p>
        </w:tc>
        <w:tc>
          <w:tcPr>
            <w:tcW w:w="300" w:type="dxa"/>
            <w:vAlign w:val="bottom"/>
          </w:tcPr>
          <w:p>
            <w:pPr>
              <w:spacing w:after="0"/>
              <w:rPr>
                <w:sz w:val="17"/>
                <w:szCs w:val="17"/>
                <w:color w:val="auto"/>
              </w:rPr>
            </w:pP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408"/>
        </w:trPr>
        <w:tc>
          <w:tcPr>
            <w:tcW w:w="5020" w:type="dxa"/>
            <w:vAlign w:val="bottom"/>
          </w:tcPr>
          <w:p>
            <w:pPr>
              <w:ind w:left="80"/>
              <w:spacing w:after="0"/>
              <w:rPr>
                <w:sz w:val="20"/>
                <w:szCs w:val="20"/>
                <w:color w:val="auto"/>
              </w:rPr>
            </w:pPr>
            <w:r>
              <w:rPr>
                <w:rFonts w:ascii="Arial" w:cs="Arial" w:eastAsia="Arial" w:hAnsi="Arial"/>
                <w:sz w:val="14"/>
                <w:szCs w:val="14"/>
                <w:color w:val="auto"/>
              </w:rPr>
              <w:t>SUPPLEMENTAL DISCLOSURE OF NONCASH ACTIVITIES</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020" w:type="dxa"/>
            <w:vAlign w:val="bottom"/>
          </w:tcPr>
          <w:p>
            <w:pPr>
              <w:ind w:left="240"/>
              <w:spacing w:after="0"/>
              <w:rPr>
                <w:sz w:val="20"/>
                <w:szCs w:val="20"/>
                <w:color w:val="auto"/>
              </w:rPr>
            </w:pPr>
            <w:r>
              <w:rPr>
                <w:rFonts w:ascii="Arial" w:cs="Arial" w:eastAsia="Arial" w:hAnsi="Arial"/>
                <w:sz w:val="14"/>
                <w:szCs w:val="14"/>
                <w:color w:val="auto"/>
              </w:rPr>
              <w:t>Increase in capital lease obligations for investments in property, plant and</w:t>
            </w:r>
          </w:p>
        </w:tc>
        <w:tc>
          <w:tcPr>
            <w:tcW w:w="240" w:type="dxa"/>
            <w:vAlign w:val="bottom"/>
          </w:tcPr>
          <w:p>
            <w:pPr>
              <w:spacing w:after="0"/>
              <w:rPr>
                <w:sz w:val="17"/>
                <w:szCs w:val="17"/>
                <w:color w:val="auto"/>
              </w:rPr>
            </w:pPr>
          </w:p>
        </w:tc>
        <w:tc>
          <w:tcPr>
            <w:tcW w:w="620" w:type="dxa"/>
            <w:vAlign w:val="bottom"/>
            <w:vMerge w:val="restart"/>
          </w:tcPr>
          <w:p>
            <w:pPr>
              <w:jc w:val="right"/>
              <w:ind w:right="87"/>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400"/>
              <w:spacing w:after="0"/>
              <w:rPr>
                <w:sz w:val="20"/>
                <w:szCs w:val="20"/>
                <w:color w:val="auto"/>
              </w:rPr>
            </w:pPr>
            <w:r>
              <w:rPr>
                <w:rFonts w:ascii="Arial" w:cs="Arial" w:eastAsia="Arial" w:hAnsi="Arial"/>
                <w:sz w:val="14"/>
                <w:szCs w:val="14"/>
                <w:color w:val="auto"/>
              </w:rPr>
              <w:t>equipment</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620" w:type="dxa"/>
            <w:vAlign w:val="bottom"/>
            <w:vMerge w:val="continue"/>
          </w:tcPr>
          <w:p>
            <w:pPr>
              <w:spacing w:after="0"/>
              <w:rPr>
                <w:sz w:val="18"/>
                <w:szCs w:val="18"/>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2"/>
        </w:trPr>
        <w:tc>
          <w:tcPr>
            <w:tcW w:w="50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Dividends declared but not paid</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4"/>
        <w:spacing w:after="0"/>
        <w:rPr>
          <w:sz w:val="20"/>
          <w:szCs w:val="20"/>
          <w:color w:val="auto"/>
        </w:rPr>
      </w:pPr>
      <w:r>
        <w:rPr>
          <w:rFonts w:ascii="Arial" w:cs="Arial" w:eastAsia="Arial" w:hAnsi="Arial"/>
          <w:sz w:val="13"/>
          <w:szCs w:val="13"/>
          <w:i w:val="1"/>
          <w:iCs w:val="1"/>
          <w:color w:val="auto"/>
        </w:rPr>
        <w:t>See No 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4777740" cy="685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777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SOUTHERN CALIFORNIA GAS COMPANY AND SUBSIDIARIES</w:t>
      </w:r>
    </w:p>
    <w:p>
      <w:pPr>
        <w:spacing w:after="0" w:line="67"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100"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274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112"/>
              <w:spacing w:after="0"/>
              <w:rPr>
                <w:sz w:val="20"/>
                <w:szCs w:val="20"/>
                <w:color w:val="auto"/>
              </w:rPr>
            </w:pPr>
            <w:r>
              <w:rPr>
                <w:rFonts w:ascii="Arial" w:cs="Arial" w:eastAsia="Arial" w:hAnsi="Arial"/>
                <w:sz w:val="13"/>
                <w:szCs w:val="13"/>
                <w:color w:val="auto"/>
                <w:w w:val="98"/>
              </w:rPr>
              <w:t>Three months ended</w:t>
            </w:r>
          </w:p>
        </w:tc>
        <w:tc>
          <w:tcPr>
            <w:tcW w:w="3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3"/>
                <w:szCs w:val="13"/>
                <w:color w:val="auto"/>
              </w:rPr>
              <w:t>Nine months ended</w:t>
            </w:r>
          </w:p>
        </w:tc>
        <w:tc>
          <w:tcPr>
            <w:tcW w:w="1000" w:type="dxa"/>
            <w:vAlign w:val="bottom"/>
          </w:tcPr>
          <w:p>
            <w:pPr>
              <w:spacing w:after="0"/>
              <w:rPr>
                <w:sz w:val="14"/>
                <w:szCs w:val="14"/>
                <w:color w:val="auto"/>
              </w:rPr>
            </w:pPr>
          </w:p>
        </w:tc>
      </w:tr>
      <w:tr>
        <w:trPr>
          <w:trHeight w:val="154"/>
        </w:trPr>
        <w:tc>
          <w:tcPr>
            <w:tcW w:w="2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center"/>
              <w:ind w:right="92"/>
              <w:spacing w:after="0"/>
              <w:rPr>
                <w:sz w:val="20"/>
                <w:szCs w:val="20"/>
                <w:color w:val="auto"/>
              </w:rPr>
            </w:pPr>
            <w:r>
              <w:rPr>
                <w:rFonts w:ascii="Arial" w:cs="Arial" w:eastAsia="Arial" w:hAnsi="Arial"/>
                <w:sz w:val="13"/>
                <w:szCs w:val="13"/>
                <w:color w:val="auto"/>
                <w:w w:val="98"/>
              </w:rPr>
              <w:t>September 30,</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September 30,</w:t>
            </w: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8"/>
        </w:trPr>
        <w:tc>
          <w:tcPr>
            <w:tcW w:w="2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2010</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color w:val="auto"/>
              </w:rPr>
              <w:t>2009</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86"/>
              <w:spacing w:after="0" w:line="208" w:lineRule="exact"/>
              <w:rPr>
                <w:sz w:val="20"/>
                <w:szCs w:val="20"/>
                <w:color w:val="auto"/>
              </w:rPr>
            </w:pPr>
            <w:r>
              <w:rPr>
                <w:rFonts w:ascii="Arial" w:cs="Arial" w:eastAsia="Arial" w:hAnsi="Arial"/>
                <w:sz w:val="19"/>
                <w:szCs w:val="19"/>
                <w:color w:val="auto"/>
              </w:rPr>
              <w:t>2010</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3"/>
                <w:szCs w:val="13"/>
                <w:color w:val="auto"/>
              </w:rPr>
              <w:t>2009</w:t>
            </w:r>
          </w:p>
        </w:tc>
      </w:tr>
      <w:tr>
        <w:trPr>
          <w:trHeight w:val="174"/>
        </w:trPr>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right"/>
              <w:ind w:right="526"/>
              <w:spacing w:after="0"/>
              <w:rPr>
                <w:sz w:val="20"/>
                <w:szCs w:val="20"/>
                <w:color w:val="auto"/>
              </w:rPr>
            </w:pPr>
            <w:r>
              <w:rPr>
                <w:rFonts w:ascii="Arial" w:cs="Arial" w:eastAsia="Arial" w:hAnsi="Arial"/>
                <w:sz w:val="13"/>
                <w:szCs w:val="13"/>
                <w:color w:val="auto"/>
              </w:rPr>
              <w:t>(unaudited)</w:t>
            </w: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46"/>
        </w:trPr>
        <w:tc>
          <w:tcPr>
            <w:tcW w:w="2740" w:type="dxa"/>
            <w:vAlign w:val="bottom"/>
          </w:tcPr>
          <w:p>
            <w:pPr>
              <w:ind w:left="80"/>
              <w:spacing w:after="0"/>
              <w:rPr>
                <w:sz w:val="20"/>
                <w:szCs w:val="20"/>
                <w:color w:val="auto"/>
              </w:rPr>
            </w:pPr>
            <w:r>
              <w:rPr>
                <w:rFonts w:ascii="Arial" w:cs="Arial" w:eastAsia="Arial" w:hAnsi="Arial"/>
                <w:sz w:val="14"/>
                <w:szCs w:val="14"/>
                <w:color w:val="auto"/>
              </w:rPr>
              <w:t>Operating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662</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2,792</w:t>
            </w:r>
          </w:p>
        </w:tc>
        <w:tc>
          <w:tcPr>
            <w:tcW w:w="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2,276</w:t>
            </w:r>
          </w:p>
        </w:tc>
      </w:tr>
      <w:tr>
        <w:trPr>
          <w:trHeight w:val="154"/>
        </w:trPr>
        <w:tc>
          <w:tcPr>
            <w:tcW w:w="2740" w:type="dxa"/>
            <w:vAlign w:val="bottom"/>
          </w:tcPr>
          <w:p>
            <w:pPr>
              <w:ind w:left="80"/>
              <w:spacing w:after="0" w:line="154" w:lineRule="exact"/>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r>
    </w:tbl>
    <w:p>
      <w:pPr>
        <w:sectPr>
          <w:pgSz w:w="11900" w:h="16882" w:orient="portrait"/>
          <w:cols w:equalWidth="0" w:num="1">
            <w:col w:w="11384"/>
          </w:cols>
          <w:pgMar w:left="236" w:top="189" w:right="27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gridSpan w:val="2"/>
          </w:tcPr>
          <w:p>
            <w:pPr>
              <w:ind w:left="240"/>
              <w:spacing w:after="0"/>
              <w:rPr>
                <w:sz w:val="20"/>
                <w:szCs w:val="20"/>
                <w:color w:val="auto"/>
              </w:rPr>
            </w:pPr>
            <w:r>
              <w:rPr>
                <w:rFonts w:ascii="Arial" w:cs="Arial" w:eastAsia="Arial" w:hAnsi="Arial"/>
                <w:sz w:val="14"/>
                <w:szCs w:val="14"/>
                <w:color w:val="auto"/>
              </w:rPr>
              <w:t>Cost of natural gas</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252</w:t>
            </w:r>
          </w:p>
        </w:tc>
        <w:tc>
          <w:tcPr>
            <w:tcW w:w="28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180</w:t>
            </w:r>
          </w:p>
        </w:tc>
        <w:tc>
          <w:tcPr>
            <w:tcW w:w="106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1,244</w:t>
            </w:r>
          </w:p>
        </w:tc>
        <w:tc>
          <w:tcPr>
            <w:tcW w:w="520" w:type="dxa"/>
            <w:vAlign w:val="bottom"/>
          </w:tcPr>
          <w:p>
            <w:pPr>
              <w:spacing w:after="0"/>
              <w:rPr>
                <w:sz w:val="14"/>
                <w:szCs w:val="14"/>
                <w:color w:val="auto"/>
              </w:rPr>
            </w:pPr>
          </w:p>
        </w:tc>
        <w:tc>
          <w:tcPr>
            <w:tcW w:w="960" w:type="dxa"/>
            <w:vAlign w:val="bottom"/>
          </w:tcPr>
          <w:p>
            <w:pPr>
              <w:jc w:val="right"/>
              <w:ind w:right="66"/>
              <w:spacing w:after="0"/>
              <w:rPr>
                <w:sz w:val="20"/>
                <w:szCs w:val="20"/>
                <w:color w:val="auto"/>
              </w:rPr>
            </w:pPr>
            <w:r>
              <w:rPr>
                <w:rFonts w:ascii="Arial" w:cs="Arial" w:eastAsia="Arial" w:hAnsi="Arial"/>
                <w:sz w:val="14"/>
                <w:szCs w:val="14"/>
                <w:color w:val="auto"/>
              </w:rPr>
              <w:t>849</w:t>
            </w:r>
          </w:p>
        </w:tc>
      </w:tr>
      <w:tr>
        <w:trPr>
          <w:trHeight w:val="192"/>
        </w:trPr>
        <w:tc>
          <w:tcPr>
            <w:tcW w:w="3020" w:type="dxa"/>
            <w:vAlign w:val="bottom"/>
            <w:gridSpan w:val="2"/>
          </w:tcPr>
          <w:p>
            <w:pPr>
              <w:ind w:left="240"/>
              <w:spacing w:after="0"/>
              <w:rPr>
                <w:sz w:val="20"/>
                <w:szCs w:val="20"/>
                <w:color w:val="auto"/>
              </w:rPr>
            </w:pPr>
            <w:r>
              <w:rPr>
                <w:rFonts w:ascii="Arial" w:cs="Arial" w:eastAsia="Arial" w:hAnsi="Arial"/>
                <w:sz w:val="14"/>
                <w:szCs w:val="14"/>
                <w:color w:val="auto"/>
              </w:rPr>
              <w:t>Operation and maintenance</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285</w:t>
            </w:r>
          </w:p>
        </w:tc>
        <w:tc>
          <w:tcPr>
            <w:tcW w:w="28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252</w:t>
            </w:r>
          </w:p>
        </w:tc>
        <w:tc>
          <w:tcPr>
            <w:tcW w:w="106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840</w:t>
            </w:r>
          </w:p>
        </w:tc>
        <w:tc>
          <w:tcPr>
            <w:tcW w:w="520" w:type="dxa"/>
            <w:vAlign w:val="bottom"/>
          </w:tcPr>
          <w:p>
            <w:pPr>
              <w:spacing w:after="0"/>
              <w:rPr>
                <w:sz w:val="16"/>
                <w:szCs w:val="16"/>
                <w:color w:val="auto"/>
              </w:rPr>
            </w:pPr>
          </w:p>
        </w:tc>
        <w:tc>
          <w:tcPr>
            <w:tcW w:w="960" w:type="dxa"/>
            <w:vAlign w:val="bottom"/>
          </w:tcPr>
          <w:p>
            <w:pPr>
              <w:jc w:val="right"/>
              <w:ind w:right="66"/>
              <w:spacing w:after="0"/>
              <w:rPr>
                <w:sz w:val="20"/>
                <w:szCs w:val="20"/>
                <w:color w:val="auto"/>
              </w:rPr>
            </w:pPr>
            <w:r>
              <w:rPr>
                <w:rFonts w:ascii="Arial" w:cs="Arial" w:eastAsia="Arial" w:hAnsi="Arial"/>
                <w:sz w:val="14"/>
                <w:szCs w:val="14"/>
                <w:color w:val="auto"/>
              </w:rPr>
              <w:t>768</w:t>
            </w:r>
          </w:p>
        </w:tc>
      </w:tr>
      <w:tr>
        <w:trPr>
          <w:trHeight w:val="192"/>
        </w:trPr>
        <w:tc>
          <w:tcPr>
            <w:tcW w:w="3020" w:type="dxa"/>
            <w:vAlign w:val="bottom"/>
            <w:gridSpan w:val="2"/>
          </w:tcPr>
          <w:p>
            <w:pPr>
              <w:ind w:left="240"/>
              <w:spacing w:after="0"/>
              <w:rPr>
                <w:sz w:val="20"/>
                <w:szCs w:val="20"/>
                <w:color w:val="auto"/>
              </w:rPr>
            </w:pPr>
            <w:r>
              <w:rPr>
                <w:rFonts w:ascii="Arial" w:cs="Arial" w:eastAsia="Arial" w:hAnsi="Arial"/>
                <w:sz w:val="14"/>
                <w:szCs w:val="14"/>
                <w:color w:val="auto"/>
              </w:rPr>
              <w:t>Depreciation</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78</w:t>
            </w:r>
          </w:p>
        </w:tc>
        <w:tc>
          <w:tcPr>
            <w:tcW w:w="28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106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230</w:t>
            </w:r>
          </w:p>
        </w:tc>
        <w:tc>
          <w:tcPr>
            <w:tcW w:w="520" w:type="dxa"/>
            <w:vAlign w:val="bottom"/>
          </w:tcPr>
          <w:p>
            <w:pPr>
              <w:spacing w:after="0"/>
              <w:rPr>
                <w:sz w:val="16"/>
                <w:szCs w:val="16"/>
                <w:color w:val="auto"/>
              </w:rPr>
            </w:pPr>
          </w:p>
        </w:tc>
        <w:tc>
          <w:tcPr>
            <w:tcW w:w="960" w:type="dxa"/>
            <w:vAlign w:val="bottom"/>
          </w:tcPr>
          <w:p>
            <w:pPr>
              <w:jc w:val="right"/>
              <w:ind w:right="66"/>
              <w:spacing w:after="0"/>
              <w:rPr>
                <w:sz w:val="20"/>
                <w:szCs w:val="20"/>
                <w:color w:val="auto"/>
              </w:rPr>
            </w:pPr>
            <w:r>
              <w:rPr>
                <w:rFonts w:ascii="Arial" w:cs="Arial" w:eastAsia="Arial" w:hAnsi="Arial"/>
                <w:sz w:val="14"/>
                <w:szCs w:val="14"/>
                <w:color w:val="auto"/>
              </w:rPr>
              <w:t>220</w:t>
            </w:r>
          </w:p>
        </w:tc>
      </w:tr>
      <w:tr>
        <w:trPr>
          <w:trHeight w:val="186"/>
        </w:trPr>
        <w:tc>
          <w:tcPr>
            <w:tcW w:w="2740" w:type="dxa"/>
            <w:vAlign w:val="bottom"/>
          </w:tcPr>
          <w:p>
            <w:pPr>
              <w:ind w:left="240"/>
              <w:spacing w:after="0"/>
              <w:rPr>
                <w:sz w:val="20"/>
                <w:szCs w:val="20"/>
                <w:color w:val="auto"/>
              </w:rPr>
            </w:pPr>
            <w:r>
              <w:rPr>
                <w:rFonts w:ascii="Arial" w:cs="Arial" w:eastAsia="Arial" w:hAnsi="Arial"/>
                <w:sz w:val="14"/>
                <w:szCs w:val="14"/>
                <w:color w:val="auto"/>
              </w:rPr>
              <w:t>Franchise fees and other taxes</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w:t>
            </w: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81</w:t>
            </w:r>
          </w:p>
        </w:tc>
      </w:tr>
      <w:tr>
        <w:trPr>
          <w:trHeight w:val="220"/>
        </w:trPr>
        <w:tc>
          <w:tcPr>
            <w:tcW w:w="2740" w:type="dxa"/>
            <w:vAlign w:val="bottom"/>
          </w:tcPr>
          <w:p>
            <w:pPr>
              <w:ind w:left="40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642</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530</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2,406</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1,918</w:t>
            </w:r>
          </w:p>
        </w:tc>
      </w:tr>
      <w:tr>
        <w:trPr>
          <w:trHeight w:val="226"/>
        </w:trPr>
        <w:tc>
          <w:tcPr>
            <w:tcW w:w="3020" w:type="dxa"/>
            <w:vAlign w:val="bottom"/>
            <w:gridSpan w:val="2"/>
          </w:tcPr>
          <w:p>
            <w:pPr>
              <w:ind w:left="80"/>
              <w:spacing w:after="0"/>
              <w:rPr>
                <w:sz w:val="20"/>
                <w:szCs w:val="20"/>
                <w:color w:val="auto"/>
              </w:rPr>
            </w:pPr>
            <w:r>
              <w:rPr>
                <w:rFonts w:ascii="Arial" w:cs="Arial" w:eastAsia="Arial" w:hAnsi="Arial"/>
                <w:sz w:val="14"/>
                <w:szCs w:val="14"/>
                <w:color w:val="auto"/>
              </w:rPr>
              <w:t>Operating income</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134</w:t>
            </w:r>
          </w:p>
        </w:tc>
        <w:tc>
          <w:tcPr>
            <w:tcW w:w="280" w:type="dxa"/>
            <w:vAlign w:val="bottom"/>
          </w:tcPr>
          <w:p>
            <w:pPr>
              <w:spacing w:after="0"/>
              <w:rPr>
                <w:sz w:val="19"/>
                <w:szCs w:val="19"/>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132</w:t>
            </w:r>
          </w:p>
        </w:tc>
        <w:tc>
          <w:tcPr>
            <w:tcW w:w="1060" w:type="dxa"/>
            <w:vAlign w:val="bottom"/>
          </w:tcPr>
          <w:p>
            <w:pPr>
              <w:spacing w:after="0"/>
              <w:rPr>
                <w:sz w:val="19"/>
                <w:szCs w:val="19"/>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386</w:t>
            </w:r>
          </w:p>
        </w:tc>
        <w:tc>
          <w:tcPr>
            <w:tcW w:w="520" w:type="dxa"/>
            <w:vAlign w:val="bottom"/>
          </w:tcPr>
          <w:p>
            <w:pPr>
              <w:spacing w:after="0"/>
              <w:rPr>
                <w:sz w:val="19"/>
                <w:szCs w:val="19"/>
                <w:color w:val="auto"/>
              </w:rPr>
            </w:pPr>
          </w:p>
        </w:tc>
        <w:tc>
          <w:tcPr>
            <w:tcW w:w="960" w:type="dxa"/>
            <w:vAlign w:val="bottom"/>
          </w:tcPr>
          <w:p>
            <w:pPr>
              <w:jc w:val="right"/>
              <w:ind w:right="66"/>
              <w:spacing w:after="0"/>
              <w:rPr>
                <w:sz w:val="20"/>
                <w:szCs w:val="20"/>
                <w:color w:val="auto"/>
              </w:rPr>
            </w:pPr>
            <w:r>
              <w:rPr>
                <w:rFonts w:ascii="Arial" w:cs="Arial" w:eastAsia="Arial" w:hAnsi="Arial"/>
                <w:sz w:val="14"/>
                <w:szCs w:val="14"/>
                <w:color w:val="auto"/>
              </w:rPr>
              <w:t>&amp;n bsp;358</w:t>
            </w:r>
          </w:p>
        </w:tc>
      </w:tr>
      <w:tr>
        <w:trPr>
          <w:trHeight w:val="204"/>
        </w:trPr>
        <w:tc>
          <w:tcPr>
            <w:tcW w:w="3020" w:type="dxa"/>
            <w:vAlign w:val="bottom"/>
            <w:gridSpan w:val="2"/>
          </w:tcPr>
          <w:p>
            <w:pPr>
              <w:ind w:left="80"/>
              <w:spacing w:after="0"/>
              <w:rPr>
                <w:sz w:val="20"/>
                <w:szCs w:val="20"/>
                <w:color w:val="auto"/>
              </w:rPr>
            </w:pPr>
            <w:r>
              <w:rPr>
                <w:rFonts w:ascii="Arial" w:cs="Arial" w:eastAsia="Arial" w:hAnsi="Arial"/>
                <w:sz w:val="14"/>
                <w:szCs w:val="14"/>
                <w:color w:val="auto"/>
              </w:rPr>
              <w:t>Other income (expense), net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7"/>
                <w:szCs w:val="17"/>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60" w:type="dxa"/>
            <w:vAlign w:val="bottom"/>
          </w:tcPr>
          <w:p>
            <w:pPr>
              <w:spacing w:after="0"/>
              <w:rPr>
                <w:sz w:val="17"/>
                <w:szCs w:val="17"/>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520" w:type="dxa"/>
            <w:vAlign w:val="bottom"/>
          </w:tcPr>
          <w:p>
            <w:pPr>
              <w:spacing w:after="0"/>
              <w:rPr>
                <w:sz w:val="17"/>
                <w:szCs w:val="17"/>
                <w:color w:val="auto"/>
              </w:rPr>
            </w:pPr>
          </w:p>
        </w:tc>
        <w:tc>
          <w:tcPr>
            <w:tcW w:w="960" w:type="dxa"/>
            <w:vAlign w:val="bottom"/>
          </w:tcPr>
          <w:p>
            <w:pPr>
              <w:jc w:val="right"/>
              <w:ind w:right="66"/>
              <w:spacing w:after="0"/>
              <w:rPr>
                <w:sz w:val="20"/>
                <w:szCs w:val="20"/>
                <w:color w:val="auto"/>
              </w:rPr>
            </w:pPr>
            <w:r>
              <w:rPr>
                <w:rFonts w:ascii="Arial" w:cs="Arial" w:eastAsia="Arial" w:hAnsi="Arial"/>
                <w:sz w:val="14"/>
                <w:szCs w:val="14"/>
                <w:color w:val="auto"/>
              </w:rPr>
              <w:t>4</w:t>
            </w:r>
          </w:p>
        </w:tc>
      </w:tr>
      <w:tr>
        <w:trPr>
          <w:trHeight w:val="192"/>
        </w:trPr>
        <w:tc>
          <w:tcPr>
            <w:tcW w:w="3020" w:type="dxa"/>
            <w:vAlign w:val="bottom"/>
            <w:gridSpan w:val="2"/>
          </w:tcPr>
          <w:p>
            <w:pPr>
              <w:ind w:left="80"/>
              <w:spacing w:after="0"/>
              <w:rPr>
                <w:sz w:val="20"/>
                <w:szCs w:val="20"/>
                <w:color w:val="auto"/>
              </w:rPr>
            </w:pPr>
            <w:r>
              <w:rPr>
                <w:rFonts w:ascii="Arial" w:cs="Arial" w:eastAsia="Arial" w:hAnsi="Arial"/>
                <w:sz w:val="14"/>
                <w:szCs w:val="14"/>
                <w:color w:val="auto"/>
              </w:rPr>
              <w:t>Interest income</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6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6"/>
                <w:szCs w:val="16"/>
                <w:color w:val="auto"/>
              </w:rPr>
            </w:pPr>
          </w:p>
        </w:tc>
        <w:tc>
          <w:tcPr>
            <w:tcW w:w="960" w:type="dxa"/>
            <w:vAlign w:val="bottom"/>
          </w:tcPr>
          <w:p>
            <w:pPr>
              <w:jc w:val="right"/>
              <w:ind w:right="66"/>
              <w:spacing w:after="0"/>
              <w:rPr>
                <w:sz w:val="20"/>
                <w:szCs w:val="20"/>
                <w:color w:val="auto"/>
              </w:rPr>
            </w:pPr>
            <w:r>
              <w:rPr>
                <w:rFonts w:ascii="Arial" w:cs="Arial" w:eastAsia="Arial" w:hAnsi="Arial"/>
                <w:sz w:val="14"/>
                <w:szCs w:val="14"/>
                <w:color w:val="auto"/>
              </w:rPr>
              <w:t>3</w:t>
            </w:r>
          </w:p>
        </w:tc>
      </w:tr>
      <w:tr>
        <w:trPr>
          <w:trHeight w:val="186"/>
        </w:trPr>
        <w:tc>
          <w:tcPr>
            <w:tcW w:w="2740" w:type="dxa"/>
            <w:vAlign w:val="bottom"/>
          </w:tcPr>
          <w:p>
            <w:pPr>
              <w:ind w:left="8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(51)</w:t>
            </w:r>
          </w:p>
        </w:tc>
      </w:tr>
      <w:tr>
        <w:trPr>
          <w:trHeight w:val="226"/>
        </w:trPr>
        <w:tc>
          <w:tcPr>
            <w:tcW w:w="3020" w:type="dxa"/>
            <w:vAlign w:val="bottom"/>
            <w:gridSpan w:val="2"/>
          </w:tcPr>
          <w:p>
            <w:pPr>
              <w:ind w:left="80"/>
              <w:spacing w:after="0"/>
              <w:rPr>
                <w:sz w:val="20"/>
                <w:szCs w:val="20"/>
                <w:color w:val="auto"/>
              </w:rPr>
            </w:pPr>
            <w:r>
              <w:rPr>
                <w:rFonts w:ascii="Arial" w:cs="Arial" w:eastAsia="Arial" w:hAnsi="Arial"/>
                <w:sz w:val="14"/>
                <w:szCs w:val="14"/>
                <w:color w:val="auto"/>
              </w:rPr>
              <w:t>Income before income taxes</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120</w:t>
            </w:r>
          </w:p>
        </w:tc>
        <w:tc>
          <w:tcPr>
            <w:tcW w:w="280" w:type="dxa"/>
            <w:vAlign w:val="bottom"/>
          </w:tcPr>
          <w:p>
            <w:pPr>
              <w:spacing w:after="0"/>
              <w:rPr>
                <w:sz w:val="19"/>
                <w:szCs w:val="19"/>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116</w:t>
            </w:r>
          </w:p>
        </w:tc>
        <w:tc>
          <w:tcPr>
            <w:tcW w:w="1060" w:type="dxa"/>
            <w:vAlign w:val="bottom"/>
          </w:tcPr>
          <w:p>
            <w:pPr>
              <w:spacing w:after="0"/>
              <w:rPr>
                <w:sz w:val="19"/>
                <w:szCs w:val="19"/>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345</w:t>
            </w:r>
          </w:p>
        </w:tc>
        <w:tc>
          <w:tcPr>
            <w:tcW w:w="520" w:type="dxa"/>
            <w:vAlign w:val="bottom"/>
          </w:tcPr>
          <w:p>
            <w:pPr>
              <w:spacing w:after="0"/>
              <w:rPr>
                <w:sz w:val="19"/>
                <w:szCs w:val="19"/>
                <w:color w:val="auto"/>
              </w:rPr>
            </w:pPr>
          </w:p>
        </w:tc>
        <w:tc>
          <w:tcPr>
            <w:tcW w:w="960" w:type="dxa"/>
            <w:vAlign w:val="bottom"/>
          </w:tcPr>
          <w:p>
            <w:pPr>
              <w:jc w:val="right"/>
              <w:ind w:right="66"/>
              <w:spacing w:after="0"/>
              <w:rPr>
                <w:sz w:val="20"/>
                <w:szCs w:val="20"/>
                <w:color w:val="auto"/>
              </w:rPr>
            </w:pPr>
            <w:r>
              <w:rPr>
                <w:rFonts w:ascii="Arial" w:cs="Arial" w:eastAsia="Arial" w:hAnsi="Arial"/>
                <w:sz w:val="14"/>
                <w:szCs w:val="14"/>
                <w:color w:val="auto"/>
              </w:rPr>
              <w:t>314</w:t>
            </w:r>
          </w:p>
        </w:tc>
      </w:tr>
      <w:tr>
        <w:trPr>
          <w:trHeight w:val="186"/>
        </w:trPr>
        <w:tc>
          <w:tcPr>
            <w:tcW w:w="2740" w:type="dxa"/>
            <w:vAlign w:val="bottom"/>
          </w:tcPr>
          <w:p>
            <w:pPr>
              <w:ind w:left="80"/>
              <w:spacing w:after="0"/>
              <w:rPr>
                <w:sz w:val="20"/>
                <w:szCs w:val="20"/>
                <w:color w:val="auto"/>
              </w:rPr>
            </w:pPr>
            <w:r>
              <w:rPr>
                <w:rFonts w:ascii="Arial" w:cs="Arial" w:eastAsia="Arial" w:hAnsi="Arial"/>
                <w:sz w:val="14"/>
                <w:szCs w:val="14"/>
                <w:color w:val="auto"/>
              </w:rPr>
              <w:t>Income tax expense</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w:t>
            </w:r>
          </w:p>
        </w:tc>
        <w:tc>
          <w:tcPr>
            <w:tcW w:w="6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960" w:type="dxa"/>
            <w:vAlign w:val="bottom"/>
          </w:tcPr>
          <w:p>
            <w:pPr>
              <w:spacing w:after="0"/>
              <w:rPr>
                <w:sz w:val="16"/>
                <w:szCs w:val="16"/>
                <w:color w:val="auto"/>
              </w:rPr>
            </w:pPr>
          </w:p>
        </w:tc>
      </w:tr>
      <w:tr>
        <w:trPr>
          <w:trHeight w:val="166"/>
        </w:trPr>
        <w:tc>
          <w:tcPr>
            <w:tcW w:w="3020" w:type="dxa"/>
            <w:vAlign w:val="bottom"/>
            <w:gridSpan w:val="2"/>
          </w:tcPr>
          <w:p>
            <w:pPr>
              <w:ind w:left="80"/>
              <w:spacing w:after="0"/>
              <w:rPr>
                <w:sz w:val="20"/>
                <w:szCs w:val="20"/>
                <w:color w:val="auto"/>
              </w:rPr>
            </w:pPr>
            <w:r>
              <w:rPr>
                <w:rFonts w:ascii="Arial" w:cs="Arial" w:eastAsia="Arial" w:hAnsi="Arial"/>
                <w:sz w:val="14"/>
                <w:szCs w:val="14"/>
                <w:color w:val="auto"/>
              </w:rPr>
              <w:t>Net income</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78</w:t>
            </w:r>
          </w:p>
        </w:tc>
        <w:tc>
          <w:tcPr>
            <w:tcW w:w="28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106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213</w:t>
            </w:r>
          </w:p>
        </w:tc>
        <w:tc>
          <w:tcPr>
            <w:tcW w:w="520" w:type="dxa"/>
            <w:vAlign w:val="bottom"/>
          </w:tcPr>
          <w:p>
            <w:pPr>
              <w:spacing w:after="0"/>
              <w:rPr>
                <w:sz w:val="14"/>
                <w:szCs w:val="14"/>
                <w:color w:val="auto"/>
              </w:rPr>
            </w:pPr>
          </w:p>
        </w:tc>
        <w:tc>
          <w:tcPr>
            <w:tcW w:w="960" w:type="dxa"/>
            <w:vAlign w:val="bottom"/>
          </w:tcPr>
          <w:p>
            <w:pPr>
              <w:jc w:val="right"/>
              <w:ind w:right="66"/>
              <w:spacing w:after="0"/>
              <w:rPr>
                <w:sz w:val="20"/>
                <w:szCs w:val="20"/>
                <w:color w:val="auto"/>
              </w:rPr>
            </w:pPr>
            <w:r>
              <w:rPr>
                <w:rFonts w:ascii="Arial" w:cs="Arial" w:eastAsia="Arial" w:hAnsi="Arial"/>
                <w:sz w:val="14"/>
                <w:szCs w:val="14"/>
                <w:color w:val="auto"/>
              </w:rPr>
              <w:t>199</w:t>
            </w:r>
          </w:p>
        </w:tc>
      </w:tr>
      <w:tr>
        <w:trPr>
          <w:trHeight w:val="222"/>
        </w:trPr>
        <w:tc>
          <w:tcPr>
            <w:tcW w:w="2740" w:type="dxa"/>
            <w:vAlign w:val="bottom"/>
          </w:tcPr>
          <w:p>
            <w:pPr>
              <w:ind w:left="80"/>
              <w:spacing w:after="0"/>
              <w:rPr>
                <w:sz w:val="20"/>
                <w:szCs w:val="20"/>
                <w:color w:val="auto"/>
              </w:rPr>
            </w:pPr>
            <w:r>
              <w:rPr>
                <w:rFonts w:ascii="Arial" w:cs="Arial" w:eastAsia="Arial" w:hAnsi="Arial"/>
                <w:sz w:val="14"/>
                <w:szCs w:val="14"/>
                <w:color w:val="auto"/>
              </w:rPr>
              <w:t>Preferred dividend requirements</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w:t>
            </w:r>
          </w:p>
        </w:tc>
      </w:tr>
      <w:tr>
        <w:trPr>
          <w:trHeight w:val="176"/>
        </w:trPr>
        <w:tc>
          <w:tcPr>
            <w:tcW w:w="3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Earnings attributable to common shares   $</w:t>
            </w: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w:t>
            </w:r>
          </w:p>
        </w:tc>
        <w:tc>
          <w:tcPr>
            <w:tcW w:w="10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212</w:t>
            </w:r>
          </w:p>
        </w:tc>
        <w:tc>
          <w:tcPr>
            <w:tcW w:w="5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r>
    </w:tbl>
    <w:p>
      <w:pPr>
        <w:spacing w:after="0" w:line="16"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191770</wp:posOffset>
            </wp:positionV>
            <wp:extent cx="4328160" cy="434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28160" cy="434340"/>
                    </a:xfrm>
                    <a:prstGeom prst="rect">
                      <a:avLst/>
                    </a:prstGeom>
                    <a:noFill/>
                  </pic:spPr>
                </pic:pic>
              </a:graphicData>
            </a:graphic>
          </wp:anchor>
        </w:drawing>
      </w:r>
    </w:p>
    <w:p>
      <w:pPr>
        <w:spacing w:after="0" w:line="32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SOUTHERN CALIFORNIA GAS COMPANY AND SUBSIDIARIES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96"/>
              <w:spacing w:after="0"/>
              <w:rPr>
                <w:sz w:val="20"/>
                <w:szCs w:val="20"/>
                <w:color w:val="auto"/>
              </w:rPr>
            </w:pPr>
            <w:r>
              <w:rPr>
                <w:rFonts w:ascii="Arial" w:cs="Arial" w:eastAsia="Arial" w:hAnsi="Arial"/>
                <w:sz w:val="13"/>
                <w:szCs w:val="13"/>
                <w:color w:val="auto"/>
                <w:w w:val="98"/>
              </w:rPr>
              <w:t>September 30,</w:t>
            </w:r>
          </w:p>
        </w:tc>
        <w:tc>
          <w:tcPr>
            <w:tcW w:w="980" w:type="dxa"/>
            <w:vAlign w:val="bottom"/>
            <w:gridSpan w:val="3"/>
          </w:tcPr>
          <w:p>
            <w:pPr>
              <w:ind w:left="140"/>
              <w:spacing w:after="0"/>
              <w:rPr>
                <w:sz w:val="20"/>
                <w:szCs w:val="20"/>
                <w:color w:val="auto"/>
              </w:rPr>
            </w:pPr>
            <w:r>
              <w:rPr>
                <w:rFonts w:ascii="Arial" w:cs="Arial" w:eastAsia="Arial" w:hAnsi="Arial"/>
                <w:sz w:val="13"/>
                <w:szCs w:val="13"/>
                <w:color w:val="auto"/>
              </w:rPr>
              <w:t>December 31,</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0" w:type="dxa"/>
            <w:vAlign w:val="bottom"/>
            <w:tcBorders>
              <w:bottom w:val="single" w:sz="8" w:color="auto"/>
            </w:tcBorders>
          </w:tcPr>
          <w:p>
            <w:pPr>
              <w:spacing w:after="0"/>
              <w:rPr>
                <w:sz w:val="13"/>
                <w:szCs w:val="13"/>
                <w:color w:val="auto"/>
              </w:rPr>
            </w:pPr>
          </w:p>
        </w:tc>
        <w:tc>
          <w:tcPr>
            <w:tcW w:w="4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136"/>
              <w:spacing w:after="0"/>
              <w:rPr>
                <w:sz w:val="20"/>
                <w:szCs w:val="20"/>
                <w:color w:val="auto"/>
              </w:rPr>
            </w:pPr>
            <w:r>
              <w:rPr>
                <w:rFonts w:ascii="Arial" w:cs="Arial" w:eastAsia="Arial" w:hAnsi="Arial"/>
                <w:sz w:val="13"/>
                <w:szCs w:val="13"/>
                <w:color w:val="auto"/>
                <w:w w:val="96"/>
              </w:rPr>
              <w:t>2010</w:t>
            </w:r>
          </w:p>
        </w:tc>
        <w:tc>
          <w:tcPr>
            <w:tcW w:w="98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3"/>
                <w:szCs w:val="13"/>
                <w:color w:val="auto"/>
              </w:rPr>
              <w:t>2009</w:t>
            </w:r>
          </w:p>
        </w:tc>
        <w:tc>
          <w:tcPr>
            <w:tcW w:w="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116"/>
              <w:spacing w:after="0"/>
              <w:rPr>
                <w:sz w:val="20"/>
                <w:szCs w:val="20"/>
                <w:color w:val="auto"/>
              </w:rPr>
            </w:pPr>
            <w:r>
              <w:rPr>
                <w:rFonts w:ascii="Arial" w:cs="Arial" w:eastAsia="Arial" w:hAnsi="Arial"/>
                <w:sz w:val="13"/>
                <w:szCs w:val="13"/>
                <w:color w:val="auto"/>
              </w:rPr>
              <w:t>(unaudited)</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ASSETS</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6"/>
              <w:spacing w:after="0"/>
              <w:rPr>
                <w:sz w:val="20"/>
                <w:szCs w:val="20"/>
                <w:color w:val="auto"/>
              </w:rPr>
            </w:pPr>
            <w:r>
              <w:rPr>
                <w:rFonts w:ascii="Arial" w:cs="Arial" w:eastAsia="Arial" w:hAnsi="Arial"/>
                <w:sz w:val="14"/>
                <w:szCs w:val="14"/>
                <w:color w:val="auto"/>
              </w:rPr>
              <w:t>72</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Accounts receivable - trade</w:t>
            </w:r>
          </w:p>
        </w:tc>
        <w:tc>
          <w:tcPr>
            <w:tcW w:w="220" w:type="dxa"/>
            <w:vAlign w:val="bottom"/>
          </w:tcPr>
          <w:p>
            <w:pPr>
              <w:spacing w:after="0"/>
              <w:rPr>
                <w:sz w:val="16"/>
                <w:szCs w:val="16"/>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4"/>
                <w:szCs w:val="14"/>
                <w:color w:val="auto"/>
              </w:rPr>
              <w:t>302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567</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Accounts receivable - other</w:t>
            </w:r>
          </w:p>
        </w:tc>
        <w:tc>
          <w:tcPr>
            <w:tcW w:w="220" w:type="dxa"/>
            <w:vAlign w:val="bottom"/>
          </w:tcPr>
          <w:p>
            <w:pPr>
              <w:spacing w:after="0"/>
              <w:rPr>
                <w:sz w:val="18"/>
                <w:szCs w:val="18"/>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4"/>
                <w:szCs w:val="14"/>
                <w:color w:val="auto"/>
              </w:rPr>
              <w:t>55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44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Due from unconsolidated affiliate</w:t>
            </w:r>
          </w:p>
        </w:tc>
        <w:tc>
          <w:tcPr>
            <w:tcW w:w="220" w:type="dxa"/>
            <w:vAlign w:val="bottom"/>
          </w:tcPr>
          <w:p>
            <w:pPr>
              <w:spacing w:after="0"/>
              <w:rPr>
                <w:sz w:val="16"/>
                <w:szCs w:val="16"/>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4"/>
                <w:szCs w:val="14"/>
                <w:color w:val="auto"/>
              </w:rPr>
              <w:t>118</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Income taxes receivable</w:t>
            </w:r>
          </w:p>
        </w:tc>
        <w:tc>
          <w:tcPr>
            <w:tcW w:w="2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6"/>
                <w:szCs w:val="16"/>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4"/>
                <w:szCs w:val="14"/>
                <w:color w:val="auto"/>
              </w:rPr>
              <w:t>181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93</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Other regulatory assets</w:t>
            </w:r>
          </w:p>
        </w:tc>
        <w:tc>
          <w:tcPr>
            <w:tcW w:w="220" w:type="dxa"/>
            <w:vAlign w:val="bottom"/>
          </w:tcPr>
          <w:p>
            <w:pPr>
              <w:spacing w:after="0"/>
              <w:rPr>
                <w:sz w:val="16"/>
                <w:szCs w:val="16"/>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34</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w:t>
            </w:r>
          </w:p>
        </w:tc>
        <w:tc>
          <w:tcPr>
            <w:tcW w:w="6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4360" w:type="dxa"/>
            <w:vAlign w:val="bottom"/>
          </w:tcPr>
          <w:p>
            <w:pPr>
              <w:ind w:left="32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791</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843</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Regulatory assets arising from pension and other postretirement</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4360" w:type="dxa"/>
            <w:vAlign w:val="bottom"/>
          </w:tcPr>
          <w:p>
            <w:pPr>
              <w:ind w:left="320"/>
              <w:spacing w:after="0"/>
              <w:rPr>
                <w:sz w:val="20"/>
                <w:szCs w:val="20"/>
                <w:color w:val="auto"/>
              </w:rPr>
            </w:pPr>
            <w:r>
              <w:rPr>
                <w:rFonts w:ascii="Arial" w:cs="Arial" w:eastAsia="Arial" w:hAnsi="Arial"/>
                <w:sz w:val="14"/>
                <w:szCs w:val="14"/>
                <w:color w:val="auto"/>
              </w:rPr>
              <w:t>benefit obligations</w:t>
            </w:r>
          </w:p>
        </w:tc>
        <w:tc>
          <w:tcPr>
            <w:tcW w:w="220" w:type="dxa"/>
            <w:vAlign w:val="bottom"/>
          </w:tcPr>
          <w:p>
            <w:pPr>
              <w:spacing w:after="0"/>
              <w:rPr>
                <w:sz w:val="16"/>
                <w:szCs w:val="16"/>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4"/>
                <w:szCs w:val="14"/>
                <w:color w:val="auto"/>
              </w:rPr>
              <w:t>614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617</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
              <w:spacing w:after="0" w:line="147" w:lineRule="exact"/>
              <w:rPr>
                <w:sz w:val="20"/>
                <w:szCs w:val="20"/>
                <w:color w:val="auto"/>
              </w:rPr>
            </w:pPr>
            <w:r>
              <w:rPr>
                <w:rFonts w:ascii="Arial" w:cs="Arial" w:eastAsia="Arial" w:hAnsi="Arial"/>
                <w:sz w:val="14"/>
                <w:szCs w:val="14"/>
                <w:color w:val="auto"/>
              </w:rPr>
              <w:t>131</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Other regulatory assets</w:t>
            </w:r>
          </w:p>
        </w:tc>
        <w:tc>
          <w:tcPr>
            <w:tcW w:w="220" w:type="dxa"/>
            <w:vAlign w:val="bottom"/>
          </w:tcPr>
          <w:p>
            <w:pPr>
              <w:spacing w:after="0"/>
              <w:rPr>
                <w:sz w:val="18"/>
                <w:szCs w:val="18"/>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4"/>
                <w:szCs w:val="14"/>
                <w:color w:val="auto"/>
              </w:rPr>
              <w:t>114</w:t>
            </w:r>
          </w:p>
        </w:tc>
        <w:tc>
          <w:tcPr>
            <w:tcW w:w="320" w:type="dxa"/>
            <w:vAlign w:val="bottom"/>
          </w:tcPr>
          <w:p>
            <w:pPr>
              <w:spacing w:after="0"/>
              <w:rPr>
                <w:sz w:val="18"/>
                <w:szCs w:val="18"/>
                <w:color w:val="auto"/>
              </w:rPr>
            </w:pPr>
          </w:p>
        </w:tc>
        <w:tc>
          <w:tcPr>
            <w:tcW w:w="660" w:type="dxa"/>
            <w:vAlign w:val="bottom"/>
            <w:gridSpan w:val="2"/>
          </w:tcPr>
          <w:p>
            <w:pPr>
              <w:jc w:val="right"/>
              <w:ind w:right="29"/>
              <w:spacing w:after="0" w:line="216" w:lineRule="exact"/>
              <w:rPr>
                <w:sz w:val="20"/>
                <w:szCs w:val="20"/>
                <w:color w:val="auto"/>
              </w:rPr>
            </w:pPr>
            <w:r>
              <w:rPr>
                <w:rFonts w:ascii="Arial" w:cs="Arial" w:eastAsia="Arial" w:hAnsi="Arial"/>
                <w:sz w:val="19"/>
                <w:szCs w:val="19"/>
                <w:color w:val="auto"/>
              </w:rPr>
              <w:t>&lt; /td&gt;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Sundry</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9"/>
                <w:szCs w:val="19"/>
                <w:color w:val="auto"/>
              </w:rPr>
              <w:t>10</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w:t>
            </w:r>
          </w:p>
        </w:tc>
        <w:tc>
          <w:tcPr>
            <w:tcW w:w="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4360" w:type="dxa"/>
            <w:vAlign w:val="bottom"/>
          </w:tcPr>
          <w:p>
            <w:pPr>
              <w:ind w:left="320"/>
              <w:spacing w:after="0"/>
              <w:rPr>
                <w:sz w:val="20"/>
                <w:szCs w:val="20"/>
                <w:color w:val="auto"/>
              </w:rPr>
            </w:pPr>
            <w:r>
              <w:rPr>
                <w:rFonts w:ascii="Arial" w:cs="Arial" w:eastAsia="Arial" w:hAnsi="Arial"/>
                <w:sz w:val="14"/>
                <w:szCs w:val="14"/>
                <w:color w:val="auto"/>
              </w:rPr>
              <w:t>Total other assets</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738</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762</w:t>
            </w:r>
          </w:p>
        </w:tc>
        <w:tc>
          <w:tcPr>
            <w:tcW w:w="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Property, plant and equipment:</w:t>
            </w:r>
          </w:p>
        </w:tc>
        <w:tc>
          <w:tcPr>
            <w:tcW w:w="1340" w:type="dxa"/>
            <w:vAlign w:val="bottom"/>
            <w:gridSpan w:val="3"/>
          </w:tcPr>
          <w:p>
            <w:pPr>
              <w:ind w:left="100"/>
              <w:spacing w:after="0"/>
              <w:rPr>
                <w:sz w:val="20"/>
                <w:szCs w:val="20"/>
                <w:color w:val="auto"/>
              </w:rPr>
            </w:pPr>
            <w:r>
              <w:rPr>
                <w:rFonts w:ascii="Arial" w:cs="Arial" w:eastAsia="Arial" w:hAnsi="Arial"/>
                <w:sz w:val="14"/>
                <w:szCs w:val="14"/>
                <w:color w:val="auto"/>
              </w:rPr>
              <w:t>&amp; nbsp;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Property, plant and equipment</w:t>
            </w:r>
          </w:p>
        </w:tc>
        <w:tc>
          <w:tcPr>
            <w:tcW w:w="220" w:type="dxa"/>
            <w:vAlign w:val="bottom"/>
          </w:tcPr>
          <w:p>
            <w:pPr>
              <w:spacing w:after="0"/>
              <w:rPr>
                <w:sz w:val="16"/>
                <w:szCs w:val="16"/>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4"/>
                <w:szCs w:val="14"/>
                <w:color w:val="auto"/>
              </w:rPr>
              <w:t>9,556</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9,297</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Less accumulated depreciation and amortization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(3,735)</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(3,615)</w:t>
            </w:r>
          </w:p>
        </w:tc>
        <w:tc>
          <w:tcPr>
            <w:tcW w:w="6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4360" w:type="dxa"/>
            <w:vAlign w:val="bottom"/>
          </w:tcPr>
          <w:p>
            <w:pPr>
              <w:ind w:left="240"/>
              <w:spacing w:after="0"/>
              <w:rPr>
                <w:sz w:val="20"/>
                <w:szCs w:val="20"/>
                <w:color w:val="auto"/>
              </w:rPr>
            </w:pPr>
            <w:r>
              <w:rPr>
                <w:rFonts w:ascii="Arial" w:cs="Arial" w:eastAsia="Arial" w:hAnsi="Arial"/>
                <w:sz w:val="14"/>
                <w:szCs w:val="14"/>
                <w:color w:val="auto"/>
              </w:rPr>
              <w:t>&amp; nbsp; Property, plant and equipment, net</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5,821</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5,682</w:t>
            </w:r>
          </w:p>
        </w:tc>
        <w:tc>
          <w:tcPr>
            <w:tcW w:w="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7,350</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7,287</w:t>
            </w:r>
          </w:p>
        </w:tc>
        <w:tc>
          <w:tcPr>
            <w:tcW w:w="6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3"/>
                <w:szCs w:val="13"/>
                <w:i w:val="1"/>
                <w:iCs w:val="1"/>
                <w:color w:val="auto"/>
              </w:rPr>
              <w:t>See Notes to Condensed Consolidated Financial Statements.</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4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80" w:type="dxa"/>
            <w:vAlign w:val="bottom"/>
            <w:shd w:val="clear" w:color="auto" w:fill="C0C0C0"/>
          </w:tcPr>
          <w:p>
            <w:pPr>
              <w:spacing w:after="0"/>
              <w:rPr>
                <w:sz w:val="17"/>
                <w:szCs w:val="17"/>
                <w:color w:val="auto"/>
              </w:rPr>
            </w:pPr>
          </w:p>
        </w:tc>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440" w:type="dxa"/>
            <w:vAlign w:val="bottom"/>
            <w:gridSpan w:val="2"/>
          </w:tcPr>
          <w:p>
            <w:pPr>
              <w:spacing w:after="0"/>
              <w:rPr>
                <w:sz w:val="20"/>
                <w:szCs w:val="20"/>
                <w:color w:val="auto"/>
              </w:rPr>
            </w:pPr>
            <w:r>
              <w:rPr>
                <w:rFonts w:ascii="Arial" w:cs="Arial" w:eastAsia="Arial" w:hAnsi="Arial"/>
                <w:sz w:val="13"/>
                <w:szCs w:val="13"/>
                <w:i w:val="1"/>
                <w:iCs w:val="1"/>
                <w:color w:val="auto"/>
              </w:rPr>
              <w:t>(Dollars in millions)</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 w:type="dxa"/>
            <w:vAlign w:val="bottom"/>
            <w:tcBorders>
              <w:bottom w:val="single" w:sz="8" w:color="auto"/>
            </w:tcBorders>
            <w:shd w:val="clear" w:color="auto" w:fill="C0C0C0"/>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 w:type="dxa"/>
            <w:vAlign w:val="bottom"/>
            <w:shd w:val="clear" w:color="auto" w:fill="C0C0C0"/>
          </w:tcPr>
          <w:p>
            <w:pPr>
              <w:spacing w:after="0"/>
              <w:rPr>
                <w:sz w:val="19"/>
                <w:szCs w:val="19"/>
                <w:color w:val="auto"/>
              </w:rPr>
            </w:pPr>
          </w:p>
        </w:tc>
        <w:tc>
          <w:tcPr>
            <w:tcW w:w="4360" w:type="dxa"/>
            <w:vAlign w:val="bottom"/>
            <w:shd w:val="clear" w:color="auto" w:fill="C0C0C0"/>
          </w:tcPr>
          <w:p>
            <w:pPr>
              <w:spacing w:after="0"/>
              <w:rPr>
                <w:sz w:val="20"/>
                <w:szCs w:val="20"/>
                <w:color w:val="auto"/>
              </w:rPr>
            </w:pPr>
            <w:r>
              <w:rPr>
                <w:rFonts w:ascii="Arial" w:cs="Arial" w:eastAsia="Arial" w:hAnsi="Arial"/>
                <w:sz w:val="14"/>
                <w:szCs w:val="14"/>
                <w:b w:val="1"/>
                <w:bCs w:val="1"/>
                <w:color w:val="auto"/>
              </w:rPr>
              <w:t>SOUTHERN CALIFORNIA GAS COMPANY AND SUBSIDIARIES</w:t>
            </w:r>
          </w:p>
        </w:tc>
        <w:tc>
          <w:tcPr>
            <w:tcW w:w="22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 w:type="dxa"/>
            <w:vAlign w:val="bottom"/>
            <w:shd w:val="clear" w:color="auto" w:fill="C0C0C0"/>
          </w:tcPr>
          <w:p>
            <w:pPr>
              <w:spacing w:after="0"/>
              <w:rPr>
                <w:sz w:val="19"/>
                <w:szCs w:val="19"/>
                <w:color w:val="auto"/>
              </w:rPr>
            </w:pPr>
          </w:p>
        </w:tc>
        <w:tc>
          <w:tcPr>
            <w:tcW w:w="4360" w:type="dxa"/>
            <w:vAlign w:val="bottom"/>
            <w:shd w:val="clear" w:color="auto" w:fill="C0C0C0"/>
          </w:tcPr>
          <w:p>
            <w:pPr>
              <w:spacing w:after="0"/>
              <w:rPr>
                <w:sz w:val="20"/>
                <w:szCs w:val="20"/>
                <w:color w:val="auto"/>
              </w:rPr>
            </w:pPr>
            <w:r>
              <w:rPr>
                <w:rFonts w:ascii="Arial" w:cs="Arial" w:eastAsia="Arial" w:hAnsi="Arial"/>
                <w:sz w:val="14"/>
                <w:szCs w:val="14"/>
                <w:b w:val="1"/>
                <w:bCs w:val="1"/>
                <w:color w:val="auto"/>
              </w:rPr>
              <w:t>CONDENSED CONSOLIDATED BALANCE SHEETS</w:t>
            </w:r>
          </w:p>
        </w:tc>
        <w:tc>
          <w:tcPr>
            <w:tcW w:w="22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gridSpan w:val="3"/>
          </w:tcPr>
          <w:p>
            <w:pPr>
              <w:jc w:val="center"/>
              <w:spacing w:after="0"/>
              <w:rPr>
                <w:sz w:val="20"/>
                <w:szCs w:val="20"/>
                <w:color w:val="auto"/>
              </w:rPr>
            </w:pPr>
            <w:r>
              <w:rPr>
                <w:rFonts w:ascii="Arial" w:cs="Arial" w:eastAsia="Arial" w:hAnsi="Arial"/>
                <w:sz w:val="13"/>
                <w:szCs w:val="13"/>
                <w:color w:val="auto"/>
                <w:w w:val="98"/>
              </w:rPr>
              <w:t>September 30,</w:t>
            </w: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54"/>
        </w:trPr>
        <w:tc>
          <w:tcPr>
            <w:tcW w:w="80" w:type="dxa"/>
            <w:vAlign w:val="bottom"/>
            <w:tcBorders>
              <w:bottom w:val="single" w:sz="8" w:color="auto"/>
            </w:tcBorders>
          </w:tcPr>
          <w:p>
            <w:pPr>
              <w:spacing w:after="0"/>
              <w:rPr>
                <w:sz w:val="13"/>
                <w:szCs w:val="13"/>
                <w:color w:val="auto"/>
              </w:rPr>
            </w:pPr>
          </w:p>
        </w:tc>
        <w:tc>
          <w:tcPr>
            <w:tcW w:w="4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3"/>
                <w:szCs w:val="13"/>
                <w:color w:val="auto"/>
              </w:rPr>
              <w:t>2010</w:t>
            </w: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4360" w:type="dxa"/>
            <w:vAlign w:val="bottom"/>
            <w:vMerge w:val="restart"/>
          </w:tcPr>
          <w:p>
            <w:pPr>
              <w:spacing w:after="0"/>
              <w:rPr>
                <w:sz w:val="20"/>
                <w:szCs w:val="20"/>
                <w:color w:val="auto"/>
              </w:rPr>
            </w:pPr>
            <w:r>
              <w:rPr>
                <w:rFonts w:ascii="Arial" w:cs="Arial" w:eastAsia="Arial" w:hAnsi="Arial"/>
                <w:sz w:val="14"/>
                <w:szCs w:val="14"/>
                <w:color w:val="auto"/>
              </w:rPr>
              <w:t>LIABILITIES AND SHAREHOLDERS' EQUITY</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3"/>
          </w:tcPr>
          <w:p>
            <w:pPr>
              <w:jc w:val="center"/>
              <w:spacing w:after="0"/>
              <w:rPr>
                <w:sz w:val="20"/>
                <w:szCs w:val="20"/>
                <w:color w:val="auto"/>
              </w:rPr>
            </w:pPr>
            <w:r>
              <w:rPr>
                <w:rFonts w:ascii="Arial" w:cs="Arial" w:eastAsia="Arial" w:hAnsi="Arial"/>
                <w:sz w:val="13"/>
                <w:szCs w:val="13"/>
                <w:color w:val="auto"/>
              </w:rPr>
              <w:t>(unaudited)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4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Accounts payable - trade</w:t>
            </w:r>
          </w:p>
        </w:tc>
        <w:tc>
          <w:tcPr>
            <w:tcW w:w="220" w:type="dxa"/>
            <w:vAlign w:val="bottom"/>
          </w:tcPr>
          <w:p>
            <w:pPr>
              <w:spacing w:after="0"/>
              <w:rPr>
                <w:sz w:val="16"/>
                <w:szCs w:val="16"/>
                <w:color w:val="auto"/>
              </w:rPr>
            </w:pPr>
          </w:p>
        </w:tc>
        <w:tc>
          <w:tcPr>
            <w:tcW w:w="1120" w:type="dxa"/>
            <w:vAlign w:val="bottom"/>
            <w:gridSpan w:val="2"/>
          </w:tcPr>
          <w:p>
            <w:pPr>
              <w:jc w:val="right"/>
              <w:ind w:right="296"/>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167</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360" w:type="dxa"/>
            <w:vAlign w:val="bottom"/>
          </w:tcPr>
          <w:p>
            <w:pPr>
              <w:ind w:left="80"/>
              <w:spacing w:after="0"/>
              <w:rPr>
                <w:sz w:val="20"/>
                <w:szCs w:val="20"/>
                <w:color w:val="auto"/>
              </w:rPr>
            </w:pPr>
            <w:r>
              <w:rPr>
                <w:rFonts w:ascii="Arial" w:cs="Arial" w:eastAsia="Arial" w:hAnsi="Arial"/>
                <w:sz w:val="14"/>
                <w:szCs w:val="14"/>
                <w:color w:val="auto"/>
              </w:rPr>
              <w:t>Accounts payable - other</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5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Due to unconsolidated affiliate</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5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5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Accrued compensation and benefits</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89</w:t>
            </w:r>
          </w:p>
        </w:tc>
        <w:tc>
          <w:tcPr>
            <w:tcW w:w="5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Regulatory balancing accounts, net</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163</w:t>
            </w:r>
          </w:p>
        </w:tc>
        <w:tc>
          <w:tcPr>
            <w:tcW w:w="5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Current portion of long-term debt</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260</w:t>
            </w:r>
          </w:p>
        </w:tc>
        <w:tc>
          <w:tcPr>
            <w:tcW w:w="5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Customer deposits</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5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191</w:t>
            </w:r>
          </w:p>
        </w:tc>
        <w:tc>
          <w:tcPr>
            <w:tcW w:w="5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4360" w:type="dxa"/>
            <w:vAlign w:val="bottom"/>
          </w:tcPr>
          <w:p>
            <w:pPr>
              <w:ind w:left="32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1,032</w:t>
            </w: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1,021</w:t>
            </w: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Deferred credits and other liabilities:</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Customer advances for construction</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125</w:t>
            </w:r>
          </w:p>
        </w:tc>
        <w:tc>
          <w:tcPr>
            <w:tcW w:w="5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700" w:type="dxa"/>
            <w:vAlign w:val="bottom"/>
            <w:gridSpan w:val="4"/>
          </w:tcPr>
          <w:p>
            <w:pPr>
              <w:ind w:left="160"/>
              <w:spacing w:after="0"/>
              <w:rPr>
                <w:sz w:val="20"/>
                <w:szCs w:val="20"/>
                <w:color w:val="auto"/>
              </w:rPr>
            </w:pPr>
            <w:r>
              <w:rPr>
                <w:rFonts w:ascii="Arial" w:cs="Arial" w:eastAsia="Arial" w:hAnsi="Arial"/>
                <w:sz w:val="14"/>
                <w:szCs w:val="14"/>
                <w:color w:val="auto"/>
              </w:rPr>
              <w:t>Pension and other postretirement benefit obligations, net of plan assets</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643</w:t>
            </w:r>
          </w:p>
        </w:tc>
        <w:tc>
          <w:tcPr>
            <w:tcW w:w="5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379</w:t>
            </w:r>
          </w:p>
        </w:tc>
        <w:tc>
          <w:tcPr>
            <w:tcW w:w="5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360" w:type="dxa"/>
            <w:vAlign w:val="bottom"/>
          </w:tcPr>
          <w:p>
            <w:pPr>
              <w:ind w:left="80"/>
              <w:spacing w:after="0"/>
              <w:rPr>
                <w:sz w:val="20"/>
                <w:szCs w:val="20"/>
                <w:color w:val="auto"/>
              </w:rPr>
            </w:pPr>
            <w:r>
              <w:rPr>
                <w:rFonts w:ascii="Arial" w:cs="Arial" w:eastAsia="Arial" w:hAnsi="Arial"/>
                <w:sz w:val="14"/>
                <w:szCs w:val="14"/>
                <w:color w:val="auto"/>
              </w:rPr>
              <w:t>Deferred investment tax credits</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5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Regulatory liabilities arising from removal obligations</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1,247</w:t>
            </w:r>
          </w:p>
        </w:tc>
        <w:tc>
          <w:tcPr>
            <w:tcW w:w="5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Asset retirement obligations</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690</w:t>
            </w:r>
          </w:p>
        </w:tc>
        <w:tc>
          <w:tcPr>
            <w:tcW w:w="5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Deferred taxes refundable in rates</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144</w:t>
            </w:r>
          </w:p>
        </w:tc>
        <w:tc>
          <w:tcPr>
            <w:tcW w:w="54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Deferred credits and other</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163</w:t>
            </w:r>
          </w:p>
        </w:tc>
        <w:tc>
          <w:tcPr>
            <w:tcW w:w="5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4360" w:type="dxa"/>
            <w:vAlign w:val="bottom"/>
          </w:tcPr>
          <w:p>
            <w:pPr>
              <w:ind w:left="320"/>
              <w:spacing w:after="0"/>
              <w:rPr>
                <w:sz w:val="20"/>
                <w:szCs w:val="20"/>
                <w:color w:val="auto"/>
              </w:rPr>
            </w:pPr>
            <w:r>
              <w:rPr>
                <w:rFonts w:ascii="Arial" w:cs="Arial" w:eastAsia="Arial" w:hAnsi="Arial"/>
                <w:sz w:val="14"/>
                <w:szCs w:val="14"/>
                <w:color w:val="auto"/>
              </w:rPr>
              <w:t>Total deferred credits and other liabilities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3,417</w:t>
            </w: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3,337</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ind w:left="80"/>
              <w:spacing w:after="0"/>
              <w:rPr>
                <w:sz w:val="20"/>
                <w:szCs w:val="20"/>
                <w:color w:val="auto"/>
              </w:rPr>
            </w:pPr>
            <w:r>
              <w:rPr>
                <w:rFonts w:ascii="Arial" w:cs="Arial" w:eastAsia="Arial" w:hAnsi="Arial"/>
                <w:sz w:val="14"/>
                <w:szCs w:val="14"/>
                <w:color w:val="auto"/>
              </w:rPr>
              <w:t>Commitments and contingencies (Note 10)</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60"/>
        </w:trPr>
        <w:tc>
          <w:tcPr>
            <w:tcW w:w="5260" w:type="dxa"/>
            <w:vAlign w:val="bottom"/>
          </w:tcPr>
          <w:p>
            <w:pPr>
              <w:ind w:left="80"/>
              <w:spacing w:after="0"/>
              <w:rPr>
                <w:sz w:val="20"/>
                <w:szCs w:val="20"/>
                <w:color w:val="auto"/>
              </w:rPr>
            </w:pPr>
            <w:r>
              <w:rPr>
                <w:rFonts w:ascii="Arial" w:cs="Arial" w:eastAsia="Arial" w:hAnsi="Arial"/>
                <w:sz w:val="14"/>
                <w:szCs w:val="14"/>
                <w:color w:val="auto"/>
              </w:rPr>
              <w:t>Shareholders' equity:</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4"/>
        </w:trPr>
        <w:tc>
          <w:tcPr>
            <w:tcW w:w="5260" w:type="dxa"/>
            <w:vAlign w:val="bottom"/>
          </w:tcPr>
          <w:p>
            <w:pPr>
              <w:ind w:left="240"/>
              <w:spacing w:after="0"/>
              <w:rPr>
                <w:sz w:val="20"/>
                <w:szCs w:val="20"/>
                <w:color w:val="auto"/>
              </w:rPr>
            </w:pPr>
            <w:r>
              <w:rPr>
                <w:rFonts w:ascii="Arial" w:cs="Arial" w:eastAsia="Arial" w:hAnsi="Arial"/>
                <w:sz w:val="14"/>
                <w:szCs w:val="14"/>
                <w:color w:val="auto"/>
              </w:rPr>
              <w:t>Preferred stock</w:t>
            </w:r>
          </w:p>
        </w:tc>
        <w:tc>
          <w:tcPr>
            <w:tcW w:w="34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32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22</w:t>
            </w:r>
          </w:p>
        </w:tc>
      </w:tr>
      <w:tr>
        <w:trPr>
          <w:trHeight w:val="192"/>
        </w:trPr>
        <w:tc>
          <w:tcPr>
            <w:tcW w:w="5260" w:type="dxa"/>
            <w:vAlign w:val="bottom"/>
          </w:tcPr>
          <w:p>
            <w:pPr>
              <w:ind w:left="240"/>
              <w:spacing w:after="0"/>
              <w:rPr>
                <w:sz w:val="20"/>
                <w:szCs w:val="20"/>
                <w:color w:val="auto"/>
              </w:rPr>
            </w:pPr>
            <w:r>
              <w:rPr>
                <w:rFonts w:ascii="Arial" w:cs="Arial" w:eastAsia="Arial" w:hAnsi="Arial"/>
                <w:sz w:val="14"/>
                <w:szCs w:val="14"/>
                <w:color w:val="auto"/>
              </w:rPr>
              <w:t>Common stock (100 million shares authorized; 91 million shares outstanding;</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2"/>
        </w:trPr>
        <w:tc>
          <w:tcPr>
            <w:tcW w:w="5260" w:type="dxa"/>
            <w:vAlign w:val="bottom"/>
          </w:tcPr>
          <w:p>
            <w:pPr>
              <w:ind w:left="400"/>
              <w:spacing w:after="0"/>
              <w:rPr>
                <w:sz w:val="20"/>
                <w:szCs w:val="20"/>
                <w:color w:val="auto"/>
              </w:rPr>
            </w:pPr>
            <w:r>
              <w:rPr>
                <w:rFonts w:ascii="Arial" w:cs="Arial" w:eastAsia="Arial" w:hAnsi="Arial"/>
                <w:sz w:val="14"/>
                <w:szCs w:val="14"/>
                <w:color w:val="auto"/>
              </w:rPr>
              <w:t>no par value)</w:t>
            </w:r>
          </w:p>
        </w:tc>
        <w:tc>
          <w:tcPr>
            <w:tcW w:w="34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866</w:t>
            </w:r>
          </w:p>
        </w:tc>
        <w:tc>
          <w:tcPr>
            <w:tcW w:w="32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866</w:t>
            </w:r>
          </w:p>
        </w:tc>
      </w:tr>
      <w:tr>
        <w:trPr>
          <w:trHeight w:val="192"/>
        </w:trPr>
        <w:tc>
          <w:tcPr>
            <w:tcW w:w="5260" w:type="dxa"/>
            <w:vAlign w:val="bottom"/>
          </w:tcPr>
          <w:p>
            <w:pPr>
              <w:ind w:left="240"/>
              <w:spacing w:after="0"/>
              <w:rPr>
                <w:sz w:val="20"/>
                <w:szCs w:val="20"/>
                <w:color w:val="auto"/>
              </w:rPr>
            </w:pPr>
            <w:r>
              <w:rPr>
                <w:rFonts w:ascii="Arial" w:cs="Arial" w:eastAsia="Arial" w:hAnsi="Arial"/>
                <w:sz w:val="14"/>
                <w:szCs w:val="14"/>
                <w:color w:val="auto"/>
              </w:rPr>
              <w:t>Retained earnings</w:t>
            </w:r>
          </w:p>
        </w:tc>
        <w:tc>
          <w:tcPr>
            <w:tcW w:w="34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1,015</w:t>
            </w:r>
          </w:p>
        </w:tc>
        <w:tc>
          <w:tcPr>
            <w:tcW w:w="32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903</w:t>
            </w:r>
          </w:p>
        </w:tc>
      </w:tr>
      <w:tr>
        <w:trPr>
          <w:trHeight w:val="186"/>
        </w:trPr>
        <w:tc>
          <w:tcPr>
            <w:tcW w:w="5260" w:type="dxa"/>
            <w:vAlign w:val="bottom"/>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r>
      <w:tr>
        <w:trPr>
          <w:trHeight w:val="172"/>
        </w:trPr>
        <w:tc>
          <w:tcPr>
            <w:tcW w:w="5260" w:type="dxa"/>
            <w:vAlign w:val="bottom"/>
          </w:tcPr>
          <w:p>
            <w:pPr>
              <w:ind w:left="400"/>
              <w:spacing w:after="0"/>
              <w:rPr>
                <w:sz w:val="20"/>
                <w:szCs w:val="20"/>
                <w:color w:val="auto"/>
              </w:rPr>
            </w:pPr>
            <w:r>
              <w:rPr>
                <w:rFonts w:ascii="Arial" w:cs="Arial" w:eastAsia="Arial" w:hAnsi="Arial"/>
                <w:sz w:val="14"/>
                <w:szCs w:val="14"/>
                <w:color w:val="auto"/>
              </w:rPr>
              <w:t>Total shareholders' equity</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1,880</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1,766</w:t>
            </w:r>
          </w:p>
        </w:tc>
      </w:tr>
      <w:tr>
        <w:trPr>
          <w:trHeight w:val="176"/>
        </w:trPr>
        <w:tc>
          <w:tcPr>
            <w:tcW w:w="5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 liabilities and shareholders' equity</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7,350</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7,287</w:t>
            </w:r>
          </w:p>
        </w:tc>
      </w:tr>
    </w:tbl>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191770</wp:posOffset>
            </wp:positionV>
            <wp:extent cx="72618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2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61860" cy="289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spacing w:after="0" w:line="4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CONDENSED STATEMENTS OF CONSOLIDATED CASH FLOWS</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(Dollars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140" w:type="dxa"/>
            <w:vAlign w:val="bottom"/>
            <w:tcBorders>
              <w:bottom w:val="single" w:sz="8" w:color="auto"/>
            </w:tcBorders>
          </w:tcPr>
          <w:p>
            <w:pPr>
              <w:jc w:val="right"/>
              <w:ind w:right="2607"/>
              <w:spacing w:after="0"/>
              <w:rPr>
                <w:sz w:val="20"/>
                <w:szCs w:val="20"/>
                <w:color w:val="auto"/>
              </w:rPr>
            </w:pPr>
            <w:r>
              <w:rPr>
                <w:rFonts w:ascii="Arial" w:cs="Arial" w:eastAsia="Arial" w:hAnsi="Arial"/>
                <w:sz w:val="13"/>
                <w:szCs w:val="13"/>
                <w:color w:val="auto"/>
              </w:rPr>
              <w:t>Nine months ended September 30,</w:t>
            </w:r>
          </w:p>
        </w:tc>
        <w:tc>
          <w:tcPr>
            <w:tcW w:w="0" w:type="dxa"/>
            <w:vAlign w:val="bottom"/>
          </w:tcPr>
          <w:p>
            <w:pPr>
              <w:spacing w:after="0"/>
              <w:rPr>
                <w:sz w:val="1"/>
                <w:szCs w:val="1"/>
                <w:color w:val="auto"/>
              </w:rPr>
            </w:pPr>
          </w:p>
        </w:tc>
      </w:tr>
      <w:tr>
        <w:trPr>
          <w:trHeight w:val="148"/>
        </w:trPr>
        <w:tc>
          <w:tcPr>
            <w:tcW w:w="43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368"/>
              <w:spacing w:after="0" w:line="148" w:lineRule="exact"/>
              <w:rPr>
                <w:sz w:val="20"/>
                <w:szCs w:val="20"/>
                <w:color w:val="auto"/>
              </w:rPr>
            </w:pPr>
            <w:r>
              <w:rPr>
                <w:rFonts w:ascii="Arial" w:cs="Arial" w:eastAsia="Arial" w:hAnsi="Arial"/>
                <w:sz w:val="13"/>
                <w:szCs w:val="13"/>
                <w:color w:val="auto"/>
              </w:rPr>
              <w:t>2010</w:t>
            </w:r>
          </w:p>
        </w:tc>
        <w:tc>
          <w:tcPr>
            <w:tcW w:w="860" w:type="dxa"/>
            <w:vAlign w:val="bottom"/>
            <w:tcBorders>
              <w:bottom w:val="single" w:sz="8" w:color="auto"/>
            </w:tcBorders>
          </w:tcPr>
          <w:p>
            <w:pPr>
              <w:spacing w:after="0"/>
              <w:rPr>
                <w:sz w:val="12"/>
                <w:szCs w:val="12"/>
                <w:color w:val="auto"/>
              </w:rPr>
            </w:pPr>
          </w:p>
        </w:tc>
        <w:tc>
          <w:tcPr>
            <w:tcW w:w="5140" w:type="dxa"/>
            <w:vAlign w:val="bottom"/>
            <w:tcBorders>
              <w:bottom w:val="single" w:sz="8" w:color="auto"/>
            </w:tcBorders>
          </w:tcPr>
          <w:p>
            <w:pPr>
              <w:jc w:val="right"/>
              <w:ind w:right="2807"/>
              <w:spacing w:after="0" w:line="148" w:lineRule="exact"/>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140" w:type="dxa"/>
            <w:vAlign w:val="bottom"/>
          </w:tcPr>
          <w:p>
            <w:pPr>
              <w:jc w:val="right"/>
              <w:ind w:right="3227"/>
              <w:spacing w:after="0"/>
              <w:rPr>
                <w:sz w:val="20"/>
                <w:szCs w:val="20"/>
                <w:color w:val="auto"/>
              </w:rPr>
            </w:pPr>
            <w:r>
              <w:rPr>
                <w:rFonts w:ascii="Arial" w:cs="Arial" w:eastAsia="Arial" w:hAnsi="Arial"/>
                <w:sz w:val="13"/>
                <w:szCs w:val="13"/>
                <w:color w:val="auto"/>
              </w:rPr>
              <w:t>(unaudited)</w:t>
            </w:r>
          </w:p>
        </w:tc>
        <w:tc>
          <w:tcPr>
            <w:tcW w:w="0" w:type="dxa"/>
            <w:vAlign w:val="bottom"/>
          </w:tcPr>
          <w:p>
            <w:pPr>
              <w:spacing w:after="0"/>
              <w:rPr>
                <w:sz w:val="1"/>
                <w:szCs w:val="1"/>
                <w:color w:val="auto"/>
              </w:rPr>
            </w:pPr>
          </w:p>
        </w:tc>
      </w:tr>
      <w:tr>
        <w:trPr>
          <w:trHeight w:val="184"/>
        </w:trPr>
        <w:tc>
          <w:tcPr>
            <w:tcW w:w="4300" w:type="dxa"/>
            <w:vAlign w:val="bottom"/>
          </w:tcPr>
          <w:p>
            <w:pPr>
              <w:ind w:left="80"/>
              <w:spacing w:after="0"/>
              <w:rPr>
                <w:sz w:val="20"/>
                <w:szCs w:val="20"/>
                <w:color w:val="auto"/>
              </w:rPr>
            </w:pPr>
            <w:r>
              <w:rPr>
                <w:rFonts w:ascii="Arial" w:cs="Arial" w:eastAsia="Arial" w:hAnsi="Arial"/>
                <w:sz w:val="14"/>
                <w:szCs w:val="14"/>
                <w:color w:val="auto"/>
              </w:rPr>
              <w:t>CASH FLOWS FROM OPERATING ACTIVITIES</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213</w:t>
            </w:r>
          </w:p>
        </w:tc>
        <w:tc>
          <w:tcPr>
            <w:tcW w:w="86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140" w:type="dxa"/>
            <w:vAlign w:val="bottom"/>
          </w:tcPr>
          <w:p>
            <w:pPr>
              <w:jc w:val="right"/>
              <w:ind w:right="67"/>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92"/>
        </w:trPr>
        <w:tc>
          <w:tcPr>
            <w:tcW w:w="4300" w:type="dxa"/>
            <w:vAlign w:val="bottom"/>
          </w:tcPr>
          <w:p>
            <w:pPr>
              <w:ind w:left="240"/>
              <w:spacing w:after="0"/>
              <w:rPr>
                <w:sz w:val="20"/>
                <w:szCs w:val="20"/>
                <w:color w:val="auto"/>
              </w:rPr>
            </w:pPr>
            <w:r>
              <w:rPr>
                <w:rFonts w:ascii="Arial" w:cs="Arial" w:eastAsia="Arial" w:hAnsi="Arial"/>
                <w:sz w:val="14"/>
                <w:szCs w:val="14"/>
                <w:color w:val="auto"/>
              </w:rPr>
              <w:t>Adjustments to reconcile net income to net cash provided by</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00" w:type="dxa"/>
            <w:vAlign w:val="bottom"/>
          </w:tcPr>
          <w:p>
            <w:pPr>
              <w:ind w:left="400"/>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00" w:type="dxa"/>
            <w:vAlign w:val="bottom"/>
          </w:tcPr>
          <w:p>
            <w:pPr>
              <w:ind w:left="560"/>
              <w:spacing w:after="0"/>
              <w:rPr>
                <w:sz w:val="20"/>
                <w:szCs w:val="20"/>
                <w:color w:val="auto"/>
              </w:rPr>
            </w:pPr>
            <w:r>
              <w:rPr>
                <w:rFonts w:ascii="Arial" w:cs="Arial" w:eastAsia="Arial" w:hAnsi="Arial"/>
                <w:sz w:val="14"/>
                <w:szCs w:val="14"/>
                <w:color w:val="auto"/>
              </w:rPr>
              <w:t>Depreciation</w:t>
            </w:r>
          </w:p>
        </w:tc>
        <w:tc>
          <w:tcPr>
            <w:tcW w:w="380" w:type="dxa"/>
            <w:vAlign w:val="bottom"/>
          </w:tcPr>
          <w:p>
            <w:pPr>
              <w:spacing w:after="0"/>
              <w:rPr>
                <w:sz w:val="16"/>
                <w:szCs w:val="16"/>
                <w:color w:val="auto"/>
              </w:rPr>
            </w:pP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230</w:t>
            </w:r>
          </w:p>
        </w:tc>
        <w:tc>
          <w:tcPr>
            <w:tcW w:w="860" w:type="dxa"/>
            <w:vAlign w:val="bottom"/>
          </w:tcPr>
          <w:p>
            <w:pPr>
              <w:spacing w:after="0"/>
              <w:rPr>
                <w:sz w:val="16"/>
                <w:szCs w:val="16"/>
                <w:color w:val="auto"/>
              </w:rPr>
            </w:pPr>
          </w:p>
        </w:tc>
        <w:tc>
          <w:tcPr>
            <w:tcW w:w="5140" w:type="dxa"/>
            <w:vAlign w:val="bottom"/>
          </w:tcPr>
          <w:p>
            <w:pPr>
              <w:jc w:val="right"/>
              <w:ind w:right="67"/>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92"/>
        </w:trPr>
        <w:tc>
          <w:tcPr>
            <w:tcW w:w="4300" w:type="dxa"/>
            <w:vAlign w:val="bottom"/>
          </w:tcPr>
          <w:p>
            <w:pPr>
              <w:ind w:left="560"/>
              <w:spacing w:after="0"/>
              <w:rPr>
                <w:sz w:val="20"/>
                <w:szCs w:val="20"/>
                <w:color w:val="auto"/>
              </w:rPr>
            </w:pPr>
            <w:r>
              <w:rPr>
                <w:rFonts w:ascii="Arial" w:cs="Arial" w:eastAsia="Arial" w:hAnsi="Arial"/>
                <w:sz w:val="14"/>
                <w:szCs w:val="14"/>
                <w:color w:val="auto"/>
              </w:rPr>
              <w:t>Deferred income taxes and investment tax credits</w:t>
            </w:r>
          </w:p>
        </w:tc>
        <w:tc>
          <w:tcPr>
            <w:tcW w:w="380" w:type="dxa"/>
            <w:vAlign w:val="bottom"/>
          </w:tcPr>
          <w:p>
            <w:pPr>
              <w:spacing w:after="0"/>
              <w:rPr>
                <w:sz w:val="16"/>
                <w:szCs w:val="16"/>
                <w:color w:val="auto"/>
              </w:rPr>
            </w:pP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62</w:t>
            </w:r>
          </w:p>
        </w:tc>
        <w:tc>
          <w:tcPr>
            <w:tcW w:w="860" w:type="dxa"/>
            <w:vAlign w:val="bottom"/>
          </w:tcPr>
          <w:p>
            <w:pPr>
              <w:spacing w:after="0"/>
              <w:rPr>
                <w:sz w:val="16"/>
                <w:szCs w:val="16"/>
                <w:color w:val="auto"/>
              </w:rPr>
            </w:pPr>
          </w:p>
        </w:tc>
        <w:tc>
          <w:tcPr>
            <w:tcW w:w="5140" w:type="dxa"/>
            <w:vAlign w:val="bottom"/>
          </w:tcPr>
          <w:p>
            <w:pPr>
              <w:jc w:val="right"/>
              <w:ind w:right="67"/>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2"/>
        </w:trPr>
        <w:tc>
          <w:tcPr>
            <w:tcW w:w="4300" w:type="dxa"/>
            <w:vAlign w:val="bottom"/>
          </w:tcPr>
          <w:p>
            <w:pPr>
              <w:ind w:left="560"/>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16"/>
                <w:szCs w:val="16"/>
                <w:color w:val="auto"/>
              </w:rPr>
            </w:pP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2</w:t>
            </w:r>
          </w:p>
        </w:tc>
        <w:tc>
          <w:tcPr>
            <w:tcW w:w="860" w:type="dxa"/>
            <w:vAlign w:val="bottom"/>
          </w:tcPr>
          <w:p>
            <w:pPr>
              <w:spacing w:after="0"/>
              <w:rPr>
                <w:sz w:val="16"/>
                <w:szCs w:val="16"/>
                <w:color w:val="auto"/>
              </w:rPr>
            </w:pPr>
          </w:p>
        </w:tc>
        <w:tc>
          <w:tcPr>
            <w:tcW w:w="5140" w:type="dxa"/>
            <w:vAlign w:val="bottom"/>
          </w:tcPr>
          <w:p>
            <w:pPr>
              <w:jc w:val="right"/>
              <w:ind w:right="67"/>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2"/>
        </w:trPr>
        <w:tc>
          <w:tcPr>
            <w:tcW w:w="4300" w:type="dxa"/>
            <w:vAlign w:val="bottom"/>
          </w:tcPr>
          <w:p>
            <w:pPr>
              <w:ind w:left="240"/>
              <w:spacing w:after="0"/>
              <w:rPr>
                <w:sz w:val="20"/>
                <w:szCs w:val="20"/>
                <w:color w:val="auto"/>
              </w:rPr>
            </w:pPr>
            <w:r>
              <w:rPr>
                <w:rFonts w:ascii="Arial" w:cs="Arial" w:eastAsia="Arial" w:hAnsi="Arial"/>
                <w:sz w:val="14"/>
                <w:szCs w:val="14"/>
                <w:color w:val="auto"/>
              </w:rPr>
              <w:t>Net change in other working capital components</w:t>
            </w:r>
          </w:p>
        </w:tc>
        <w:tc>
          <w:tcPr>
            <w:tcW w:w="380" w:type="dxa"/>
            <w:vAlign w:val="bottom"/>
          </w:tcPr>
          <w:p>
            <w:pPr>
              <w:spacing w:after="0"/>
              <w:rPr>
                <w:sz w:val="16"/>
                <w:szCs w:val="16"/>
                <w:color w:val="auto"/>
              </w:rPr>
            </w:pP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62</w:t>
            </w:r>
          </w:p>
        </w:tc>
        <w:tc>
          <w:tcPr>
            <w:tcW w:w="860" w:type="dxa"/>
            <w:vAlign w:val="bottom"/>
          </w:tcPr>
          <w:p>
            <w:pPr>
              <w:spacing w:after="0"/>
              <w:rPr>
                <w:sz w:val="16"/>
                <w:szCs w:val="16"/>
                <w:color w:val="auto"/>
              </w:rPr>
            </w:pPr>
          </w:p>
        </w:tc>
        <w:tc>
          <w:tcPr>
            <w:tcW w:w="5140" w:type="dxa"/>
            <w:vAlign w:val="bottom"/>
          </w:tcPr>
          <w:p>
            <w:pPr>
              <w:jc w:val="right"/>
              <w:ind w:right="67"/>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16"/>
        </w:trPr>
        <w:tc>
          <w:tcPr>
            <w:tcW w:w="4300" w:type="dxa"/>
            <w:vAlign w:val="bottom"/>
          </w:tcPr>
          <w:p>
            <w:pPr>
              <w:ind w:left="240"/>
              <w:spacing w:after="0"/>
              <w:rPr>
                <w:sz w:val="20"/>
                <w:szCs w:val="20"/>
                <w:color w:val="auto"/>
              </w:rPr>
            </w:pPr>
            <w:r>
              <w:rPr>
                <w:rFonts w:ascii="Arial" w:cs="Arial" w:eastAsia="Arial" w:hAnsi="Arial"/>
                <w:sz w:val="14"/>
                <w:szCs w:val="14"/>
                <w:color w:val="auto"/>
              </w:rPr>
              <w:t>Changes in other assets</w:t>
            </w:r>
          </w:p>
        </w:tc>
        <w:tc>
          <w:tcPr>
            <w:tcW w:w="380" w:type="dxa"/>
            <w:vAlign w:val="bottom"/>
          </w:tcPr>
          <w:p>
            <w:pPr>
              <w:spacing w:after="0"/>
              <w:rPr>
                <w:sz w:val="18"/>
                <w:szCs w:val="18"/>
                <w:color w:val="auto"/>
              </w:rPr>
            </w:pP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6</w:t>
            </w:r>
          </w:p>
        </w:tc>
        <w:tc>
          <w:tcPr>
            <w:tcW w:w="860" w:type="dxa"/>
            <w:vAlign w:val="bottom"/>
          </w:tcPr>
          <w:p>
            <w:pPr>
              <w:spacing w:after="0"/>
              <w:rPr>
                <w:sz w:val="18"/>
                <w:szCs w:val="18"/>
                <w:color w:val="auto"/>
              </w:rPr>
            </w:pPr>
          </w:p>
        </w:tc>
        <w:tc>
          <w:tcPr>
            <w:tcW w:w="5140" w:type="dxa"/>
            <w:vAlign w:val="bottom"/>
          </w:tcPr>
          <w:p>
            <w:pPr>
              <w:jc w:val="right"/>
              <w:ind w:right="67"/>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4300" w:type="dxa"/>
            <w:vAlign w:val="bottom"/>
          </w:tcPr>
          <w:p>
            <w:pPr>
              <w:ind w:left="240"/>
              <w:spacing w:after="0"/>
              <w:rPr>
                <w:sz w:val="20"/>
                <w:szCs w:val="20"/>
                <w:color w:val="auto"/>
              </w:rPr>
            </w:pPr>
            <w:r>
              <w:rPr>
                <w:rFonts w:ascii="Arial" w:cs="Arial" w:eastAsia="Arial" w:hAnsi="Arial"/>
                <w:sz w:val="14"/>
                <w:szCs w:val="14"/>
                <w:color w:val="auto"/>
              </w:rPr>
              <w:t>Changes in other liabilities</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86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2"/>
        </w:trPr>
        <w:tc>
          <w:tcPr>
            <w:tcW w:w="4300" w:type="dxa"/>
            <w:vAlign w:val="bottom"/>
          </w:tcPr>
          <w:p>
            <w:pPr>
              <w:ind w:left="40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569</w:t>
            </w:r>
          </w:p>
        </w:tc>
        <w:tc>
          <w:tcPr>
            <w:tcW w:w="860" w:type="dxa"/>
            <w:vAlign w:val="bottom"/>
            <w:tcBorders>
              <w:bottom w:val="single" w:sz="8" w:color="auto"/>
            </w:tcBorders>
          </w:tcPr>
          <w:p>
            <w:pPr>
              <w:spacing w:after="0"/>
              <w:rPr>
                <w:sz w:val="14"/>
                <w:szCs w:val="14"/>
                <w:color w:val="auto"/>
              </w:rPr>
            </w:pPr>
          </w:p>
        </w:tc>
        <w:tc>
          <w:tcPr>
            <w:tcW w:w="51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370"/>
        </w:trPr>
        <w:tc>
          <w:tcPr>
            <w:tcW w:w="4300" w:type="dxa"/>
            <w:vAlign w:val="bottom"/>
          </w:tcPr>
          <w:p>
            <w:pPr>
              <w:ind w:left="80"/>
              <w:spacing w:after="0"/>
              <w:rPr>
                <w:sz w:val="20"/>
                <w:szCs w:val="20"/>
                <w:color w:val="auto"/>
              </w:rPr>
            </w:pPr>
            <w:r>
              <w:rPr>
                <w:rFonts w:ascii="Arial" w:cs="Arial" w:eastAsia="Arial" w:hAnsi="Arial"/>
                <w:sz w:val="14"/>
                <w:szCs w:val="14"/>
                <w:color w:val="auto"/>
              </w:rPr>
              <w:t>CASH FLOWS FROM INVESTING ACTIVITIES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300" w:type="dxa"/>
            <w:vAlign w:val="bottom"/>
          </w:tcPr>
          <w:p>
            <w:pPr>
              <w:ind w:left="240"/>
              <w:spacing w:after="0"/>
              <w:rPr>
                <w:sz w:val="20"/>
                <w:szCs w:val="20"/>
                <w:color w:val="auto"/>
              </w:rPr>
            </w:pPr>
            <w:r>
              <w:rPr>
                <w:rFonts w:ascii="Arial" w:cs="Arial" w:eastAsia="Arial" w:hAnsi="Arial"/>
                <w:sz w:val="14"/>
                <w:szCs w:val="14"/>
                <w:color w:val="auto"/>
              </w:rPr>
              <w:t>Expenditures for property, plant and equipment</w:t>
            </w:r>
          </w:p>
        </w:tc>
        <w:tc>
          <w:tcPr>
            <w:tcW w:w="380" w:type="dxa"/>
            <w:vAlign w:val="bottom"/>
          </w:tcPr>
          <w:p>
            <w:pPr>
              <w:spacing w:after="0"/>
              <w:rPr>
                <w:sz w:val="14"/>
                <w:szCs w:val="14"/>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4"/>
                <w:szCs w:val="14"/>
                <w:color w:val="auto"/>
              </w:rPr>
              <w:t>(337)</w:t>
            </w:r>
          </w:p>
        </w:tc>
        <w:tc>
          <w:tcPr>
            <w:tcW w:w="860" w:type="dxa"/>
            <w:vAlign w:val="bottom"/>
          </w:tcPr>
          <w:p>
            <w:pPr>
              <w:spacing w:after="0"/>
              <w:rPr>
                <w:sz w:val="14"/>
                <w:szCs w:val="14"/>
                <w:color w:val="auto"/>
              </w:rPr>
            </w:pPr>
          </w:p>
        </w:tc>
        <w:tc>
          <w:tcPr>
            <w:tcW w:w="5140" w:type="dxa"/>
            <w:vAlign w:val="bottom"/>
          </w:tcPr>
          <w:p>
            <w:pPr>
              <w:jc w:val="right"/>
              <w:ind w:right="27"/>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40" w:type="dxa"/>
            <w:vAlign w:val="bottom"/>
          </w:tcPr>
          <w:p>
            <w:pPr>
              <w:jc w:val="right"/>
              <w:ind w:right="27"/>
              <w:spacing w:after="0" w:line="216" w:lineRule="exact"/>
              <w:rPr>
                <w:sz w:val="20"/>
                <w:szCs w:val="20"/>
                <w:color w:val="auto"/>
              </w:rPr>
            </w:pPr>
            <w:r>
              <w:rPr>
                <w:rFonts w:ascii="Arial" w:cs="Arial" w:eastAsia="Arial" w:hAnsi="Arial"/>
                <w:sz w:val="19"/>
                <w:szCs w:val="19"/>
                <w:color w:val="auto"/>
              </w:rPr>
              <w:t>&lt; font style="FONT-SIZE:9pt; COLOR:black; FONT-</w:t>
            </w:r>
          </w:p>
        </w:tc>
        <w:tc>
          <w:tcPr>
            <w:tcW w:w="0" w:type="dxa"/>
            <w:vAlign w:val="bottom"/>
          </w:tcPr>
          <w:p>
            <w:pPr>
              <w:spacing w:after="0"/>
              <w:rPr>
                <w:sz w:val="1"/>
                <w:szCs w:val="1"/>
                <w:color w:val="auto"/>
              </w:rPr>
            </w:pPr>
          </w:p>
        </w:tc>
      </w:tr>
      <w:tr>
        <w:trPr>
          <w:trHeight w:val="235"/>
        </w:trPr>
        <w:tc>
          <w:tcPr>
            <w:tcW w:w="4300" w:type="dxa"/>
            <w:vAlign w:val="bottom"/>
          </w:tcPr>
          <w:p>
            <w:pPr>
              <w:ind w:left="240"/>
              <w:spacing w:after="0"/>
              <w:rPr>
                <w:sz w:val="20"/>
                <w:szCs w:val="20"/>
                <w:color w:val="auto"/>
              </w:rPr>
            </w:pPr>
            <w:r>
              <w:rPr>
                <w:rFonts w:ascii="Arial" w:cs="Arial" w:eastAsia="Arial" w:hAnsi="Arial"/>
                <w:sz w:val="14"/>
                <w:szCs w:val="14"/>
                <w:color w:val="auto"/>
              </w:rPr>
              <w:t>Increase in loans to affiliates, net</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(108)</w:t>
            </w:r>
          </w:p>
        </w:tc>
        <w:tc>
          <w:tcPr>
            <w:tcW w:w="86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jc w:val="right"/>
              <w:ind w:right="67"/>
              <w:spacing w:after="0"/>
              <w:rPr>
                <w:sz w:val="20"/>
                <w:szCs w:val="20"/>
                <w:color w:val="auto"/>
              </w:rPr>
            </w:pPr>
            <w:r>
              <w:rPr>
                <w:rFonts w:ascii="Arial" w:cs="Arial" w:eastAsia="Arial" w:hAnsi="Arial"/>
                <w:sz w:val="19"/>
                <w:szCs w:val="19"/>
                <w:color w:val="auto"/>
              </w:rPr>
              <w:t>FAMILY:'Arial','sans-serif'"&gt; -</w:t>
            </w:r>
          </w:p>
        </w:tc>
        <w:tc>
          <w:tcPr>
            <w:tcW w:w="0" w:type="dxa"/>
            <w:vAlign w:val="bottom"/>
          </w:tcPr>
          <w:p>
            <w:pPr>
              <w:spacing w:after="0"/>
              <w:rPr>
                <w:sz w:val="1"/>
                <w:szCs w:val="1"/>
                <w:color w:val="auto"/>
              </w:rPr>
            </w:pPr>
          </w:p>
        </w:tc>
      </w:tr>
      <w:tr>
        <w:trPr>
          <w:trHeight w:val="172"/>
        </w:trPr>
        <w:tc>
          <w:tcPr>
            <w:tcW w:w="4300" w:type="dxa"/>
            <w:vAlign w:val="bottom"/>
          </w:tcPr>
          <w:p>
            <w:pPr>
              <w:ind w:left="40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(445)</w:t>
            </w:r>
          </w:p>
        </w:tc>
        <w:tc>
          <w:tcPr>
            <w:tcW w:w="860" w:type="dxa"/>
            <w:vAlign w:val="bottom"/>
            <w:tcBorders>
              <w:bottom w:val="single" w:sz="8" w:color="auto"/>
            </w:tcBorders>
          </w:tcPr>
          <w:p>
            <w:pPr>
              <w:spacing w:after="0"/>
              <w:rPr>
                <w:sz w:val="14"/>
                <w:szCs w:val="14"/>
                <w:color w:val="auto"/>
              </w:rPr>
            </w:pPr>
          </w:p>
        </w:tc>
        <w:tc>
          <w:tcPr>
            <w:tcW w:w="51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370"/>
        </w:trPr>
        <w:tc>
          <w:tcPr>
            <w:tcW w:w="4300" w:type="dxa"/>
            <w:vAlign w:val="bottom"/>
          </w:tcPr>
          <w:p>
            <w:pPr>
              <w:ind w:left="80"/>
              <w:spacing w:after="0"/>
              <w:rPr>
                <w:sz w:val="20"/>
                <w:szCs w:val="20"/>
                <w:color w:val="auto"/>
              </w:rPr>
            </w:pPr>
            <w:r>
              <w:rPr>
                <w:rFonts w:ascii="Arial" w:cs="Arial" w:eastAsia="Arial" w:hAnsi="Arial"/>
                <w:sz w:val="14"/>
                <w:szCs w:val="14"/>
                <w:color w:val="auto"/>
              </w:rPr>
              <w:t>CASH FLOWS FROM FINANCING ACTIVITIES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300" w:type="dxa"/>
            <w:vAlign w:val="bottom"/>
          </w:tcPr>
          <w:p>
            <w:pPr>
              <w:ind w:left="240"/>
              <w:spacing w:after="0"/>
              <w:rPr>
                <w:sz w:val="20"/>
                <w:szCs w:val="20"/>
                <w:color w:val="auto"/>
              </w:rPr>
            </w:pPr>
            <w:r>
              <w:rPr>
                <w:rFonts w:ascii="Arial" w:cs="Arial" w:eastAsia="Arial" w:hAnsi="Arial"/>
                <w:sz w:val="14"/>
                <w:szCs w:val="14"/>
                <w:color w:val="auto"/>
              </w:rPr>
              <w:t>Common dividends paid</w:t>
            </w:r>
          </w:p>
        </w:tc>
        <w:tc>
          <w:tcPr>
            <w:tcW w:w="380" w:type="dxa"/>
            <w:vAlign w:val="bottom"/>
          </w:tcPr>
          <w:p>
            <w:pPr>
              <w:spacing w:after="0"/>
              <w:rPr>
                <w:sz w:val="16"/>
                <w:szCs w:val="16"/>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4"/>
                <w:szCs w:val="14"/>
                <w:color w:val="auto"/>
              </w:rPr>
              <w:t>(100)</w:t>
            </w:r>
          </w:p>
        </w:tc>
        <w:tc>
          <w:tcPr>
            <w:tcW w:w="860" w:type="dxa"/>
            <w:vAlign w:val="bottom"/>
          </w:tcPr>
          <w:p>
            <w:pPr>
              <w:spacing w:after="0"/>
              <w:rPr>
                <w:sz w:val="16"/>
                <w:szCs w:val="16"/>
                <w:color w:val="auto"/>
              </w:rPr>
            </w:pPr>
          </w:p>
        </w:tc>
        <w:tc>
          <w:tcPr>
            <w:tcW w:w="514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00" w:type="dxa"/>
            <w:vAlign w:val="bottom"/>
          </w:tcPr>
          <w:p>
            <w:pPr>
              <w:ind w:left="240"/>
              <w:spacing w:after="0"/>
              <w:rPr>
                <w:sz w:val="20"/>
                <w:szCs w:val="20"/>
                <w:color w:val="auto"/>
              </w:rPr>
            </w:pPr>
            <w:r>
              <w:rPr>
                <w:rFonts w:ascii="Arial" w:cs="Arial" w:eastAsia="Arial" w:hAnsi="Arial"/>
                <w:sz w:val="14"/>
                <w:szCs w:val="14"/>
                <w:color w:val="auto"/>
              </w:rPr>
              <w:t>Preferred dividends paid</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2"/>
        </w:trPr>
        <w:tc>
          <w:tcPr>
            <w:tcW w:w="4300" w:type="dxa"/>
            <w:vAlign w:val="bottom"/>
          </w:tcPr>
          <w:p>
            <w:pPr>
              <w:ind w:left="320"/>
              <w:spacing w:after="0"/>
              <w:rPr>
                <w:sz w:val="20"/>
                <w:szCs w:val="20"/>
                <w:color w:val="auto"/>
              </w:rPr>
            </w:pPr>
            <w:r>
              <w:rPr>
                <w:rFonts w:ascii="Arial" w:cs="Arial" w:eastAsia="Arial" w:hAnsi="Arial"/>
                <w:sz w:val="14"/>
                <w:szCs w:val="14"/>
                <w:color w:val="auto"/>
              </w:rPr>
              <w:t>Net cash used in financing activities</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(101)</w:t>
            </w:r>
          </w:p>
        </w:tc>
        <w:tc>
          <w:tcPr>
            <w:tcW w:w="860" w:type="dxa"/>
            <w:vAlign w:val="bottom"/>
            <w:tcBorders>
              <w:bottom w:val="single" w:sz="8" w:color="auto"/>
            </w:tcBorders>
          </w:tcPr>
          <w:p>
            <w:pPr>
              <w:spacing w:after="0"/>
              <w:rPr>
                <w:sz w:val="14"/>
                <w:szCs w:val="14"/>
                <w:color w:val="auto"/>
              </w:rPr>
            </w:pPr>
          </w:p>
        </w:tc>
        <w:tc>
          <w:tcPr>
            <w:tcW w:w="51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406"/>
        </w:trPr>
        <w:tc>
          <w:tcPr>
            <w:tcW w:w="4300" w:type="dxa"/>
            <w:vAlign w:val="bottom"/>
          </w:tcPr>
          <w:p>
            <w:pPr>
              <w:ind w:left="80"/>
              <w:spacing w:after="0"/>
              <w:rPr>
                <w:sz w:val="20"/>
                <w:szCs w:val="20"/>
                <w:color w:val="auto"/>
              </w:rPr>
            </w:pPr>
            <w:r>
              <w:rPr>
                <w:rFonts w:ascii="Arial" w:cs="Arial" w:eastAsia="Arial" w:hAnsi="Arial"/>
                <w:sz w:val="14"/>
                <w:szCs w:val="14"/>
                <w:color w:val="auto"/>
              </w:rPr>
              <w:t>Increase in cash and cash equivalents</w:t>
            </w:r>
          </w:p>
        </w:tc>
        <w:tc>
          <w:tcPr>
            <w:tcW w:w="380" w:type="dxa"/>
            <w:vAlign w:val="bottom"/>
          </w:tcPr>
          <w:p>
            <w:pPr>
              <w:spacing w:after="0"/>
              <w:rPr>
                <w:sz w:val="24"/>
                <w:szCs w:val="24"/>
                <w:color w:val="auto"/>
              </w:rPr>
            </w:pP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23</w:t>
            </w:r>
          </w:p>
        </w:tc>
        <w:tc>
          <w:tcPr>
            <w:tcW w:w="860" w:type="dxa"/>
            <w:vAlign w:val="bottom"/>
          </w:tcPr>
          <w:p>
            <w:pPr>
              <w:spacing w:after="0"/>
              <w:rPr>
                <w:sz w:val="24"/>
                <w:szCs w:val="24"/>
                <w:color w:val="auto"/>
              </w:rPr>
            </w:pPr>
          </w:p>
        </w:tc>
        <w:tc>
          <w:tcPr>
            <w:tcW w:w="5140" w:type="dxa"/>
            <w:vAlign w:val="bottom"/>
          </w:tcPr>
          <w:p>
            <w:pPr>
              <w:jc w:val="right"/>
              <w:ind w:right="67"/>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6"/>
        </w:trPr>
        <w:tc>
          <w:tcPr>
            <w:tcW w:w="4300" w:type="dxa"/>
            <w:vAlign w:val="bottom"/>
          </w:tcPr>
          <w:p>
            <w:pPr>
              <w:ind w:left="80"/>
              <w:spacing w:after="0"/>
              <w:rPr>
                <w:sz w:val="20"/>
                <w:szCs w:val="20"/>
                <w:color w:val="auto"/>
              </w:rPr>
            </w:pPr>
            <w:r>
              <w:rPr>
                <w:rFonts w:ascii="Arial" w:cs="Arial" w:eastAsia="Arial" w:hAnsi="Arial"/>
                <w:sz w:val="14"/>
                <w:szCs w:val="14"/>
                <w:color w:val="auto"/>
              </w:rPr>
              <w:t>Cash and cash equivalents, January 1</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49</w:t>
            </w:r>
          </w:p>
        </w:tc>
        <w:tc>
          <w:tcPr>
            <w:tcW w:w="86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76"/>
        </w:trPr>
        <w:tc>
          <w:tcPr>
            <w:tcW w:w="4300" w:type="dxa"/>
            <w:vAlign w:val="bottom"/>
          </w:tcPr>
          <w:p>
            <w:pPr>
              <w:ind w:left="80"/>
              <w:spacing w:after="0"/>
              <w:rPr>
                <w:sz w:val="20"/>
                <w:szCs w:val="20"/>
                <w:color w:val="auto"/>
              </w:rPr>
            </w:pPr>
            <w:r>
              <w:rPr>
                <w:rFonts w:ascii="Arial" w:cs="Arial" w:eastAsia="Arial" w:hAnsi="Arial"/>
                <w:sz w:val="14"/>
                <w:szCs w:val="14"/>
                <w:color w:val="auto"/>
              </w:rPr>
              <w:t>Cash and cash equivalents, September 30</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72</w:t>
            </w:r>
          </w:p>
        </w:tc>
        <w:tc>
          <w:tcPr>
            <w:tcW w:w="8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51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362"/>
        </w:trPr>
        <w:tc>
          <w:tcPr>
            <w:tcW w:w="4300" w:type="dxa"/>
            <w:vAlign w:val="bottom"/>
          </w:tcPr>
          <w:p>
            <w:pPr>
              <w:ind w:left="80"/>
              <w:spacing w:after="0"/>
              <w:rPr>
                <w:sz w:val="20"/>
                <w:szCs w:val="20"/>
                <w:color w:val="auto"/>
              </w:rPr>
            </w:pPr>
            <w:r>
              <w:rPr>
                <w:rFonts w:ascii="Arial" w:cs="Arial" w:eastAsia="Arial" w:hAnsi="Arial"/>
                <w:sz w:val="14"/>
                <w:szCs w:val="14"/>
                <w:color w:val="auto"/>
              </w:rPr>
              <w:t>SUPPLEMENTAL DISCLOSURE OF CASH FLOW</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300" w:type="dxa"/>
            <w:vAlign w:val="bottom"/>
          </w:tcPr>
          <w:p>
            <w:pPr>
              <w:ind w:left="80"/>
              <w:spacing w:after="0"/>
              <w:rPr>
                <w:sz w:val="20"/>
                <w:szCs w:val="20"/>
                <w:color w:val="auto"/>
              </w:rPr>
            </w:pPr>
            <w:r>
              <w:rPr>
                <w:rFonts w:ascii="Arial" w:cs="Arial" w:eastAsia="Arial" w:hAnsi="Arial"/>
                <w:sz w:val="14"/>
                <w:szCs w:val="14"/>
                <w:color w:val="auto"/>
              </w:rPr>
              <w:t>INFORMATION</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300" w:type="dxa"/>
            <w:vAlign w:val="bottom"/>
          </w:tcPr>
          <w:p>
            <w:pPr>
              <w:ind w:left="240"/>
              <w:spacing w:after="0"/>
              <w:rPr>
                <w:sz w:val="20"/>
                <w:szCs w:val="20"/>
                <w:color w:val="auto"/>
              </w:rPr>
            </w:pPr>
            <w:r>
              <w:rPr>
                <w:rFonts w:ascii="Arial" w:cs="Arial" w:eastAsia="Arial" w:hAnsi="Arial"/>
                <w:sz w:val="14"/>
                <w:szCs w:val="14"/>
                <w:color w:val="auto"/>
              </w:rPr>
              <w:t>Interest payments, net of amounts capitalized</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37</w:t>
            </w:r>
          </w:p>
        </w:tc>
        <w:tc>
          <w:tcPr>
            <w:tcW w:w="86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140" w:type="dxa"/>
            <w:vAlign w:val="bottom"/>
          </w:tcPr>
          <w:p>
            <w:pPr>
              <w:jc w:val="right"/>
              <w:ind w:right="67"/>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4"/>
        </w:trPr>
        <w:tc>
          <w:tcPr>
            <w:tcW w:w="4300" w:type="dxa"/>
            <w:vAlign w:val="bottom"/>
          </w:tcPr>
          <w:p>
            <w:pPr>
              <w:ind w:left="240"/>
              <w:spacing w:after="0"/>
              <w:rPr>
                <w:sz w:val="20"/>
                <w:szCs w:val="20"/>
                <w:color w:val="auto"/>
              </w:rPr>
            </w:pPr>
            <w:r>
              <w:rPr>
                <w:rFonts w:ascii="Arial" w:cs="Arial" w:eastAsia="Arial" w:hAnsi="Arial"/>
                <w:sz w:val="14"/>
                <w:szCs w:val="14"/>
                <w:color w:val="auto"/>
              </w:rPr>
              <w:t>Income tax payments, net of refunds</w:t>
            </w:r>
          </w:p>
        </w:tc>
        <w:tc>
          <w:tcPr>
            <w:tcW w:w="380" w:type="dxa"/>
            <w:vAlign w:val="bottom"/>
          </w:tcPr>
          <w:p>
            <w:pPr>
              <w:spacing w:after="0"/>
              <w:rPr>
                <w:sz w:val="17"/>
                <w:szCs w:val="17"/>
                <w:color w:val="auto"/>
              </w:rPr>
            </w:pP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63</w:t>
            </w:r>
          </w:p>
        </w:tc>
        <w:tc>
          <w:tcPr>
            <w:tcW w:w="860" w:type="dxa"/>
            <w:vAlign w:val="bottom"/>
          </w:tcPr>
          <w:p>
            <w:pPr>
              <w:spacing w:after="0"/>
              <w:rPr>
                <w:sz w:val="17"/>
                <w:szCs w:val="17"/>
                <w:color w:val="auto"/>
              </w:rPr>
            </w:pPr>
          </w:p>
        </w:tc>
        <w:tc>
          <w:tcPr>
            <w:tcW w:w="5140" w:type="dxa"/>
            <w:vAlign w:val="bottom"/>
          </w:tcPr>
          <w:p>
            <w:pPr>
              <w:jc w:val="right"/>
              <w:ind w:right="67"/>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404"/>
        </w:trPr>
        <w:tc>
          <w:tcPr>
            <w:tcW w:w="4300" w:type="dxa"/>
            <w:vAlign w:val="bottom"/>
          </w:tcPr>
          <w:p>
            <w:pPr>
              <w:ind w:left="80"/>
              <w:spacing w:after="0"/>
              <w:rPr>
                <w:sz w:val="20"/>
                <w:szCs w:val="20"/>
                <w:color w:val="auto"/>
              </w:rPr>
            </w:pPr>
            <w:r>
              <w:rPr>
                <w:rFonts w:ascii="Arial" w:cs="Arial" w:eastAsia="Arial" w:hAnsi="Arial"/>
                <w:sz w:val="14"/>
                <w:szCs w:val="14"/>
                <w:color w:val="auto"/>
              </w:rPr>
              <w:t>SUPPLEMENTAL DISCLOSURE OF NONCASH ACTIVITIES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240"/>
              <w:spacing w:after="0"/>
              <w:rPr>
                <w:sz w:val="20"/>
                <w:szCs w:val="20"/>
                <w:color w:val="auto"/>
              </w:rPr>
            </w:pPr>
            <w:r>
              <w:rPr>
                <w:rFonts w:ascii="Arial" w:cs="Arial" w:eastAsia="Arial" w:hAnsi="Arial"/>
                <w:sz w:val="14"/>
                <w:szCs w:val="14"/>
                <w:color w:val="auto"/>
              </w:rPr>
              <w:t>Increase in capital lease obligations for investments in</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tcPr>
          <w:p>
            <w:pPr>
              <w:ind w:left="80"/>
              <w:spacing w:after="0"/>
              <w:rPr>
                <w:sz w:val="20"/>
                <w:szCs w:val="20"/>
                <w:color w:val="auto"/>
              </w:rPr>
            </w:pPr>
            <w:r>
              <w:rPr>
                <w:rFonts w:ascii="Arial" w:cs="Arial" w:eastAsia="Arial" w:hAnsi="Arial"/>
                <w:sz w:val="14"/>
                <w:szCs w:val="14"/>
                <w:color w:val="auto"/>
              </w:rPr>
              <w:t>property, plant and</w:t>
            </w:r>
          </w:p>
        </w:tc>
        <w:tc>
          <w:tcPr>
            <w:tcW w:w="380" w:type="dxa"/>
            <w:vAlign w:val="bottom"/>
            <w:vMerge w:val="restart"/>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9"/>
                <w:szCs w:val="19"/>
                <w:color w:val="auto"/>
              </w:rPr>
              <w:t>&lt;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3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equipment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w w:val="96"/>
              </w:rPr>
              <w:t>/p&gt;</w:t>
            </w:r>
          </w:p>
        </w:tc>
        <w:tc>
          <w:tcPr>
            <w:tcW w:w="7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51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SEMPRA ENERGY AND SUBSIDIARIES</w:t>
      </w:r>
    </w:p>
    <w:p>
      <w:pPr>
        <w:spacing w:after="0"/>
        <w:rPr>
          <w:sz w:val="20"/>
          <w:szCs w:val="20"/>
          <w:color w:val="auto"/>
        </w:rPr>
      </w:pPr>
      <w:r>
        <w:rPr>
          <w:rFonts w:ascii="Arial" w:cs="Arial" w:eastAsia="Arial" w:hAnsi="Arial"/>
          <w:sz w:val="22"/>
          <w:szCs w:val="22"/>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641985</wp:posOffset>
            </wp:positionV>
            <wp:extent cx="72618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NOTE 1. GENERAL</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56" w:lineRule="exact"/>
        <w:rPr>
          <w:sz w:val="20"/>
          <w:szCs w:val="20"/>
          <w:color w:val="auto"/>
        </w:rPr>
      </w:pPr>
    </w:p>
    <w:p>
      <w:pPr>
        <w:ind w:right="520"/>
        <w:spacing w:after="0" w:line="270" w:lineRule="auto"/>
        <w:rPr>
          <w:sz w:val="20"/>
          <w:szCs w:val="20"/>
          <w:color w:val="auto"/>
        </w:rPr>
      </w:pPr>
      <w:r>
        <w:rPr>
          <w:rFonts w:ascii="Arial" w:cs="Arial" w:eastAsia="Arial" w:hAnsi="Arial"/>
          <w:sz w:val="16"/>
          <w:szCs w:val="16"/>
          <w:color w:val="auto"/>
        </w:rPr>
        <w:t>Sempra Energy's Condensed Consolidated Financial Statements include the accounts of Sempra Energy, a California-based Fortune 500 holding company, and its consolidated subsidiaries and a variable interest entity (VIE). Sempra Energy’s principal subsidiaries are</w:t>
      </w:r>
    </w:p>
    <w:p>
      <w:pPr>
        <w:spacing w:after="0" w:line="18" w:lineRule="exact"/>
        <w:rPr>
          <w:sz w:val="20"/>
          <w:szCs w:val="20"/>
          <w:color w:val="auto"/>
        </w:rPr>
      </w:pPr>
    </w:p>
    <w:p>
      <w:pPr>
        <w:ind w:left="140" w:right="1300"/>
        <w:spacing w:after="0" w:line="414" w:lineRule="auto"/>
        <w:rPr>
          <w:sz w:val="20"/>
          <w:szCs w:val="20"/>
          <w:color w:val="auto"/>
        </w:rPr>
      </w:pPr>
      <w:r>
        <w:rPr>
          <w:rFonts w:ascii="Arial" w:cs="Arial" w:eastAsia="Arial" w:hAnsi="Arial"/>
          <w:sz w:val="14"/>
          <w:szCs w:val="14"/>
          <w:color w:val="auto"/>
        </w:rPr>
        <w:t>§San Diego Gas &amp; Electric Company (SDG&amp;E) and Southern Californi a Gas Company (SoCalGas), which we collectively refer to as the Sempra Utilities; and §Sempra Global, which is the holding company for Sempra Commodities, Sempra Generation, Sempra Pipelines &amp; Storage, and Sempra LNG.</w:t>
      </w:r>
    </w:p>
    <w:p>
      <w:pPr>
        <w:spacing w:after="0" w:line="21" w:lineRule="exact"/>
        <w:rPr>
          <w:sz w:val="20"/>
          <w:szCs w:val="20"/>
          <w:color w:val="auto"/>
        </w:rPr>
      </w:pPr>
    </w:p>
    <w:p>
      <w:pPr>
        <w:ind w:right="60"/>
        <w:spacing w:after="0" w:line="342" w:lineRule="auto"/>
        <w:rPr>
          <w:sz w:val="20"/>
          <w:szCs w:val="20"/>
          <w:color w:val="auto"/>
        </w:rPr>
      </w:pPr>
      <w:r>
        <w:rPr>
          <w:rFonts w:ascii="Arial" w:cs="Arial" w:eastAsia="Arial" w:hAnsi="Arial"/>
          <w:sz w:val="14"/>
          <w:szCs w:val="14"/>
          <w:color w:val="auto"/>
        </w:rPr>
        <w:t>Sempra Energy uses the equity method to account for investments in affiliated companies over which we have the ability to exercise significant influence, but not control. We discuss our investments in unconsolidated subsidiaries in Note 4 below and Note 4 of the Notes to Consolidated Financial Statements in the Annual Report.</w:t>
      </w:r>
    </w:p>
    <w:p>
      <w:pPr>
        <w:sectPr>
          <w:pgSz w:w="11900" w:h="16838" w:orient="portrait"/>
          <w:cols w:equalWidth="0" w:num="1">
            <w:col w:w="11440"/>
          </w:cols>
          <w:pgMar w:left="240" w:top="141" w:right="219" w:bottom="0" w:gutter="0" w:footer="0" w:header="0"/>
        </w:sectPr>
      </w:pPr>
    </w:p>
    <w:bookmarkStart w:id="15" w:name="page16"/>
    <w:bookmarkEnd w:id="15"/>
    <w:p>
      <w:pPr>
        <w:spacing w:after="0"/>
        <w:rPr>
          <w:sz w:val="20"/>
          <w:szCs w:val="20"/>
          <w:color w:val="auto"/>
        </w:rPr>
      </w:pPr>
      <w:r>
        <w:rPr>
          <w:rFonts w:ascii="Arial" w:cs="Arial" w:eastAsia="Arial" w:hAnsi="Arial"/>
          <w:sz w:val="19"/>
          <w:szCs w:val="19"/>
          <w:b w:val="1"/>
          <w:bCs w:val="1"/>
          <w:i w:val="1"/>
          <w:iCs w:val="1"/>
          <w:color w:val="auto"/>
        </w:rPr>
        <w:t>SDG&amp;E</w:t>
      </w:r>
    </w:p>
    <w:p>
      <w:pPr>
        <w:spacing w:after="0" w:line="57" w:lineRule="exact"/>
        <w:rPr>
          <w:sz w:val="20"/>
          <w:szCs w:val="20"/>
          <w:color w:val="auto"/>
        </w:rPr>
      </w:pPr>
    </w:p>
    <w:p>
      <w:pPr>
        <w:ind w:right="80"/>
        <w:spacing w:after="0" w:line="342" w:lineRule="auto"/>
        <w:rPr>
          <w:sz w:val="20"/>
          <w:szCs w:val="20"/>
          <w:color w:val="auto"/>
        </w:rPr>
      </w:pPr>
      <w:r>
        <w:rPr>
          <w:rFonts w:ascii="Arial" w:cs="Arial" w:eastAsia="Arial" w:hAnsi="Arial"/>
          <w:sz w:val="14"/>
          <w:szCs w:val="14"/>
          <w:color w:val="auto"/>
        </w:rPr>
        <w:t>SDG&amp;E's Condensed Consolidated Financial Statements include its accounts and the accounts of a variable interest entity of which SDG&amp;E is th e primary beneficiary, as we discuss in Note 5 under "Variable Interest Entities." SDG&amp;E’s common stock is wholly owned by Enova Corporation, which is a wholly owned subsidiary of Sempra Energy.</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Pacific Enterprises and SoCalGas</w:t>
      </w:r>
    </w:p>
    <w:p>
      <w:pPr>
        <w:spacing w:after="0" w:line="56" w:lineRule="exact"/>
        <w:rPr>
          <w:sz w:val="20"/>
          <w:szCs w:val="20"/>
          <w:color w:val="auto"/>
        </w:rPr>
      </w:pPr>
    </w:p>
    <w:p>
      <w:pPr>
        <w:jc w:val="both"/>
        <w:ind w:right="220"/>
        <w:spacing w:after="0" w:line="260" w:lineRule="auto"/>
        <w:rPr>
          <w:sz w:val="20"/>
          <w:szCs w:val="20"/>
          <w:color w:val="auto"/>
        </w:rPr>
      </w:pPr>
      <w:r>
        <w:rPr>
          <w:rFonts w:ascii="Arial" w:cs="Arial" w:eastAsia="Arial" w:hAnsi="Arial"/>
          <w:sz w:val="16"/>
          <w:szCs w:val="16"/>
          <w:color w:val="auto"/>
        </w:rPr>
        <w:t>The Condensed Consolidated Financial Statements of Pacific Enterprises include the accounts of Pacific Enterprises (PE) and its subsidiary, SoCalGas. Sempra Energy owns all of PE’s common stock and PE owns all of SoCalGas’ common stock. SoCalGas’ Condensed Consolidated Financial Statements include its subsidiaries, which comprise less than one percent of its consolidated financial position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PE's operations consist solely of those of SoCalGas and additional items (e.g., cash, intercompany accounts and equity) attributable to serving a s a holding company for SoCalGas.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98"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This is a combined report of Sempra Energy, SDG&amp;E, PE and SoCalGas. We provide separate information for SDG&amp;E, PE and SoCalGas as required. In the Notes to Condensed Consolidated Financial Statements (except in Note 11), when only information for SoCalGas is provided, it is the same for PE.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79" w:lineRule="exact"/>
        <w:rPr>
          <w:sz w:val="20"/>
          <w:szCs w:val="20"/>
          <w:color w:val="auto"/>
        </w:rPr>
      </w:pPr>
    </w:p>
    <w:p>
      <w:pPr>
        <w:ind w:right="120"/>
        <w:spacing w:after="0" w:line="305" w:lineRule="auto"/>
        <w:rPr>
          <w:sz w:val="20"/>
          <w:szCs w:val="20"/>
          <w:color w:val="auto"/>
        </w:rPr>
      </w:pPr>
      <w:r>
        <w:rPr>
          <w:rFonts w:ascii="Arial" w:cs="Arial" w:eastAsia="Arial" w:hAnsi="Arial"/>
          <w:sz w:val="14"/>
          <w:szCs w:val="14"/>
          <w:color w:val="auto"/>
        </w:rPr>
        <w:t>We have prepared the Condensed Consolidated Financial Statements in conformity with accounting principles generally accepted in the United States of America (GAAP) and in accordan ce with the interim-period-reporting requirements of Form 10-Q. Results of operations for interim periods are not necessarily indicative of results for the entire year. We evaluated events and transactions that occurred after September 30, 2010 through the date the financial statements were issued, and in the opinion of management, the accompanying statements reflect all adjustments necessary for a fair presentation. These adjustments are only of a normal, recurring nature.</w:t>
      </w:r>
    </w:p>
    <w:p>
      <w:pPr>
        <w:spacing w:after="0" w:line="46" w:lineRule="exact"/>
        <w:rPr>
          <w:sz w:val="20"/>
          <w:szCs w:val="20"/>
          <w:color w:val="auto"/>
        </w:rPr>
      </w:pPr>
    </w:p>
    <w:p>
      <w:pPr>
        <w:ind w:right="220"/>
        <w:spacing w:after="0" w:line="342" w:lineRule="auto"/>
        <w:rPr>
          <w:sz w:val="20"/>
          <w:szCs w:val="20"/>
          <w:color w:val="auto"/>
        </w:rPr>
      </w:pPr>
      <w:r>
        <w:rPr>
          <w:rFonts w:ascii="Arial" w:cs="Arial" w:eastAsia="Arial" w:hAnsi="Arial"/>
          <w:sz w:val="14"/>
          <w:szCs w:val="14"/>
          <w:color w:val="auto"/>
        </w:rPr>
        <w:t>You should read the information in this Quarterly Report in conjunction with our Annual Report on Form 10-K for the year ended December 31, 2009 (the Annual Report), and our Quarterly Reports on Form 10-Q for the quarters ended March 31, 2010 and June 30, 2010, which are combined reports for Sempra Energy, SDG&amp;E, PE and SoCalGas.</w:t>
      </w:r>
    </w:p>
    <w:p>
      <w:pPr>
        <w:spacing w:after="0" w:line="21" w:lineRule="exact"/>
        <w:rPr>
          <w:sz w:val="20"/>
          <w:szCs w:val="20"/>
          <w:color w:val="auto"/>
        </w:rPr>
      </w:pPr>
    </w:p>
    <w:p>
      <w:pPr>
        <w:ind w:right="420"/>
        <w:spacing w:after="0" w:line="270" w:lineRule="auto"/>
        <w:rPr>
          <w:sz w:val="20"/>
          <w:szCs w:val="20"/>
          <w:color w:val="auto"/>
        </w:rPr>
      </w:pPr>
      <w:r>
        <w:rPr>
          <w:rFonts w:ascii="Arial" w:cs="Arial" w:eastAsia="Arial" w:hAnsi="Arial"/>
          <w:sz w:val="16"/>
          <w:szCs w:val="16"/>
          <w:color w:val="auto"/>
        </w:rPr>
        <w:t>Our significant accounting policies are described in Note 1 of the Notes to Consolidated Financia l Statements in the Annual Report. We follow the same accounting policies for interim reporting purposes, except for the adoption of new accounting standards as we discuss in Note 2.</w:t>
      </w:r>
    </w:p>
    <w:p>
      <w:pPr>
        <w:spacing w:after="0" w:line="66" w:lineRule="exact"/>
        <w:rPr>
          <w:sz w:val="20"/>
          <w:szCs w:val="20"/>
          <w:color w:val="auto"/>
        </w:rPr>
      </w:pPr>
    </w:p>
    <w:p>
      <w:pPr>
        <w:ind w:right="280"/>
        <w:spacing w:after="0" w:line="342" w:lineRule="auto"/>
        <w:rPr>
          <w:sz w:val="20"/>
          <w:szCs w:val="20"/>
          <w:color w:val="auto"/>
        </w:rPr>
      </w:pPr>
      <w:r>
        <w:rPr>
          <w:rFonts w:ascii="Arial" w:cs="Arial" w:eastAsia="Arial" w:hAnsi="Arial"/>
          <w:sz w:val="14"/>
          <w:szCs w:val="14"/>
          <w:color w:val="auto"/>
        </w:rPr>
        <w:t>The Sempra Utilities and Sempra Pipelines &amp; Storage's Mobile Gas Service Corporation and Ecogas Mexico, S de RL de CV prepare their financial statements in accordance with GAAP provisions governing regulated operations, as we discuss in Note 1 of the Notes to Consolidated Financial Statements in the Annual Report.</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Orange Grove Energy L.P.</w:t>
      </w:r>
    </w:p>
    <w:p>
      <w:pPr>
        <w:spacing w:after="0" w:line="52"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SDG&amp;E has a 25-year tolling agreement to purchase power generated by Orange Grove Energy L.P. (Orange Grove) at its 99-megawatt (MW) generating facility located in San Diego County, California. Under a tolling agreement, SDG&amp;E purchases power generated by facilities for which it supplies all of the natural g as to fuel the power plant. In the third quarter of 2009, Sempra Energy and SDG&amp;E determined that Orange Grove was a VIE and that SDG&amp;E was the primary beneficiary of the VIE based on the criteria in GAAP as written at that time and applicable through December 31, 2009. Sempra Energy and SDG&amp;E therefore consolidated Orange Grove beginning in the third quarter of 2009 through December 31, 2009.</w:t>
      </w:r>
    </w:p>
    <w:p>
      <w:pPr>
        <w:spacing w:after="0" w:line="71" w:lineRule="exact"/>
        <w:rPr>
          <w:sz w:val="20"/>
          <w:szCs w:val="20"/>
          <w:color w:val="auto"/>
        </w:rPr>
      </w:pPr>
    </w:p>
    <w:p>
      <w:pPr>
        <w:ind w:right="120"/>
        <w:spacing w:after="0" w:line="318" w:lineRule="auto"/>
        <w:rPr>
          <w:sz w:val="20"/>
          <w:szCs w:val="20"/>
          <w:color w:val="auto"/>
        </w:rPr>
      </w:pPr>
      <w:r>
        <w:rPr>
          <w:rFonts w:ascii="Arial" w:cs="Arial" w:eastAsia="Arial" w:hAnsi="Arial"/>
          <w:sz w:val="14"/>
          <w:szCs w:val="14"/>
          <w:color w:val="auto"/>
        </w:rPr>
        <w:t xml:space="preserve">In the first quarter of 2010, Accounting Standards Update (ASU) 2009-17, </w:t>
      </w:r>
      <w:r>
        <w:rPr>
          <w:rFonts w:ascii="Arial" w:cs="Arial" w:eastAsia="Arial" w:hAnsi="Arial"/>
          <w:sz w:val="14"/>
          <w:szCs w:val="14"/>
          <w:i w:val="1"/>
          <w:iCs w:val="1"/>
          <w:color w:val="auto"/>
        </w:rPr>
        <w:t>“Improvements to Financial Reporting by Enterprises Involved with Variable Interest Entities”</w:t>
      </w:r>
      <w:r>
        <w:rPr>
          <w:rFonts w:ascii="Arial" w:cs="Arial" w:eastAsia="Arial" w:hAnsi="Arial"/>
          <w:sz w:val="14"/>
          <w:szCs w:val="14"/>
          <w:color w:val="auto"/>
        </w:rPr>
        <w:t xml:space="preserve"> (ASU 2009-17), which we discuss in Note 2 below, became effective. Applying the guidance in ASU 2009-17, because of SDG&amp;E’s obligation to absorb the natural gas costs for the fuel to operate the facility, along with the power to direct the dispatch, Sempra Energy and SDG&amp;E continued to consolidate Orange Grove in the first quarter of 2010.</w:t>
      </w:r>
    </w:p>
    <w:p>
      <w:pPr>
        <w:spacing w:after="0" w:line="32"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color w:val="auto"/>
        </w:rPr>
        <w:t>In the second quarter, Sempra Energy and SDG&amp;E reevaluated the provisions of ASU 2009-17 as they apply to Orange Grove. Sempra Energy and SDG&amp;E determined that because the Orange Grove facility is a peaker plant, it operates infrequently to meet peak power needs. We believe that the owners of Orange Grove retain the most significant economic power through their control over operations and maintenance of the plant, which impacts the capacity payments under the agreement that are expected to have the greatest effect on the overall economic performance of the entity. Accordingly, SDG&amp;E does not have the right to direct activities that most significantly impact the economic performance of Orange Grove, and Sempra Energy and SDG&amp;E should not consolidate Orange Grove, but instead should record the agreement as a capital lease. The effect of this change has no effect on Sempra Energy’s or SDG&amp;E’s earnings and is not material to their previously issued financi 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Presentation of Restricted Cash</w:t>
      </w:r>
    </w:p>
    <w:p>
      <w:pPr>
        <w:spacing w:after="0" w:line="56"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In Sempra Energy’s previously issued financial statements, we presented all restricted cash as a current asset on the balance sheet. At both September 30, 2010 and December 31, 2009, $27 million of restricted cash represents funds held in trust for construction financing of certain natural gas storage facilities of Sempra Pipelines &amp; Storage. Because this restricted cash will be expended for construction of long-lived assets, we have concluded that these amounts should be presented as a noncurrent asset. At September 30, 2010, this restricted cash is presented as Restricted Cash under Investments and Other Assets on the Condensed Consolidated Balance Sheet. We believe that the effect of presentation of restricted cash is not material to the previously issued balance sheets and have not corrected the classification of the restricte d cash amount at December 31, 2009. The presentation of restricted cash on the balance sheet has no impact on earnings or cash flows for any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496570</wp:posOffset>
            </wp:positionV>
            <wp:extent cx="72618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NOTE 2. NEW ACCOUNTING STANDARDS</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or disclosures.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SDG&amp;E, PE AND SOCALGAS</w:t>
      </w:r>
    </w:p>
    <w:p>
      <w:pPr>
        <w:spacing w:after="0" w:line="9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b w:val="1"/>
          <w:bCs w:val="1"/>
          <w:i w:val="1"/>
          <w:iCs w:val="1"/>
          <w:color w:val="auto"/>
        </w:rPr>
        <w:t xml:space="preserve">ASU 2009-17, "Improvements to Financial Reporting by Enterprises Involved with Variable Interest Entities" (ASU 2009-17): </w:t>
      </w:r>
      <w:r>
        <w:rPr>
          <w:rFonts w:ascii="Arial" w:cs="Arial" w:eastAsia="Arial" w:hAnsi="Arial"/>
          <w:sz w:val="16"/>
          <w:szCs w:val="16"/>
          <w:color w:val="auto"/>
        </w:rPr>
        <w:t>ASU 2009-17 amends Financial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Standards Board (FASB) Interpretation No. 46(R), </w:t>
      </w:r>
      <w:r>
        <w:rPr>
          <w:rFonts w:ascii="Arial" w:cs="Arial" w:eastAsia="Arial" w:hAnsi="Arial"/>
          <w:sz w:val="16"/>
          <w:szCs w:val="16"/>
          <w:i w:val="1"/>
          <w:iCs w:val="1"/>
          <w:color w:val="auto"/>
        </w:rPr>
        <w:t>Consolidation of Variable Interest Entities – an interpretation of ARB No. 51</w:t>
      </w:r>
      <w:r>
        <w:rPr>
          <w:rFonts w:ascii="Arial" w:cs="Arial" w:eastAsia="Arial" w:hAnsi="Arial"/>
          <w:sz w:val="16"/>
          <w:szCs w:val="16"/>
          <w:color w:val="auto"/>
        </w:rPr>
        <w:t xml:space="preserve"> (FIN 46(R)), which provides consolidation guidance related to variable interest entities.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ASU 2009-17 amends FASB Accounting Standards Codification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and requires</w:t>
      </w:r>
    </w:p>
    <w:p>
      <w:pPr>
        <w:spacing w:after="0" w:line="56" w:lineRule="exact"/>
        <w:rPr>
          <w:sz w:val="20"/>
          <w:szCs w:val="20"/>
          <w:color w:val="auto"/>
        </w:rPr>
      </w:pPr>
    </w:p>
    <w:p>
      <w:pPr>
        <w:ind w:left="140" w:right="1200"/>
        <w:spacing w:after="0" w:line="322" w:lineRule="auto"/>
        <w:rPr>
          <w:sz w:val="20"/>
          <w:szCs w:val="20"/>
          <w:color w:val="auto"/>
        </w:rPr>
      </w:pPr>
      <w:r>
        <w:rPr>
          <w:rFonts w:ascii="Arial" w:cs="Arial" w:eastAsia="Arial" w:hAnsi="Arial"/>
          <w:sz w:val="14"/>
          <w:szCs w:val="14"/>
          <w:color w:val="auto"/>
        </w:rPr>
        <w:t>§a qualitative approach for identifying the primary beneficiary of a variable interest entity based on 1) the power to direct activities that most significantly impact the economic performance of the entity, and 2) the obligation to absorb losses or right to receive benefits that could be significant to the entity;</w:t>
      </w:r>
    </w:p>
    <w:p>
      <w:pPr>
        <w:ind w:left="140"/>
        <w:spacing w:after="0"/>
        <w:rPr>
          <w:sz w:val="20"/>
          <w:szCs w:val="20"/>
          <w:color w:val="auto"/>
        </w:rPr>
      </w:pPr>
      <w:r>
        <w:rPr>
          <w:rFonts w:ascii="Arial" w:cs="Arial" w:eastAsia="Arial" w:hAnsi="Arial"/>
          <w:sz w:val="16"/>
          <w:szCs w:val="16"/>
          <w:color w:val="auto"/>
        </w:rPr>
        <w:t>§ongoing reassessments of whether an enterprise is the primary beneficiary of a variable interest entity; and</w:t>
      </w:r>
    </w:p>
    <w:p>
      <w:pPr>
        <w:spacing w:after="0" w:line="56" w:lineRule="exact"/>
        <w:rPr>
          <w:sz w:val="20"/>
          <w:szCs w:val="20"/>
          <w:color w:val="auto"/>
        </w:rPr>
      </w:pPr>
    </w:p>
    <w:p>
      <w:pPr>
        <w:ind w:left="140" w:right="1520"/>
        <w:spacing w:after="0" w:line="270" w:lineRule="auto"/>
        <w:rPr>
          <w:sz w:val="20"/>
          <w:szCs w:val="20"/>
          <w:color w:val="auto"/>
        </w:rPr>
      </w:pPr>
      <w:r>
        <w:rPr>
          <w:rFonts w:ascii="Arial" w:cs="Arial" w:eastAsia="Arial" w:hAnsi="Arial"/>
          <w:sz w:val="16"/>
          <w:szCs w:val="16"/>
          <w:color w:val="auto"/>
        </w:rPr>
        <w:t>§separate disclosure by the primary beneficiary on the face of the balance sheet to identify 1) assets that can only be used to settle obligations of the variable interest entity, and 2) liabilities for which creditors do not have recourse to the primary beneficiary.</w:t>
      </w:r>
    </w:p>
    <w:p>
      <w:pPr>
        <w:spacing w:after="0" w:line="114" w:lineRule="exact"/>
        <w:rPr>
          <w:sz w:val="20"/>
          <w:szCs w:val="20"/>
          <w:color w:val="auto"/>
        </w:rPr>
      </w:pPr>
    </w:p>
    <w:p>
      <w:pPr>
        <w:ind w:right="40"/>
        <w:spacing w:after="0" w:line="342" w:lineRule="auto"/>
        <w:rPr>
          <w:sz w:val="20"/>
          <w:szCs w:val="20"/>
          <w:color w:val="auto"/>
        </w:rPr>
      </w:pPr>
      <w:r>
        <w:rPr>
          <w:rFonts w:ascii="Arial" w:cs="Arial" w:eastAsia="Arial" w:hAnsi="Arial"/>
          <w:sz w:val="14"/>
          <w:szCs w:val="14"/>
          <w:color w:val="auto"/>
        </w:rPr>
        <w:t>We adopted ASU 2009-17 on January 1, 2010 and it did not have a material effect on earnings, nor on presentation on the interim Condensed Consolidated Balance Sheets for Sempra Energy and SDG&amp;E. We provide the required additional disclosure in Note 5. ASU 2009-17 did not impact PE’s nor SoCalGas’ condensed consolidated financial statements.</w:t>
      </w:r>
    </w:p>
    <w:p>
      <w:pPr>
        <w:spacing w:after="0" w:line="21"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b w:val="1"/>
          <w:bCs w:val="1"/>
          <w:i w:val="1"/>
          <w:iCs w:val="1"/>
          <w:color w:val="auto"/>
        </w:rPr>
        <w:t xml:space="preserve">ASU 2010-06, "Improving Disclosures About Fair Value Measurements" (ASU 2010-06): </w:t>
      </w:r>
      <w:r>
        <w:rPr>
          <w:rFonts w:ascii="Arial" w:cs="Arial" w:eastAsia="Arial" w:hAnsi="Arial"/>
          <w:sz w:val="16"/>
          <w:szCs w:val="16"/>
          <w:color w:val="auto"/>
        </w:rPr>
        <w:t>ASU 2010-06 amends ASC Topic 820,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Fair Value Measurements and Disclosures,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the following additional fair value measurement disclosures:</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into and out of Levels 1 and 2</w:t>
      </w:r>
    </w:p>
    <w:p>
      <w:pPr>
        <w:sectPr>
          <w:pgSz w:w="11900" w:h="16838" w:orient="portrait"/>
          <w:cols w:equalWidth="0" w:num="1">
            <w:col w:w="11440"/>
          </w:cols>
          <w:pgMar w:left="240" w:top="120" w:right="219" w:bottom="0" w:gutter="0" w:footer="0" w:header="0"/>
        </w:sectPr>
      </w:pPr>
    </w:p>
    <w:bookmarkStart w:id="16" w:name="page17"/>
    <w:bookmarkEnd w:id="16"/>
    <w:p>
      <w:pPr>
        <w:spacing w:after="0" w:line="108" w:lineRule="exact"/>
        <w:rPr>
          <w:sz w:val="20"/>
          <w:szCs w:val="20"/>
          <w:color w:val="auto"/>
        </w:rPr>
      </w:pPr>
    </w:p>
    <w:p>
      <w:pPr>
        <w:ind w:left="144"/>
        <w:spacing w:after="0"/>
        <w:rPr>
          <w:sz w:val="20"/>
          <w:szCs w:val="20"/>
          <w:color w:val="auto"/>
        </w:rPr>
      </w:pPr>
      <w:r>
        <w:rPr>
          <w:rFonts w:ascii="Arial" w:cs="Arial" w:eastAsia="Arial" w:hAnsi="Arial"/>
          <w:sz w:val="16"/>
          <w:szCs w:val="16"/>
          <w:color w:val="auto"/>
        </w:rPr>
        <w:t>§segrega tion of classes of assets and liabilities measured at fair value</w:t>
      </w:r>
    </w:p>
    <w:p>
      <w:pPr>
        <w:spacing w:after="0" w:line="56" w:lineRule="exact"/>
        <w:rPr>
          <w:sz w:val="20"/>
          <w:szCs w:val="20"/>
          <w:color w:val="auto"/>
        </w:rPr>
      </w:pPr>
    </w:p>
    <w:p>
      <w:pPr>
        <w:ind w:left="144"/>
        <w:spacing w:after="0"/>
        <w:rPr>
          <w:sz w:val="20"/>
          <w:szCs w:val="20"/>
          <w:color w:val="auto"/>
        </w:rPr>
      </w:pPr>
      <w:r>
        <w:rPr>
          <w:rFonts w:ascii="Arial" w:cs="Arial" w:eastAsia="Arial" w:hAnsi="Arial"/>
          <w:sz w:val="16"/>
          <w:szCs w:val="16"/>
          <w:color w:val="auto"/>
        </w:rPr>
        <w:t>§valuation techniques and inputs used for Level 2 and Level 3 instruments</w:t>
      </w:r>
    </w:p>
    <w:p>
      <w:pPr>
        <w:spacing w:after="0" w:line="56" w:lineRule="exact"/>
        <w:rPr>
          <w:sz w:val="20"/>
          <w:szCs w:val="20"/>
          <w:color w:val="auto"/>
        </w:rPr>
      </w:pPr>
    </w:p>
    <w:p>
      <w:pPr>
        <w:ind w:left="4" w:right="3800" w:firstLine="149"/>
        <w:spacing w:after="0" w:line="557" w:lineRule="auto"/>
        <w:rPr>
          <w:sz w:val="20"/>
          <w:szCs w:val="20"/>
          <w:color w:val="auto"/>
        </w:rPr>
      </w:pPr>
      <w:r>
        <w:rPr>
          <w:rFonts w:ascii="Arial" w:cs="Arial" w:eastAsia="Arial" w:hAnsi="Arial"/>
          <w:sz w:val="14"/>
          <w:szCs w:val="14"/>
          <w:color w:val="auto"/>
        </w:rPr>
        <w:t>§detailed activity for Level 3 instruments, including separate presentation of purchases, sales, issuances and settlements We adopted ASU 2010-06on January 1, 2010, and we provide the additional disclosure in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2618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
        <w:spacing w:after="0"/>
        <w:rPr>
          <w:sz w:val="20"/>
          <w:szCs w:val="20"/>
          <w:color w:val="auto"/>
        </w:rPr>
      </w:pPr>
      <w:r>
        <w:rPr>
          <w:rFonts w:ascii="Arial" w:cs="Arial" w:eastAsia="Arial" w:hAnsi="Arial"/>
          <w:sz w:val="19"/>
          <w:szCs w:val="19"/>
          <w:color w:val="auto"/>
        </w:rPr>
        <w:t>NOTE 3. RECENT INVESTMENT ACTIVITY</w:t>
      </w:r>
    </w:p>
    <w:p>
      <w:pPr>
        <w:spacing w:after="0" w:line="32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SEMPRA PIPELINES &amp; STORAGE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Acquisition of Mexican Pipeline and Natural Gas Infrastructure</w:t>
      </w:r>
    </w:p>
    <w:p>
      <w:pPr>
        <w:spacing w:after="0" w:line="56" w:lineRule="exact"/>
        <w:rPr>
          <w:sz w:val="20"/>
          <w:szCs w:val="20"/>
          <w:color w:val="auto"/>
        </w:rPr>
      </w:pPr>
    </w:p>
    <w:p>
      <w:pPr>
        <w:ind w:left="4"/>
        <w:spacing w:after="0" w:line="270" w:lineRule="auto"/>
        <w:rPr>
          <w:sz w:val="20"/>
          <w:szCs w:val="20"/>
          <w:color w:val="auto"/>
        </w:rPr>
      </w:pPr>
      <w:r>
        <w:rPr>
          <w:rFonts w:ascii="Arial" w:cs="Arial" w:eastAsia="Arial" w:hAnsi="Arial"/>
          <w:sz w:val="16"/>
          <w:szCs w:val="16"/>
          <w:color w:val="auto"/>
        </w:rPr>
        <w:t>On April 30, 2010, Sempra Pipelines &amp; Storage completed an acquisition resulting in the purchase of the Mexican pipeline and natural gas infrastructure assets of El Paso Corporation for $307 million ($292 million, net of cash acquired).</w:t>
      </w:r>
    </w:p>
    <w:p>
      <w:pPr>
        <w:spacing w:after="0" w:line="66" w:lineRule="exact"/>
        <w:rPr>
          <w:sz w:val="20"/>
          <w:szCs w:val="20"/>
          <w:color w:val="auto"/>
        </w:rPr>
      </w:pPr>
    </w:p>
    <w:p>
      <w:pPr>
        <w:ind w:left="4" w:right="20"/>
        <w:spacing w:after="0" w:line="305" w:lineRule="auto"/>
        <w:rPr>
          <w:sz w:val="20"/>
          <w:szCs w:val="20"/>
          <w:color w:val="auto"/>
        </w:rPr>
      </w:pPr>
      <w:r>
        <w:rPr>
          <w:rFonts w:ascii="Arial" w:cs="Arial" w:eastAsia="Arial" w:hAnsi="Arial"/>
          <w:sz w:val="14"/>
          <w:szCs w:val="14"/>
          <w:color w:val="auto"/>
        </w:rPr>
        <w:t>The acquisition consists of El Paso Corporation’s wholly owned natural gas pipeline and compression assets in the Mexican border state of Sonora and its 50-percent interest in a joint venture with PEMEX, the Mexican state-owned oil company. The joint venture operates two natural gas pipelines and a propane system in northern Me xico. The acquisition expands our scale and geographic footprint in a strong growth region in Mexico. The pipeline assets are backed substantially by long-term contracts with a history of consistent revenue streams, allowing us to expand our natural gas infrastructure business in northern Mexico.</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following table summarizes the consideration paid in the acquisition and the recognized amounts of the assets acquired and liabilities assumed at April 30, 2010:</w:t>
      </w:r>
    </w:p>
    <w:p>
      <w:pPr>
        <w:spacing w:after="0" w:line="333" w:lineRule="exact"/>
        <w:rPr>
          <w:sz w:val="20"/>
          <w:szCs w:val="20"/>
          <w:color w:val="auto"/>
        </w:rPr>
      </w:pPr>
    </w:p>
    <w:p>
      <w:pPr>
        <w:ind w:left="4" w:right="40" w:hanging="4"/>
        <w:spacing w:after="0" w:line="262" w:lineRule="auto"/>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td style="BORDER-RIGHT:0px; PADDING-RIGHT:5.75pt; BORDER-TOP:0px; PADDING-LEFT:5.75pt; BACKGROUND:white; PADDING-BOTTOM:0in; BORDER-LEFT:0px; PADDING-TOP:0in; BORDER-BOTTOM:black 1pt solid; HEIGHT:12.75pt" valign=bottom&gt;</w:t>
      </w:r>
    </w:p>
    <w:p>
      <w:pPr>
        <w:spacing w:after="0" w:line="1" w:lineRule="exact"/>
        <w:rPr>
          <w:sz w:val="20"/>
          <w:szCs w:val="20"/>
          <w:color w:val="auto"/>
        </w:rPr>
      </w:pPr>
    </w:p>
    <w:p>
      <w:pPr>
        <w:ind w:left="11164"/>
        <w:spacing w:after="0"/>
        <w:rPr>
          <w:sz w:val="20"/>
          <w:szCs w:val="20"/>
          <w:color w:val="auto"/>
        </w:rPr>
      </w:pPr>
      <w:r>
        <w:rPr>
          <w:rFonts w:ascii="Arial" w:cs="Arial" w:eastAsia="Arial" w:hAnsi="Arial"/>
          <w:sz w:val="14"/>
          <w:szCs w:val="14"/>
          <w:color w:val="auto"/>
        </w:rPr>
        <w:t>289</w:t>
      </w:r>
    </w:p>
    <w:p>
      <w:pPr>
        <w:spacing w:after="0" w:line="58" w:lineRule="exact"/>
        <w:rPr>
          <w:sz w:val="20"/>
          <w:szCs w:val="20"/>
          <w:color w:val="auto"/>
        </w:rPr>
      </w:pPr>
    </w:p>
    <w:p>
      <w:pPr>
        <w:ind w:left="84"/>
        <w:spacing w:after="0"/>
        <w:rPr>
          <w:sz w:val="20"/>
          <w:szCs w:val="20"/>
          <w:color w:val="auto"/>
        </w:rPr>
      </w:pPr>
      <w:r>
        <w:rPr>
          <w:rFonts w:ascii="Arial" w:cs="Arial" w:eastAsia="Arial" w:hAnsi="Arial"/>
          <w:sz w:val="13"/>
          <w:szCs w:val="13"/>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2618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946" w:orient="portrait"/>
          <w:cols w:equalWidth="0" w:num="1">
            <w:col w:w="11424"/>
          </w:cols>
          <w:pgMar w:left="236" w:top="131" w:right="239" w:bottom="0" w:gutter="0" w:footer="0" w:header="0"/>
        </w:sectPr>
      </w:pPr>
    </w:p>
    <w:p>
      <w:pPr>
        <w:spacing w:after="0" w:line="40" w:lineRule="exact"/>
        <w:rPr>
          <w:sz w:val="20"/>
          <w:szCs w:val="20"/>
          <w:color w:val="auto"/>
        </w:rPr>
      </w:pPr>
    </w:p>
    <w:p>
      <w:pPr>
        <w:ind w:left="84"/>
        <w:spacing w:after="0"/>
        <w:rPr>
          <w:sz w:val="20"/>
          <w:szCs w:val="20"/>
          <w:color w:val="auto"/>
        </w:rPr>
      </w:pPr>
      <w:r>
        <w:rPr>
          <w:rFonts w:ascii="Arial" w:cs="Arial" w:eastAsia="Arial" w:hAnsi="Arial"/>
          <w:sz w:val="14"/>
          <w:szCs w:val="14"/>
          <w:color w:val="auto"/>
        </w:rPr>
        <w:t>Cash consideration (fair value of total consideration)</w:t>
      </w:r>
    </w:p>
    <w:p>
      <w:pPr>
        <w:spacing w:after="0" w:line="43" w:lineRule="exact"/>
        <w:rPr>
          <w:sz w:val="20"/>
          <w:szCs w:val="20"/>
          <w:color w:val="auto"/>
        </w:rPr>
      </w:pPr>
    </w:p>
    <w:p>
      <w:pPr>
        <w:ind w:left="84"/>
        <w:spacing w:after="0"/>
        <w:rPr>
          <w:sz w:val="20"/>
          <w:szCs w:val="20"/>
          <w:color w:val="auto"/>
        </w:rPr>
      </w:pPr>
      <w:r>
        <w:rPr>
          <w:rFonts w:ascii="Arial" w:cs="Arial" w:eastAsia="Arial" w:hAnsi="Arial"/>
          <w:sz w:val="14"/>
          <w:szCs w:val="14"/>
          <w:color w:val="auto"/>
        </w:rPr>
        <w:t>Recognized amounts of identifiable assets acquired and liabilities assumed:</w:t>
      </w:r>
    </w:p>
    <w:p>
      <w:pPr>
        <w:spacing w:after="0" w:line="43" w:lineRule="exact"/>
        <w:rPr>
          <w:sz w:val="20"/>
          <w:szCs w:val="20"/>
          <w:color w:val="auto"/>
        </w:rPr>
      </w:pPr>
    </w:p>
    <w:p>
      <w:pPr>
        <w:ind w:left="444"/>
        <w:spacing w:after="0"/>
        <w:rPr>
          <w:sz w:val="20"/>
          <w:szCs w:val="20"/>
          <w:color w:val="auto"/>
        </w:rPr>
      </w:pPr>
      <w:r>
        <w:rPr>
          <w:rFonts w:ascii="Arial" w:cs="Arial" w:eastAsia="Arial" w:hAnsi="Arial"/>
          <w:sz w:val="14"/>
          <w:szCs w:val="14"/>
          <w:color w:val="auto"/>
        </w:rPr>
        <w:t>Cash</w:t>
      </w:r>
    </w:p>
    <w:p>
      <w:pPr>
        <w:spacing w:after="0" w:line="43" w:lineRule="exact"/>
        <w:rPr>
          <w:sz w:val="20"/>
          <w:szCs w:val="20"/>
          <w:color w:val="auto"/>
        </w:rPr>
      </w:pPr>
    </w:p>
    <w:p>
      <w:pPr>
        <w:ind w:left="444"/>
        <w:spacing w:after="0"/>
        <w:rPr>
          <w:sz w:val="20"/>
          <w:szCs w:val="20"/>
          <w:color w:val="auto"/>
        </w:rPr>
      </w:pPr>
      <w:r>
        <w:rPr>
          <w:rFonts w:ascii="Arial" w:cs="Arial" w:eastAsia="Arial" w:hAnsi="Arial"/>
          <w:sz w:val="14"/>
          <w:szCs w:val="14"/>
          <w:color w:val="auto"/>
        </w:rPr>
        <w:t>Accounts receivable</w:t>
      </w:r>
    </w:p>
    <w:p>
      <w:pPr>
        <w:spacing w:after="0" w:line="43" w:lineRule="exact"/>
        <w:rPr>
          <w:sz w:val="20"/>
          <w:szCs w:val="20"/>
          <w:color w:val="auto"/>
        </w:rPr>
      </w:pPr>
    </w:p>
    <w:p>
      <w:pPr>
        <w:ind w:left="444"/>
        <w:spacing w:after="0"/>
        <w:rPr>
          <w:sz w:val="20"/>
          <w:szCs w:val="20"/>
          <w:color w:val="auto"/>
        </w:rPr>
      </w:pPr>
      <w:r>
        <w:rPr>
          <w:rFonts w:ascii="Arial" w:cs="Arial" w:eastAsia="Arial" w:hAnsi="Arial"/>
          <w:sz w:val="14"/>
          <w:szCs w:val="14"/>
          <w:color w:val="auto"/>
        </w:rPr>
        <w:t>Investment in equity method investee</w:t>
      </w:r>
    </w:p>
    <w:p>
      <w:pPr>
        <w:spacing w:after="0" w:line="43" w:lineRule="exact"/>
        <w:rPr>
          <w:sz w:val="20"/>
          <w:szCs w:val="20"/>
          <w:color w:val="auto"/>
        </w:rPr>
      </w:pPr>
    </w:p>
    <w:p>
      <w:pPr>
        <w:ind w:left="444"/>
        <w:spacing w:after="0"/>
        <w:rPr>
          <w:sz w:val="20"/>
          <w:szCs w:val="20"/>
          <w:color w:val="auto"/>
        </w:rPr>
      </w:pPr>
      <w:r>
        <w:rPr>
          <w:rFonts w:ascii="Arial" w:cs="Arial" w:eastAsia="Arial" w:hAnsi="Arial"/>
          <w:sz w:val="14"/>
          <w:szCs w:val="14"/>
          <w:color w:val="auto"/>
        </w:rPr>
        <w:t>Property, plant &amp; equipment</w:t>
      </w:r>
    </w:p>
    <w:p>
      <w:pPr>
        <w:spacing w:after="0" w:line="43" w:lineRule="exact"/>
        <w:rPr>
          <w:sz w:val="20"/>
          <w:szCs w:val="20"/>
          <w:color w:val="auto"/>
        </w:rPr>
      </w:pPr>
    </w:p>
    <w:p>
      <w:pPr>
        <w:ind w:left="444"/>
        <w:spacing w:after="0"/>
        <w:rPr>
          <w:sz w:val="20"/>
          <w:szCs w:val="20"/>
          <w:color w:val="auto"/>
        </w:rPr>
      </w:pPr>
      <w:r>
        <w:rPr>
          <w:rFonts w:ascii="Arial" w:cs="Arial" w:eastAsia="Arial" w:hAnsi="Arial"/>
          <w:sz w:val="14"/>
          <w:szCs w:val="14"/>
          <w:color w:val="auto"/>
        </w:rPr>
        <w:t>Other liabilities</w:t>
      </w:r>
    </w:p>
    <w:p>
      <w:pPr>
        <w:spacing w:after="0" w:line="43" w:lineRule="exact"/>
        <w:rPr>
          <w:sz w:val="20"/>
          <w:szCs w:val="20"/>
          <w:color w:val="auto"/>
        </w:rPr>
      </w:pPr>
    </w:p>
    <w:p>
      <w:pPr>
        <w:ind w:left="84"/>
        <w:spacing w:after="0"/>
        <w:rPr>
          <w:sz w:val="20"/>
          <w:szCs w:val="20"/>
          <w:color w:val="auto"/>
        </w:rPr>
      </w:pPr>
      <w:r>
        <w:rPr>
          <w:rFonts w:ascii="Arial" w:cs="Arial" w:eastAsia="Arial" w:hAnsi="Arial"/>
          <w:sz w:val="14"/>
          <w:szCs w:val="14"/>
          <w:color w:val="auto"/>
        </w:rPr>
        <w:t>Total identifiable net assets</w:t>
      </w:r>
    </w:p>
    <w:p>
      <w:pPr>
        <w:spacing w:after="0" w:line="55" w:lineRule="exact"/>
        <w:rPr>
          <w:sz w:val="20"/>
          <w:szCs w:val="20"/>
          <w:color w:val="auto"/>
        </w:rPr>
      </w:pPr>
    </w:p>
    <w:p>
      <w:pPr>
        <w:ind w:left="84"/>
        <w:spacing w:after="0"/>
        <w:rPr>
          <w:sz w:val="20"/>
          <w:szCs w:val="20"/>
          <w:color w:val="auto"/>
        </w:rPr>
      </w:pPr>
      <w:r>
        <w:rPr>
          <w:rFonts w:ascii="Arial" w:cs="Arial" w:eastAsia="Arial" w:hAnsi="Arial"/>
          <w:sz w:val="14"/>
          <w:szCs w:val="14"/>
          <w:color w:val="auto"/>
        </w:rPr>
        <w:t>Goodwill(1)</w:t>
      </w:r>
    </w:p>
    <w:p>
      <w:pPr>
        <w:spacing w:after="0" w:line="247" w:lineRule="exact"/>
        <w:rPr>
          <w:sz w:val="20"/>
          <w:szCs w:val="20"/>
          <w:color w:val="auto"/>
        </w:rPr>
      </w:pPr>
    </w:p>
    <w:p>
      <w:pPr>
        <w:ind w:left="444" w:right="3460" w:hanging="347"/>
        <w:spacing w:after="0" w:line="287" w:lineRule="auto"/>
        <w:rPr>
          <w:sz w:val="20"/>
          <w:szCs w:val="20"/>
          <w:color w:val="auto"/>
        </w:rPr>
      </w:pPr>
      <w:r>
        <w:rPr>
          <w:rFonts w:ascii="Arial" w:cs="Arial" w:eastAsia="Arial" w:hAnsi="Arial"/>
          <w:sz w:val="14"/>
          <w:szCs w:val="14"/>
          <w:color w:val="auto"/>
        </w:rPr>
        <w:t>Acquisition-related costs (included in Other Operation and Maintenance expense in the Condensed Consolidated Statements of Operations for the nine months ended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26186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3175</wp:posOffset>
            </wp:positionV>
            <wp:extent cx="124968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49680" cy="7620"/>
                    </a:xfrm>
                    <a:prstGeom prst="rect">
                      <a:avLst/>
                    </a:prstGeom>
                    <a:noFill/>
                  </pic:spPr>
                </pic:pic>
              </a:graphicData>
            </a:graphic>
          </wp:anchor>
        </w:drawing>
      </w:r>
    </w:p>
    <w:p>
      <w:pPr>
        <w:spacing w:after="0" w:line="227"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15</w:t>
      </w:r>
    </w:p>
    <w:p>
      <w:pPr>
        <w:spacing w:after="0" w:line="43"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4 &lt; /font&gt;</w:t>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256</w:t>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25</w:t>
      </w:r>
    </w:p>
    <w:p>
      <w:pPr>
        <w:spacing w:after="0" w:line="43"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132715</wp:posOffset>
            </wp:positionV>
            <wp:extent cx="29718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7180" cy="762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3175</wp:posOffset>
            </wp:positionV>
            <wp:extent cx="124968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49680" cy="7620"/>
                    </a:xfrm>
                    <a:prstGeom prst="rect">
                      <a:avLst/>
                    </a:prstGeom>
                    <a:noFill/>
                  </pic:spPr>
                </pic:pic>
              </a:graphicData>
            </a:graphic>
          </wp:anchor>
        </w:drawing>
      </w:r>
    </w:p>
    <w:p>
      <w:pPr>
        <w:spacing w:after="0" w:line="227"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3175</wp:posOffset>
            </wp:positionV>
            <wp:extent cx="124968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4968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w:t>
      </w:r>
    </w:p>
    <w:p>
      <w:pPr>
        <w:spacing w:after="0" w:line="21" w:lineRule="exact"/>
        <w:rPr>
          <w:sz w:val="20"/>
          <w:szCs w:val="20"/>
          <w:color w:val="auto"/>
        </w:rPr>
      </w:pPr>
    </w:p>
    <w:p>
      <w:pPr>
        <w:sectPr>
          <w:pgSz w:w="11900" w:h="16946" w:orient="portrait"/>
          <w:cols w:equalWidth="0" w:num="2">
            <w:col w:w="8844" w:space="720"/>
            <w:col w:w="1860"/>
          </w:cols>
          <w:pgMar w:left="236" w:top="131" w:right="239" w:bottom="0" w:gutter="0" w:footer="0" w:header="0"/>
          <w:type w:val="continuous"/>
        </w:sectPr>
      </w:pPr>
    </w:p>
    <w:p>
      <w:pPr>
        <w:ind w:left="444" w:right="280" w:hanging="352"/>
        <w:spacing w:after="0" w:line="257" w:lineRule="auto"/>
        <w:tabs>
          <w:tab w:leader="none" w:pos="444"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The goodwill, which represents the residual of the consideration paid over the identifiable net assets, is assigned to the Sempra Pipelines &amp; Storage segment and is attributed to the strategic value of the transaction. None of the goodwill recorded is deductible in Mexico for income tax purposes.</w:t>
      </w:r>
    </w:p>
    <w:p>
      <w:pPr>
        <w:spacing w:after="0" w:line="200" w:lineRule="exact"/>
        <w:rPr>
          <w:sz w:val="20"/>
          <w:szCs w:val="20"/>
          <w:color w:val="auto"/>
        </w:rPr>
      </w:pPr>
    </w:p>
    <w:p>
      <w:pPr>
        <w:spacing w:after="0" w:line="283" w:lineRule="exact"/>
        <w:rPr>
          <w:sz w:val="20"/>
          <w:szCs w:val="20"/>
          <w:color w:val="auto"/>
        </w:rPr>
      </w:pPr>
    </w:p>
    <w:p>
      <w:pPr>
        <w:ind w:left="4" w:right="40"/>
        <w:spacing w:after="0" w:line="314" w:lineRule="auto"/>
        <w:rPr>
          <w:sz w:val="20"/>
          <w:szCs w:val="20"/>
          <w:color w:val="auto"/>
        </w:rPr>
      </w:pPr>
      <w:r>
        <w:rPr>
          <w:rFonts w:ascii="Arial" w:cs="Arial" w:eastAsia="Arial" w:hAnsi="Arial"/>
          <w:sz w:val="14"/>
          <w:szCs w:val="14"/>
          <w:color w:val="auto"/>
        </w:rPr>
        <w:t>Included in our Condensed Consolidated Statements of Operations are revenues and earnings of $4 million and $12 million, respectively, for the period May 1, 2010 to September 30, 2010 related to the assets acquired from El Paso Corporation, including revenues and earnings of $3 million and $7 million, respectively, for the three months ended September 30, 2010. Proforma impacts on revenues and earnings for Sempra Energy had the acquisition occurred on January 1, 2009 were immaterial.</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Natural Gas Storage Projects</w:t>
      </w:r>
    </w:p>
    <w:p>
      <w:pPr>
        <w:spacing w:after="0" w:line="56" w:lineRule="exact"/>
        <w:rPr>
          <w:sz w:val="20"/>
          <w:szCs w:val="20"/>
          <w:color w:val="auto"/>
        </w:rPr>
      </w:pPr>
    </w:p>
    <w:p>
      <w:pPr>
        <w:ind w:left="4" w:right="120"/>
        <w:spacing w:after="0" w:line="270" w:lineRule="auto"/>
        <w:rPr>
          <w:sz w:val="20"/>
          <w:szCs w:val="20"/>
          <w:color w:val="auto"/>
        </w:rPr>
      </w:pPr>
      <w:r>
        <w:rPr>
          <w:rFonts w:ascii="Arial" w:cs="Arial" w:eastAsia="Arial" w:hAnsi="Arial"/>
          <w:sz w:val="16"/>
          <w:szCs w:val="16"/>
          <w:color w:val="auto"/>
        </w:rPr>
        <w:t>Sempra Pipelines &amp; Storage’s Sempra Midstream owned 60 percent of Mississippi Hub, LLC (Mississippi Hub) through December 31, 2008 and on January 16, 2009, purchased the remaining 40-percent ownership interest for $94 million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504825</wp:posOffset>
            </wp:positionV>
            <wp:extent cx="726186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
        <w:spacing w:after="0"/>
        <w:rPr>
          <w:sz w:val="20"/>
          <w:szCs w:val="20"/>
          <w:color w:val="auto"/>
        </w:rPr>
      </w:pPr>
      <w:r>
        <w:rPr>
          <w:rFonts w:ascii="Arial" w:cs="Arial" w:eastAsia="Arial" w:hAnsi="Arial"/>
          <w:sz w:val="19"/>
          <w:szCs w:val="19"/>
          <w:color w:val="auto"/>
        </w:rPr>
        <w:t>NOTE 4. INVESTMENTS IN UNCONSOLIDATED ENTITIES</w:t>
      </w:r>
    </w:p>
    <w:p>
      <w:pPr>
        <w:spacing w:after="0" w:line="32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SEMPRA ENERGY AND SDG&amp;E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Available-for-Sale Securities</w:t>
      </w:r>
    </w:p>
    <w:p>
      <w:pPr>
        <w:spacing w:after="0" w:line="56" w:lineRule="exact"/>
        <w:rPr>
          <w:sz w:val="20"/>
          <w:szCs w:val="20"/>
          <w:color w:val="auto"/>
        </w:rPr>
      </w:pPr>
    </w:p>
    <w:p>
      <w:pPr>
        <w:ind w:left="4" w:right="480"/>
        <w:spacing w:after="0" w:line="342" w:lineRule="auto"/>
        <w:rPr>
          <w:sz w:val="20"/>
          <w:szCs w:val="20"/>
          <w:color w:val="auto"/>
        </w:rPr>
      </w:pPr>
      <w:r>
        <w:rPr>
          <w:rFonts w:ascii="Arial" w:cs="Arial" w:eastAsia="Arial" w:hAnsi="Arial"/>
          <w:sz w:val="14"/>
          <w:szCs w:val="14"/>
          <w:color w:val="auto"/>
        </w:rPr>
        <w:t>In June 2009, SDG&amp;E remarketed $176 million of its industrial development bonds at a fixed rate of 5.875 percent, maturing in 2034. Prior to SDG&amp;E's remarketing, SDG&amp;E purchased $152 million of the bonds from Sempra Energy. We discuss these bonds further in Note 6 of the Notes to Consolidated Financial Statements in the Annual Report.</w:t>
      </w:r>
    </w:p>
    <w:p>
      <w:pPr>
        <w:spacing w:after="0" w:line="25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SEMPRA COMMODITIES</w:t>
      </w:r>
    </w:p>
    <w:p>
      <w:pPr>
        <w:spacing w:after="0" w:line="98" w:lineRule="exact"/>
        <w:rPr>
          <w:sz w:val="20"/>
          <w:szCs w:val="20"/>
          <w:color w:val="auto"/>
        </w:rPr>
      </w:pPr>
    </w:p>
    <w:p>
      <w:pPr>
        <w:ind w:left="4" w:right="360"/>
        <w:spacing w:after="0" w:line="260" w:lineRule="auto"/>
        <w:rPr>
          <w:sz w:val="20"/>
          <w:szCs w:val="20"/>
          <w:color w:val="auto"/>
        </w:rPr>
      </w:pPr>
      <w:r>
        <w:rPr>
          <w:rFonts w:ascii="Arial" w:cs="Arial" w:eastAsia="Arial" w:hAnsi="Arial"/>
          <w:sz w:val="16"/>
          <w:szCs w:val="16"/>
          <w:color w:val="auto"/>
        </w:rPr>
        <w:t>RBS Sempra Commodities LLP (RBS Sempra Commodities) is a limited liability partnership formed in the United Kingdom to own and operate the commodities-marketing businesses previously operated through wholly owned subsidiaries of Sempra Energy. We account for our investment in RBS Sempra Commodities under the equity method, and report our share of partnership earnings in the Sempra Commodities segment.</w:t>
      </w:r>
    </w:p>
    <w:p>
      <w:pPr>
        <w:spacing w:after="0" w:line="74" w:lineRule="exact"/>
        <w:rPr>
          <w:sz w:val="20"/>
          <w:szCs w:val="20"/>
          <w:color w:val="auto"/>
        </w:rPr>
      </w:pPr>
    </w:p>
    <w:p>
      <w:pPr>
        <w:ind w:left="4" w:right="120"/>
        <w:spacing w:after="0" w:line="297" w:lineRule="auto"/>
        <w:rPr>
          <w:sz w:val="20"/>
          <w:szCs w:val="20"/>
          <w:color w:val="auto"/>
        </w:rPr>
      </w:pPr>
      <w:r>
        <w:rPr>
          <w:rFonts w:ascii="Arial" w:cs="Arial" w:eastAsia="Arial" w:hAnsi="Arial"/>
          <w:sz w:val="14"/>
          <w:szCs w:val="14"/>
          <w:color w:val="auto"/>
        </w:rPr>
        <w:t>Excluding the impairment charge discussed below, for the three months and nine months ended September 30, 2010, we recorded pretax equity earnings of $24 million and $15 million, respectively, from RBS Sempra Commodities. Pretax equity earnings from RBS Sempra Commodities were $105 million and $384 million for the three months and nine months ended September 30, 2009, respectively. The partnership income that is distributable to us on an annual basis is computed on the partnership's basis of accounting, International Financial Reporting Standards (IFRS), as adopted by the European Union. For the three months and nine months ended September 30, 2010, our share of distributable income, on an IFRS basis, was $22 million and $53 million, respectively. In the three months and nine months ended September 30, 2009, our share of distributable income, on an IFRS basis, was $60 million and $276 million, respectively. In the second quarter of 2010, we received the remaining distribution of 2009 partnership income of $198 million. In the</w:t>
      </w:r>
    </w:p>
    <w:p>
      <w:pPr>
        <w:sectPr>
          <w:pgSz w:w="11900" w:h="16946" w:orient="portrait"/>
          <w:cols w:equalWidth="0" w:num="1">
            <w:col w:w="11424"/>
          </w:cols>
          <w:pgMar w:left="236" w:top="131" w:right="239" w:bottom="0" w:gutter="0" w:footer="0" w:header="0"/>
          <w:type w:val="continuous"/>
        </w:sectPr>
      </w:pPr>
    </w:p>
    <w:bookmarkStart w:id="17" w:name="page18"/>
    <w:bookmarkEnd w:id="17"/>
    <w:p>
      <w:pPr>
        <w:ind w:right="40"/>
        <w:spacing w:after="0" w:line="270" w:lineRule="auto"/>
        <w:rPr>
          <w:sz w:val="20"/>
          <w:szCs w:val="20"/>
          <w:color w:val="auto"/>
        </w:rPr>
      </w:pPr>
      <w:r>
        <w:rPr>
          <w:rFonts w:ascii="Arial" w:cs="Arial" w:eastAsia="Arial" w:hAnsi="Arial"/>
          <w:sz w:val="16"/>
          <w:szCs w:val="16"/>
          <w:color w:val="auto"/>
        </w:rPr>
        <w:t>first nine months of 2009, we received cash distributions from the partnership of $407 million. We discuss the equity method investment in RBS Sempra Commodities further in Note 4 of the Notes to Consolidated Financial Statements in the Annual Report.</w:t>
      </w:r>
    </w:p>
    <w:p>
      <w:pPr>
        <w:spacing w:after="0" w:line="66"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In November 2009, our partner in the joint venture, The Royal Bank of Scotland (RB S), announced its intention to divest its interest in RBS Sempra Commodities in connection with a directive from the European Commission to dispose of certain assets. In February 2010, Sempra Energy, RBS and the partnership entered into an agreement with J.P. Morgan Ventures Energy Corporation (J.P. Morgan Ventures), a unit of J.P. Morgan Chase &amp; Co. (JP Morgan), for J.P. Morgan Ventures to purchase the global metals and oil businesses and the European natural gas and power business from the joint venture. This transaction was completed on July 1, 2010, and we received the majority of the proceeds in early July 2010 and the remainder in September 2010. The purchase price was $1.6 billion, and our share of the proceeds was approximately $1 billion, including distributions of 2009 partnership income attributable to the businesses sold, which were $134 million of the $198 million in distributions we received in April 2010.</w:t>
      </w:r>
    </w:p>
    <w:p>
      <w:pPr>
        <w:spacing w:after="0" w:line="53"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This sale to J.P. Morgan Ventures did not include RBS Sempra Commodities' North American power and natural gas trading businesses and its retail energy solutions business. In September 2010, Noble Group Ltd. (Noble Group) agreed to acquire the U.S. retail commodity marketing business of the RBS Sempra Commodities joint venture for $318 million in cash, plus assumption of all debt, and the transaction closed on November 1, 2010. In October 2010, J.P. Morgan Ventures agreed to purchase, subject to regulatory approval, most of the remaining assets of RBS Sempra Commodities for approximately $220 million. The assets to be sold include the joint venture’s wholesale natural gas and power trading agreements, as well as over-the-counter and exchange-traded transactions, with counterparties across North America. The counterparties include natural gas producers, pipeline and storage providers, power plants, regasification facilities, utilities and municipal customers. The sale is expected to close before year-end and will complete the divestiture of the remaining principal assets of RBS Sempra Commodities.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We expect our share of the proceeds from the sales of all of the partnership businesses and related cash distributions to total $1.8 billion to $1.9 billion. This includes approximately</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$1.3 billion expected from the announced transactions, plus $500 million to $600 million consisting primarily of cash and accounts receivable, as well as net margin that is expected to be collected as customers are transferred to JP Morgan. The transfer of all accounts to JP Morgan will be done as soon as possible following closing, but is expected to continue into 2011.</w:t>
      </w:r>
    </w:p>
    <w:p>
      <w:pPr>
        <w:spacing w:after="0" w:line="79"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Projected cash distributions from RBS Sempra Commodities are net of expected transition costs and are not expected to fully recover the goodwill included in the carrying value of our investment in the partnership. Accordingly, we recorded a pretax non-cash charge of $305 million ($139 millio n after-tax) for the three months and nine months ended September 30, 2010 to reduce our investment in RBS Sempra Commodities. This charge is included in Equity Earnings (Losses) from RBS Sempra Commodities LLP on the Condensed Consolidated Statements of Operations. The fair value of our investment in RBS Sempra Commodities was significantly impacted by unobservable inputs (i.e., Level 3 inputs) as defined by the accounting guidance for fair value measurements, which we discuss below in Note 8. The inputs included estimated future cash distributions expected from the partnership, excluding the impact of costs anticipated for transactions that have not closed as of September 30, 2010. The investment balance of $825 million at September 30, 2010 reflects our portion of the partnership’s earnings, distributions received from the partnership and the non-cash charge to bring the investment to fair value.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summarized financial info rmation for RBS Sempra Commodities (on a GAAP basis):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22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Three months ended September 30,</w:t>
            </w:r>
          </w:p>
        </w:tc>
        <w:tc>
          <w:tcPr>
            <w:tcW w:w="216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color w:val="auto"/>
              </w:rPr>
              <w:t>Nine months ended September 30,</w:t>
            </w:r>
          </w:p>
        </w:tc>
      </w:tr>
      <w:tr>
        <w:trPr>
          <w:trHeight w:val="148"/>
        </w:trPr>
        <w:tc>
          <w:tcPr>
            <w:tcW w:w="280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i w:val="1"/>
                <w:iCs w:val="1"/>
                <w:color w:val="auto"/>
              </w:rPr>
              <w:t>(Dollars in millions)</w:t>
            </w: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0"/>
              <w:spacing w:after="0" w:line="148" w:lineRule="exact"/>
              <w:rPr>
                <w:sz w:val="20"/>
                <w:szCs w:val="20"/>
                <w:color w:val="auto"/>
              </w:rPr>
            </w:pPr>
            <w:r>
              <w:rPr>
                <w:rFonts w:ascii="Arial" w:cs="Arial" w:eastAsia="Arial" w:hAnsi="Arial"/>
                <w:sz w:val="13"/>
                <w:szCs w:val="13"/>
                <w:color w:val="auto"/>
              </w:rPr>
              <w:t>2010</w:t>
            </w: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0"/>
              <w:spacing w:after="0" w:line="148" w:lineRule="exact"/>
              <w:rPr>
                <w:sz w:val="20"/>
                <w:szCs w:val="20"/>
                <w:color w:val="auto"/>
              </w:rPr>
            </w:pPr>
            <w:r>
              <w:rPr>
                <w:rFonts w:ascii="Arial" w:cs="Arial" w:eastAsia="Arial" w:hAnsi="Arial"/>
                <w:sz w:val="13"/>
                <w:szCs w:val="13"/>
                <w:color w:val="auto"/>
              </w:rPr>
              <w:t>2009</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0"/>
              <w:spacing w:after="0" w:line="148" w:lineRule="exact"/>
              <w:rPr>
                <w:sz w:val="20"/>
                <w:szCs w:val="20"/>
                <w:color w:val="auto"/>
              </w:rPr>
            </w:pPr>
            <w:r>
              <w:rPr>
                <w:rFonts w:ascii="Arial" w:cs="Arial" w:eastAsia="Arial" w:hAnsi="Arial"/>
                <w:sz w:val="13"/>
                <w:szCs w:val="13"/>
                <w:color w:val="auto"/>
              </w:rPr>
              <w:t>2010</w:t>
            </w: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0"/>
              <w:spacing w:after="0" w:line="148" w:lineRule="exact"/>
              <w:rPr>
                <w:sz w:val="20"/>
                <w:szCs w:val="20"/>
                <w:color w:val="auto"/>
              </w:rPr>
            </w:pPr>
            <w:r>
              <w:rPr>
                <w:rFonts w:ascii="Arial" w:cs="Arial" w:eastAsia="Arial" w:hAnsi="Arial"/>
                <w:sz w:val="13"/>
                <w:szCs w:val="13"/>
                <w:color w:val="auto"/>
              </w:rPr>
              <w:t>2009</w:t>
            </w:r>
          </w:p>
        </w:tc>
      </w:tr>
      <w:tr>
        <w:trPr>
          <w:trHeight w:val="178"/>
        </w:trPr>
        <w:tc>
          <w:tcPr>
            <w:tcW w:w="2800" w:type="dxa"/>
            <w:vAlign w:val="bottom"/>
          </w:tcPr>
          <w:p>
            <w:pPr>
              <w:ind w:left="80"/>
              <w:spacing w:after="0"/>
              <w:rPr>
                <w:sz w:val="20"/>
                <w:szCs w:val="20"/>
                <w:color w:val="auto"/>
              </w:rPr>
            </w:pPr>
            <w:r>
              <w:rPr>
                <w:rFonts w:ascii="Arial" w:cs="Arial" w:eastAsia="Arial" w:hAnsi="Arial"/>
                <w:sz w:val="14"/>
                <w:szCs w:val="14"/>
                <w:color w:val="auto"/>
              </w:rPr>
              <w:t>Gross revenues and fee income</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72</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291</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466</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1,167</w:t>
            </w:r>
          </w:p>
        </w:tc>
      </w:tr>
      <w:tr>
        <w:trPr>
          <w:trHeight w:val="192"/>
        </w:trPr>
        <w:tc>
          <w:tcPr>
            <w:tcW w:w="2800" w:type="dxa"/>
            <w:vAlign w:val="bottom"/>
          </w:tcPr>
          <w:p>
            <w:pPr>
              <w:ind w:left="80"/>
              <w:spacing w:after="0"/>
              <w:rPr>
                <w:sz w:val="20"/>
                <w:szCs w:val="20"/>
                <w:color w:val="auto"/>
              </w:rPr>
            </w:pPr>
            <w:r>
              <w:rPr>
                <w:rFonts w:ascii="Arial" w:cs="Arial" w:eastAsia="Arial" w:hAnsi="Arial"/>
                <w:sz w:val="14"/>
                <w:szCs w:val="14"/>
                <w:color w:val="auto"/>
              </w:rPr>
              <w:t>Gros s profit</w:t>
            </w:r>
          </w:p>
        </w:tc>
        <w:tc>
          <w:tcPr>
            <w:tcW w:w="260" w:type="dxa"/>
            <w:vAlign w:val="bottom"/>
          </w:tcPr>
          <w:p>
            <w:pPr>
              <w:spacing w:after="0"/>
              <w:rPr>
                <w:sz w:val="16"/>
                <w:szCs w:val="16"/>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74</w:t>
            </w:r>
          </w:p>
        </w:tc>
        <w:tc>
          <w:tcPr>
            <w:tcW w:w="30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268</w:t>
            </w:r>
          </w:p>
        </w:tc>
        <w:tc>
          <w:tcPr>
            <w:tcW w:w="260" w:type="dxa"/>
            <w:vAlign w:val="bottom"/>
          </w:tcPr>
          <w:p>
            <w:pPr>
              <w:spacing w:after="0"/>
              <w:rPr>
                <w:sz w:val="16"/>
                <w:szCs w:val="16"/>
                <w:color w:val="auto"/>
              </w:rPr>
            </w:pP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446</w:t>
            </w:r>
          </w:p>
        </w:tc>
        <w:tc>
          <w:tcPr>
            <w:tcW w:w="300" w:type="dxa"/>
            <w:vAlign w:val="bottom"/>
          </w:tcPr>
          <w:p>
            <w:pPr>
              <w:spacing w:after="0"/>
              <w:rPr>
                <w:sz w:val="16"/>
                <w:szCs w:val="16"/>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1,096</w:t>
            </w:r>
          </w:p>
        </w:tc>
      </w:tr>
      <w:tr>
        <w:trPr>
          <w:trHeight w:val="192"/>
        </w:trPr>
        <w:tc>
          <w:tcPr>
            <w:tcW w:w="2800" w:type="dxa"/>
            <w:vAlign w:val="bottom"/>
          </w:tcPr>
          <w:p>
            <w:pPr>
              <w:ind w:left="8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115</w:t>
            </w:r>
          </w:p>
        </w:tc>
        <w:tc>
          <w:tcPr>
            <w:tcW w:w="26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(20)</w:t>
            </w:r>
          </w:p>
        </w:tc>
        <w:tc>
          <w:tcPr>
            <w:tcW w:w="300" w:type="dxa"/>
            <w:vAlign w:val="bottom"/>
          </w:tcPr>
          <w:p>
            <w:pPr>
              <w:spacing w:after="0"/>
              <w:rPr>
                <w:sz w:val="16"/>
                <w:szCs w:val="16"/>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504</w:t>
            </w:r>
          </w:p>
        </w:tc>
      </w:tr>
      <w:tr>
        <w:trPr>
          <w:trHeight w:val="190"/>
        </w:trPr>
        <w:tc>
          <w:tcPr>
            <w:tcW w:w="280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Partnership net income (loss)</w:t>
            </w:r>
          </w:p>
        </w:tc>
        <w:tc>
          <w:tcPr>
            <w:tcW w:w="260" w:type="dxa"/>
            <w:vAlign w:val="bottom"/>
            <w:tcBorders>
              <w:bottom w:val="single" w:sz="8" w:color="C0C0C0"/>
            </w:tcBorders>
          </w:tcPr>
          <w:p>
            <w:pPr>
              <w:spacing w:after="0"/>
              <w:rPr>
                <w:sz w:val="16"/>
                <w:szCs w:val="16"/>
                <w:color w:val="auto"/>
              </w:rPr>
            </w:pPr>
          </w:p>
        </w:tc>
        <w:tc>
          <w:tcPr>
            <w:tcW w:w="780" w:type="dxa"/>
            <w:vAlign w:val="bottom"/>
            <w:tcBorders>
              <w:bottom w:val="single" w:sz="8" w:color="C0C0C0"/>
            </w:tcBorders>
          </w:tcPr>
          <w:p>
            <w:pPr>
              <w:jc w:val="right"/>
              <w:ind w:right="30"/>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C0C0C0"/>
            </w:tcBorders>
          </w:tcPr>
          <w:p>
            <w:pPr>
              <w:spacing w:after="0"/>
              <w:rPr>
                <w:sz w:val="16"/>
                <w:szCs w:val="16"/>
                <w:color w:val="auto"/>
              </w:rPr>
            </w:pPr>
          </w:p>
        </w:tc>
        <w:tc>
          <w:tcPr>
            <w:tcW w:w="900" w:type="dxa"/>
            <w:vAlign w:val="bottom"/>
            <w:tcBorders>
              <w:bottom w:val="single" w:sz="8" w:color="C0C0C0"/>
            </w:tcBorders>
          </w:tcPr>
          <w:p>
            <w:pPr>
              <w:jc w:val="right"/>
              <w:ind w:right="70"/>
              <w:spacing w:after="0"/>
              <w:rPr>
                <w:sz w:val="20"/>
                <w:szCs w:val="20"/>
                <w:color w:val="auto"/>
              </w:rPr>
            </w:pPr>
            <w:r>
              <w:rPr>
                <w:rFonts w:ascii="Arial" w:cs="Arial" w:eastAsia="Arial" w:hAnsi="Arial"/>
                <w:sz w:val="14"/>
                <w:szCs w:val="14"/>
                <w:color w:val="auto"/>
              </w:rPr>
              <w:t>115</w:t>
            </w:r>
          </w:p>
        </w:tc>
        <w:tc>
          <w:tcPr>
            <w:tcW w:w="260" w:type="dxa"/>
            <w:vAlign w:val="bottom"/>
            <w:tcBorders>
              <w:bottom w:val="single" w:sz="8" w:color="C0C0C0"/>
            </w:tcBorders>
          </w:tcPr>
          <w:p>
            <w:pPr>
              <w:spacing w:after="0"/>
              <w:rPr>
                <w:sz w:val="16"/>
                <w:szCs w:val="16"/>
                <w:color w:val="auto"/>
              </w:rPr>
            </w:pPr>
          </w:p>
        </w:tc>
        <w:tc>
          <w:tcPr>
            <w:tcW w:w="740" w:type="dxa"/>
            <w:vAlign w:val="bottom"/>
            <w:tcBorders>
              <w:bottom w:val="single" w:sz="8" w:color="C0C0C0"/>
            </w:tcBorders>
          </w:tcPr>
          <w:p>
            <w:pPr>
              <w:jc w:val="right"/>
              <w:ind w:right="30"/>
              <w:spacing w:after="0"/>
              <w:rPr>
                <w:sz w:val="20"/>
                <w:szCs w:val="20"/>
                <w:color w:val="auto"/>
              </w:rPr>
            </w:pPr>
            <w:r>
              <w:rPr>
                <w:rFonts w:ascii="Arial" w:cs="Arial" w:eastAsia="Arial" w:hAnsi="Arial"/>
                <w:sz w:val="14"/>
                <w:szCs w:val="14"/>
                <w:color w:val="auto"/>
              </w:rPr>
              <w:t>(20)</w:t>
            </w:r>
          </w:p>
        </w:tc>
        <w:tc>
          <w:tcPr>
            <w:tcW w:w="300" w:type="dxa"/>
            <w:vAlign w:val="bottom"/>
            <w:tcBorders>
              <w:bottom w:val="single" w:sz="8" w:color="C0C0C0"/>
            </w:tcBorders>
          </w:tcPr>
          <w:p>
            <w:pPr>
              <w:spacing w:after="0"/>
              <w:rPr>
                <w:sz w:val="16"/>
                <w:szCs w:val="16"/>
                <w:color w:val="auto"/>
              </w:rPr>
            </w:pPr>
          </w:p>
        </w:tc>
        <w:tc>
          <w:tcPr>
            <w:tcW w:w="860" w:type="dxa"/>
            <w:vAlign w:val="bottom"/>
            <w:tcBorders>
              <w:bottom w:val="single" w:sz="8" w:color="C0C0C0"/>
            </w:tcBorders>
          </w:tcPr>
          <w:p>
            <w:pPr>
              <w:jc w:val="right"/>
              <w:ind w:right="50"/>
              <w:spacing w:after="0"/>
              <w:rPr>
                <w:sz w:val="20"/>
                <w:szCs w:val="20"/>
                <w:color w:val="auto"/>
              </w:rPr>
            </w:pPr>
            <w:r>
              <w:rPr>
                <w:rFonts w:ascii="Arial" w:cs="Arial" w:eastAsia="Arial" w:hAnsi="Arial"/>
                <w:sz w:val="14"/>
                <w:szCs w:val="14"/>
                <w:color w:val="auto"/>
              </w:rPr>
              <w:t>504</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We provide information regarding the Sempra Commodities segment in Note 11.</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PIPELINES &amp; STORAGE</w:t>
      </w:r>
    </w:p>
    <w:p>
      <w:pPr>
        <w:spacing w:after="0" w:line="98" w:lineRule="exact"/>
        <w:rPr>
          <w:sz w:val="20"/>
          <w:szCs w:val="20"/>
          <w:color w:val="auto"/>
        </w:rPr>
      </w:pPr>
    </w:p>
    <w:p>
      <w:pPr>
        <w:ind w:right="240"/>
        <w:spacing w:after="0" w:line="314" w:lineRule="auto"/>
        <w:rPr>
          <w:sz w:val="20"/>
          <w:szCs w:val="20"/>
          <w:color w:val="auto"/>
        </w:rPr>
      </w:pPr>
      <w:r>
        <w:rPr>
          <w:rFonts w:ascii="Arial" w:cs="Arial" w:eastAsia="Arial" w:hAnsi="Arial"/>
          <w:sz w:val="14"/>
          <w:szCs w:val="14"/>
          <w:color w:val="auto"/>
        </w:rPr>
        <w:t>In the first quarter 2010, Sempra Pipelines &amp; Storage contributed $65 million to Rockies Express, a joint venture to own and operate the Rockies Express Pipeline, to complete the construction phase of the project. Sempra Pipelines &amp; Storage contributed $315 million and $527 million in the three months and nine months ended September 30, 2009, respectively. We discuss this investment in Note 4 of the Notes to Consolidated Financial Statements i n the Annual Report.</w:t>
      </w:r>
    </w:p>
    <w:p>
      <w:pPr>
        <w:spacing w:after="0" w:line="40" w:lineRule="exact"/>
        <w:rPr>
          <w:sz w:val="20"/>
          <w:szCs w:val="20"/>
          <w:color w:val="auto"/>
        </w:rPr>
      </w:pPr>
    </w:p>
    <w:p>
      <w:pPr>
        <w:ind w:right="60"/>
        <w:spacing w:after="0" w:line="294" w:lineRule="auto"/>
        <w:rPr>
          <w:sz w:val="20"/>
          <w:szCs w:val="20"/>
          <w:color w:val="auto"/>
        </w:rPr>
      </w:pPr>
      <w:r>
        <w:rPr>
          <w:rFonts w:ascii="Arial" w:cs="Arial" w:eastAsia="Arial" w:hAnsi="Arial"/>
          <w:sz w:val="14"/>
          <w:szCs w:val="14"/>
          <w:color w:val="auto"/>
        </w:rPr>
        <w:t>Sempra Pipelines &amp; Storage owns 43 percent of two Argentine natural gas utility holding companies, Sodigas Pampeana and Sodigas Sur. The Argentine economic decline and government responses (including Argentina’s unilateral, retroactive abrogation of utility agreements early in 2002) continue to adversely affect the operations of these Argentine utilities. In 2002, Sempra Pipelines &amp; Storage initiated arbitration proceedings at the International Center for the Settlement of Investment Disputes (ICSID) under the 1994 Bilateral Investment Treaty between the United States and Argentina for recovery of the diminution of the value of its investments that has resulted from Argentine governmental actions. In September 2007, the tribunal awarded us compensation of $172 million, which included interest up to the award date. In January 2008, Argentina filed an action at the ICSID seeking to annul the award. In June 2010, the Annulment Commi ttee granted Argentina’s petition for annulment of the award. This action did not impact our earnings, as we did not record the original award pending assurance of collectability. On November 3, 2010, Sempra Pipelines &amp; Storage resubmitted arbitration proceedings against Argentina before the ICSID on the same and similar grounds as the 2002 filing.</w:t>
      </w:r>
    </w:p>
    <w:p>
      <w:pPr>
        <w:spacing w:after="0" w:line="54" w:lineRule="exact"/>
        <w:rPr>
          <w:sz w:val="20"/>
          <w:szCs w:val="20"/>
          <w:color w:val="auto"/>
        </w:rPr>
      </w:pPr>
    </w:p>
    <w:p>
      <w:pPr>
        <w:ind w:right="100"/>
        <w:spacing w:after="0" w:line="342" w:lineRule="auto"/>
        <w:rPr>
          <w:sz w:val="20"/>
          <w:szCs w:val="20"/>
          <w:color w:val="auto"/>
        </w:rPr>
      </w:pPr>
      <w:r>
        <w:rPr>
          <w:rFonts w:ascii="Arial" w:cs="Arial" w:eastAsia="Arial" w:hAnsi="Arial"/>
          <w:sz w:val="14"/>
          <w:szCs w:val="14"/>
          <w:color w:val="auto"/>
        </w:rPr>
        <w:t>In a separate but related proceeding related to our political risk insurance policy, we negotiated a $48 million settlement that was collected in September 2010. The proceeds from the settlement are reported in Other Income, Net, on the Condensed Consolidated Statements of Operations for the three months and nine months ended September 30, 2010.</w:t>
      </w:r>
    </w:p>
    <w:p>
      <w:pPr>
        <w:spacing w:after="0" w:line="21"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We continue to actively pursue the sale of our investments in the two Argentine companies. In September 2010, we concluded that, although the ICSID claim had been annulled as discussed above, rate increases soug ht in Argentina would continue to be delayed. We believe this continued uncertainty has impacted the fair value of our net investment in the two Argentine companies, and recorded a non-cash impairment charge of $24 million, which is reported in Equity Earnings (Losses), Net of Income Tax, on the Condensed Consolidated Statements of Operations for the three months and nine months ended September 30, 2010. The Sodigas Pampeana and Sodigas Sur fair value was significantly impacted by unobservable inputs (i.e., Level 3 inputs) as defined by the accounting guidance for fair value measurements, which we discuss below in Note 8. The inputs included discount rates and estimated future cash flows. Such cash flows considered the value of those businesses with positive cash flows, the value of the non-operating assets, and the probability-weighted value of anticipated rate increases, considering both the timing and magnitude of such increases.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GENERATION</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Sempra Generation and BP Wind Energy currently hold 50-percent ownership interests in Fowler Ridge II Wind Farm LLC (Fowler Ridge), a joint venture which operates a 200-MW wind farm project located in Benton County, Indiana. As of December 2009, Sempra Generation had invested $235 million in the joint venture. In August 2010, Sempra Generation received a $180 million return of capital from Fowler Ridge. We discuss this further in Note 6 below and provide additional information in Note 4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513080</wp:posOffset>
            </wp:positionV>
            <wp:extent cx="72618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NOTE 5. OTHER FINANCIAL DATA</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VARIABLE INTEREST ENTITIES</w:t>
      </w:r>
    </w:p>
    <w:p>
      <w:pPr>
        <w:spacing w:after="0" w:line="98"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We consolidate a VIE if we are the primary beneficiary of the VIE’s activities. Our determination of whether we are the primary beneficiary is based upon qualitative and quantitative analyses, which assess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purpose and design of the VIE;</w:t>
      </w:r>
    </w:p>
    <w:p>
      <w:pPr>
        <w:sectPr>
          <w:pgSz w:w="11900" w:h="16838" w:orient="portrait"/>
          <w:cols w:equalWidth="0" w:num="1">
            <w:col w:w="11420"/>
          </w:cols>
          <w:pgMar w:left="240" w:top="131" w:right="239" w:bottom="0" w:gutter="0" w:footer="0" w:header="0"/>
        </w:sectPr>
      </w:pPr>
    </w:p>
    <w:bookmarkStart w:id="18" w:name="page19"/>
    <w:bookmarkEnd w:id="18"/>
    <w:p>
      <w:pPr>
        <w:spacing w:after="0" w:line="88" w:lineRule="exact"/>
        <w:rPr>
          <w:sz w:val="20"/>
          <w:szCs w:val="20"/>
          <w:color w:val="auto"/>
        </w:rPr>
      </w:pPr>
    </w:p>
    <w:p>
      <w:pPr>
        <w:ind w:left="144"/>
        <w:spacing w:after="0"/>
        <w:rPr>
          <w:sz w:val="20"/>
          <w:szCs w:val="20"/>
          <w:color w:val="auto"/>
        </w:rPr>
      </w:pPr>
      <w:r>
        <w:rPr>
          <w:rFonts w:ascii="Arial" w:cs="Arial" w:eastAsia="Arial" w:hAnsi="Arial"/>
          <w:sz w:val="16"/>
          <w:szCs w:val="16"/>
          <w:color w:val="auto"/>
        </w:rPr>
        <w:t>§the nature of the VIE's risks and the risks we absorb;</w:t>
      </w:r>
    </w:p>
    <w:p>
      <w:pPr>
        <w:spacing w:after="0" w:line="56" w:lineRule="exact"/>
        <w:rPr>
          <w:sz w:val="20"/>
          <w:szCs w:val="20"/>
          <w:color w:val="auto"/>
        </w:rPr>
      </w:pPr>
    </w:p>
    <w:p>
      <w:pPr>
        <w:ind w:left="144" w:right="4840"/>
        <w:spacing w:after="0" w:line="414" w:lineRule="auto"/>
        <w:rPr>
          <w:sz w:val="20"/>
          <w:szCs w:val="20"/>
          <w:color w:val="auto"/>
        </w:rPr>
      </w:pPr>
      <w:r>
        <w:rPr>
          <w:rFonts w:ascii="Arial" w:cs="Arial" w:eastAsia="Arial" w:hAnsi="Arial"/>
          <w:sz w:val="14"/>
          <w:szCs w:val="14"/>
          <w:color w:val="auto"/>
        </w:rPr>
        <w:t>§the power to direct activities that most significantly impact the economic performance of the VIE; and §the obligation to absorb losses or right to receive benefits that could be significant to the VIE.</w:t>
      </w:r>
    </w:p>
    <w:p>
      <w:pPr>
        <w:spacing w:after="0" w:line="69" w:lineRule="exact"/>
        <w:rPr>
          <w:sz w:val="20"/>
          <w:szCs w:val="20"/>
          <w:color w:val="auto"/>
        </w:rPr>
      </w:pPr>
    </w:p>
    <w:p>
      <w:pPr>
        <w:ind w:left="4" w:right="780"/>
        <w:spacing w:after="0" w:line="293" w:lineRule="auto"/>
        <w:rPr>
          <w:sz w:val="20"/>
          <w:szCs w:val="20"/>
          <w:color w:val="auto"/>
        </w:rPr>
      </w:pPr>
      <w:r>
        <w:rPr>
          <w:rFonts w:ascii="Arial" w:cs="Arial" w:eastAsia="Arial" w:hAnsi="Arial"/>
          <w:sz w:val="14"/>
          <w:szCs w:val="14"/>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impacts on the economic performance of the entity owning the generating facility because of the associated exposure to the cost of natural gas, which fuels the plants, and the value of electricity produced. To the extent that SDG&amp;E 1) is obligated t 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the operational characteristics of the facility, including its expected power generation output relative to its capacity to generate and the financial structure of the entity, among other factors. If we determine that SDG&amp;E is the primary beneficiary, Sempra Energy and SDG&amp;E consolidate the entity that owns the facility as a VIE, as we discuss below.</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Otay Mesa VIE</w:t>
      </w:r>
    </w:p>
    <w:p>
      <w:pPr>
        <w:spacing w:after="0" w:line="51" w:lineRule="exact"/>
        <w:rPr>
          <w:sz w:val="20"/>
          <w:szCs w:val="20"/>
          <w:color w:val="auto"/>
        </w:rPr>
      </w:pPr>
    </w:p>
    <w:p>
      <w:pPr>
        <w:ind w:left="4" w:right="40"/>
        <w:spacing w:after="0" w:line="256" w:lineRule="auto"/>
        <w:rPr>
          <w:sz w:val="20"/>
          <w:szCs w:val="20"/>
          <w:color w:val="auto"/>
        </w:rPr>
      </w:pPr>
      <w:r>
        <w:rPr>
          <w:rFonts w:ascii="Arial" w:cs="Arial" w:eastAsia="Arial" w:hAnsi="Arial"/>
          <w:sz w:val="16"/>
          <w:szCs w:val="16"/>
          <w:color w:val="auto"/>
        </w:rPr>
        <w:t>SDG&amp;E has a 10-year agreement to purchase power generated at the Otay Mesa Energy Center (OMEC), a 605-MW generating facility that began commercia l operations in October 2009.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w:t>
      </w:r>
    </w:p>
    <w:p>
      <w:pPr>
        <w:spacing w:after="0" w:line="79" w:lineRule="exact"/>
        <w:rPr>
          <w:sz w:val="20"/>
          <w:szCs w:val="20"/>
          <w:color w:val="auto"/>
        </w:rPr>
      </w:pPr>
    </w:p>
    <w:p>
      <w:pPr>
        <w:ind w:left="4" w:right="40"/>
        <w:spacing w:after="0" w:line="300" w:lineRule="auto"/>
        <w:rPr>
          <w:sz w:val="20"/>
          <w:szCs w:val="20"/>
          <w:color w:val="auto"/>
        </w:rPr>
      </w:pPr>
      <w:r>
        <w:rPr>
          <w:rFonts w:ascii="Arial" w:cs="Arial" w:eastAsia="Arial" w:hAnsi="Arial"/>
          <w:sz w:val="14"/>
          <w:szCs w:val="14"/>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Sempra Energy and SDG&amp;E have consolidated Otay Mesa VIE since the second quarter of 2007, and have continued to con solidate it through the third quarter of 2010. Otay Mesa VIE's equity of $107 million at September 30, 2010 and $146 million at December 31, 2009 is included on the Condensed Consolidated Balance Sheets in Other Noncontrolling Interests for Sempra Energy and in Noncontrolling Interest for SDG&amp;E.</w:t>
      </w:r>
    </w:p>
    <w:p>
      <w:pPr>
        <w:spacing w:after="0" w:line="50" w:lineRule="exact"/>
        <w:rPr>
          <w:sz w:val="20"/>
          <w:szCs w:val="20"/>
          <w:color w:val="auto"/>
        </w:rPr>
      </w:pPr>
    </w:p>
    <w:p>
      <w:pPr>
        <w:jc w:val="both"/>
        <w:ind w:left="4" w:right="20"/>
        <w:spacing w:after="0" w:line="305" w:lineRule="auto"/>
        <w:rPr>
          <w:sz w:val="20"/>
          <w:szCs w:val="20"/>
          <w:color w:val="auto"/>
        </w:rPr>
      </w:pPr>
      <w:r>
        <w:rPr>
          <w:rFonts w:ascii="Arial" w:cs="Arial" w:eastAsia="Arial" w:hAnsi="Arial"/>
          <w:sz w:val="14"/>
          <w:szCs w:val="14"/>
          <w:color w:val="auto"/>
        </w:rPr>
        <w:t>OMEC LLC has a loan outstanding of $367 million at September 30, 2010,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36" w:lineRule="exact"/>
        <w:rPr>
          <w:sz w:val="20"/>
          <w:szCs w:val="20"/>
          <w:color w:val="auto"/>
        </w:rPr>
      </w:pPr>
    </w:p>
    <w:p>
      <w:pPr>
        <w:ind w:left="164" w:hanging="164"/>
        <w:spacing w:after="0"/>
        <w:tabs>
          <w:tab w:leader="none" w:pos="164" w:val="left"/>
        </w:tabs>
        <w:numPr>
          <w:ilvl w:val="0"/>
          <w:numId w:val="11"/>
        </w:numPr>
        <w:rPr>
          <w:rFonts w:ascii="Arial" w:cs="Arial" w:eastAsia="Arial" w:hAnsi="Arial"/>
          <w:sz w:val="19"/>
          <w:szCs w:val="19"/>
          <w:color w:val="auto"/>
        </w:rPr>
      </w:pPr>
      <w:r>
        <w:rPr>
          <w:rFonts w:ascii="Arial" w:cs="Arial" w:eastAsia="Arial" w:hAnsi="Arial"/>
          <w:sz w:val="19"/>
          <w:szCs w:val="19"/>
          <w:color w:val="auto"/>
        </w:rPr>
        <w:t>p style="MARGIN:0in 0in 6pt"&gt;</w:t>
      </w:r>
      <w:r>
        <w:rPr>
          <w:rFonts w:ascii="Arial" w:cs="Arial" w:eastAsia="Arial" w:hAnsi="Arial"/>
          <w:sz w:val="17"/>
          <w:szCs w:val="17"/>
          <w:b w:val="1"/>
          <w:bCs w:val="1"/>
          <w:i w:val="1"/>
          <w:iCs w:val="1"/>
          <w:color w:val="auto"/>
        </w:rPr>
        <w:t>Other Variable Interest Entities</w:t>
      </w:r>
    </w:p>
    <w:p>
      <w:pPr>
        <w:spacing w:after="0" w:line="200" w:lineRule="exact"/>
        <w:rPr>
          <w:sz w:val="20"/>
          <w:szCs w:val="20"/>
          <w:color w:val="auto"/>
        </w:rPr>
      </w:pPr>
    </w:p>
    <w:p>
      <w:pPr>
        <w:ind w:left="4" w:right="200"/>
        <w:spacing w:after="0" w:line="294" w:lineRule="auto"/>
        <w:rPr>
          <w:sz w:val="20"/>
          <w:szCs w:val="20"/>
          <w:color w:val="auto"/>
        </w:rPr>
      </w:pPr>
      <w:r>
        <w:rPr>
          <w:rFonts w:ascii="Arial" w:cs="Arial" w:eastAsia="Arial" w:hAnsi="Arial"/>
          <w:sz w:val="14"/>
          <w:szCs w:val="14"/>
          <w:color w:val="auto"/>
        </w:rPr>
        <w:t>SDG&amp;E's power procurement is subject to reliability requirements that may require SDG&amp;E to enter into various power purchase arrangements which include variable interests. SDG&amp;E evaluates these contracts to determine if variable interests exist and, based on the qualitative and quantitative analyses described above, if SDG&amp;E, and thereby Sempra Energy, is the primary beneficiary. SDG&amp;E has determined that no contracts other than that relating to Otay Mesa VIE mentioned above result in SDG&amp;E being the primary beneficiary.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 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SDG&amp;E is not exposed to losses or gains as a result of these other VIEs, because all such variability would be recovered in rates.</w:t>
      </w:r>
    </w:p>
    <w:p>
      <w:pPr>
        <w:spacing w:after="0" w:line="246" w:lineRule="exact"/>
        <w:rPr>
          <w:sz w:val="20"/>
          <w:szCs w:val="20"/>
          <w:color w:val="auto"/>
        </w:rPr>
      </w:pPr>
    </w:p>
    <w:p>
      <w:pPr>
        <w:ind w:left="4" w:right="340"/>
        <w:spacing w:after="0" w:line="342" w:lineRule="auto"/>
        <w:rPr>
          <w:sz w:val="20"/>
          <w:szCs w:val="20"/>
          <w:color w:val="auto"/>
        </w:rPr>
      </w:pPr>
      <w:r>
        <w:rPr>
          <w:rFonts w:ascii="Arial" w:cs="Arial" w:eastAsia="Arial" w:hAnsi="Arial"/>
          <w:sz w:val="14"/>
          <w:szCs w:val="14"/>
          <w:color w:val="auto"/>
        </w:rPr>
        <w:t>Sempra Energy’s other business units also enter into arrangements which could include variable interests. We evaluate these contracts based upon the qualitative and quantitative analyses described above. We have determined that these contracts are not variable interests in a VIE and therefore are not subject to the requirements of ASU 2009-17.</w:t>
      </w:r>
    </w:p>
    <w:p>
      <w:pPr>
        <w:spacing w:after="0" w:line="200" w:lineRule="exact"/>
        <w:rPr>
          <w:sz w:val="20"/>
          <w:szCs w:val="20"/>
          <w:color w:val="auto"/>
        </w:rPr>
      </w:pPr>
    </w:p>
    <w:p>
      <w:pPr>
        <w:spacing w:after="0" w:line="33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PENSION AND OTHER POSTRETIREMENT BENEFITS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Net Periodic Benefit Cost</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three tables provide the components of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4152900" cy="289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52900" cy="289560"/>
                    </a:xfrm>
                    <a:prstGeom prst="rect">
                      <a:avLst/>
                    </a:prstGeom>
                    <a:noFill/>
                  </pic:spPr>
                </pic:pic>
              </a:graphicData>
            </a:graphic>
          </wp:anchor>
        </w:drawing>
      </w:r>
    </w:p>
    <w:p>
      <w:pPr>
        <w:spacing w:after="0" w:line="353"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NET PERIODIC BENEFIT COST -- SEMPRA ENERGY CONSOLIDATED</w:t>
      </w:r>
    </w:p>
    <w:p>
      <w:pPr>
        <w:spacing w:after="0" w:line="100"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204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4"/>
        </w:trPr>
        <w:tc>
          <w:tcPr>
            <w:tcW w:w="2040" w:type="dxa"/>
            <w:vAlign w:val="bottom"/>
          </w:tcPr>
          <w:p>
            <w:pPr>
              <w:spacing w:after="0"/>
              <w:rPr>
                <w:sz w:val="13"/>
                <w:szCs w:val="13"/>
                <w:color w:val="auto"/>
              </w:rPr>
            </w:pPr>
          </w:p>
        </w:tc>
        <w:tc>
          <w:tcPr>
            <w:tcW w:w="184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color w:val="auto"/>
              </w:rPr>
              <w:t>Pension Benefits</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3"/>
                <w:szCs w:val="13"/>
                <w:color w:val="auto"/>
              </w:rPr>
              <w:t>Other Postretirement Benefits</w:t>
            </w:r>
          </w:p>
        </w:tc>
      </w:tr>
      <w:tr>
        <w:trPr>
          <w:trHeight w:val="148"/>
        </w:trPr>
        <w:tc>
          <w:tcPr>
            <w:tcW w:w="2040" w:type="dxa"/>
            <w:vAlign w:val="bottom"/>
          </w:tcPr>
          <w:p>
            <w:pPr>
              <w:spacing w:after="0"/>
              <w:rPr>
                <w:sz w:val="12"/>
                <w:szCs w:val="12"/>
                <w:color w:val="auto"/>
              </w:rPr>
            </w:pPr>
          </w:p>
        </w:tc>
        <w:tc>
          <w:tcPr>
            <w:tcW w:w="2300" w:type="dxa"/>
            <w:vAlign w:val="bottom"/>
            <w:tcBorders>
              <w:bottom w:val="single" w:sz="8" w:color="auto"/>
            </w:tcBorders>
            <w:gridSpan w:val="4"/>
          </w:tcPr>
          <w:p>
            <w:pPr>
              <w:ind w:left="100"/>
              <w:spacing w:after="0" w:line="148" w:lineRule="exact"/>
              <w:rPr>
                <w:sz w:val="20"/>
                <w:szCs w:val="20"/>
                <w:color w:val="auto"/>
              </w:rPr>
            </w:pPr>
            <w:r>
              <w:rPr>
                <w:rFonts w:ascii="Arial" w:cs="Arial" w:eastAsia="Arial" w:hAnsi="Arial"/>
                <w:sz w:val="13"/>
                <w:szCs w:val="13"/>
                <w:color w:val="auto"/>
              </w:rPr>
              <w:t>Three months ended September 30,</w:t>
            </w:r>
          </w:p>
        </w:tc>
        <w:tc>
          <w:tcPr>
            <w:tcW w:w="2200" w:type="dxa"/>
            <w:vAlign w:val="bottom"/>
            <w:tcBorders>
              <w:bottom w:val="single" w:sz="8" w:color="auto"/>
            </w:tcBorders>
            <w:gridSpan w:val="4"/>
          </w:tcPr>
          <w:p>
            <w:pPr>
              <w:ind w:left="40"/>
              <w:spacing w:after="0" w:line="148" w:lineRule="exact"/>
              <w:rPr>
                <w:sz w:val="20"/>
                <w:szCs w:val="20"/>
                <w:color w:val="auto"/>
              </w:rPr>
            </w:pPr>
            <w:r>
              <w:rPr>
                <w:rFonts w:ascii="Arial" w:cs="Arial" w:eastAsia="Arial" w:hAnsi="Arial"/>
                <w:sz w:val="13"/>
                <w:szCs w:val="13"/>
                <w:color w:val="auto"/>
              </w:rPr>
              <w:t>Three months ended September 30,</w:t>
            </w:r>
          </w:p>
        </w:tc>
      </w:tr>
      <w:tr>
        <w:trPr>
          <w:trHeight w:val="160"/>
        </w:trPr>
        <w:tc>
          <w:tcPr>
            <w:tcW w:w="20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w w:val="96"/>
              </w:rPr>
              <w:t>2010</w:t>
            </w: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2009</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2010</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w w:val="89"/>
              </w:rPr>
              <w:t>2009</w:t>
            </w:r>
          </w:p>
        </w:tc>
      </w:tr>
      <w:tr>
        <w:trPr>
          <w:trHeight w:val="178"/>
        </w:trPr>
        <w:tc>
          <w:tcPr>
            <w:tcW w:w="2040" w:type="dxa"/>
            <w:vAlign w:val="bottom"/>
          </w:tcPr>
          <w:p>
            <w:pPr>
              <w:ind w:left="80"/>
              <w:spacing w:after="0"/>
              <w:rPr>
                <w:sz w:val="20"/>
                <w:szCs w:val="20"/>
                <w:color w:val="auto"/>
              </w:rPr>
            </w:pPr>
            <w:r>
              <w:rPr>
                <w:rFonts w:ascii="Arial" w:cs="Arial" w:eastAsia="Arial" w:hAnsi="Arial"/>
                <w:sz w:val="14"/>
                <w:szCs w:val="14"/>
                <w:color w:val="auto"/>
              </w:rPr>
              <w:t>Service cost</w:t>
            </w:r>
          </w:p>
        </w:tc>
        <w:tc>
          <w:tcPr>
            <w:tcW w:w="700" w:type="dxa"/>
            <w:vAlign w:val="bottom"/>
          </w:tcPr>
          <w:p>
            <w:pPr>
              <w:ind w:left="1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720" w:type="dxa"/>
            <w:vAlign w:val="bottom"/>
          </w:tcPr>
          <w:p>
            <w:pPr>
              <w:jc w:val="right"/>
              <w:ind w:right="471"/>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5</w:t>
            </w:r>
          </w:p>
        </w:tc>
        <w:tc>
          <w:tcPr>
            <w:tcW w:w="40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7</w:t>
            </w:r>
          </w:p>
        </w:tc>
      </w:tr>
      <w:tr>
        <w:trPr>
          <w:trHeight w:val="192"/>
        </w:trPr>
        <w:tc>
          <w:tcPr>
            <w:tcW w:w="2040" w:type="dxa"/>
            <w:vAlign w:val="bottom"/>
          </w:tcPr>
          <w:p>
            <w:pPr>
              <w:ind w:left="80"/>
              <w:spacing w:after="0"/>
              <w:rPr>
                <w:sz w:val="20"/>
                <w:szCs w:val="20"/>
                <w:color w:val="auto"/>
              </w:rPr>
            </w:pPr>
            <w:r>
              <w:rPr>
                <w:rFonts w:ascii="Arial" w:cs="Arial" w:eastAsia="Arial" w:hAnsi="Arial"/>
                <w:sz w:val="14"/>
                <w:szCs w:val="14"/>
                <w:color w:val="auto"/>
              </w:rPr>
              <w:t>Interest cost</w:t>
            </w:r>
          </w:p>
        </w:tc>
        <w:tc>
          <w:tcPr>
            <w:tcW w:w="70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720" w:type="dxa"/>
            <w:vAlign w:val="bottom"/>
          </w:tcPr>
          <w:p>
            <w:pPr>
              <w:spacing w:after="0"/>
              <w:rPr>
                <w:sz w:val="16"/>
                <w:szCs w:val="16"/>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16"/>
                <w:szCs w:val="16"/>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14</w:t>
            </w:r>
          </w:p>
        </w:tc>
        <w:tc>
          <w:tcPr>
            <w:tcW w:w="40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14</w:t>
            </w:r>
          </w:p>
        </w:tc>
      </w:tr>
      <w:tr>
        <w:trPr>
          <w:trHeight w:val="190"/>
        </w:trPr>
        <w:tc>
          <w:tcPr>
            <w:tcW w:w="2040" w:type="dxa"/>
            <w:vAlign w:val="bottom"/>
          </w:tcPr>
          <w:p>
            <w:pPr>
              <w:ind w:left="80"/>
              <w:spacing w:after="0"/>
              <w:rPr>
                <w:sz w:val="20"/>
                <w:szCs w:val="20"/>
                <w:color w:val="auto"/>
              </w:rPr>
            </w:pPr>
            <w:r>
              <w:rPr>
                <w:rFonts w:ascii="Arial" w:cs="Arial" w:eastAsia="Arial" w:hAnsi="Arial"/>
                <w:sz w:val="14"/>
                <w:szCs w:val="14"/>
                <w:color w:val="auto"/>
              </w:rPr>
              <w:t>Expected return on assets</w:t>
            </w:r>
          </w:p>
        </w:tc>
        <w:tc>
          <w:tcPr>
            <w:tcW w:w="70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7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4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(11)</w:t>
            </w:r>
          </w:p>
        </w:tc>
      </w:tr>
      <w:tr>
        <w:trPr>
          <w:trHeight w:val="182"/>
        </w:trPr>
        <w:tc>
          <w:tcPr>
            <w:tcW w:w="2040" w:type="dxa"/>
            <w:vAlign w:val="bottom"/>
          </w:tcPr>
          <w:p>
            <w:pPr>
              <w:ind w:left="80"/>
              <w:spacing w:after="0"/>
              <w:rPr>
                <w:sz w:val="20"/>
                <w:szCs w:val="20"/>
                <w:color w:val="auto"/>
              </w:rPr>
            </w:pPr>
            <w:r>
              <w:rPr>
                <w:rFonts w:ascii="Arial" w:cs="Arial" w:eastAsia="Arial" w:hAnsi="Arial"/>
                <w:sz w:val="14"/>
                <w:szCs w:val="14"/>
                <w:color w:val="auto"/>
              </w:rPr>
              <w:t>Amortization of:</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8"/>
        </w:trPr>
        <w:tc>
          <w:tcPr>
            <w:tcW w:w="2040" w:type="dxa"/>
            <w:vAlign w:val="bottom"/>
          </w:tcPr>
          <w:p>
            <w:pPr>
              <w:ind w:left="240"/>
              <w:spacing w:after="0"/>
              <w:rPr>
                <w:sz w:val="20"/>
                <w:szCs w:val="20"/>
                <w:color w:val="auto"/>
              </w:rPr>
            </w:pPr>
            <w:r>
              <w:rPr>
                <w:rFonts w:ascii="Arial" w:cs="Arial" w:eastAsia="Arial" w:hAnsi="Arial"/>
                <w:sz w:val="14"/>
                <w:szCs w:val="14"/>
                <w:color w:val="auto"/>
              </w:rPr>
              <w:t>Prior service cost</w:t>
            </w:r>
          </w:p>
        </w:tc>
        <w:tc>
          <w:tcPr>
            <w:tcW w:w="700" w:type="dxa"/>
            <w:vAlign w:val="bottom"/>
          </w:tcPr>
          <w:p>
            <w:pPr>
              <w:spacing w:after="0"/>
              <w:rPr>
                <w:sz w:val="19"/>
                <w:szCs w:val="19"/>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720" w:type="dxa"/>
            <w:vAlign w:val="bottom"/>
          </w:tcPr>
          <w:p>
            <w:pPr>
              <w:spacing w:after="0"/>
              <w:rPr>
                <w:sz w:val="19"/>
                <w:szCs w:val="19"/>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9"/>
                <w:szCs w:val="19"/>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192"/>
        </w:trPr>
        <w:tc>
          <w:tcPr>
            <w:tcW w:w="2040" w:type="dxa"/>
            <w:vAlign w:val="bottom"/>
          </w:tcPr>
          <w:p>
            <w:pPr>
              <w:ind w:left="240"/>
              <w:spacing w:after="0"/>
              <w:rPr>
                <w:sz w:val="20"/>
                <w:szCs w:val="20"/>
                <w:color w:val="auto"/>
              </w:rPr>
            </w:pPr>
            <w:r>
              <w:rPr>
                <w:rFonts w:ascii="Arial" w:cs="Arial" w:eastAsia="Arial" w:hAnsi="Arial"/>
                <w:sz w:val="14"/>
                <w:szCs w:val="14"/>
                <w:color w:val="auto"/>
              </w:rPr>
              <w:t>Actuarial loss</w:t>
            </w:r>
          </w:p>
        </w:tc>
        <w:tc>
          <w:tcPr>
            <w:tcW w:w="70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720" w:type="dxa"/>
            <w:vAlign w:val="bottom"/>
          </w:tcPr>
          <w:p>
            <w:pPr>
              <w:spacing w:after="0"/>
              <w:rPr>
                <w:sz w:val="16"/>
                <w:szCs w:val="16"/>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6"/>
                <w:szCs w:val="16"/>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w:t>
            </w:r>
          </w:p>
        </w:tc>
      </w:tr>
      <w:tr>
        <w:trPr>
          <w:trHeight w:val="186"/>
        </w:trPr>
        <w:tc>
          <w:tcPr>
            <w:tcW w:w="2040" w:type="dxa"/>
            <w:vAlign w:val="bottom"/>
          </w:tcPr>
          <w:p>
            <w:pPr>
              <w:ind w:left="80"/>
              <w:spacing w:after="0"/>
              <w:rPr>
                <w:sz w:val="20"/>
                <w:szCs w:val="20"/>
                <w:color w:val="auto"/>
              </w:rPr>
            </w:pPr>
            <w:r>
              <w:rPr>
                <w:rFonts w:ascii="Arial" w:cs="Arial" w:eastAsia="Arial" w:hAnsi="Arial"/>
                <w:sz w:val="14"/>
                <w:szCs w:val="14"/>
                <w:color w:val="auto"/>
              </w:rPr>
              <w:t>Regulatory adjustment</w:t>
            </w: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w:t>
            </w:r>
          </w:p>
        </w:tc>
        <w:tc>
          <w:tcPr>
            <w:tcW w:w="400" w:type="dxa"/>
            <w:vAlign w:val="bottom"/>
            <w:tcBorders>
              <w:bottom w:val="single" w:sz="8" w:color="auto"/>
            </w:tcBorders>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w:t>
            </w:r>
          </w:p>
        </w:tc>
      </w:tr>
      <w:tr>
        <w:trPr>
          <w:trHeight w:val="224"/>
        </w:trPr>
        <w:tc>
          <w:tcPr>
            <w:tcW w:w="20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 net periodic benefit cost</w:t>
            </w: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7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w:t>
            </w:r>
          </w:p>
        </w:tc>
        <w:tc>
          <w:tcPr>
            <w:tcW w:w="400" w:type="dxa"/>
            <w:vAlign w:val="bottom"/>
            <w:tcBorders>
              <w:bottom w:val="single" w:sz="8" w:color="auto"/>
            </w:tcBorders>
          </w:tcPr>
          <w:p>
            <w:pPr>
              <w:ind w:left="60"/>
              <w:spacing w:after="0" w:line="208" w:lineRule="exact"/>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w:t>
            </w:r>
          </w:p>
        </w:tc>
      </w:tr>
      <w:tr>
        <w:trPr>
          <w:trHeight w:val="192"/>
        </w:trPr>
        <w:tc>
          <w:tcPr>
            <w:tcW w:w="2040" w:type="dxa"/>
            <w:vAlign w:val="bottom"/>
          </w:tcPr>
          <w:p>
            <w:pPr>
              <w:spacing w:after="0"/>
              <w:rPr>
                <w:sz w:val="16"/>
                <w:szCs w:val="16"/>
                <w:color w:val="auto"/>
              </w:rPr>
            </w:pPr>
          </w:p>
        </w:tc>
        <w:tc>
          <w:tcPr>
            <w:tcW w:w="230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color w:val="auto"/>
              </w:rPr>
              <w:t>Nine months ended September 30,</w:t>
            </w:r>
          </w:p>
        </w:tc>
        <w:tc>
          <w:tcPr>
            <w:tcW w:w="220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3"/>
                <w:szCs w:val="13"/>
                <w:color w:val="auto"/>
              </w:rPr>
              <w:t>Nine months ended September 30,</w:t>
            </w:r>
          </w:p>
        </w:tc>
      </w:tr>
      <w:tr>
        <w:trPr>
          <w:trHeight w:val="160"/>
        </w:trPr>
        <w:tc>
          <w:tcPr>
            <w:tcW w:w="20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w w:val="96"/>
              </w:rPr>
              <w:t>2010</w:t>
            </w: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2009</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2010</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w w:val="89"/>
              </w:rPr>
              <w:t>2009</w:t>
            </w:r>
          </w:p>
        </w:tc>
      </w:tr>
      <w:tr>
        <w:trPr>
          <w:trHeight w:val="190"/>
        </w:trPr>
        <w:tc>
          <w:tcPr>
            <w:tcW w:w="2040" w:type="dxa"/>
            <w:vAlign w:val="bottom"/>
          </w:tcPr>
          <w:p>
            <w:pPr>
              <w:ind w:left="80"/>
              <w:spacing w:after="0"/>
              <w:rPr>
                <w:sz w:val="20"/>
                <w:szCs w:val="20"/>
                <w:color w:val="auto"/>
              </w:rPr>
            </w:pPr>
            <w:r>
              <w:rPr>
                <w:rFonts w:ascii="Arial" w:cs="Arial" w:eastAsia="Arial" w:hAnsi="Arial"/>
                <w:sz w:val="14"/>
                <w:szCs w:val="14"/>
                <w:color w:val="auto"/>
              </w:rPr>
              <w:t>Service cost</w:t>
            </w:r>
          </w:p>
        </w:tc>
        <w:tc>
          <w:tcPr>
            <w:tcW w:w="700" w:type="dxa"/>
            <w:vAlign w:val="bottom"/>
          </w:tcPr>
          <w:p>
            <w:pPr>
              <w:ind w:left="1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720" w:type="dxa"/>
            <w:vAlign w:val="bottom"/>
          </w:tcPr>
          <w:p>
            <w:pPr>
              <w:jc w:val="right"/>
              <w:ind w:right="471"/>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56</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20</w:t>
            </w:r>
          </w:p>
        </w:tc>
        <w:tc>
          <w:tcPr>
            <w:tcW w:w="40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21</w:t>
            </w:r>
          </w:p>
        </w:tc>
      </w:tr>
      <w:tr>
        <w:trPr>
          <w:trHeight w:val="204"/>
        </w:trPr>
        <w:tc>
          <w:tcPr>
            <w:tcW w:w="2040" w:type="dxa"/>
            <w:vAlign w:val="bottom"/>
          </w:tcPr>
          <w:p>
            <w:pPr>
              <w:ind w:left="80"/>
              <w:spacing w:after="0"/>
              <w:rPr>
                <w:sz w:val="20"/>
                <w:szCs w:val="20"/>
                <w:color w:val="auto"/>
              </w:rPr>
            </w:pPr>
            <w:r>
              <w:rPr>
                <w:rFonts w:ascii="Arial" w:cs="Arial" w:eastAsia="Arial" w:hAnsi="Arial"/>
                <w:sz w:val="14"/>
                <w:szCs w:val="14"/>
                <w:color w:val="auto"/>
              </w:rPr>
              <w:t>Interest cost</w:t>
            </w:r>
          </w:p>
        </w:tc>
        <w:tc>
          <w:tcPr>
            <w:tcW w:w="700" w:type="dxa"/>
            <w:vAlign w:val="bottom"/>
          </w:tcPr>
          <w:p>
            <w:pPr>
              <w:spacing w:after="0"/>
              <w:rPr>
                <w:sz w:val="17"/>
                <w:szCs w:val="17"/>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720" w:type="dxa"/>
            <w:vAlign w:val="bottom"/>
          </w:tcPr>
          <w:p>
            <w:pPr>
              <w:spacing w:after="0"/>
              <w:rPr>
                <w:sz w:val="17"/>
                <w:szCs w:val="17"/>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127</w:t>
            </w:r>
          </w:p>
        </w:tc>
        <w:tc>
          <w:tcPr>
            <w:tcW w:w="180" w:type="dxa"/>
            <w:vAlign w:val="bottom"/>
          </w:tcPr>
          <w:p>
            <w:pPr>
              <w:spacing w:after="0"/>
              <w:rPr>
                <w:sz w:val="17"/>
                <w:szCs w:val="17"/>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43</w:t>
            </w:r>
          </w:p>
        </w:tc>
        <w:tc>
          <w:tcPr>
            <w:tcW w:w="40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43</w:t>
            </w:r>
          </w:p>
        </w:tc>
      </w:tr>
      <w:tr>
        <w:trPr>
          <w:trHeight w:val="204"/>
        </w:trPr>
        <w:tc>
          <w:tcPr>
            <w:tcW w:w="2040" w:type="dxa"/>
            <w:vAlign w:val="bottom"/>
          </w:tcPr>
          <w:p>
            <w:pPr>
              <w:ind w:left="80"/>
              <w:spacing w:after="0"/>
              <w:rPr>
                <w:sz w:val="20"/>
                <w:szCs w:val="20"/>
                <w:color w:val="auto"/>
              </w:rPr>
            </w:pPr>
            <w:r>
              <w:rPr>
                <w:rFonts w:ascii="Arial" w:cs="Arial" w:eastAsia="Arial" w:hAnsi="Arial"/>
                <w:sz w:val="14"/>
                <w:szCs w:val="14"/>
                <w:color w:val="auto"/>
              </w:rPr>
              <w:t>Expected return on assets</w:t>
            </w:r>
          </w:p>
        </w:tc>
        <w:tc>
          <w:tcPr>
            <w:tcW w:w="700" w:type="dxa"/>
            <w:vAlign w:val="bottom"/>
          </w:tcPr>
          <w:p>
            <w:pPr>
              <w:spacing w:after="0"/>
              <w:rPr>
                <w:sz w:val="17"/>
                <w:szCs w:val="17"/>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w w:val="97"/>
              </w:rPr>
              <w:t>(108)</w:t>
            </w:r>
          </w:p>
        </w:tc>
        <w:tc>
          <w:tcPr>
            <w:tcW w:w="72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w w:val="91"/>
              </w:rPr>
              <w:t>(104)</w:t>
            </w:r>
          </w:p>
        </w:tc>
        <w:tc>
          <w:tcPr>
            <w:tcW w:w="180" w:type="dxa"/>
            <w:vAlign w:val="bottom"/>
          </w:tcPr>
          <w:p>
            <w:pPr>
              <w:spacing w:after="0"/>
              <w:rPr>
                <w:sz w:val="17"/>
                <w:szCs w:val="17"/>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(35)</w:t>
            </w:r>
          </w:p>
        </w:tc>
        <w:tc>
          <w:tcPr>
            <w:tcW w:w="40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(35)</w:t>
            </w:r>
          </w:p>
        </w:tc>
      </w:tr>
      <w:tr>
        <w:trPr>
          <w:trHeight w:val="204"/>
        </w:trPr>
        <w:tc>
          <w:tcPr>
            <w:tcW w:w="2040" w:type="dxa"/>
            <w:vAlign w:val="bottom"/>
          </w:tcPr>
          <w:p>
            <w:pPr>
              <w:ind w:left="80"/>
              <w:spacing w:after="0"/>
              <w:rPr>
                <w:sz w:val="20"/>
                <w:szCs w:val="20"/>
                <w:color w:val="auto"/>
              </w:rPr>
            </w:pPr>
            <w:r>
              <w:rPr>
                <w:rFonts w:ascii="Arial" w:cs="Arial" w:eastAsia="Arial" w:hAnsi="Arial"/>
                <w:sz w:val="14"/>
                <w:szCs w:val="14"/>
                <w:color w:val="auto"/>
              </w:rPr>
              <w:t>Amortization of:</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4"/>
        </w:trPr>
        <w:tc>
          <w:tcPr>
            <w:tcW w:w="2040" w:type="dxa"/>
            <w:vAlign w:val="bottom"/>
          </w:tcPr>
          <w:p>
            <w:pPr>
              <w:ind w:left="240"/>
              <w:spacing w:after="0"/>
              <w:rPr>
                <w:sz w:val="20"/>
                <w:szCs w:val="20"/>
                <w:color w:val="auto"/>
              </w:rPr>
            </w:pPr>
            <w:r>
              <w:rPr>
                <w:rFonts w:ascii="Arial" w:cs="Arial" w:eastAsia="Arial" w:hAnsi="Arial"/>
                <w:sz w:val="14"/>
                <w:szCs w:val="14"/>
                <w:color w:val="auto"/>
              </w:rPr>
              <w:t>Prior service cost (credit)</w:t>
            </w:r>
          </w:p>
        </w:tc>
        <w:tc>
          <w:tcPr>
            <w:tcW w:w="700" w:type="dxa"/>
            <w:vAlign w:val="bottom"/>
          </w:tcPr>
          <w:p>
            <w:pPr>
              <w:spacing w:after="0"/>
              <w:rPr>
                <w:sz w:val="17"/>
                <w:szCs w:val="17"/>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720" w:type="dxa"/>
            <w:vAlign w:val="bottom"/>
          </w:tcPr>
          <w:p>
            <w:pPr>
              <w:spacing w:after="0"/>
              <w:rPr>
                <w:sz w:val="17"/>
                <w:szCs w:val="17"/>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04"/>
        </w:trPr>
        <w:tc>
          <w:tcPr>
            <w:tcW w:w="2040" w:type="dxa"/>
            <w:vAlign w:val="bottom"/>
          </w:tcPr>
          <w:p>
            <w:pPr>
              <w:ind w:left="240"/>
              <w:spacing w:after="0"/>
              <w:rPr>
                <w:sz w:val="20"/>
                <w:szCs w:val="20"/>
                <w:color w:val="auto"/>
              </w:rPr>
            </w:pPr>
            <w:r>
              <w:rPr>
                <w:rFonts w:ascii="Arial" w:cs="Arial" w:eastAsia="Arial" w:hAnsi="Arial"/>
                <w:sz w:val="14"/>
                <w:szCs w:val="14"/>
                <w:color w:val="auto"/>
              </w:rPr>
              <w:t>Ac tuarial loss</w:t>
            </w:r>
          </w:p>
        </w:tc>
        <w:tc>
          <w:tcPr>
            <w:tcW w:w="700" w:type="dxa"/>
            <w:vAlign w:val="bottom"/>
          </w:tcPr>
          <w:p>
            <w:pPr>
              <w:spacing w:after="0"/>
              <w:rPr>
                <w:sz w:val="17"/>
                <w:szCs w:val="17"/>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720" w:type="dxa"/>
            <w:vAlign w:val="bottom"/>
          </w:tcPr>
          <w:p>
            <w:pPr>
              <w:spacing w:after="0"/>
              <w:rPr>
                <w:sz w:val="17"/>
                <w:szCs w:val="17"/>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7"/>
                <w:szCs w:val="17"/>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6</w:t>
            </w:r>
          </w:p>
        </w:tc>
        <w:tc>
          <w:tcPr>
            <w:tcW w:w="40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w:t>
            </w:r>
          </w:p>
        </w:tc>
      </w:tr>
      <w:tr>
        <w:trPr>
          <w:trHeight w:val="198"/>
        </w:trPr>
        <w:tc>
          <w:tcPr>
            <w:tcW w:w="2040" w:type="dxa"/>
            <w:vAlign w:val="bottom"/>
          </w:tcPr>
          <w:p>
            <w:pPr>
              <w:ind w:left="80"/>
              <w:spacing w:after="0"/>
              <w:rPr>
                <w:sz w:val="20"/>
                <w:szCs w:val="20"/>
                <w:color w:val="auto"/>
              </w:rPr>
            </w:pPr>
            <w:r>
              <w:rPr>
                <w:rFonts w:ascii="Arial" w:cs="Arial" w:eastAsia="Arial" w:hAnsi="Arial"/>
                <w:sz w:val="14"/>
                <w:szCs w:val="14"/>
                <w:color w:val="auto"/>
              </w:rPr>
              <w:t>Regulatory adjustment</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w:t>
            </w:r>
          </w:p>
        </w:tc>
      </w:tr>
      <w:tr>
        <w:trPr>
          <w:trHeight w:val="200"/>
        </w:trPr>
        <w:tc>
          <w:tcPr>
            <w:tcW w:w="20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 net periodic benefit cost</w:t>
            </w: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w:t>
            </w:r>
          </w:p>
        </w:tc>
        <w:tc>
          <w:tcPr>
            <w:tcW w:w="7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38</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411480</wp:posOffset>
            </wp:positionV>
            <wp:extent cx="7261860" cy="289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NET PERIODIC BENE FIT COST -- SDG&amp;E</w:t>
      </w:r>
    </w:p>
    <w:p>
      <w:pPr>
        <w:spacing w:after="0" w:line="100" w:lineRule="exact"/>
        <w:rPr>
          <w:sz w:val="20"/>
          <w:szCs w:val="20"/>
          <w:color w:val="auto"/>
        </w:rPr>
      </w:pPr>
    </w:p>
    <w:p>
      <w:pPr>
        <w:ind w:left="84"/>
        <w:spacing w:after="0"/>
        <w:rPr>
          <w:sz w:val="20"/>
          <w:szCs w:val="20"/>
          <w:color w:val="auto"/>
        </w:rPr>
      </w:pPr>
      <w:r>
        <w:rPr>
          <w:rFonts w:ascii="Arial" w:cs="Arial" w:eastAsia="Arial" w:hAnsi="Arial"/>
          <w:sz w:val="13"/>
          <w:szCs w:val="13"/>
          <w:i w:val="1"/>
          <w:iCs w:val="1"/>
          <w:color w:val="auto"/>
        </w:rPr>
        <w:t>(Dollars in millions)</w:t>
      </w:r>
    </w:p>
    <w:p>
      <w:pPr>
        <w:spacing w:after="0" w:line="21" w:lineRule="exact"/>
        <w:rPr>
          <w:sz w:val="20"/>
          <w:szCs w:val="20"/>
          <w:color w:val="auto"/>
        </w:rPr>
      </w:pPr>
    </w:p>
    <w:tbl>
      <w:tblPr>
        <w:tblLayout w:type="fixed"/>
        <w:tblInd w:w="1924" w:type="dxa"/>
        <w:tblCellMar>
          <w:top w:w="0" w:type="dxa"/>
          <w:left w:w="0" w:type="dxa"/>
          <w:bottom w:w="0" w:type="dxa"/>
          <w:right w:w="0" w:type="dxa"/>
        </w:tblCellMar>
      </w:tblPr>
      <w:tr>
        <w:trPr>
          <w:trHeight w:val="149"/>
        </w:trPr>
        <w:tc>
          <w:tcPr>
            <w:tcW w:w="5820" w:type="dxa"/>
            <w:vAlign w:val="bottom"/>
            <w:tcBorders>
              <w:bottom w:val="single" w:sz="8" w:color="auto"/>
            </w:tcBorders>
          </w:tcPr>
          <w:p>
            <w:pPr>
              <w:jc w:val="center"/>
              <w:ind w:left="1556"/>
              <w:spacing w:after="0"/>
              <w:rPr>
                <w:sz w:val="20"/>
                <w:szCs w:val="20"/>
                <w:color w:val="auto"/>
              </w:rPr>
            </w:pPr>
            <w:r>
              <w:rPr>
                <w:rFonts w:ascii="Arial" w:cs="Arial" w:eastAsia="Arial" w:hAnsi="Arial"/>
                <w:sz w:val="13"/>
                <w:szCs w:val="13"/>
                <w:color w:val="auto"/>
                <w:w w:val="98"/>
              </w:rPr>
              <w:t>Pension Benefits</w:t>
            </w:r>
          </w:p>
        </w:tc>
        <w:tc>
          <w:tcPr>
            <w:tcW w:w="156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8"/>
              </w:rPr>
              <w:t>Other Postretirement Benefits</w:t>
            </w:r>
          </w:p>
        </w:tc>
      </w:tr>
      <w:tr>
        <w:trPr>
          <w:trHeight w:val="140"/>
        </w:trPr>
        <w:tc>
          <w:tcPr>
            <w:tcW w:w="5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40" w:type="dxa"/>
            <w:vAlign w:val="bottom"/>
            <w:gridSpan w:val="2"/>
          </w:tcPr>
          <w:p>
            <w:pPr>
              <w:jc w:val="center"/>
              <w:spacing w:after="0" w:line="141" w:lineRule="exact"/>
              <w:rPr>
                <w:sz w:val="20"/>
                <w:szCs w:val="20"/>
                <w:color w:val="auto"/>
              </w:rPr>
            </w:pPr>
            <w:r>
              <w:rPr>
                <w:rFonts w:ascii="Arial" w:cs="Arial" w:eastAsia="Arial" w:hAnsi="Arial"/>
                <w:sz w:val="13"/>
                <w:szCs w:val="13"/>
                <w:color w:val="auto"/>
                <w:w w:val="98"/>
              </w:rPr>
              <w:t>Three months ended September</w:t>
            </w:r>
          </w:p>
        </w:tc>
      </w:tr>
      <w:tr>
        <w:trPr>
          <w:trHeight w:val="140"/>
        </w:trPr>
        <w:tc>
          <w:tcPr>
            <w:tcW w:w="5820" w:type="dxa"/>
            <w:vAlign w:val="bottom"/>
            <w:tcBorders>
              <w:bottom w:val="single" w:sz="8" w:color="auto"/>
            </w:tcBorders>
          </w:tcPr>
          <w:p>
            <w:pPr>
              <w:jc w:val="center"/>
              <w:ind w:left="1556"/>
              <w:spacing w:after="0" w:line="140" w:lineRule="exact"/>
              <w:rPr>
                <w:sz w:val="20"/>
                <w:szCs w:val="20"/>
                <w:color w:val="auto"/>
              </w:rPr>
            </w:pPr>
            <w:r>
              <w:rPr>
                <w:rFonts w:ascii="Arial" w:cs="Arial" w:eastAsia="Arial" w:hAnsi="Arial"/>
                <w:sz w:val="13"/>
                <w:szCs w:val="13"/>
                <w:color w:val="auto"/>
                <w:w w:val="97"/>
              </w:rPr>
              <w:t>Three months ended September 30,</w:t>
            </w:r>
          </w:p>
        </w:tc>
        <w:tc>
          <w:tcPr>
            <w:tcW w:w="15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736"/>
              <w:spacing w:after="0" w:line="140" w:lineRule="exact"/>
              <w:rPr>
                <w:sz w:val="20"/>
                <w:szCs w:val="20"/>
                <w:color w:val="auto"/>
              </w:rPr>
            </w:pPr>
            <w:r>
              <w:rPr>
                <w:rFonts w:ascii="Arial" w:cs="Arial" w:eastAsia="Arial" w:hAnsi="Arial"/>
                <w:sz w:val="13"/>
                <w:szCs w:val="13"/>
                <w:color w:val="auto"/>
                <w:w w:val="99"/>
              </w:rPr>
              <w:t>30,</w:t>
            </w:r>
          </w:p>
        </w:tc>
      </w:tr>
      <w:tr>
        <w:trPr>
          <w:trHeight w:val="162"/>
        </w:trPr>
        <w:tc>
          <w:tcPr>
            <w:tcW w:w="5820" w:type="dxa"/>
            <w:vAlign w:val="bottom"/>
          </w:tcPr>
          <w:p>
            <w:pPr>
              <w:ind w:left="3000"/>
              <w:spacing w:after="0"/>
              <w:rPr>
                <w:sz w:val="20"/>
                <w:szCs w:val="20"/>
                <w:color w:val="auto"/>
              </w:rPr>
            </w:pPr>
            <w:r>
              <w:rPr>
                <w:rFonts w:ascii="Arial" w:cs="Arial" w:eastAsia="Arial" w:hAnsi="Arial"/>
                <w:sz w:val="13"/>
                <w:szCs w:val="13"/>
                <w:color w:val="auto"/>
              </w:rPr>
              <w:t>2010&amp;nb sp;</w:t>
            </w:r>
          </w:p>
        </w:tc>
        <w:tc>
          <w:tcPr>
            <w:tcW w:w="1560" w:type="dxa"/>
            <w:vAlign w:val="bottom"/>
          </w:tcPr>
          <w:p>
            <w:pPr>
              <w:jc w:val="right"/>
              <w:ind w:right="136"/>
              <w:spacing w:after="0"/>
              <w:rPr>
                <w:sz w:val="20"/>
                <w:szCs w:val="20"/>
                <w:color w:val="auto"/>
              </w:rPr>
            </w:pPr>
            <w:r>
              <w:rPr>
                <w:rFonts w:ascii="Arial" w:cs="Arial" w:eastAsia="Arial" w:hAnsi="Arial"/>
                <w:sz w:val="13"/>
                <w:szCs w:val="13"/>
                <w:color w:val="auto"/>
              </w:rPr>
              <w:t>2009</w:t>
            </w: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2010</w:t>
            </w:r>
          </w:p>
        </w:tc>
        <w:tc>
          <w:tcPr>
            <w:tcW w:w="1300" w:type="dxa"/>
            <w:vAlign w:val="bottom"/>
          </w:tcPr>
          <w:p>
            <w:pPr>
              <w:jc w:val="right"/>
              <w:ind w:right="396"/>
              <w:spacing w:after="0"/>
              <w:rPr>
                <w:sz w:val="20"/>
                <w:szCs w:val="20"/>
                <w:color w:val="auto"/>
              </w:rPr>
            </w:pPr>
            <w:r>
              <w:rPr>
                <w:rFonts w:ascii="Arial" w:cs="Arial" w:eastAsia="Arial" w:hAnsi="Arial"/>
                <w:sz w:val="13"/>
                <w:szCs w:val="13"/>
                <w:color w:val="auto"/>
              </w:rPr>
              <w:t>2009</w:t>
            </w:r>
          </w:p>
        </w:tc>
      </w:tr>
    </w:tbl>
    <w:p>
      <w:pPr>
        <w:sectPr>
          <w:pgSz w:w="11900" w:h="16926" w:orient="portrait"/>
          <w:cols w:equalWidth="0" w:num="1">
            <w:col w:w="11444"/>
          </w:cols>
          <w:pgMar w:left="236" w:top="131" w:right="21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9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Service cost</w:t>
            </w:r>
          </w:p>
        </w:tc>
        <w:tc>
          <w:tcPr>
            <w:tcW w:w="22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2"/>
          </w:tcPr>
          <w:p>
            <w:pPr>
              <w:jc w:val="right"/>
              <w:ind w:right="44"/>
              <w:spacing w:after="0"/>
              <w:rPr>
                <w:sz w:val="20"/>
                <w:szCs w:val="20"/>
                <w:color w:val="auto"/>
              </w:rPr>
            </w:pPr>
            <w:r>
              <w:rPr>
                <w:rFonts w:ascii="Arial" w:cs="Arial" w:eastAsia="Arial" w:hAnsi="Arial"/>
                <w:sz w:val="14"/>
                <w:szCs w:val="14"/>
                <w:color w:val="auto"/>
              </w:rPr>
              <w:t>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5</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36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r>
      <w:tr>
        <w:trPr>
          <w:trHeight w:val="190"/>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Interest cost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00" w:type="dxa"/>
            <w:vAlign w:val="bottom"/>
            <w:gridSpan w:val="2"/>
          </w:tcPr>
          <w:p>
            <w:pPr>
              <w:jc w:val="right"/>
              <w:ind w:right="44"/>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w:t>
            </w:r>
          </w:p>
        </w:tc>
      </w:tr>
      <w:tr>
        <w:trPr>
          <w:trHeight w:val="194"/>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Expected return on assets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00" w:type="dxa"/>
            <w:vAlign w:val="bottom"/>
            <w:gridSpan w:val="2"/>
          </w:tcPr>
          <w:p>
            <w:pPr>
              <w:jc w:val="right"/>
              <w:ind w:right="4"/>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6"/>
                <w:szCs w:val="16"/>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180"/>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Amortization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0"/>
        </w:trPr>
        <w:tc>
          <w:tcPr>
            <w:tcW w:w="1980" w:type="dxa"/>
            <w:vAlign w:val="bottom"/>
            <w:gridSpan w:val="2"/>
          </w:tcPr>
          <w:p>
            <w:pPr>
              <w:ind w:left="300"/>
              <w:spacing w:after="0"/>
              <w:rPr>
                <w:sz w:val="20"/>
                <w:szCs w:val="20"/>
                <w:color w:val="auto"/>
              </w:rPr>
            </w:pPr>
            <w:r>
              <w:rPr>
                <w:rFonts w:ascii="Arial" w:cs="Arial" w:eastAsia="Arial" w:hAnsi="Arial"/>
                <w:sz w:val="19"/>
                <w:szCs w:val="19"/>
                <w:color w:val="auto"/>
              </w:rPr>
              <w:t>Prior service cost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00" w:type="dxa"/>
            <w:vAlign w:val="bottom"/>
            <w:gridSpan w:val="2"/>
          </w:tcPr>
          <w:p>
            <w:pPr>
              <w:jc w:val="right"/>
              <w:ind w:right="44"/>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9"/>
                <w:szCs w:val="19"/>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w:t>
            </w:r>
          </w:p>
        </w:tc>
      </w:tr>
      <w:tr>
        <w:trPr>
          <w:trHeight w:val="165"/>
        </w:trPr>
        <w:tc>
          <w:tcPr>
            <w:tcW w:w="1980" w:type="dxa"/>
            <w:vAlign w:val="bottom"/>
            <w:gridSpan w:val="2"/>
          </w:tcPr>
          <w:p>
            <w:pPr>
              <w:ind w:left="240"/>
              <w:spacing w:after="0"/>
              <w:rPr>
                <w:sz w:val="20"/>
                <w:szCs w:val="20"/>
                <w:color w:val="auto"/>
              </w:rPr>
            </w:pPr>
            <w:r>
              <w:rPr>
                <w:rFonts w:ascii="Arial" w:cs="Arial" w:eastAsia="Arial" w:hAnsi="Arial"/>
                <w:sz w:val="14"/>
                <w:szCs w:val="14"/>
                <w:color w:val="auto"/>
              </w:rPr>
              <w:t>Actuarial loss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500" w:type="dxa"/>
            <w:vAlign w:val="bottom"/>
            <w:gridSpan w:val="2"/>
          </w:tcPr>
          <w:p>
            <w:pPr>
              <w:jc w:val="right"/>
              <w:ind w:right="44"/>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jc w:val="right"/>
              <w:ind w:right="254"/>
              <w:spacing w:after="0"/>
              <w:rPr>
                <w:sz w:val="20"/>
                <w:szCs w:val="20"/>
                <w:color w:val="auto"/>
              </w:rPr>
            </w:pPr>
            <w:r>
              <w:rPr>
                <w:rFonts w:ascii="Arial" w:cs="Arial" w:eastAsia="Arial" w:hAnsi="Arial"/>
                <w:sz w:val="8"/>
                <w:szCs w:val="8"/>
                <w:color w:val="auto"/>
                <w:w w:val="73"/>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 ;</w:t>
            </w:r>
          </w:p>
        </w:tc>
      </w:tr>
      <w:tr>
        <w:trPr>
          <w:trHeight w:val="216"/>
        </w:trPr>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gridSpan w:val="10"/>
          </w:tcPr>
          <w:p>
            <w:pPr>
              <w:jc w:val="right"/>
              <w:ind w:right="4"/>
              <w:spacing w:after="0" w:line="216" w:lineRule="exact"/>
              <w:rPr>
                <w:sz w:val="20"/>
                <w:szCs w:val="20"/>
                <w:color w:val="auto"/>
              </w:rPr>
            </w:pPr>
            <w:r>
              <w:rPr>
                <w:rFonts w:ascii="Arial" w:cs="Arial" w:eastAsia="Arial" w:hAnsi="Arial"/>
                <w:sz w:val="19"/>
                <w:szCs w:val="19"/>
                <w:color w:val="auto"/>
              </w:rPr>
              <w:t>&lt; font style="FONT-SIZE:9pt; COLOR:black; FONT-FAMILY:'Arial','sans-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5"/>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Regulatory adjustment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40" w:type="dxa"/>
            <w:vAlign w:val="bottom"/>
          </w:tcPr>
          <w:p>
            <w:pPr>
              <w:jc w:val="right"/>
              <w:ind w:right="44"/>
              <w:spacing w:after="0"/>
              <w:rPr>
                <w:sz w:val="20"/>
                <w:szCs w:val="20"/>
                <w:color w:val="auto"/>
              </w:rPr>
            </w:pPr>
            <w:r>
              <w:rPr>
                <w:rFonts w:ascii="Arial" w:cs="Arial" w:eastAsia="Arial" w:hAnsi="Arial"/>
                <w:sz w:val="19"/>
                <w:szCs w:val="19"/>
                <w:color w:val="auto"/>
              </w:rPr>
              <w:t>serif'"&gt; 3</w:t>
            </w:r>
          </w:p>
        </w:tc>
        <w:tc>
          <w:tcPr>
            <w:tcW w:w="180" w:type="dxa"/>
            <w:vAlign w:val="bottom"/>
          </w:tcPr>
          <w:p>
            <w:pPr>
              <w:spacing w:after="0"/>
              <w:rPr>
                <w:sz w:val="20"/>
                <w:szCs w:val="20"/>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150"/>
        </w:trPr>
        <w:tc>
          <w:tcPr>
            <w:tcW w:w="1920" w:type="dxa"/>
            <w:vAlign w:val="bottom"/>
          </w:tcPr>
          <w:p>
            <w:pPr>
              <w:ind w:left="80"/>
              <w:spacing w:after="0" w:line="150" w:lineRule="exact"/>
              <w:rPr>
                <w:sz w:val="20"/>
                <w:szCs w:val="20"/>
                <w:color w:val="auto"/>
              </w:rPr>
            </w:pPr>
            <w:r>
              <w:rPr>
                <w:rFonts w:ascii="Arial" w:cs="Arial" w:eastAsia="Arial" w:hAnsi="Arial"/>
                <w:sz w:val="14"/>
                <w:szCs w:val="14"/>
                <w:color w:val="auto"/>
              </w:rPr>
              <w:t>Total net periodic benefit</w:t>
            </w: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182"/>
        </w:trPr>
        <w:tc>
          <w:tcPr>
            <w:tcW w:w="1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cost</w:t>
            </w:r>
          </w:p>
        </w:tc>
        <w:tc>
          <w:tcPr>
            <w:tcW w:w="2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4"/>
                <w:szCs w:val="14"/>
                <w:color w:val="auto"/>
              </w:rPr>
              <w:t>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w:t>
            </w:r>
          </w:p>
        </w:tc>
      </w:tr>
      <w:tr>
        <w:trPr>
          <w:trHeight w:val="148"/>
        </w:trPr>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80" w:type="dxa"/>
            <w:vAlign w:val="bottom"/>
            <w:gridSpan w:val="4"/>
          </w:tcPr>
          <w:p>
            <w:pPr>
              <w:jc w:val="right"/>
              <w:ind w:right="89"/>
              <w:spacing w:after="0" w:line="148" w:lineRule="exact"/>
              <w:rPr>
                <w:sz w:val="20"/>
                <w:szCs w:val="20"/>
                <w:color w:val="auto"/>
              </w:rPr>
            </w:pPr>
            <w:r>
              <w:rPr>
                <w:rFonts w:ascii="Arial" w:cs="Arial" w:eastAsia="Arial" w:hAnsi="Arial"/>
                <w:sz w:val="13"/>
                <w:szCs w:val="13"/>
                <w:color w:val="auto"/>
              </w:rPr>
              <w:t>Nine months ended September</w:t>
            </w:r>
          </w:p>
        </w:tc>
      </w:tr>
      <w:tr>
        <w:trPr>
          <w:trHeight w:val="140"/>
        </w:trPr>
        <w:tc>
          <w:tcPr>
            <w:tcW w:w="19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20" w:type="dxa"/>
            <w:vAlign w:val="bottom"/>
            <w:tcBorders>
              <w:bottom w:val="single" w:sz="8" w:color="auto"/>
            </w:tcBorders>
            <w:gridSpan w:val="4"/>
          </w:tcPr>
          <w:p>
            <w:pPr>
              <w:jc w:val="right"/>
              <w:ind w:right="1844"/>
              <w:spacing w:after="0" w:line="140" w:lineRule="exact"/>
              <w:rPr>
                <w:sz w:val="20"/>
                <w:szCs w:val="20"/>
                <w:color w:val="auto"/>
              </w:rPr>
            </w:pPr>
            <w:r>
              <w:rPr>
                <w:rFonts w:ascii="Arial" w:cs="Arial" w:eastAsia="Arial" w:hAnsi="Arial"/>
                <w:sz w:val="13"/>
                <w:szCs w:val="13"/>
                <w:color w:val="auto"/>
              </w:rPr>
              <w:t>Nine months ended September 30,</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94"/>
              <w:spacing w:after="0" w:line="140" w:lineRule="exact"/>
              <w:rPr>
                <w:sz w:val="20"/>
                <w:szCs w:val="20"/>
                <w:color w:val="auto"/>
              </w:rPr>
            </w:pPr>
            <w:r>
              <w:rPr>
                <w:rFonts w:ascii="Arial" w:cs="Arial" w:eastAsia="Arial" w:hAnsi="Arial"/>
                <w:sz w:val="13"/>
                <w:szCs w:val="13"/>
                <w:color w:val="auto"/>
                <w:w w:val="99"/>
              </w:rPr>
              <w:t>30,</w:t>
            </w:r>
          </w:p>
        </w:tc>
        <w:tc>
          <w:tcPr>
            <w:tcW w:w="800" w:type="dxa"/>
            <w:vAlign w:val="bottom"/>
            <w:tcBorders>
              <w:bottom w:val="single" w:sz="8" w:color="auto"/>
            </w:tcBorders>
          </w:tcPr>
          <w:p>
            <w:pPr>
              <w:spacing w:after="0"/>
              <w:rPr>
                <w:sz w:val="12"/>
                <w:szCs w:val="12"/>
                <w:color w:val="auto"/>
              </w:rPr>
            </w:pPr>
          </w:p>
        </w:tc>
      </w:tr>
      <w:tr>
        <w:trPr>
          <w:trHeight w:val="148"/>
        </w:trPr>
        <w:tc>
          <w:tcPr>
            <w:tcW w:w="19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3"/>
                <w:szCs w:val="13"/>
                <w:color w:val="auto"/>
              </w:rPr>
              <w:t>2010</w:t>
            </w:r>
          </w:p>
        </w:tc>
        <w:tc>
          <w:tcPr>
            <w:tcW w:w="4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9"/>
              <w:spacing w:after="0" w:line="148" w:lineRule="exact"/>
              <w:rPr>
                <w:sz w:val="20"/>
                <w:szCs w:val="20"/>
                <w:color w:val="auto"/>
              </w:rPr>
            </w:pPr>
            <w:r>
              <w:rPr>
                <w:rFonts w:ascii="Arial" w:cs="Arial" w:eastAsia="Arial" w:hAnsi="Arial"/>
                <w:sz w:val="13"/>
                <w:szCs w:val="13"/>
                <w:color w:val="auto"/>
                <w:w w:val="96"/>
              </w:rPr>
              <w:t>2009</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9"/>
              <w:spacing w:after="0" w:line="148" w:lineRule="exact"/>
              <w:rPr>
                <w:sz w:val="20"/>
                <w:szCs w:val="20"/>
                <w:color w:val="auto"/>
              </w:rPr>
            </w:pPr>
            <w:r>
              <w:rPr>
                <w:rFonts w:ascii="Arial" w:cs="Arial" w:eastAsia="Arial" w:hAnsi="Arial"/>
                <w:sz w:val="13"/>
                <w:szCs w:val="13"/>
                <w:color w:val="auto"/>
              </w:rPr>
              <w:t>2010</w:t>
            </w: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9"/>
              <w:spacing w:after="0" w:line="148" w:lineRule="exact"/>
              <w:rPr>
                <w:sz w:val="20"/>
                <w:szCs w:val="20"/>
                <w:color w:val="auto"/>
              </w:rPr>
            </w:pPr>
            <w:r>
              <w:rPr>
                <w:rFonts w:ascii="Arial" w:cs="Arial" w:eastAsia="Arial" w:hAnsi="Arial"/>
                <w:sz w:val="13"/>
                <w:szCs w:val="13"/>
                <w:color w:val="auto"/>
              </w:rPr>
              <w:t>2009</w:t>
            </w:r>
          </w:p>
        </w:tc>
      </w:tr>
      <w:tr>
        <w:trPr>
          <w:trHeight w:val="190"/>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Service cost</w:t>
            </w:r>
          </w:p>
        </w:tc>
        <w:tc>
          <w:tcPr>
            <w:tcW w:w="220" w:type="dxa"/>
            <w:vAlign w:val="bottom"/>
            <w:gridSpan w:val="2"/>
          </w:tcPr>
          <w:p>
            <w:pPr>
              <w:jc w:val="right"/>
              <w:ind w:right="36"/>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00" w:type="dxa"/>
            <w:vAlign w:val="bottom"/>
            <w:gridSpan w:val="2"/>
          </w:tcPr>
          <w:p>
            <w:pPr>
              <w:jc w:val="right"/>
              <w:ind w:right="44"/>
              <w:spacing w:after="0"/>
              <w:rPr>
                <w:sz w:val="20"/>
                <w:szCs w:val="20"/>
                <w:color w:val="auto"/>
              </w:rPr>
            </w:pPr>
            <w:r>
              <w:rPr>
                <w:rFonts w:ascii="Arial" w:cs="Arial" w:eastAsia="Arial" w:hAnsi="Arial"/>
                <w:sz w:val="14"/>
                <w:szCs w:val="14"/>
                <w:color w:val="auto"/>
              </w:rPr>
              <w:t>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17</w:t>
            </w:r>
          </w:p>
        </w:tc>
        <w:tc>
          <w:tcPr>
            <w:tcW w:w="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36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5</w:t>
            </w:r>
          </w:p>
        </w:tc>
      </w:tr>
      <w:tr>
        <w:trPr>
          <w:trHeight w:val="204"/>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Interest cost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00" w:type="dxa"/>
            <w:vAlign w:val="bottom"/>
            <w:gridSpan w:val="2"/>
          </w:tcPr>
          <w:p>
            <w:pPr>
              <w:jc w:val="right"/>
              <w:ind w:right="44"/>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36</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4"/>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Expected return on assets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00" w:type="dxa"/>
            <w:vAlign w:val="bottom"/>
            <w:gridSpan w:val="2"/>
          </w:tcPr>
          <w:p>
            <w:pPr>
              <w:jc w:val="right"/>
              <w:ind w:right="4"/>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17"/>
                <w:szCs w:val="17"/>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7"/>
                <w:szCs w:val="17"/>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w:t>
            </w:r>
          </w:p>
        </w:tc>
      </w:tr>
      <w:tr>
        <w:trPr>
          <w:trHeight w:val="204"/>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Amortization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1980" w:type="dxa"/>
            <w:vAlign w:val="bottom"/>
            <w:gridSpan w:val="2"/>
          </w:tcPr>
          <w:p>
            <w:pPr>
              <w:ind w:left="240"/>
              <w:spacing w:after="0"/>
              <w:rPr>
                <w:sz w:val="20"/>
                <w:szCs w:val="20"/>
                <w:color w:val="auto"/>
              </w:rPr>
            </w:pPr>
            <w:r>
              <w:rPr>
                <w:rFonts w:ascii="Arial" w:cs="Arial" w:eastAsia="Arial" w:hAnsi="Arial"/>
                <w:sz w:val="14"/>
                <w:szCs w:val="14"/>
                <w:color w:val="auto"/>
              </w:rPr>
              <w:t>Prior service cost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00" w:type="dxa"/>
            <w:vAlign w:val="bottom"/>
            <w:gridSpan w:val="2"/>
          </w:tcPr>
          <w:p>
            <w:pPr>
              <w:jc w:val="right"/>
              <w:ind w:right="44"/>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17"/>
                <w:szCs w:val="17"/>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w:t>
            </w:r>
          </w:p>
        </w:tc>
      </w:tr>
      <w:tr>
        <w:trPr>
          <w:trHeight w:val="204"/>
        </w:trPr>
        <w:tc>
          <w:tcPr>
            <w:tcW w:w="1980" w:type="dxa"/>
            <w:vAlign w:val="bottom"/>
            <w:gridSpan w:val="2"/>
          </w:tcPr>
          <w:p>
            <w:pPr>
              <w:ind w:left="240"/>
              <w:spacing w:after="0"/>
              <w:rPr>
                <w:sz w:val="20"/>
                <w:szCs w:val="20"/>
                <w:color w:val="auto"/>
              </w:rPr>
            </w:pPr>
            <w:r>
              <w:rPr>
                <w:rFonts w:ascii="Arial" w:cs="Arial" w:eastAsia="Arial" w:hAnsi="Arial"/>
                <w:sz w:val="14"/>
                <w:szCs w:val="14"/>
                <w:color w:val="auto"/>
              </w:rPr>
              <w:t>Actuarial loss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00" w:type="dxa"/>
            <w:vAlign w:val="bottom"/>
            <w:gridSpan w:val="2"/>
          </w:tcPr>
          <w:p>
            <w:pPr>
              <w:jc w:val="right"/>
              <w:ind w:right="44"/>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198"/>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Regulatory adjustment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00" w:type="dxa"/>
            <w:vAlign w:val="bottom"/>
            <w:gridSpan w:val="2"/>
          </w:tcPr>
          <w:p>
            <w:pPr>
              <w:jc w:val="right"/>
              <w:ind w:right="4"/>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7"/>
                <w:szCs w:val="17"/>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w:t>
            </w:r>
          </w:p>
        </w:tc>
      </w:tr>
      <w:tr>
        <w:trPr>
          <w:trHeight w:val="150"/>
        </w:trPr>
        <w:tc>
          <w:tcPr>
            <w:tcW w:w="1920" w:type="dxa"/>
            <w:vAlign w:val="bottom"/>
          </w:tcPr>
          <w:p>
            <w:pPr>
              <w:ind w:left="80"/>
              <w:spacing w:after="0" w:line="150" w:lineRule="exact"/>
              <w:rPr>
                <w:sz w:val="20"/>
                <w:szCs w:val="20"/>
                <w:color w:val="auto"/>
              </w:rPr>
            </w:pPr>
            <w:r>
              <w:rPr>
                <w:rFonts w:ascii="Arial" w:cs="Arial" w:eastAsia="Arial" w:hAnsi="Arial"/>
                <w:sz w:val="14"/>
                <w:szCs w:val="14"/>
                <w:color w:val="auto"/>
              </w:rPr>
              <w:t>Total net periodic benefit</w:t>
            </w: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182"/>
        </w:trPr>
        <w:tc>
          <w:tcPr>
            <w:tcW w:w="1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cost</w:t>
            </w:r>
          </w:p>
        </w:tc>
        <w:tc>
          <w:tcPr>
            <w:tcW w:w="2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00" w:type="dxa"/>
            <w:vAlign w:val="bottom"/>
            <w:gridSpan w:val="2"/>
          </w:tcPr>
          <w:p>
            <w:pPr>
              <w:jc w:val="right"/>
              <w:ind w:right="44"/>
              <w:spacing w:after="0"/>
              <w:rPr>
                <w:sz w:val="20"/>
                <w:szCs w:val="20"/>
                <w:color w:val="auto"/>
              </w:rPr>
            </w:pPr>
            <w:r>
              <w:rPr>
                <w:rFonts w:ascii="Arial" w:cs="Arial" w:eastAsia="Arial" w:hAnsi="Arial"/>
                <w:sz w:val="14"/>
                <w:szCs w:val="14"/>
                <w:color w:val="auto"/>
              </w:rPr>
              <w:t>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26</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3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w:t>
            </w:r>
          </w:p>
        </w:tc>
      </w:tr>
      <w:tr>
        <w:trPr>
          <w:trHeight w:val="216"/>
        </w:trPr>
        <w:tc>
          <w:tcPr>
            <w:tcW w:w="2040" w:type="dxa"/>
            <w:vAlign w:val="bottom"/>
            <w:tcBorders>
              <w:bottom w:val="single" w:sz="8" w:color="auto"/>
            </w:tcBorders>
            <w:gridSpan w:val="3"/>
          </w:tcPr>
          <w:p>
            <w:pPr>
              <w:spacing w:after="0"/>
              <w:rPr>
                <w:sz w:val="18"/>
                <w:szCs w:val="18"/>
                <w:color w:val="auto"/>
              </w:rPr>
            </w:pPr>
          </w:p>
        </w:tc>
        <w:tc>
          <w:tcPr>
            <w:tcW w:w="1660" w:type="dxa"/>
            <w:vAlign w:val="bottom"/>
            <w:tcBorders>
              <w:bottom w:val="single" w:sz="8" w:color="auto"/>
            </w:tcBorders>
            <w:gridSpan w:val="4"/>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4"/>
        </w:trPr>
        <w:tc>
          <w:tcPr>
            <w:tcW w:w="3840" w:type="dxa"/>
            <w:vAlign w:val="bottom"/>
            <w:gridSpan w:val="8"/>
            <w:shd w:val="clear" w:color="auto" w:fill="C0C0C0"/>
          </w:tcPr>
          <w:p>
            <w:pPr>
              <w:ind w:left="80"/>
              <w:spacing w:after="0"/>
              <w:rPr>
                <w:sz w:val="20"/>
                <w:szCs w:val="20"/>
                <w:color w:val="auto"/>
              </w:rPr>
            </w:pPr>
            <w:r>
              <w:rPr>
                <w:rFonts w:ascii="Arial" w:cs="Arial" w:eastAsia="Arial" w:hAnsi="Arial"/>
                <w:sz w:val="14"/>
                <w:szCs w:val="14"/>
                <w:b w:val="1"/>
                <w:bCs w:val="1"/>
                <w:color w:val="auto"/>
              </w:rPr>
              <w:t>NET PERIODIC BENEFIT COST -- SOCALGAS</w:t>
            </w:r>
          </w:p>
        </w:tc>
        <w:tc>
          <w:tcPr>
            <w:tcW w:w="46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460" w:type="dxa"/>
            <w:vAlign w:val="bottom"/>
            <w:shd w:val="clear" w:color="auto" w:fill="C0C0C0"/>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1980" w:type="dxa"/>
            <w:vAlign w:val="bottom"/>
            <w:gridSpan w:val="2"/>
            <w:shd w:val="clear" w:color="auto" w:fill="C0C0C0"/>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102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68"/>
        </w:trPr>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3"/>
                <w:szCs w:val="13"/>
                <w:color w:val="auto"/>
                <w:w w:val="96"/>
              </w:rPr>
              <w:t>Pension Benefits</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3"/>
                <w:szCs w:val="13"/>
                <w:color w:val="auto"/>
              </w:rPr>
              <w:t>Other Postretirement Benefits</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8"/>
        </w:trPr>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gridSpan w:val="6"/>
          </w:tcPr>
          <w:p>
            <w:pPr>
              <w:ind w:left="100"/>
              <w:spacing w:after="0" w:line="148" w:lineRule="exact"/>
              <w:rPr>
                <w:sz w:val="20"/>
                <w:szCs w:val="20"/>
                <w:color w:val="auto"/>
              </w:rPr>
            </w:pPr>
            <w:r>
              <w:rPr>
                <w:rFonts w:ascii="Arial" w:cs="Arial" w:eastAsia="Arial" w:hAnsi="Arial"/>
                <w:sz w:val="13"/>
                <w:szCs w:val="13"/>
                <w:color w:val="auto"/>
              </w:rPr>
              <w:t>Three months ended September 30,</w:t>
            </w:r>
          </w:p>
        </w:tc>
        <w:tc>
          <w:tcPr>
            <w:tcW w:w="4320" w:type="dxa"/>
            <w:vAlign w:val="bottom"/>
            <w:gridSpan w:val="6"/>
          </w:tcPr>
          <w:p>
            <w:pPr>
              <w:ind w:left="80"/>
              <w:spacing w:after="0" w:line="148" w:lineRule="exact"/>
              <w:rPr>
                <w:sz w:val="20"/>
                <w:szCs w:val="20"/>
                <w:color w:val="auto"/>
              </w:rPr>
            </w:pPr>
            <w:r>
              <w:rPr>
                <w:rFonts w:ascii="Arial" w:cs="Arial" w:eastAsia="Arial" w:hAnsi="Arial"/>
                <w:sz w:val="13"/>
                <w:szCs w:val="13"/>
                <w:color w:val="auto"/>
              </w:rPr>
              <w:t>Th ree months ended September 30,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19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28"/>
              <w:spacing w:after="0" w:line="148" w:lineRule="exact"/>
              <w:rPr>
                <w:sz w:val="20"/>
                <w:szCs w:val="20"/>
                <w:color w:val="auto"/>
              </w:rPr>
            </w:pPr>
            <w:r>
              <w:rPr>
                <w:rFonts w:ascii="Arial" w:cs="Arial" w:eastAsia="Arial" w:hAnsi="Arial"/>
                <w:sz w:val="13"/>
                <w:szCs w:val="13"/>
                <w:color w:val="auto"/>
              </w:rPr>
              <w:t>2010</w:t>
            </w:r>
          </w:p>
        </w:tc>
        <w:tc>
          <w:tcPr>
            <w:tcW w:w="940" w:type="dxa"/>
            <w:vAlign w:val="bottom"/>
            <w:tcBorders>
              <w:top w:val="single" w:sz="8" w:color="auto"/>
              <w:bottom w:val="single" w:sz="8" w:color="auto"/>
            </w:tcBorders>
            <w:gridSpan w:val="2"/>
          </w:tcPr>
          <w:p>
            <w:pPr>
              <w:ind w:left="540"/>
              <w:spacing w:after="0" w:line="148" w:lineRule="exact"/>
              <w:rPr>
                <w:sz w:val="20"/>
                <w:szCs w:val="20"/>
                <w:color w:val="auto"/>
              </w:rPr>
            </w:pPr>
            <w:r>
              <w:rPr>
                <w:rFonts w:ascii="Arial" w:cs="Arial" w:eastAsia="Arial" w:hAnsi="Arial"/>
                <w:sz w:val="13"/>
                <w:szCs w:val="13"/>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72"/>
              <w:spacing w:after="0" w:line="148" w:lineRule="exact"/>
              <w:rPr>
                <w:sz w:val="20"/>
                <w:szCs w:val="20"/>
                <w:color w:val="auto"/>
              </w:rPr>
            </w:pPr>
            <w:r>
              <w:rPr>
                <w:rFonts w:ascii="Arial" w:cs="Arial" w:eastAsia="Arial" w:hAnsi="Arial"/>
                <w:sz w:val="13"/>
                <w:szCs w:val="13"/>
                <w:color w:val="auto"/>
              </w:rPr>
              <w:t>2010</w:t>
            </w:r>
          </w:p>
        </w:tc>
        <w:tc>
          <w:tcPr>
            <w:tcW w:w="1020" w:type="dxa"/>
            <w:vAlign w:val="bottom"/>
            <w:tcBorders>
              <w:top w:val="single" w:sz="8" w:color="auto"/>
              <w:bottom w:val="single" w:sz="8" w:color="auto"/>
            </w:tcBorders>
          </w:tcPr>
          <w:p>
            <w:pPr>
              <w:ind w:left="620"/>
              <w:spacing w:after="0" w:line="148" w:lineRule="exact"/>
              <w:rPr>
                <w:sz w:val="20"/>
                <w:szCs w:val="20"/>
                <w:color w:val="auto"/>
              </w:rPr>
            </w:pPr>
            <w:r>
              <w:rPr>
                <w:rFonts w:ascii="Arial" w:cs="Arial" w:eastAsia="Arial" w:hAnsi="Arial"/>
                <w:sz w:val="13"/>
                <w:szCs w:val="13"/>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1"/>
        </w:trPr>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ind w:left="180"/>
              <w:spacing w:after="0" w:line="141"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43"/>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Service cost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800" w:type="dxa"/>
            <w:vAlign w:val="bottom"/>
          </w:tcPr>
          <w:p>
            <w:pPr>
              <w:ind w:lef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20" w:type="dxa"/>
            <w:vAlign w:val="bottom"/>
          </w:tcPr>
          <w:p>
            <w:pPr>
              <w:ind w:left="180"/>
              <w:spacing w:after="0"/>
              <w:rPr>
                <w:sz w:val="20"/>
                <w:szCs w:val="20"/>
                <w:color w:val="auto"/>
              </w:rPr>
            </w:pPr>
            <w:r>
              <w:rPr>
                <w:rFonts w:ascii="Arial" w:cs="Arial" w:eastAsia="Arial" w:hAnsi="Arial"/>
                <w:sz w:val="19"/>
                <w:szCs w:val="19"/>
                <w:color w:val="auto"/>
              </w:rPr>
              <w:t>&lt; /td&gt;</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2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0"/>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Interest cost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2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2"/>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Expected return on assets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2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2"/>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Amortization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2"/>
        </w:trPr>
        <w:tc>
          <w:tcPr>
            <w:tcW w:w="1980" w:type="dxa"/>
            <w:vAlign w:val="bottom"/>
            <w:gridSpan w:val="2"/>
          </w:tcPr>
          <w:p>
            <w:pPr>
              <w:ind w:left="240"/>
              <w:spacing w:after="0"/>
              <w:rPr>
                <w:sz w:val="20"/>
                <w:szCs w:val="20"/>
                <w:color w:val="auto"/>
              </w:rPr>
            </w:pPr>
            <w:r>
              <w:rPr>
                <w:rFonts w:ascii="Arial" w:cs="Arial" w:eastAsia="Arial" w:hAnsi="Arial"/>
                <w:sz w:val="14"/>
                <w:szCs w:val="14"/>
                <w:color w:val="auto"/>
              </w:rPr>
              <w:t>Prior service cost (credit)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&amp;n bsp;</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2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2"/>
        </w:trPr>
        <w:tc>
          <w:tcPr>
            <w:tcW w:w="1980" w:type="dxa"/>
            <w:vAlign w:val="bottom"/>
            <w:gridSpan w:val="2"/>
          </w:tcPr>
          <w:p>
            <w:pPr>
              <w:ind w:left="240"/>
              <w:spacing w:after="0"/>
              <w:rPr>
                <w:sz w:val="20"/>
                <w:szCs w:val="20"/>
                <w:color w:val="auto"/>
              </w:rPr>
            </w:pPr>
            <w:r>
              <w:rPr>
                <w:rFonts w:ascii="Arial" w:cs="Arial" w:eastAsia="Arial" w:hAnsi="Arial"/>
                <w:sz w:val="14"/>
                <w:szCs w:val="14"/>
                <w:color w:val="auto"/>
              </w:rPr>
              <w:t>Actuarial loss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2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6"/>
        </w:trPr>
        <w:tc>
          <w:tcPr>
            <w:tcW w:w="1980" w:type="dxa"/>
            <w:vAlign w:val="bottom"/>
            <w:gridSpan w:val="2"/>
          </w:tcPr>
          <w:p>
            <w:pPr>
              <w:spacing w:after="0"/>
              <w:rPr>
                <w:sz w:val="20"/>
                <w:szCs w:val="20"/>
                <w:color w:val="auto"/>
              </w:rPr>
            </w:pPr>
            <w:r>
              <w:rPr>
                <w:rFonts w:ascii="Arial" w:cs="Arial" w:eastAsia="Arial" w:hAnsi="Arial"/>
                <w:sz w:val="14"/>
                <w:szCs w:val="14"/>
                <w:color w:val="auto"/>
              </w:rPr>
              <w:t>Regulatory adjustment</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w:t>
            </w:r>
          </w:p>
        </w:tc>
        <w:tc>
          <w:tcPr>
            <w:tcW w:w="1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6"/>
        </w:trPr>
        <w:tc>
          <w:tcPr>
            <w:tcW w:w="1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Total net periodic benefit cost</w:t>
            </w:r>
          </w:p>
        </w:tc>
        <w:tc>
          <w:tcPr>
            <w:tcW w:w="2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w:t>
            </w: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2"/>
        </w:trPr>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60" w:type="dxa"/>
            <w:vAlign w:val="bottom"/>
            <w:gridSpan w:val="6"/>
          </w:tcPr>
          <w:p>
            <w:pPr>
              <w:jc w:val="center"/>
              <w:spacing w:after="0"/>
              <w:rPr>
                <w:sz w:val="20"/>
                <w:szCs w:val="20"/>
                <w:color w:val="auto"/>
              </w:rPr>
            </w:pPr>
            <w:r>
              <w:rPr>
                <w:rFonts w:ascii="Arial" w:cs="Arial" w:eastAsia="Arial" w:hAnsi="Arial"/>
                <w:sz w:val="13"/>
                <w:szCs w:val="13"/>
                <w:color w:val="auto"/>
                <w:w w:val="98"/>
              </w:rPr>
              <w:t>Nine months ended September 30,</w:t>
            </w:r>
          </w:p>
        </w:tc>
        <w:tc>
          <w:tcPr>
            <w:tcW w:w="4320" w:type="dxa"/>
            <w:vAlign w:val="bottom"/>
            <w:gridSpan w:val="6"/>
          </w:tcPr>
          <w:p>
            <w:pPr>
              <w:jc w:val="right"/>
              <w:ind w:right="2104"/>
              <w:spacing w:after="0"/>
              <w:rPr>
                <w:sz w:val="20"/>
                <w:szCs w:val="20"/>
                <w:color w:val="auto"/>
              </w:rPr>
            </w:pPr>
            <w:r>
              <w:rPr>
                <w:rFonts w:ascii="Arial" w:cs="Arial" w:eastAsia="Arial" w:hAnsi="Arial"/>
                <w:sz w:val="13"/>
                <w:szCs w:val="13"/>
                <w:color w:val="auto"/>
              </w:rPr>
              <w:t>Nine months ended September 30,</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19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3"/>
                <w:szCs w:val="13"/>
                <w:color w:val="auto"/>
              </w:rPr>
              <w:t>2010</w:t>
            </w:r>
          </w:p>
        </w:tc>
        <w:tc>
          <w:tcPr>
            <w:tcW w:w="940" w:type="dxa"/>
            <w:vAlign w:val="bottom"/>
            <w:tcBorders>
              <w:top w:val="single" w:sz="8" w:color="auto"/>
              <w:bottom w:val="single" w:sz="8" w:color="auto"/>
            </w:tcBorders>
            <w:gridSpan w:val="2"/>
          </w:tcPr>
          <w:p>
            <w:pPr>
              <w:ind w:left="540"/>
              <w:spacing w:after="0"/>
              <w:rPr>
                <w:sz w:val="20"/>
                <w:szCs w:val="20"/>
                <w:color w:val="auto"/>
              </w:rPr>
            </w:pPr>
            <w:r>
              <w:rPr>
                <w:rFonts w:ascii="Arial" w:cs="Arial" w:eastAsia="Arial" w:hAnsi="Arial"/>
                <w:sz w:val="13"/>
                <w:szCs w:val="13"/>
                <w:color w:val="auto"/>
              </w:rPr>
              <w:t>2009</w:t>
            </w:r>
          </w:p>
        </w:tc>
        <w:tc>
          <w:tcPr>
            <w:tcW w:w="4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jc w:val="right"/>
              <w:ind w:right="172"/>
              <w:spacing w:after="0"/>
              <w:rPr>
                <w:sz w:val="20"/>
                <w:szCs w:val="20"/>
                <w:color w:val="auto"/>
              </w:rPr>
            </w:pPr>
            <w:r>
              <w:rPr>
                <w:rFonts w:ascii="Arial" w:cs="Arial" w:eastAsia="Arial" w:hAnsi="Arial"/>
                <w:sz w:val="13"/>
                <w:szCs w:val="13"/>
                <w:color w:val="auto"/>
              </w:rPr>
              <w:t>2010</w:t>
            </w:r>
          </w:p>
        </w:tc>
        <w:tc>
          <w:tcPr>
            <w:tcW w:w="10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3"/>
                <w:szCs w:val="13"/>
                <w:color w:val="auto"/>
              </w:rPr>
              <w:t>2009</w:t>
            </w:r>
          </w:p>
        </w:tc>
        <w:tc>
          <w:tcPr>
            <w:tcW w:w="460" w:type="dxa"/>
            <w:vAlign w:val="bottom"/>
            <w:tcBorders>
              <w:top w:val="single" w:sz="8" w:color="auto"/>
              <w:bottom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0"/>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Service cost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800" w:type="dxa"/>
            <w:vAlign w:val="bottom"/>
          </w:tcPr>
          <w:p>
            <w:pPr>
              <w:ind w:lef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020" w:type="dxa"/>
            <w:vAlign w:val="bottom"/>
          </w:tcPr>
          <w:p>
            <w:pPr>
              <w:ind w:left="18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4"/>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Interest cost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2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102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Expected return on assets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2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1020" w:type="dxa"/>
            <w:vAlign w:val="bottom"/>
          </w:tcPr>
          <w:p>
            <w:pPr>
              <w:spacing w:after="0"/>
              <w:rPr>
                <w:sz w:val="17"/>
                <w:szCs w:val="17"/>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Amortization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1980" w:type="dxa"/>
            <w:vAlign w:val="bottom"/>
            <w:gridSpan w:val="2"/>
          </w:tcPr>
          <w:p>
            <w:pPr>
              <w:ind w:left="240"/>
              <w:spacing w:after="0"/>
              <w:rPr>
                <w:sz w:val="20"/>
                <w:szCs w:val="20"/>
                <w:color w:val="auto"/>
              </w:rPr>
            </w:pPr>
            <w:r>
              <w:rPr>
                <w:rFonts w:ascii="Arial" w:cs="Arial" w:eastAsia="Arial" w:hAnsi="Arial"/>
                <w:sz w:val="14"/>
                <w:szCs w:val="14"/>
                <w:color w:val="auto"/>
              </w:rPr>
              <w:t>Prior service cost (credit)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20" w:type="dxa"/>
            <w:vAlign w:val="bottom"/>
          </w:tcPr>
          <w:p>
            <w:pPr>
              <w:spacing w:after="0"/>
              <w:rPr>
                <w:sz w:val="17"/>
                <w:szCs w:val="17"/>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1980" w:type="dxa"/>
            <w:vAlign w:val="bottom"/>
            <w:gridSpan w:val="2"/>
          </w:tcPr>
          <w:p>
            <w:pPr>
              <w:ind w:left="240"/>
              <w:spacing w:after="0"/>
              <w:rPr>
                <w:sz w:val="20"/>
                <w:szCs w:val="20"/>
                <w:color w:val="auto"/>
              </w:rPr>
            </w:pPr>
            <w:r>
              <w:rPr>
                <w:rFonts w:ascii="Arial" w:cs="Arial" w:eastAsia="Arial" w:hAnsi="Arial"/>
                <w:sz w:val="14"/>
                <w:szCs w:val="14"/>
                <w:color w:val="auto"/>
              </w:rPr>
              <w:t>Actuarial loss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2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8"/>
        </w:trPr>
        <w:tc>
          <w:tcPr>
            <w:tcW w:w="1980" w:type="dxa"/>
            <w:vAlign w:val="bottom"/>
            <w:gridSpan w:val="2"/>
          </w:tcPr>
          <w:p>
            <w:pPr>
              <w:ind w:left="80"/>
              <w:spacing w:after="0"/>
              <w:rPr>
                <w:sz w:val="20"/>
                <w:szCs w:val="20"/>
                <w:color w:val="auto"/>
              </w:rPr>
            </w:pPr>
            <w:r>
              <w:rPr>
                <w:rFonts w:ascii="Arial" w:cs="Arial" w:eastAsia="Arial" w:hAnsi="Arial"/>
                <w:sz w:val="14"/>
                <w:szCs w:val="14"/>
                <w:color w:val="auto"/>
              </w:rPr>
              <w:t>Regulatory adjustment</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w:t>
            </w: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1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Total net periodic benefit cost</w:t>
            </w:r>
          </w:p>
        </w:tc>
        <w:tc>
          <w:tcPr>
            <w:tcW w:w="2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w:t>
            </w: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Benefit Plan Contributions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year-to-date contributions to our pension and other postretirement benefit plans and the amounts we expect to contribute in 2010:</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94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color w:val="auto"/>
              </w:rPr>
              <w:t>Sempra Energy</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4"/>
        </w:trPr>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10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color w:val="auto"/>
              </w:rPr>
              <w:t>Consolidated</w:t>
            </w:r>
          </w:p>
        </w:tc>
        <w:tc>
          <w:tcPr>
            <w:tcW w:w="6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color w:val="auto"/>
              </w:rPr>
              <w:t>SDG&amp;E</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SoCalGas</w:t>
            </w:r>
          </w:p>
        </w:tc>
      </w:tr>
      <w:tr>
        <w:trPr>
          <w:trHeight w:val="178"/>
        </w:trPr>
        <w:tc>
          <w:tcPr>
            <w:tcW w:w="2940" w:type="dxa"/>
            <w:vAlign w:val="bottom"/>
          </w:tcPr>
          <w:p>
            <w:pPr>
              <w:ind w:left="80"/>
              <w:spacing w:after="0"/>
              <w:rPr>
                <w:sz w:val="20"/>
                <w:szCs w:val="20"/>
                <w:color w:val="auto"/>
              </w:rPr>
            </w:pPr>
            <w:r>
              <w:rPr>
                <w:rFonts w:ascii="Arial" w:cs="Arial" w:eastAsia="Arial" w:hAnsi="Arial"/>
                <w:sz w:val="14"/>
                <w:szCs w:val="14"/>
                <w:color w:val="auto"/>
              </w:rPr>
              <w:t>Contributions through September 30, 2010:</w:t>
            </w: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90"/>
        </w:trPr>
        <w:tc>
          <w:tcPr>
            <w:tcW w:w="2940" w:type="dxa"/>
            <w:vAlign w:val="bottom"/>
          </w:tcPr>
          <w:p>
            <w:pPr>
              <w:ind w:left="240"/>
              <w:spacing w:after="0"/>
              <w:rPr>
                <w:sz w:val="20"/>
                <w:szCs w:val="20"/>
                <w:color w:val="auto"/>
              </w:rPr>
            </w:pPr>
            <w:r>
              <w:rPr>
                <w:rFonts w:ascii="Arial" w:cs="Arial" w:eastAsia="Arial" w:hAnsi="Arial"/>
                <w:sz w:val="14"/>
                <w:szCs w:val="14"/>
                <w:color w:val="auto"/>
              </w:rPr>
              <w:t>Pension plans</w:t>
            </w:r>
          </w:p>
        </w:tc>
        <w:tc>
          <w:tcPr>
            <w:tcW w:w="440" w:type="dxa"/>
            <w:vAlign w:val="bottom"/>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3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37</w:t>
            </w:r>
          </w:p>
        </w:tc>
      </w:tr>
      <w:tr>
        <w:trPr>
          <w:trHeight w:val="194"/>
        </w:trPr>
        <w:tc>
          <w:tcPr>
            <w:tcW w:w="2940" w:type="dxa"/>
            <w:vAlign w:val="bottom"/>
          </w:tcPr>
          <w:p>
            <w:pPr>
              <w:ind w:left="240"/>
              <w:spacing w:after="0"/>
              <w:rPr>
                <w:sz w:val="20"/>
                <w:szCs w:val="20"/>
                <w:color w:val="auto"/>
              </w:rPr>
            </w:pPr>
            <w:r>
              <w:rPr>
                <w:rFonts w:ascii="Arial" w:cs="Arial" w:eastAsia="Arial" w:hAnsi="Arial"/>
                <w:sz w:val="14"/>
                <w:szCs w:val="14"/>
                <w:color w:val="auto"/>
              </w:rPr>
              <w:t>Other postretirement benefit plans</w:t>
            </w:r>
          </w:p>
        </w:tc>
        <w:tc>
          <w:tcPr>
            <w:tcW w:w="44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300" w:type="dxa"/>
            <w:vAlign w:val="bottom"/>
          </w:tcPr>
          <w:p>
            <w:pPr>
              <w:spacing w:after="0"/>
              <w:rPr>
                <w:sz w:val="16"/>
                <w:szCs w:val="16"/>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34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26</w:t>
            </w:r>
          </w:p>
        </w:tc>
      </w:tr>
      <w:tr>
        <w:trPr>
          <w:trHeight w:val="192"/>
        </w:trPr>
        <w:tc>
          <w:tcPr>
            <w:tcW w:w="2940" w:type="dxa"/>
            <w:vAlign w:val="bottom"/>
          </w:tcPr>
          <w:p>
            <w:pPr>
              <w:ind w:left="80"/>
              <w:spacing w:after="0"/>
              <w:rPr>
                <w:sz w:val="20"/>
                <w:szCs w:val="20"/>
                <w:color w:val="auto"/>
              </w:rPr>
            </w:pPr>
            <w:r>
              <w:rPr>
                <w:rFonts w:ascii="Arial" w:cs="Arial" w:eastAsia="Arial" w:hAnsi="Arial"/>
                <w:sz w:val="14"/>
                <w:szCs w:val="14"/>
                <w:color w:val="auto"/>
              </w:rPr>
              <w:t>Total expected contributions in 2010:</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2"/>
        </w:trPr>
        <w:tc>
          <w:tcPr>
            <w:tcW w:w="2940" w:type="dxa"/>
            <w:vAlign w:val="bottom"/>
          </w:tcPr>
          <w:p>
            <w:pPr>
              <w:ind w:left="240"/>
              <w:spacing w:after="0"/>
              <w:rPr>
                <w:sz w:val="20"/>
                <w:szCs w:val="20"/>
                <w:color w:val="auto"/>
              </w:rPr>
            </w:pPr>
            <w:r>
              <w:rPr>
                <w:rFonts w:ascii="Arial" w:cs="Arial" w:eastAsia="Arial" w:hAnsi="Arial"/>
                <w:sz w:val="14"/>
                <w:szCs w:val="14"/>
                <w:color w:val="auto"/>
              </w:rPr>
              <w:t>Pension plans</w:t>
            </w:r>
          </w:p>
        </w:tc>
        <w:tc>
          <w:tcPr>
            <w:tcW w:w="440" w:type="dxa"/>
            <w:vAlign w:val="bottom"/>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3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72</w:t>
            </w:r>
          </w:p>
        </w:tc>
      </w:tr>
      <w:tr>
        <w:trPr>
          <w:trHeight w:val="190"/>
        </w:trPr>
        <w:tc>
          <w:tcPr>
            <w:tcW w:w="2940" w:type="dxa"/>
            <w:vAlign w:val="bottom"/>
            <w:tcBorders>
              <w:bottom w:val="single" w:sz="8" w:color="C0C0C0"/>
            </w:tcBorders>
          </w:tcPr>
          <w:p>
            <w:pPr>
              <w:ind w:left="240"/>
              <w:spacing w:after="0"/>
              <w:rPr>
                <w:sz w:val="20"/>
                <w:szCs w:val="20"/>
                <w:color w:val="auto"/>
              </w:rPr>
            </w:pPr>
            <w:r>
              <w:rPr>
                <w:rFonts w:ascii="Arial" w:cs="Arial" w:eastAsia="Arial" w:hAnsi="Arial"/>
                <w:sz w:val="14"/>
                <w:szCs w:val="14"/>
                <w:color w:val="auto"/>
              </w:rPr>
              <w:t>Other postretirement benefit plans</w:t>
            </w:r>
          </w:p>
        </w:tc>
        <w:tc>
          <w:tcPr>
            <w:tcW w:w="440" w:type="dxa"/>
            <w:vAlign w:val="bottom"/>
            <w:tcBorders>
              <w:bottom w:val="single" w:sz="8" w:color="C0C0C0"/>
            </w:tcBorders>
          </w:tcPr>
          <w:p>
            <w:pPr>
              <w:spacing w:after="0"/>
              <w:rPr>
                <w:sz w:val="16"/>
                <w:szCs w:val="16"/>
                <w:color w:val="auto"/>
              </w:rPr>
            </w:pPr>
          </w:p>
        </w:tc>
        <w:tc>
          <w:tcPr>
            <w:tcW w:w="640" w:type="dxa"/>
            <w:vAlign w:val="bottom"/>
            <w:tcBorders>
              <w:bottom w:val="single" w:sz="8" w:color="C0C0C0"/>
            </w:tcBorders>
          </w:tcPr>
          <w:p>
            <w:pPr>
              <w:jc w:val="right"/>
              <w:ind w:right="48"/>
              <w:spacing w:after="0"/>
              <w:rPr>
                <w:sz w:val="20"/>
                <w:szCs w:val="20"/>
                <w:color w:val="auto"/>
              </w:rPr>
            </w:pPr>
            <w:r>
              <w:rPr>
                <w:rFonts w:ascii="Arial" w:cs="Arial" w:eastAsia="Arial" w:hAnsi="Arial"/>
                <w:sz w:val="14"/>
                <w:szCs w:val="14"/>
                <w:color w:val="auto"/>
              </w:rPr>
              <w:t>52</w:t>
            </w:r>
          </w:p>
        </w:tc>
        <w:tc>
          <w:tcPr>
            <w:tcW w:w="300" w:type="dxa"/>
            <w:vAlign w:val="bottom"/>
            <w:tcBorders>
              <w:bottom w:val="single" w:sz="8" w:color="C0C0C0"/>
            </w:tcBorders>
          </w:tcPr>
          <w:p>
            <w:pPr>
              <w:spacing w:after="0"/>
              <w:rPr>
                <w:sz w:val="16"/>
                <w:szCs w:val="16"/>
                <w:color w:val="auto"/>
              </w:rPr>
            </w:pPr>
          </w:p>
        </w:tc>
        <w:tc>
          <w:tcPr>
            <w:tcW w:w="380" w:type="dxa"/>
            <w:vAlign w:val="bottom"/>
            <w:tcBorders>
              <w:bottom w:val="single" w:sz="8" w:color="C0C0C0"/>
            </w:tcBorders>
          </w:tcPr>
          <w:p>
            <w:pPr>
              <w:jc w:val="right"/>
              <w:ind w:right="28"/>
              <w:spacing w:after="0"/>
              <w:rPr>
                <w:sz w:val="20"/>
                <w:szCs w:val="20"/>
                <w:color w:val="auto"/>
              </w:rPr>
            </w:pPr>
            <w:r>
              <w:rPr>
                <w:rFonts w:ascii="Arial" w:cs="Arial" w:eastAsia="Arial" w:hAnsi="Arial"/>
                <w:sz w:val="14"/>
                <w:szCs w:val="14"/>
                <w:color w:val="auto"/>
              </w:rPr>
              <w:t>15</w:t>
            </w:r>
          </w:p>
        </w:tc>
        <w:tc>
          <w:tcPr>
            <w:tcW w:w="340" w:type="dxa"/>
            <w:vAlign w:val="bottom"/>
            <w:tcBorders>
              <w:bottom w:val="single" w:sz="8" w:color="C0C0C0"/>
            </w:tcBorders>
          </w:tcPr>
          <w:p>
            <w:pPr>
              <w:spacing w:after="0"/>
              <w:rPr>
                <w:sz w:val="16"/>
                <w:szCs w:val="16"/>
                <w:color w:val="auto"/>
              </w:rPr>
            </w:pPr>
          </w:p>
        </w:tc>
        <w:tc>
          <w:tcPr>
            <w:tcW w:w="460" w:type="dxa"/>
            <w:vAlign w:val="bottom"/>
            <w:tcBorders>
              <w:bottom w:val="single" w:sz="8" w:color="C0C0C0"/>
            </w:tcBorders>
          </w:tcPr>
          <w:p>
            <w:pPr>
              <w:jc w:val="right"/>
              <w:ind w:right="68"/>
              <w:spacing w:after="0"/>
              <w:rPr>
                <w:sz w:val="20"/>
                <w:szCs w:val="20"/>
                <w:color w:val="auto"/>
              </w:rPr>
            </w:pPr>
            <w:r>
              <w:rPr>
                <w:rFonts w:ascii="Arial" w:cs="Arial" w:eastAsia="Arial" w:hAnsi="Arial"/>
                <w:sz w:val="14"/>
                <w:szCs w:val="14"/>
                <w:color w:val="auto"/>
              </w:rPr>
              <w:t>33</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w:t>
      </w:r>
    </w:p>
    <w:p>
      <w:pPr>
        <w:spacing w:after="0" w:line="98" w:lineRule="exact"/>
        <w:rPr>
          <w:sz w:val="20"/>
          <w:szCs w:val="20"/>
          <w:color w:val="auto"/>
        </w:rPr>
      </w:pPr>
    </w:p>
    <w:p>
      <w:pPr>
        <w:ind w:right="140"/>
        <w:spacing w:after="0" w:line="314" w:lineRule="auto"/>
        <w:rPr>
          <w:sz w:val="20"/>
          <w:szCs w:val="20"/>
          <w:color w:val="auto"/>
        </w:rPr>
      </w:pPr>
      <w:r>
        <w:rPr>
          <w:rFonts w:ascii="Arial" w:cs="Arial" w:eastAsia="Arial" w:hAnsi="Arial"/>
          <w:sz w:val="14"/>
          <w:szCs w:val="14"/>
          <w:color w:val="auto"/>
        </w:rPr>
        <w:t>The following table pr ovides the per share computations for our earnings for the three months and nine months ended September 30, 2010 and 2009. Basic earnings per common share (EPS) is calculated by dividing earnings attributable to common stock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EARNINGS PER SHARE COMPUTATIONS</w:t>
      </w:r>
      <w:r>
        <w:rPr>
          <w:rFonts w:ascii="Arial" w:cs="Arial" w:eastAsia="Arial" w:hAnsi="Arial"/>
          <w:sz w:val="19"/>
          <w:szCs w:val="19"/>
          <w:b w:val="1"/>
          <w:bCs w:val="1"/>
          <w:color w:val="auto"/>
        </w:rPr>
        <w:t>&lt; /b&gt;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61860" cy="251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25146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00" w:type="dxa"/>
            <w:vAlign w:val="bottom"/>
            <w:gridSpan w:val="4"/>
          </w:tcPr>
          <w:p>
            <w:pPr>
              <w:ind w:left="80"/>
              <w:spacing w:after="0"/>
              <w:rPr>
                <w:sz w:val="20"/>
                <w:szCs w:val="20"/>
                <w:color w:val="auto"/>
              </w:rPr>
            </w:pPr>
            <w:r>
              <w:rPr>
                <w:rFonts w:ascii="Arial" w:cs="Arial" w:eastAsia="Arial" w:hAnsi="Arial"/>
                <w:sz w:val="13"/>
                <w:szCs w:val="13"/>
                <w:i w:val="1"/>
                <w:iCs w:val="1"/>
                <w:color w:val="auto"/>
              </w:rPr>
              <w:t>(Dollars in millions, except per share amounts; shares in thousands)</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3"/>
            <w:vMerge w:val="restart"/>
          </w:tcPr>
          <w:p>
            <w:pPr>
              <w:jc w:val="center"/>
              <w:ind w:right="111"/>
              <w:spacing w:after="0"/>
              <w:rPr>
                <w:sz w:val="20"/>
                <w:szCs w:val="20"/>
                <w:color w:val="auto"/>
              </w:rPr>
            </w:pPr>
            <w:r>
              <w:rPr>
                <w:rFonts w:ascii="Arial" w:cs="Arial" w:eastAsia="Arial" w:hAnsi="Arial"/>
                <w:sz w:val="13"/>
                <w:szCs w:val="13"/>
                <w:color w:val="auto"/>
                <w:w w:val="97"/>
              </w:rPr>
              <w:t>Nine months ended September</w:t>
            </w: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160" w:type="dxa"/>
            <w:vAlign w:val="bottom"/>
            <w:tcBorders>
              <w:bottom w:val="single" w:sz="8" w:color="auto"/>
            </w:tcBorders>
          </w:tcPr>
          <w:p>
            <w:pPr>
              <w:jc w:val="right"/>
              <w:ind w:right="753"/>
              <w:spacing w:after="0" w:line="140" w:lineRule="exact"/>
              <w:rPr>
                <w:sz w:val="20"/>
                <w:szCs w:val="20"/>
                <w:color w:val="auto"/>
              </w:rPr>
            </w:pPr>
            <w:r>
              <w:rPr>
                <w:rFonts w:ascii="Arial" w:cs="Arial" w:eastAsia="Arial" w:hAnsi="Arial"/>
                <w:sz w:val="13"/>
                <w:szCs w:val="13"/>
                <w:color w:val="auto"/>
              </w:rPr>
              <w:t>Three months ended September 30,</w:t>
            </w:r>
          </w:p>
        </w:tc>
        <w:tc>
          <w:tcPr>
            <w:tcW w:w="1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12"/>
              <w:spacing w:after="0" w:line="140" w:lineRule="exact"/>
              <w:rPr>
                <w:sz w:val="20"/>
                <w:szCs w:val="20"/>
                <w:color w:val="auto"/>
              </w:rPr>
            </w:pPr>
            <w:r>
              <w:rPr>
                <w:rFonts w:ascii="Arial" w:cs="Arial" w:eastAsia="Arial" w:hAnsi="Arial"/>
                <w:sz w:val="13"/>
                <w:szCs w:val="13"/>
                <w:color w:val="auto"/>
                <w:w w:val="99"/>
              </w:rPr>
              <w:t>30,</w:t>
            </w: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color w:val="auto"/>
              </w:rPr>
              <w:t>2010</w:t>
            </w:r>
          </w:p>
        </w:tc>
        <w:tc>
          <w:tcPr>
            <w:tcW w:w="4160" w:type="dxa"/>
            <w:vAlign w:val="bottom"/>
          </w:tcPr>
          <w:p>
            <w:pPr>
              <w:jc w:val="right"/>
              <w:ind w:right="1133"/>
              <w:spacing w:after="0"/>
              <w:rPr>
                <w:sz w:val="20"/>
                <w:szCs w:val="20"/>
                <w:color w:val="auto"/>
              </w:rPr>
            </w:pPr>
            <w:r>
              <w:rPr>
                <w:rFonts w:ascii="Arial" w:cs="Arial" w:eastAsia="Arial" w:hAnsi="Arial"/>
                <w:sz w:val="13"/>
                <w:szCs w:val="13"/>
                <w:color w:val="auto"/>
              </w:rPr>
              <w:t>2009</w:t>
            </w: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color w:val="auto"/>
              </w:rPr>
              <w:t>2010</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78"/>
        </w:trPr>
        <w:tc>
          <w:tcPr>
            <w:tcW w:w="2580" w:type="dxa"/>
            <w:vAlign w:val="bottom"/>
          </w:tcPr>
          <w:p>
            <w:pPr>
              <w:spacing w:after="0"/>
              <w:rPr>
                <w:sz w:val="20"/>
                <w:szCs w:val="20"/>
                <w:color w:val="auto"/>
              </w:rPr>
            </w:pPr>
            <w:r>
              <w:rPr>
                <w:rFonts w:ascii="Arial" w:cs="Arial" w:eastAsia="Arial" w:hAnsi="Arial"/>
                <w:sz w:val="14"/>
                <w:szCs w:val="14"/>
                <w:color w:val="auto"/>
              </w:rPr>
              <w:t>Numerator:</w:t>
            </w:r>
          </w:p>
        </w:tc>
        <w:tc>
          <w:tcPr>
            <w:tcW w:w="260" w:type="dxa"/>
            <w:vAlign w:val="bottom"/>
          </w:tcPr>
          <w:p>
            <w:pPr>
              <w:spacing w:after="0"/>
              <w:rPr>
                <w:sz w:val="15"/>
                <w:szCs w:val="15"/>
                <w:color w:val="auto"/>
              </w:rPr>
            </w:pPr>
          </w:p>
        </w:tc>
        <w:tc>
          <w:tcPr>
            <w:tcW w:w="800" w:type="dxa"/>
            <w:vAlign w:val="bottom"/>
            <w:vMerge w:val="restart"/>
          </w:tcPr>
          <w:p>
            <w:pPr>
              <w:jc w:val="right"/>
              <w:ind w:right="83"/>
              <w:spacing w:after="0"/>
              <w:rPr>
                <w:sz w:val="20"/>
                <w:szCs w:val="20"/>
                <w:color w:val="auto"/>
              </w:rPr>
            </w:pPr>
            <w:r>
              <w:rPr>
                <w:rFonts w:ascii="Arial" w:cs="Arial" w:eastAsia="Arial" w:hAnsi="Arial"/>
                <w:sz w:val="19"/>
                <w:szCs w:val="19"/>
                <w:color w:val="auto"/>
              </w:rPr>
              <w:t>131</w:t>
            </w:r>
          </w:p>
        </w:tc>
        <w:tc>
          <w:tcPr>
            <w:tcW w:w="4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80" w:type="dxa"/>
            <w:vAlign w:val="bottom"/>
          </w:tcPr>
          <w:p>
            <w:pPr>
              <w:ind w:left="240"/>
              <w:spacing w:after="0"/>
              <w:rPr>
                <w:sz w:val="20"/>
                <w:szCs w:val="20"/>
                <w:color w:val="auto"/>
              </w:rPr>
            </w:pPr>
            <w:r>
              <w:rPr>
                <w:rFonts w:ascii="Arial" w:cs="Arial" w:eastAsia="Arial" w:hAnsi="Arial"/>
                <w:sz w:val="14"/>
                <w:szCs w:val="14"/>
                <w:color w:val="auto"/>
              </w:rPr>
              <w:t>Earnings</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8"/>
                <w:szCs w:val="18"/>
                <w:color w:val="auto"/>
              </w:rPr>
            </w:pPr>
          </w:p>
        </w:tc>
        <w:tc>
          <w:tcPr>
            <w:tcW w:w="4160" w:type="dxa"/>
            <w:vAlign w:val="bottom"/>
          </w:tcPr>
          <w:p>
            <w:pPr>
              <w:jc w:val="right"/>
              <w:ind w:right="3933"/>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317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459</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378"/>
        </w:trPr>
        <w:tc>
          <w:tcPr>
            <w:tcW w:w="2580" w:type="dxa"/>
            <w:vAlign w:val="bottom"/>
          </w:tcPr>
          <w:p>
            <w:pPr>
              <w:ind w:left="80"/>
              <w:spacing w:after="0"/>
              <w:rPr>
                <w:sz w:val="20"/>
                <w:szCs w:val="20"/>
                <w:color w:val="auto"/>
              </w:rPr>
            </w:pPr>
            <w:r>
              <w:rPr>
                <w:rFonts w:ascii="Arial" w:cs="Arial" w:eastAsia="Arial" w:hAnsi="Arial"/>
                <w:sz w:val="14"/>
                <w:szCs w:val="14"/>
                <w:color w:val="auto"/>
              </w:rPr>
              <w:t>Denominator:</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&amp;n bsp;</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580" w:type="dxa"/>
            <w:vAlign w:val="bottom"/>
          </w:tcPr>
          <w:p>
            <w:pPr>
              <w:ind w:left="240"/>
              <w:spacing w:after="0"/>
              <w:rPr>
                <w:sz w:val="20"/>
                <w:szCs w:val="20"/>
                <w:color w:val="auto"/>
              </w:rPr>
            </w:pPr>
            <w:r>
              <w:rPr>
                <w:rFonts w:ascii="Arial" w:cs="Arial" w:eastAsia="Arial" w:hAnsi="Arial"/>
                <w:sz w:val="14"/>
                <w:szCs w:val="14"/>
                <w:color w:val="auto"/>
              </w:rPr>
              <w:t>Weighted-average common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80" w:type="dxa"/>
            <w:vAlign w:val="bottom"/>
          </w:tcPr>
          <w:p>
            <w:pPr>
              <w:ind w:left="80"/>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400"/>
              <w:spacing w:after="0"/>
              <w:rPr>
                <w:sz w:val="20"/>
                <w:szCs w:val="20"/>
                <w:color w:val="auto"/>
              </w:rPr>
            </w:pPr>
            <w:r>
              <w:rPr>
                <w:rFonts w:ascii="Arial" w:cs="Arial" w:eastAsia="Arial" w:hAnsi="Arial"/>
                <w:sz w:val="14"/>
                <w:szCs w:val="14"/>
                <w:color w:val="auto"/>
              </w:rPr>
              <w:t>outstanding for basic EPS</w:t>
            </w:r>
          </w:p>
        </w:tc>
        <w:tc>
          <w:tcPr>
            <w:tcW w:w="260" w:type="dxa"/>
            <w:vAlign w:val="bottom"/>
          </w:tcPr>
          <w:p>
            <w:pPr>
              <w:spacing w:after="0"/>
              <w:rPr>
                <w:sz w:val="16"/>
                <w:szCs w:val="16"/>
                <w:color w:val="auto"/>
              </w:rPr>
            </w:pPr>
          </w:p>
        </w:tc>
        <w:tc>
          <w:tcPr>
            <w:tcW w:w="800" w:type="dxa"/>
            <w:vAlign w:val="bottom"/>
          </w:tcPr>
          <w:p>
            <w:pPr>
              <w:jc w:val="right"/>
              <w:ind w:right="63"/>
              <w:spacing w:after="0"/>
              <w:rPr>
                <w:sz w:val="20"/>
                <w:szCs w:val="20"/>
                <w:color w:val="auto"/>
              </w:rPr>
            </w:pPr>
            <w:r>
              <w:rPr>
                <w:rFonts w:ascii="Arial" w:cs="Arial" w:eastAsia="Arial" w:hAnsi="Arial"/>
                <w:sz w:val="14"/>
                <w:szCs w:val="14"/>
                <w:color w:val="auto"/>
              </w:rPr>
              <w:t>246,668</w:t>
            </w:r>
          </w:p>
        </w:tc>
        <w:tc>
          <w:tcPr>
            <w:tcW w:w="4160" w:type="dxa"/>
            <w:vAlign w:val="bottom"/>
          </w:tcPr>
          <w:p>
            <w:pPr>
              <w:spacing w:after="0"/>
              <w:rPr>
                <w:sz w:val="16"/>
                <w:szCs w:val="16"/>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243,925</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246,513</w:t>
            </w:r>
          </w:p>
        </w:tc>
        <w:tc>
          <w:tcPr>
            <w:tcW w:w="380" w:type="dxa"/>
            <w:vAlign w:val="bottom"/>
          </w:tcPr>
          <w:p>
            <w:pPr>
              <w:spacing w:after="0"/>
              <w:rPr>
                <w:sz w:val="16"/>
                <w:szCs w:val="16"/>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242,806</w:t>
            </w:r>
          </w:p>
        </w:tc>
        <w:tc>
          <w:tcPr>
            <w:tcW w:w="0" w:type="dxa"/>
            <w:vAlign w:val="bottom"/>
          </w:tcPr>
          <w:p>
            <w:pPr>
              <w:spacing w:after="0"/>
              <w:rPr>
                <w:sz w:val="1"/>
                <w:szCs w:val="1"/>
                <w:color w:val="auto"/>
              </w:rPr>
            </w:pPr>
          </w:p>
        </w:tc>
      </w:tr>
      <w:tr>
        <w:trPr>
          <w:trHeight w:val="168"/>
        </w:trPr>
        <w:tc>
          <w:tcPr>
            <w:tcW w:w="2580" w:type="dxa"/>
            <w:vAlign w:val="bottom"/>
          </w:tcPr>
          <w:p>
            <w:pPr>
              <w:ind w:left="240"/>
              <w:spacing w:after="0"/>
              <w:rPr>
                <w:sz w:val="20"/>
                <w:szCs w:val="20"/>
                <w:color w:val="auto"/>
              </w:rPr>
            </w:pPr>
            <w:r>
              <w:rPr>
                <w:rFonts w:ascii="Arial" w:cs="Arial" w:eastAsia="Arial" w:hAnsi="Arial"/>
                <w:sz w:val="14"/>
                <w:szCs w:val="14"/>
                <w:color w:val="auto"/>
              </w:rPr>
              <w:t>Dilutive effect of stock options, res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80" w:type="dxa"/>
            <w:vAlign w:val="bottom"/>
          </w:tcPr>
          <w:p>
            <w:pPr>
              <w:ind w:left="80"/>
              <w:spacing w:after="0"/>
              <w:rPr>
                <w:sz w:val="20"/>
                <w:szCs w:val="20"/>
                <w:color w:val="auto"/>
              </w:rPr>
            </w:pPr>
            <w:r>
              <w:rPr>
                <w:rFonts w:ascii="Arial" w:cs="Arial" w:eastAsia="Arial" w:hAnsi="Arial"/>
                <w:sz w:val="14"/>
                <w:szCs w:val="14"/>
                <w:color w:val="auto"/>
              </w:rPr>
              <w:t>tricted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0" w:right="219" w:bottom="0" w:gutter="0" w:footer="0" w:header="0"/>
        </w:sectPr>
      </w:pPr>
    </w:p>
    <w:bookmarkStart w:id="20" w:name="page21"/>
    <w:bookmarkEnd w:id="20"/>
    <w:p>
      <w:pPr>
        <w:spacing w:after="0" w:line="127" w:lineRule="exact"/>
        <w:rPr>
          <w:sz w:val="20"/>
          <w:szCs w:val="20"/>
          <w:color w:val="auto"/>
        </w:rPr>
      </w:pPr>
    </w:p>
    <w:p>
      <w:pPr>
        <w:ind w:left="80" w:right="440" w:firstLine="168"/>
        <w:spacing w:after="0" w:line="267" w:lineRule="auto"/>
        <w:tabs>
          <w:tab w:leader="none" w:pos="376" w:val="left"/>
        </w:tabs>
        <w:numPr>
          <w:ilvl w:val="0"/>
          <w:numId w:val="12"/>
        </w:numPr>
        <w:rPr>
          <w:rFonts w:ascii="Arial" w:cs="Arial" w:eastAsia="Arial" w:hAnsi="Arial"/>
          <w:sz w:val="14"/>
          <w:szCs w:val="14"/>
          <w:color w:val="auto"/>
        </w:rPr>
      </w:pPr>
      <w:r>
        <w:rPr>
          <w:rFonts w:ascii="Arial" w:cs="Arial" w:eastAsia="Arial" w:hAnsi="Arial"/>
          <w:sz w:val="14"/>
          <w:szCs w:val="14"/>
          <w:color w:val="auto"/>
        </w:rPr>
        <w:t>nbsp; stock awards and restricted stock units</w:t>
      </w:r>
    </w:p>
    <w:p>
      <w:pPr>
        <w:spacing w:after="0" w:line="74" w:lineRule="exact"/>
        <w:rPr>
          <w:sz w:val="20"/>
          <w:szCs w:val="20"/>
          <w:color w:val="auto"/>
        </w:rPr>
      </w:pPr>
    </w:p>
    <w:p>
      <w:pPr>
        <w:ind w:left="80" w:right="400" w:firstLine="160"/>
        <w:spacing w:after="0" w:line="267" w:lineRule="auto"/>
        <w:rPr>
          <w:sz w:val="20"/>
          <w:szCs w:val="20"/>
          <w:color w:val="auto"/>
        </w:rPr>
      </w:pPr>
      <w:r>
        <w:rPr>
          <w:rFonts w:ascii="Arial" w:cs="Arial" w:eastAsia="Arial" w:hAnsi="Arial"/>
          <w:sz w:val="14"/>
          <w:szCs w:val="14"/>
          <w:color w:val="auto"/>
        </w:rPr>
        <w:t>Weighted-average common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2"/>
        </w:trPr>
        <w:tc>
          <w:tcPr>
            <w:tcW w:w="5220" w:type="dxa"/>
            <w:vAlign w:val="bottom"/>
          </w:tcPr>
          <w:p>
            <w:pPr>
              <w:spacing w:after="0"/>
              <w:rPr>
                <w:sz w:val="20"/>
                <w:szCs w:val="20"/>
                <w:color w:val="auto"/>
              </w:rPr>
            </w:pPr>
            <w:r>
              <w:rPr>
                <w:rFonts w:ascii="Arial" w:cs="Arial" w:eastAsia="Arial" w:hAnsi="Arial"/>
                <w:sz w:val="28"/>
                <w:szCs w:val="28"/>
                <w:color w:val="auto"/>
                <w:vertAlign w:val="superscript"/>
              </w:rPr>
              <w:t>3,143</w:t>
            </w:r>
            <w:r>
              <w:rPr>
                <w:rFonts w:ascii="Arial" w:cs="Arial" w:eastAsia="Arial" w:hAnsi="Arial"/>
                <w:sz w:val="19"/>
                <w:szCs w:val="19"/>
                <w:color w:val="auto"/>
              </w:rPr>
              <w:t xml:space="preserve">   &lt; font style="FONT-SIZE:9pt; COLOR:black; FONT-</w:t>
            </w:r>
          </w:p>
        </w:tc>
        <w:tc>
          <w:tcPr>
            <w:tcW w:w="1180" w:type="dxa"/>
            <w:vAlign w:val="bottom"/>
          </w:tcPr>
          <w:p>
            <w:pPr>
              <w:jc w:val="right"/>
              <w:ind w:right="288"/>
              <w:spacing w:after="0"/>
              <w:rPr>
                <w:sz w:val="20"/>
                <w:szCs w:val="20"/>
                <w:color w:val="auto"/>
              </w:rPr>
            </w:pPr>
            <w:r>
              <w:rPr>
                <w:rFonts w:ascii="Arial" w:cs="Arial" w:eastAsia="Arial" w:hAnsi="Arial"/>
                <w:sz w:val="14"/>
                <w:szCs w:val="14"/>
                <w:color w:val="auto"/>
              </w:rPr>
              <w:t>4,536</w:t>
            </w: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3,260</w:t>
            </w:r>
          </w:p>
        </w:tc>
        <w:tc>
          <w:tcPr>
            <w:tcW w:w="700" w:type="dxa"/>
            <w:vAlign w:val="bottom"/>
          </w:tcPr>
          <w:p>
            <w:pPr>
              <w:jc w:val="right"/>
              <w:spacing w:after="0"/>
              <w:rPr>
                <w:sz w:val="20"/>
                <w:szCs w:val="20"/>
                <w:color w:val="auto"/>
              </w:rPr>
            </w:pPr>
            <w:r>
              <w:rPr>
                <w:rFonts w:ascii="Arial" w:cs="Arial" w:eastAsia="Arial" w:hAnsi="Arial"/>
                <w:sz w:val="14"/>
                <w:szCs w:val="14"/>
                <w:color w:val="auto"/>
              </w:rPr>
              <w:t>4,069</w:t>
            </w:r>
          </w:p>
        </w:tc>
      </w:tr>
      <w:tr>
        <w:trPr>
          <w:trHeight w:val="243"/>
        </w:trPr>
        <w:tc>
          <w:tcPr>
            <w:tcW w:w="5220" w:type="dxa"/>
            <w:vAlign w:val="bottom"/>
          </w:tcPr>
          <w:p>
            <w:pPr>
              <w:ind w:left="580"/>
              <w:spacing w:after="0"/>
              <w:rPr>
                <w:sz w:val="20"/>
                <w:szCs w:val="20"/>
                <w:color w:val="auto"/>
              </w:rPr>
            </w:pPr>
            <w:r>
              <w:rPr>
                <w:rFonts w:ascii="Arial" w:cs="Arial" w:eastAsia="Arial" w:hAnsi="Arial"/>
                <w:sz w:val="19"/>
                <w:szCs w:val="19"/>
                <w:color w:val="auto"/>
              </w:rPr>
              <w:t>FAMILY:'Arial','sans-serif'"&gt;</w:t>
            </w:r>
          </w:p>
        </w:tc>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353" w:lineRule="exact"/>
        <w:rPr>
          <w:sz w:val="20"/>
          <w:szCs w:val="20"/>
          <w:color w:val="auto"/>
        </w:rPr>
      </w:pPr>
    </w:p>
    <w:p>
      <w:pPr>
        <w:sectPr>
          <w:pgSz w:w="11900" w:h="16838" w:orient="portrait"/>
          <w:cols w:equalWidth="0" w:num="2">
            <w:col w:w="2420" w:space="720"/>
            <w:col w:w="8300"/>
          </w:cols>
          <w:pgMar w:left="240" w:top="14" w:right="219" w:bottom="0" w:gutter="0" w:footer="0" w:header="0"/>
        </w:sectPr>
      </w:pPr>
    </w:p>
    <w:tbl>
      <w:tblPr>
        <w:tblLayout w:type="fixed"/>
        <w:tblInd w:w="0" w:type="dxa"/>
        <w:tblCellMar>
          <w:top w:w="0" w:type="dxa"/>
          <w:left w:w="0" w:type="dxa"/>
          <w:bottom w:w="0" w:type="dxa"/>
          <w:right w:w="0" w:type="dxa"/>
        </w:tblCellMar>
      </w:tblPr>
      <w:tr>
        <w:trPr>
          <w:trHeight w:val="172"/>
        </w:trPr>
        <w:tc>
          <w:tcPr>
            <w:tcW w:w="2420" w:type="dxa"/>
            <w:vAlign w:val="bottom"/>
          </w:tcPr>
          <w:p>
            <w:pPr>
              <w:ind w:left="400"/>
              <w:spacing w:after="0"/>
              <w:rPr>
                <w:sz w:val="20"/>
                <w:szCs w:val="20"/>
                <w:color w:val="auto"/>
              </w:rPr>
            </w:pPr>
            <w:r>
              <w:rPr>
                <w:rFonts w:ascii="Arial" w:cs="Arial" w:eastAsia="Arial" w:hAnsi="Arial"/>
                <w:sz w:val="14"/>
                <w:szCs w:val="14"/>
                <w:color w:val="auto"/>
              </w:rPr>
              <w:t>outstanding for diluted EPS</w:t>
            </w:r>
          </w:p>
        </w:tc>
        <w:tc>
          <w:tcPr>
            <w:tcW w:w="44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4"/>
                <w:szCs w:val="14"/>
                <w:color w:val="auto"/>
              </w:rPr>
              <w:t>249,811</w:t>
            </w:r>
          </w:p>
        </w:tc>
        <w:tc>
          <w:tcPr>
            <w:tcW w:w="2620" w:type="dxa"/>
            <w:vAlign w:val="bottom"/>
          </w:tcPr>
          <w:p>
            <w:pPr>
              <w:spacing w:after="0"/>
              <w:rPr>
                <w:sz w:val="14"/>
                <w:szCs w:val="14"/>
                <w:color w:val="auto"/>
              </w:rPr>
            </w:pPr>
          </w:p>
        </w:tc>
        <w:tc>
          <w:tcPr>
            <w:tcW w:w="3060" w:type="dxa"/>
            <w:vAlign w:val="bottom"/>
          </w:tcPr>
          <w:p>
            <w:pPr>
              <w:jc w:val="right"/>
              <w:ind w:right="48"/>
              <w:spacing w:after="0"/>
              <w:rPr>
                <w:sz w:val="20"/>
                <w:szCs w:val="20"/>
                <w:color w:val="auto"/>
              </w:rPr>
            </w:pPr>
            <w:r>
              <w:rPr>
                <w:rFonts w:ascii="Arial" w:cs="Arial" w:eastAsia="Arial" w:hAnsi="Arial"/>
                <w:sz w:val="14"/>
                <w:szCs w:val="14"/>
                <w:color w:val="auto"/>
              </w:rPr>
              <w:t>248,461</w:t>
            </w:r>
          </w:p>
        </w:tc>
        <w:tc>
          <w:tcPr>
            <w:tcW w:w="3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249,773</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246,875</w:t>
            </w:r>
          </w:p>
        </w:tc>
        <w:tc>
          <w:tcPr>
            <w:tcW w:w="0" w:type="dxa"/>
            <w:vAlign w:val="bottom"/>
          </w:tcPr>
          <w:p>
            <w:pPr>
              <w:spacing w:after="0"/>
              <w:rPr>
                <w:sz w:val="1"/>
                <w:szCs w:val="1"/>
                <w:color w:val="auto"/>
              </w:rPr>
            </w:pPr>
          </w:p>
        </w:tc>
      </w:tr>
      <w:tr>
        <w:trPr>
          <w:trHeight w:val="408"/>
        </w:trPr>
        <w:tc>
          <w:tcPr>
            <w:tcW w:w="2420" w:type="dxa"/>
            <w:vAlign w:val="bottom"/>
          </w:tcPr>
          <w:p>
            <w:pPr>
              <w:ind w:left="80"/>
              <w:spacing w:after="0"/>
              <w:rPr>
                <w:sz w:val="20"/>
                <w:szCs w:val="20"/>
                <w:color w:val="auto"/>
              </w:rPr>
            </w:pPr>
            <w:r>
              <w:rPr>
                <w:rFonts w:ascii="Arial" w:cs="Arial" w:eastAsia="Arial" w:hAnsi="Arial"/>
                <w:sz w:val="14"/>
                <w:szCs w:val="14"/>
                <w:color w:val="auto"/>
              </w:rPr>
              <w:t>Earnings per share:</w:t>
            </w:r>
          </w:p>
        </w:tc>
        <w:tc>
          <w:tcPr>
            <w:tcW w:w="440" w:type="dxa"/>
            <w:vAlign w:val="bottom"/>
          </w:tcPr>
          <w:p>
            <w:pPr>
              <w:spacing w:after="0"/>
              <w:rPr>
                <w:sz w:val="24"/>
                <w:szCs w:val="24"/>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9"/>
                <w:szCs w:val="19"/>
                <w:color w:val="auto"/>
              </w:rPr>
              <w:t>0.53</w:t>
            </w:r>
          </w:p>
        </w:tc>
        <w:tc>
          <w:tcPr>
            <w:tcW w:w="2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240"/>
              <w:spacing w:after="0"/>
              <w:rPr>
                <w:sz w:val="20"/>
                <w:szCs w:val="20"/>
                <w:color w:val="auto"/>
              </w:rPr>
            </w:pPr>
            <w:r>
              <w:rPr>
                <w:rFonts w:ascii="Arial" w:cs="Arial" w:eastAsia="Arial" w:hAnsi="Arial"/>
                <w:sz w:val="14"/>
                <w:szCs w:val="14"/>
                <w:color w:val="auto"/>
              </w:rPr>
              <w:t>Basic</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8"/>
                <w:szCs w:val="18"/>
                <w:color w:val="auto"/>
              </w:rPr>
            </w:pPr>
          </w:p>
        </w:tc>
        <w:tc>
          <w:tcPr>
            <w:tcW w:w="2620" w:type="dxa"/>
            <w:vAlign w:val="bottom"/>
          </w:tcPr>
          <w:p>
            <w:pPr>
              <w:jc w:val="right"/>
              <w:ind w:right="2368"/>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1.86</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212"/>
        </w:trPr>
        <w:tc>
          <w:tcPr>
            <w:tcW w:w="2420" w:type="dxa"/>
            <w:vAlign w:val="bottom"/>
            <w:tcBorders>
              <w:bottom w:val="single" w:sz="8" w:color="969696"/>
            </w:tcBorders>
          </w:tcPr>
          <w:p>
            <w:pPr>
              <w:ind w:left="240"/>
              <w:spacing w:after="0"/>
              <w:rPr>
                <w:sz w:val="20"/>
                <w:szCs w:val="20"/>
                <w:color w:val="auto"/>
              </w:rPr>
            </w:pPr>
            <w:r>
              <w:rPr>
                <w:rFonts w:ascii="Arial" w:cs="Arial" w:eastAsia="Arial" w:hAnsi="Arial"/>
                <w:sz w:val="14"/>
                <w:szCs w:val="14"/>
                <w:color w:val="auto"/>
              </w:rPr>
              <w:t>Diluted</w:t>
            </w:r>
          </w:p>
        </w:tc>
        <w:tc>
          <w:tcPr>
            <w:tcW w:w="440" w:type="dxa"/>
            <w:vAlign w:val="bottom"/>
            <w:tcBorders>
              <w:bottom w:val="single" w:sz="8" w:color="969696"/>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69696"/>
            </w:tcBorders>
          </w:tcPr>
          <w:p>
            <w:pPr>
              <w:jc w:val="right"/>
              <w:ind w:right="40"/>
              <w:spacing w:after="0"/>
              <w:rPr>
                <w:sz w:val="20"/>
                <w:szCs w:val="20"/>
                <w:color w:val="auto"/>
              </w:rPr>
            </w:pPr>
            <w:r>
              <w:rPr>
                <w:rFonts w:ascii="Arial" w:cs="Arial" w:eastAsia="Arial" w:hAnsi="Arial"/>
                <w:sz w:val="14"/>
                <w:szCs w:val="14"/>
                <w:color w:val="auto"/>
              </w:rPr>
              <w:t>0.53</w:t>
            </w:r>
          </w:p>
        </w:tc>
        <w:tc>
          <w:tcPr>
            <w:tcW w:w="2620" w:type="dxa"/>
            <w:vAlign w:val="bottom"/>
            <w:tcBorders>
              <w:bottom w:val="single" w:sz="8" w:color="969696"/>
            </w:tcBorders>
          </w:tcPr>
          <w:p>
            <w:pPr>
              <w:jc w:val="right"/>
              <w:ind w:right="2368"/>
              <w:spacing w:after="0"/>
              <w:rPr>
                <w:sz w:val="20"/>
                <w:szCs w:val="20"/>
                <w:color w:val="auto"/>
              </w:rPr>
            </w:pPr>
            <w:r>
              <w:rPr>
                <w:rFonts w:ascii="Arial" w:cs="Arial" w:eastAsia="Arial" w:hAnsi="Arial"/>
                <w:sz w:val="14"/>
                <w:szCs w:val="14"/>
                <w:color w:val="auto"/>
              </w:rPr>
              <w:t>$</w:t>
            </w:r>
          </w:p>
        </w:tc>
        <w:tc>
          <w:tcPr>
            <w:tcW w:w="3060" w:type="dxa"/>
            <w:vAlign w:val="bottom"/>
            <w:tcBorders>
              <w:bottom w:val="single" w:sz="8" w:color="969696"/>
            </w:tcBorders>
          </w:tcPr>
          <w:p>
            <w:pPr>
              <w:jc w:val="right"/>
              <w:ind w:right="48"/>
              <w:spacing w:after="0"/>
              <w:rPr>
                <w:sz w:val="20"/>
                <w:szCs w:val="20"/>
                <w:color w:val="auto"/>
              </w:rPr>
            </w:pPr>
            <w:r>
              <w:rPr>
                <w:rFonts w:ascii="Arial" w:cs="Arial" w:eastAsia="Arial" w:hAnsi="Arial"/>
                <w:sz w:val="14"/>
                <w:szCs w:val="14"/>
                <w:color w:val="auto"/>
              </w:rPr>
              <w:t>1.27</w:t>
            </w:r>
          </w:p>
        </w:tc>
        <w:tc>
          <w:tcPr>
            <w:tcW w:w="300" w:type="dxa"/>
            <w:vAlign w:val="bottom"/>
            <w:tcBorders>
              <w:bottom w:val="single" w:sz="8" w:color="969696"/>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69696"/>
            </w:tcBorders>
          </w:tcPr>
          <w:p>
            <w:pPr>
              <w:jc w:val="right"/>
              <w:ind w:right="48"/>
              <w:spacing w:after="0"/>
              <w:rPr>
                <w:sz w:val="20"/>
                <w:szCs w:val="20"/>
                <w:color w:val="auto"/>
              </w:rPr>
            </w:pPr>
            <w:r>
              <w:rPr>
                <w:rFonts w:ascii="Arial" w:cs="Arial" w:eastAsia="Arial" w:hAnsi="Arial"/>
                <w:sz w:val="14"/>
                <w:szCs w:val="14"/>
                <w:color w:val="auto"/>
              </w:rPr>
              <w:t>1.84</w:t>
            </w:r>
          </w:p>
        </w:tc>
        <w:tc>
          <w:tcPr>
            <w:tcW w:w="300" w:type="dxa"/>
            <w:vAlign w:val="bottom"/>
            <w:tcBorders>
              <w:bottom w:val="single" w:sz="8" w:color="969696"/>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69696"/>
            </w:tcBorders>
          </w:tcPr>
          <w:p>
            <w:pPr>
              <w:jc w:val="right"/>
              <w:ind w:right="6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The dilution from common stock options is based on the treasury stock method. Under this method, proceeds based on the exercise price plus unearned compensation and windfall tax benefits or minus tax shortfalls related to the options are assumed to be used to repurchase shares on the open market at the average market price for the period. The windfall tax benefits are tax deductions we would receive upon the assumed exercise of stock options in e 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We had 2,132,975 and 2,158,528 such stock options outstanding during the three months and nine months ended September 30, 2010, respectively. We had 1,505,096 and 1,507,361 such stock options outstanding during the three months and nine months ended September 30, 2009, respectively.</w:t>
      </w:r>
    </w:p>
    <w:p>
      <w:pPr>
        <w:spacing w:after="0" w:line="5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had 10,800 and 8,407 stock options outstanding during the three months and nine months ended September 30, 2010, respectively, that were anti-dilutive because of the unearned compensation and windfall tax benefits included in the assumed proceeds under the treasury stock method. We had 890,781 such anti-dilutive stock options during the nine months ended September 30, 2009 and none for the three months ended September 30, 2009.</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dilution from unvested restricted stock awards and units is also based on the treasury stock method. Assumed proceeds equal to the unearned compensation and windfall tax benefits or minus tax shortfalls related to the awards and units are assumed to be used to repurchase shares on the open market at the average market price for the period. The windfall tax benefits or tax shortfalls are the difference between tax deductions we would receive upon the assumed vesting of restricted stock awards and units and the deferred income taxes we recorded related to the compensation expense on the restricted stock awards and units. There were no such anti-dilutive restricted stock awards or units during any period presented.</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REPURCHASE PROGRAM</w:t>
      </w:r>
    </w:p>
    <w:p>
      <w:pPr>
        <w:spacing w:after="0" w:line="108" w:lineRule="exact"/>
        <w:rPr>
          <w:sz w:val="20"/>
          <w:szCs w:val="20"/>
          <w:color w:val="auto"/>
        </w:rPr>
      </w:pPr>
    </w:p>
    <w:p>
      <w:pPr>
        <w:ind w:right="80"/>
        <w:spacing w:after="0" w:line="305" w:lineRule="auto"/>
        <w:rPr>
          <w:sz w:val="20"/>
          <w:szCs w:val="20"/>
          <w:color w:val="auto"/>
        </w:rPr>
      </w:pPr>
      <w:r>
        <w:rPr>
          <w:rFonts w:ascii="Arial" w:cs="Arial" w:eastAsia="Arial" w:hAnsi="Arial"/>
          <w:sz w:val="14"/>
          <w:szCs w:val="14"/>
          <w:color w:val="auto"/>
        </w:rPr>
        <w:t>In September 2010, we entered into a Collared Accelerated Share Acquisition Program under which we prepaid $500 million to repurchase shares of our common stock in a share forward transaction. The total number of shares purchased (subject to a minimum of 8,078,000 shares and maximum of 10,321,889 shares) will be determined by dividing the $500 million purchase price by the volume-weighted average trading prices of shares of our common stock during a valuation period, minus a fixed discount and subject to a minimum and maximum price set during a hedging period. The program may extend into the first quarter of 2011.</w:t>
      </w:r>
    </w:p>
    <w:p>
      <w:pPr>
        <w:spacing w:after="0" w:line="46" w:lineRule="exact"/>
        <w:rPr>
          <w:sz w:val="20"/>
          <w:szCs w:val="20"/>
          <w:color w:val="auto"/>
        </w:rPr>
      </w:pPr>
    </w:p>
    <w:p>
      <w:pPr>
        <w:ind w:right="80"/>
        <w:spacing w:after="0" w:line="314" w:lineRule="auto"/>
        <w:rPr>
          <w:sz w:val="20"/>
          <w:szCs w:val="20"/>
          <w:color w:val="auto"/>
        </w:rPr>
      </w:pPr>
      <w:r>
        <w:rPr>
          <w:rFonts w:ascii="Arial" w:cs="Arial" w:eastAsia="Arial" w:hAnsi="Arial"/>
          <w:sz w:val="14"/>
          <w:szCs w:val="14"/>
          <w:color w:val="auto"/>
        </w:rPr>
        <w:t>Our outstanding shares used to calculate earnings per share are reduced by the number of shares repurchased when they are delivered to us, and the $500 million purchase price was recorded as a reduction in shareholders’ equity upon its prepayme nt. We received 5,670,006 shares during the quarter ended September 30, 2010, and 2,407,994 shares on October 4, 2010. We will receive any additional repurchased shares above the minimum at the end of the valuation period, which will continue until the program is completed.</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98" w:lineRule="exact"/>
        <w:rPr>
          <w:sz w:val="20"/>
          <w:szCs w:val="20"/>
          <w:color w:val="auto"/>
        </w:rPr>
      </w:pPr>
    </w:p>
    <w:p>
      <w:pPr>
        <w:jc w:val="both"/>
        <w:ind w:right="80"/>
        <w:spacing w:after="0" w:line="256" w:lineRule="auto"/>
        <w:rPr>
          <w:sz w:val="20"/>
          <w:szCs w:val="20"/>
          <w:color w:val="auto"/>
        </w:rPr>
      </w:pPr>
      <w:r>
        <w:rPr>
          <w:rFonts w:ascii="Arial" w:cs="Arial" w:eastAsia="Arial" w:hAnsi="Arial"/>
          <w:sz w:val="16"/>
          <w:szCs w:val="16"/>
          <w:color w:val="auto"/>
        </w:rPr>
        <w:t>We discuss our share-based compensation plans in Note 10 of the Notes to Consolidated Financial Statements in the Annual Report. We recorded share-based compensation expense, net of income taxes, of $4 million for both the three months ended September 30, 2010 and 2009, and $17 million and $15 million for the nine months ended September 30, 2010 and 2009, respectively. Pursuant to our share-based compensation plans, we granted 687,600 non-qualified stock options and 773,616 restricted stock units during the nine months ended September 30, 2010, primarily in Jan uary 2010.</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FINANCING COSTS</w:t>
      </w:r>
    </w:p>
    <w:p>
      <w:pPr>
        <w:spacing w:after="0" w:line="98" w:lineRule="exact"/>
        <w:rPr>
          <w:sz w:val="20"/>
          <w:szCs w:val="20"/>
          <w:color w:val="auto"/>
        </w:rPr>
      </w:pPr>
    </w:p>
    <w:p>
      <w:pPr>
        <w:ind w:right="260"/>
        <w:spacing w:after="0" w:line="342" w:lineRule="auto"/>
        <w:rPr>
          <w:sz w:val="20"/>
          <w:szCs w:val="20"/>
          <w:color w:val="auto"/>
        </w:rPr>
      </w:pPr>
      <w:r>
        <w:rPr>
          <w:rFonts w:ascii="Arial" w:cs="Arial" w:eastAsia="Arial" w:hAnsi="Arial"/>
          <w:sz w:val="14"/>
          <w:szCs w:val="14"/>
          <w:color w:val="auto"/>
        </w:rPr>
        <w:t>Capitalized financing costs include capitalized interest costs and, at the Sempra Utilities, an allowance for funds used during construction (AFUDC) related to both debt and equity financing of construction projects. The following table shows capitalized financing costs for the three months and nine months ended September 30,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430530</wp:posOffset>
            </wp:positionV>
            <wp:extent cx="7261860" cy="289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CAPITALIZED FINANCING COSTS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6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60" w:type="dxa"/>
            <w:vAlign w:val="bottom"/>
          </w:tcPr>
          <w:p>
            <w:pPr>
              <w:spacing w:after="0"/>
              <w:rPr>
                <w:sz w:val="20"/>
                <w:szCs w:val="20"/>
                <w:color w:val="auto"/>
              </w:rPr>
            </w:pPr>
          </w:p>
        </w:tc>
        <w:tc>
          <w:tcPr>
            <w:tcW w:w="2040" w:type="dxa"/>
            <w:vAlign w:val="bottom"/>
            <w:gridSpan w:val="4"/>
          </w:tcPr>
          <w:p>
            <w:pPr>
              <w:ind w:left="100"/>
              <w:spacing w:after="0"/>
              <w:rPr>
                <w:sz w:val="20"/>
                <w:szCs w:val="20"/>
                <w:color w:val="auto"/>
              </w:rPr>
            </w:pPr>
            <w:r>
              <w:rPr>
                <w:rFonts w:ascii="Arial" w:cs="Arial" w:eastAsia="Arial" w:hAnsi="Arial"/>
                <w:sz w:val="13"/>
                <w:szCs w:val="13"/>
                <w:color w:val="auto"/>
              </w:rPr>
              <w:t>Three months ended September</w:t>
            </w:r>
          </w:p>
        </w:tc>
        <w:tc>
          <w:tcPr>
            <w:tcW w:w="2040" w:type="dxa"/>
            <w:vAlign w:val="bottom"/>
            <w:gridSpan w:val="5"/>
          </w:tcPr>
          <w:p>
            <w:pPr>
              <w:jc w:val="right"/>
              <w:ind w:right="68"/>
              <w:spacing w:after="0"/>
              <w:rPr>
                <w:sz w:val="20"/>
                <w:szCs w:val="20"/>
                <w:color w:val="auto"/>
              </w:rPr>
            </w:pPr>
            <w:r>
              <w:rPr>
                <w:rFonts w:ascii="Arial" w:cs="Arial" w:eastAsia="Arial" w:hAnsi="Arial"/>
                <w:sz w:val="13"/>
                <w:szCs w:val="13"/>
                <w:color w:val="auto"/>
              </w:rPr>
              <w:t>Nine months ended September</w:t>
            </w:r>
          </w:p>
        </w:tc>
        <w:tc>
          <w:tcPr>
            <w:tcW w:w="0" w:type="dxa"/>
            <w:vAlign w:val="bottom"/>
          </w:tcPr>
          <w:p>
            <w:pPr>
              <w:spacing w:after="0"/>
              <w:rPr>
                <w:sz w:val="1"/>
                <w:szCs w:val="1"/>
                <w:color w:val="auto"/>
              </w:rPr>
            </w:pPr>
          </w:p>
        </w:tc>
      </w:tr>
      <w:tr>
        <w:trPr>
          <w:trHeight w:val="140"/>
        </w:trPr>
        <w:tc>
          <w:tcPr>
            <w:tcW w:w="73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160"/>
              <w:spacing w:after="0" w:line="140" w:lineRule="exact"/>
              <w:rPr>
                <w:sz w:val="20"/>
                <w:szCs w:val="20"/>
                <w:color w:val="auto"/>
              </w:rPr>
            </w:pPr>
            <w:r>
              <w:rPr>
                <w:rFonts w:ascii="Arial" w:cs="Arial" w:eastAsia="Arial" w:hAnsi="Arial"/>
                <w:sz w:val="13"/>
                <w:szCs w:val="13"/>
                <w:color w:val="auto"/>
              </w:rPr>
              <w:t>30,</w:t>
            </w:r>
          </w:p>
        </w:tc>
        <w:tc>
          <w:tcPr>
            <w:tcW w:w="8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
              <w:spacing w:after="0" w:line="140" w:lineRule="exact"/>
              <w:rPr>
                <w:sz w:val="20"/>
                <w:szCs w:val="20"/>
                <w:color w:val="auto"/>
              </w:rPr>
            </w:pPr>
            <w:r>
              <w:rPr>
                <w:rFonts w:ascii="Arial" w:cs="Arial" w:eastAsia="Arial" w:hAnsi="Arial"/>
                <w:sz w:val="13"/>
                <w:szCs w:val="13"/>
                <w:color w:val="auto"/>
              </w:rPr>
              <w:t>30,</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vMerge w:val="restart"/>
          </w:tcPr>
          <w:p>
            <w:pPr>
              <w:spacing w:after="0"/>
              <w:rPr>
                <w:sz w:val="20"/>
                <w:szCs w:val="20"/>
                <w:color w:val="auto"/>
              </w:rPr>
            </w:pPr>
            <w:r>
              <w:rPr>
                <w:rFonts w:ascii="Arial" w:cs="Arial" w:eastAsia="Arial" w:hAnsi="Arial"/>
                <w:sz w:val="14"/>
                <w:szCs w:val="14"/>
                <w:b w:val="1"/>
                <w:bCs w:val="1"/>
                <w:color w:val="auto"/>
              </w:rPr>
              <w:t>Sempra Energy Consolidated:</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9"/>
              <w:spacing w:after="0" w:line="148" w:lineRule="exact"/>
              <w:rPr>
                <w:sz w:val="20"/>
                <w:szCs w:val="20"/>
                <w:color w:val="auto"/>
              </w:rPr>
            </w:pPr>
            <w:r>
              <w:rPr>
                <w:rFonts w:ascii="Arial" w:cs="Arial" w:eastAsia="Arial" w:hAnsi="Arial"/>
                <w:sz w:val="13"/>
                <w:szCs w:val="13"/>
                <w:color w:val="auto"/>
              </w:rPr>
              <w:t>2010</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29"/>
              <w:spacing w:after="0" w:line="148" w:lineRule="exact"/>
              <w:rPr>
                <w:sz w:val="20"/>
                <w:szCs w:val="20"/>
                <w:color w:val="auto"/>
              </w:rPr>
            </w:pPr>
            <w:r>
              <w:rPr>
                <w:rFonts w:ascii="Arial" w:cs="Arial" w:eastAsia="Arial" w:hAnsi="Arial"/>
                <w:sz w:val="13"/>
                <w:szCs w:val="13"/>
                <w:color w:val="auto"/>
              </w:rPr>
              <w:t>2009</w:t>
            </w: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0"/>
              <w:spacing w:after="0" w:line="148" w:lineRule="exact"/>
              <w:rPr>
                <w:sz w:val="20"/>
                <w:szCs w:val="20"/>
                <w:color w:val="auto"/>
              </w:rPr>
            </w:pPr>
            <w:r>
              <w:rPr>
                <w:rFonts w:ascii="Arial" w:cs="Arial" w:eastAsia="Arial" w:hAnsi="Arial"/>
                <w:sz w:val="13"/>
                <w:szCs w:val="13"/>
                <w:color w:val="auto"/>
              </w:rPr>
              <w:t>2010</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28"/>
              <w:spacing w:after="0" w:line="148" w:lineRule="exact"/>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78"/>
        </w:trPr>
        <w:tc>
          <w:tcPr>
            <w:tcW w:w="7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vMerge w:val="restart"/>
          </w:tcPr>
          <w:p>
            <w:pPr>
              <w:jc w:val="right"/>
              <w:ind w:right="49"/>
              <w:spacing w:after="0"/>
              <w:rPr>
                <w:sz w:val="20"/>
                <w:szCs w:val="20"/>
                <w:color w:val="auto"/>
              </w:rPr>
            </w:pPr>
            <w:r>
              <w:rPr>
                <w:rFonts w:ascii="Arial" w:cs="Arial" w:eastAsia="Arial" w:hAnsi="Arial"/>
                <w:sz w:val="14"/>
                <w:szCs w:val="14"/>
                <w:color w:val="auto"/>
              </w:rPr>
              <w:t>6</w:t>
            </w: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360" w:type="dxa"/>
            <w:vAlign w:val="bottom"/>
          </w:tcPr>
          <w:p>
            <w:pPr>
              <w:ind w:left="240"/>
              <w:spacing w:after="0"/>
              <w:rPr>
                <w:sz w:val="20"/>
                <w:szCs w:val="20"/>
                <w:color w:val="auto"/>
              </w:rPr>
            </w:pPr>
            <w:r>
              <w:rPr>
                <w:rFonts w:ascii="Arial" w:cs="Arial" w:eastAsia="Arial" w:hAnsi="Arial"/>
                <w:sz w:val="14"/>
                <w:szCs w:val="14"/>
                <w:color w:val="auto"/>
              </w:rPr>
              <w:t>AFUDC related to debt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vMerge w:val="continue"/>
          </w:tcPr>
          <w:p>
            <w:pPr>
              <w:spacing w:after="0"/>
              <w:rPr>
                <w:sz w:val="16"/>
                <w:szCs w:val="16"/>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7360" w:type="dxa"/>
            <w:vAlign w:val="bottom"/>
          </w:tcPr>
          <w:p>
            <w:pPr>
              <w:ind w:left="240"/>
              <w:spacing w:after="0"/>
              <w:rPr>
                <w:sz w:val="20"/>
                <w:szCs w:val="20"/>
                <w:color w:val="auto"/>
              </w:rPr>
            </w:pPr>
            <w:r>
              <w:rPr>
                <w:rFonts w:ascii="Arial" w:cs="Arial" w:eastAsia="Arial" w:hAnsi="Arial"/>
                <w:sz w:val="14"/>
                <w:szCs w:val="14"/>
                <w:color w:val="auto"/>
              </w:rPr>
              <w:t>AFUDC related to equity</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40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6"/>
                <w:szCs w:val="16"/>
                <w:color w:val="auto"/>
              </w:rPr>
            </w:pPr>
          </w:p>
        </w:tc>
        <w:tc>
          <w:tcPr>
            <w:tcW w:w="640" w:type="dxa"/>
            <w:vAlign w:val="bottom"/>
            <w:gridSpan w:val="2"/>
          </w:tcPr>
          <w:p>
            <w:pPr>
              <w:jc w:val="right"/>
              <w:ind w:right="6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7360" w:type="dxa"/>
            <w:vAlign w:val="bottom"/>
          </w:tcPr>
          <w:p>
            <w:pPr>
              <w:ind w:left="240"/>
              <w:spacing w:after="0"/>
              <w:rPr>
                <w:sz w:val="20"/>
                <w:szCs w:val="20"/>
                <w:color w:val="auto"/>
              </w:rPr>
            </w:pPr>
            <w:r>
              <w:rPr>
                <w:rFonts w:ascii="Arial" w:cs="Arial" w:eastAsia="Arial" w:hAnsi="Arial"/>
                <w:sz w:val="14"/>
                <w:szCs w:val="14"/>
                <w:color w:val="auto"/>
              </w:rPr>
              <w:t>Other capitalized financing costs</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8"/>
        </w:trPr>
        <w:tc>
          <w:tcPr>
            <w:tcW w:w="73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Total Sempra Energy Consolidated</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0"/>
        </w:trPr>
        <w:tc>
          <w:tcPr>
            <w:tcW w:w="7360" w:type="dxa"/>
            <w:vAlign w:val="bottom"/>
          </w:tcPr>
          <w:p>
            <w:pPr>
              <w:ind w:left="80"/>
              <w:spacing w:after="0"/>
              <w:rPr>
                <w:sz w:val="20"/>
                <w:szCs w:val="20"/>
                <w:color w:val="auto"/>
              </w:rPr>
            </w:pPr>
            <w:r>
              <w:rPr>
                <w:rFonts w:ascii="Arial" w:cs="Arial" w:eastAsia="Arial" w:hAnsi="Arial"/>
                <w:sz w:val="14"/>
                <w:szCs w:val="14"/>
                <w:b w:val="1"/>
                <w:bCs w:val="1"/>
                <w:color w:val="auto"/>
              </w:rPr>
              <w:t>SDG&amp;E:</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7360" w:type="dxa"/>
            <w:vAlign w:val="bottom"/>
          </w:tcPr>
          <w:p>
            <w:pPr>
              <w:ind w:left="160"/>
              <w:spacing w:after="0"/>
              <w:rPr>
                <w:sz w:val="20"/>
                <w:szCs w:val="20"/>
                <w:color w:val="auto"/>
              </w:rPr>
            </w:pPr>
            <w:r>
              <w:rPr>
                <w:rFonts w:ascii="Arial" w:cs="Arial" w:eastAsia="Arial" w:hAnsi="Arial"/>
                <w:sz w:val="14"/>
                <w:szCs w:val="14"/>
                <w:color w:val="auto"/>
              </w:rPr>
              <w:t>AFUDC related to debt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40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360" w:type="dxa"/>
            <w:vAlign w:val="bottom"/>
          </w:tcPr>
          <w:p>
            <w:pPr>
              <w:ind w:left="240"/>
              <w:spacing w:after="0"/>
              <w:rPr>
                <w:sz w:val="20"/>
                <w:szCs w:val="20"/>
                <w:color w:val="auto"/>
              </w:rPr>
            </w:pPr>
            <w:r>
              <w:rPr>
                <w:rFonts w:ascii="Arial" w:cs="Arial" w:eastAsia="Arial" w:hAnsi="Arial"/>
                <w:sz w:val="14"/>
                <w:szCs w:val="14"/>
                <w:color w:val="auto"/>
              </w:rPr>
              <w:t>AFUDC related to equity</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40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6"/>
                <w:szCs w:val="16"/>
                <w:color w:val="auto"/>
              </w:rPr>
            </w:pPr>
          </w:p>
        </w:tc>
        <w:tc>
          <w:tcPr>
            <w:tcW w:w="640" w:type="dxa"/>
            <w:vAlign w:val="bottom"/>
            <w:gridSpan w:val="2"/>
          </w:tcPr>
          <w:p>
            <w:pPr>
              <w:jc w:val="right"/>
              <w:ind w:right="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0"/>
        </w:trPr>
        <w:tc>
          <w:tcPr>
            <w:tcW w:w="7360" w:type="dxa"/>
            <w:vAlign w:val="bottom"/>
          </w:tcPr>
          <w:p>
            <w:pPr>
              <w:ind w:left="240"/>
              <w:spacing w:after="0"/>
              <w:rPr>
                <w:sz w:val="20"/>
                <w:szCs w:val="20"/>
                <w:color w:val="auto"/>
              </w:rPr>
            </w:pPr>
            <w:r>
              <w:rPr>
                <w:rFonts w:ascii="Arial" w:cs="Arial" w:eastAsia="Arial" w:hAnsi="Arial"/>
                <w:sz w:val="14"/>
                <w:szCs w:val="14"/>
                <w:color w:val="auto"/>
              </w:rPr>
              <w:t>Other capitalized financing costs</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&amp;nbs p;2</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6"/>
        </w:trPr>
        <w:tc>
          <w:tcPr>
            <w:tcW w:w="7360" w:type="dxa"/>
            <w:vAlign w:val="bottom"/>
          </w:tcPr>
          <w:p>
            <w:pPr>
              <w:ind w:left="400"/>
              <w:spacing w:after="0"/>
              <w:rPr>
                <w:sz w:val="20"/>
                <w:szCs w:val="20"/>
                <w:color w:val="auto"/>
              </w:rPr>
            </w:pPr>
            <w:r>
              <w:rPr>
                <w:rFonts w:ascii="Arial" w:cs="Arial" w:eastAsia="Arial" w:hAnsi="Arial"/>
                <w:sz w:val="14"/>
                <w:szCs w:val="14"/>
                <w:color w:val="auto"/>
              </w:rPr>
              <w:t>Total SDG&amp;E</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16</w:t>
            </w:r>
          </w:p>
        </w:tc>
        <w:tc>
          <w:tcPr>
            <w:tcW w:w="40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42&amp;n bsp;</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61860"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ind w:left="80" w:right="5020" w:firstLine="8"/>
        <w:spacing w:after="0" w:line="265" w:lineRule="auto"/>
        <w:tabs>
          <w:tab w:leader="none" w:pos="238"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font style="FONT-SIZE:9pt; COLOR:black; FONT-FAMILY:'Arial','sans-serif'"&gt;SoCalGas:</w:t>
      </w:r>
    </w:p>
    <w:tbl>
      <w:tblPr>
        <w:tblLayout w:type="fixed"/>
        <w:tblInd w:w="0" w:type="dxa"/>
        <w:tblCellMar>
          <w:top w:w="0" w:type="dxa"/>
          <w:left w:w="0" w:type="dxa"/>
          <w:bottom w:w="0" w:type="dxa"/>
          <w:right w:w="0" w:type="dxa"/>
        </w:tblCellMar>
      </w:tblPr>
      <w:tr>
        <w:trPr>
          <w:trHeight w:val="172"/>
        </w:trPr>
        <w:tc>
          <w:tcPr>
            <w:tcW w:w="7360" w:type="dxa"/>
            <w:vAlign w:val="bottom"/>
          </w:tcPr>
          <w:p>
            <w:pPr>
              <w:ind w:left="240"/>
              <w:spacing w:after="0"/>
              <w:rPr>
                <w:sz w:val="20"/>
                <w:szCs w:val="20"/>
                <w:color w:val="auto"/>
              </w:rPr>
            </w:pPr>
            <w:r>
              <w:rPr>
                <w:rFonts w:ascii="Arial" w:cs="Arial" w:eastAsia="Arial" w:hAnsi="Arial"/>
                <w:sz w:val="14"/>
                <w:szCs w:val="14"/>
                <w:color w:val="auto"/>
              </w:rPr>
              <w:t>AFUDC related to debt</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192"/>
        </w:trPr>
        <w:tc>
          <w:tcPr>
            <w:tcW w:w="7360" w:type="dxa"/>
            <w:vAlign w:val="bottom"/>
          </w:tcPr>
          <w:p>
            <w:pPr>
              <w:ind w:left="240"/>
              <w:spacing w:after="0"/>
              <w:rPr>
                <w:sz w:val="20"/>
                <w:szCs w:val="20"/>
                <w:color w:val="auto"/>
              </w:rPr>
            </w:pPr>
            <w:r>
              <w:rPr>
                <w:rFonts w:ascii="Arial" w:cs="Arial" w:eastAsia="Arial" w:hAnsi="Arial"/>
                <w:sz w:val="14"/>
                <w:szCs w:val="14"/>
                <w:color w:val="auto"/>
              </w:rPr>
              <w:t>AFUDC related to equity</w:t>
            </w:r>
          </w:p>
        </w:tc>
        <w:tc>
          <w:tcPr>
            <w:tcW w:w="30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54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16"/>
                <w:szCs w:val="16"/>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186"/>
        </w:trPr>
        <w:tc>
          <w:tcPr>
            <w:tcW w:w="7360" w:type="dxa"/>
            <w:vAlign w:val="bottom"/>
          </w:tcPr>
          <w:p>
            <w:pPr>
              <w:ind w:left="240"/>
              <w:spacing w:after="0"/>
              <w:rPr>
                <w:sz w:val="20"/>
                <w:szCs w:val="20"/>
                <w:color w:val="auto"/>
              </w:rPr>
            </w:pPr>
            <w:r>
              <w:rPr>
                <w:rFonts w:ascii="Arial" w:cs="Arial" w:eastAsia="Arial" w:hAnsi="Arial"/>
                <w:sz w:val="14"/>
                <w:szCs w:val="14"/>
                <w:color w:val="auto"/>
              </w:rPr>
              <w:t>Other capitalized financing costs</w:t>
            </w:r>
          </w:p>
        </w:tc>
        <w:tc>
          <w:tcPr>
            <w:tcW w:w="300" w:type="dxa"/>
            <w:vAlign w:val="bottom"/>
            <w:tcBorders>
              <w:bottom w:val="single" w:sz="8" w:color="auto"/>
            </w:tcBorders>
          </w:tcPr>
          <w:p>
            <w:pPr>
              <w:spacing w:after="0"/>
              <w:rPr>
                <w:sz w:val="16"/>
                <w:szCs w:val="16"/>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5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r>
      <w:tr>
        <w:trPr>
          <w:trHeight w:val="176"/>
        </w:trPr>
        <w:tc>
          <w:tcPr>
            <w:tcW w:w="73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Total SoCalGas</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5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 iliation of net income to comprehensive income.</w:t>
      </w: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color w:val="auto"/>
        </w:rPr>
        <w:t>&lt; /tr&gt;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074920" cy="2133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74920" cy="213360"/>
                    </a:xfrm>
                    <a:prstGeom prst="rect">
                      <a:avLst/>
                    </a:prstGeom>
                    <a:noFill/>
                  </pic:spPr>
                </pic:pic>
              </a:graphicData>
            </a:graphic>
          </wp:anchor>
        </w:drawing>
      </w:r>
    </w:p>
    <w:p>
      <w:pPr>
        <w:sectPr>
          <w:pgSz w:w="11900" w:h="16838" w:orient="portrait"/>
          <w:cols w:equalWidth="0" w:num="1">
            <w:col w:w="11440"/>
          </w:cols>
          <w:pgMar w:left="240" w:top="14" w:right="219" w:bottom="0" w:gutter="0" w:footer="0" w:header="0"/>
          <w:type w:val="continuous"/>
        </w:sectPr>
      </w:pPr>
    </w:p>
    <w:p>
      <w:pPr>
        <w:spacing w:after="0" w:line="6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COMPREHENSIVE INCOME</w:t>
      </w:r>
    </w:p>
    <w:p>
      <w:pPr>
        <w:sectPr>
          <w:pgSz w:w="11900" w:h="16838" w:orient="portrait"/>
          <w:cols w:equalWidth="0" w:num="1">
            <w:col w:w="11440"/>
          </w:cols>
          <w:pgMar w:left="240" w:top="14" w:right="219" w:bottom="0" w:gutter="0" w:footer="0" w:header="0"/>
          <w:type w:val="continuous"/>
        </w:sectPr>
      </w:pPr>
    </w:p>
    <w:bookmarkStart w:id="21" w:name="page22"/>
    <w:bookmarkEnd w:id="21"/>
    <w:p>
      <w:pPr>
        <w:spacing w:after="0" w:line="38" w:lineRule="exact"/>
        <w:rPr>
          <w:sz w:val="20"/>
          <w:szCs w:val="20"/>
          <w:color w:val="auto"/>
        </w:rPr>
      </w:pPr>
    </w:p>
    <w:p>
      <w:pPr>
        <w:ind w:left="84"/>
        <w:spacing w:after="0"/>
        <w:rPr>
          <w:sz w:val="20"/>
          <w:szCs w:val="20"/>
          <w:color w:val="auto"/>
        </w:rPr>
      </w:pPr>
      <w:r>
        <w:rPr>
          <w:rFonts w:ascii="Arial" w:cs="Arial" w:eastAsia="Arial" w:hAnsi="Arial"/>
          <w:sz w:val="13"/>
          <w:szCs w:val="13"/>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5074920" cy="678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74920" cy="6781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40"/>
        </w:trPr>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9"/>
          </w:tcPr>
          <w:p>
            <w:pPr>
              <w:ind w:left="20"/>
              <w:spacing w:after="0" w:line="140" w:lineRule="exact"/>
              <w:rPr>
                <w:sz w:val="20"/>
                <w:szCs w:val="20"/>
                <w:color w:val="auto"/>
              </w:rPr>
            </w:pPr>
            <w:r>
              <w:rPr>
                <w:rFonts w:ascii="Arial" w:cs="Arial" w:eastAsia="Arial" w:hAnsi="Arial"/>
                <w:sz w:val="13"/>
                <w:szCs w:val="13"/>
                <w:color w:val="auto"/>
              </w:rPr>
              <w:t>Three months ended September 30,</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center"/>
              <w:ind w:right="166"/>
              <w:spacing w:after="0"/>
              <w:rPr>
                <w:sz w:val="20"/>
                <w:szCs w:val="20"/>
                <w:color w:val="auto"/>
              </w:rPr>
            </w:pPr>
            <w:r>
              <w:rPr>
                <w:rFonts w:ascii="Arial" w:cs="Arial" w:eastAsia="Arial" w:hAnsi="Arial"/>
                <w:sz w:val="13"/>
                <w:szCs w:val="13"/>
                <w:color w:val="auto"/>
                <w:w w:val="96"/>
              </w:rPr>
              <w:t>2010</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color w:val="auto"/>
              </w:rPr>
              <w:t>2009</w:t>
            </w: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149"/>
              <w:spacing w:after="0"/>
              <w:rPr>
                <w:sz w:val="20"/>
                <w:szCs w:val="20"/>
                <w:color w:val="auto"/>
              </w:rPr>
            </w:pPr>
            <w:r>
              <w:rPr>
                <w:rFonts w:ascii="Arial" w:cs="Arial" w:eastAsia="Arial" w:hAnsi="Arial"/>
                <w:sz w:val="13"/>
                <w:szCs w:val="13"/>
                <w:color w:val="auto"/>
                <w:w w:val="97"/>
              </w:rPr>
              <w:t>Share-</w:t>
            </w:r>
          </w:p>
        </w:tc>
        <w:tc>
          <w:tcPr>
            <w:tcW w:w="180" w:type="dxa"/>
            <w:vAlign w:val="bottom"/>
          </w:tcPr>
          <w:p>
            <w:pPr>
              <w:spacing w:after="0"/>
              <w:rPr>
                <w:sz w:val="19"/>
                <w:szCs w:val="19"/>
                <w:color w:val="auto"/>
              </w:rPr>
            </w:pPr>
          </w:p>
        </w:tc>
        <w:tc>
          <w:tcPr>
            <w:tcW w:w="560" w:type="dxa"/>
            <w:vAlign w:val="bottom"/>
            <w:gridSpan w:val="2"/>
          </w:tcPr>
          <w:p>
            <w:pPr>
              <w:jc w:val="center"/>
              <w:ind w:right="126"/>
              <w:spacing w:after="0"/>
              <w:rPr>
                <w:sz w:val="20"/>
                <w:szCs w:val="20"/>
                <w:color w:val="auto"/>
              </w:rPr>
            </w:pPr>
            <w:r>
              <w:rPr>
                <w:rFonts w:ascii="Arial" w:cs="Arial" w:eastAsia="Arial" w:hAnsi="Arial"/>
                <w:sz w:val="13"/>
                <w:szCs w:val="13"/>
                <w:color w:val="auto"/>
                <w:w w:val="99"/>
              </w:rPr>
              <w:t>Non-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ind w:left="20"/>
              <w:spacing w:after="0"/>
              <w:rPr>
                <w:sz w:val="20"/>
                <w:szCs w:val="20"/>
                <w:color w:val="auto"/>
              </w:rPr>
            </w:pPr>
            <w:r>
              <w:rPr>
                <w:rFonts w:ascii="Arial" w:cs="Arial" w:eastAsia="Arial" w:hAnsi="Arial"/>
                <w:sz w:val="19"/>
                <w:szCs w:val="19"/>
                <w:color w:val="auto"/>
              </w:rPr>
              <w:t>Share-</w:t>
            </w:r>
          </w:p>
        </w:tc>
        <w:tc>
          <w:tcPr>
            <w:tcW w:w="140" w:type="dxa"/>
            <w:vAlign w:val="bottom"/>
          </w:tcPr>
          <w:p>
            <w:pPr>
              <w:spacing w:after="0"/>
              <w:rPr>
                <w:sz w:val="19"/>
                <w:szCs w:val="19"/>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Non-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right"/>
              <w:ind w:right="129"/>
              <w:spacing w:after="0"/>
              <w:rPr>
                <w:sz w:val="20"/>
                <w:szCs w:val="20"/>
                <w:color w:val="auto"/>
              </w:rPr>
            </w:pPr>
            <w:r>
              <w:rPr>
                <w:rFonts w:ascii="Arial" w:cs="Arial" w:eastAsia="Arial" w:hAnsi="Arial"/>
                <w:sz w:val="13"/>
                <w:szCs w:val="13"/>
                <w:color w:val="auto"/>
              </w:rPr>
              <w:t>holders'</w:t>
            </w: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controlling</w:t>
            </w:r>
          </w:p>
        </w:tc>
        <w:tc>
          <w:tcPr>
            <w:tcW w:w="200" w:type="dxa"/>
            <w:vAlign w:val="bottom"/>
          </w:tcPr>
          <w:p>
            <w:pPr>
              <w:spacing w:after="0"/>
              <w:rPr>
                <w:sz w:val="14"/>
                <w:szCs w:val="14"/>
                <w:color w:val="auto"/>
              </w:rPr>
            </w:pPr>
          </w:p>
        </w:tc>
        <w:tc>
          <w:tcPr>
            <w:tcW w:w="900" w:type="dxa"/>
            <w:vAlign w:val="bottom"/>
            <w:gridSpan w:val="2"/>
          </w:tcPr>
          <w:p>
            <w:pPr>
              <w:jc w:val="center"/>
              <w:ind w:right="520"/>
              <w:spacing w:after="0"/>
              <w:rPr>
                <w:sz w:val="20"/>
                <w:szCs w:val="20"/>
                <w:color w:val="auto"/>
              </w:rPr>
            </w:pPr>
            <w:r>
              <w:rPr>
                <w:rFonts w:ascii="Arial" w:cs="Arial" w:eastAsia="Arial" w:hAnsi="Arial"/>
                <w:sz w:val="13"/>
                <w:szCs w:val="13"/>
                <w:color w:val="auto"/>
                <w:w w:val="89"/>
              </w:rPr>
              <w:t>Total</w:t>
            </w:r>
          </w:p>
        </w:tc>
        <w:tc>
          <w:tcPr>
            <w:tcW w:w="760" w:type="dxa"/>
            <w:vAlign w:val="bottom"/>
            <w:gridSpan w:val="3"/>
          </w:tcPr>
          <w:p>
            <w:pPr>
              <w:ind w:left="80"/>
              <w:spacing w:after="0"/>
              <w:rPr>
                <w:sz w:val="20"/>
                <w:szCs w:val="20"/>
                <w:color w:val="auto"/>
              </w:rPr>
            </w:pPr>
            <w:r>
              <w:rPr>
                <w:rFonts w:ascii="Arial" w:cs="Arial" w:eastAsia="Arial" w:hAnsi="Arial"/>
                <w:sz w:val="13"/>
                <w:szCs w:val="13"/>
                <w:color w:val="auto"/>
              </w:rPr>
              <w:t>holders'</w:t>
            </w:r>
          </w:p>
        </w:tc>
        <w:tc>
          <w:tcPr>
            <w:tcW w:w="620" w:type="dxa"/>
            <w:vAlign w:val="bottom"/>
            <w:gridSpan w:val="3"/>
          </w:tcPr>
          <w:p>
            <w:pPr>
              <w:ind w:left="20"/>
              <w:spacing w:after="0"/>
              <w:rPr>
                <w:sz w:val="20"/>
                <w:szCs w:val="20"/>
                <w:color w:val="auto"/>
              </w:rPr>
            </w:pPr>
            <w:r>
              <w:rPr>
                <w:rFonts w:ascii="Arial" w:cs="Arial" w:eastAsia="Arial" w:hAnsi="Arial"/>
                <w:sz w:val="13"/>
                <w:szCs w:val="13"/>
                <w:color w:val="auto"/>
                <w:w w:val="97"/>
              </w:rPr>
              <w:t>controlling</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3"/>
                <w:szCs w:val="13"/>
                <w:color w:val="auto"/>
              </w:rPr>
              <w:t>Equity(1)</w:t>
            </w: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6"/>
              </w:rPr>
              <w:t>Interests</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3"/>
                <w:szCs w:val="13"/>
                <w:color w:val="auto"/>
                <w:w w:val="99"/>
              </w:rPr>
              <w:t>Equity</w:t>
            </w:r>
          </w:p>
        </w:tc>
        <w:tc>
          <w:tcPr>
            <w:tcW w:w="7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color w:val="auto"/>
                <w:w w:val="99"/>
              </w:rPr>
              <w:t>Equity(1)</w:t>
            </w: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6"/>
              </w:rPr>
              <w:t>Interests</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3"/>
                <w:szCs w:val="13"/>
                <w:color w:val="auto"/>
              </w:rPr>
              <w:t>Equity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60" w:type="dxa"/>
            <w:vAlign w:val="bottom"/>
            <w:gridSpan w:val="4"/>
          </w:tcPr>
          <w:p>
            <w:pPr>
              <w:ind w:left="80"/>
              <w:spacing w:after="0"/>
              <w:rPr>
                <w:sz w:val="20"/>
                <w:szCs w:val="20"/>
                <w:color w:val="auto"/>
              </w:rPr>
            </w:pPr>
            <w:r>
              <w:rPr>
                <w:rFonts w:ascii="Arial" w:cs="Arial" w:eastAsia="Arial" w:hAnsi="Arial"/>
                <w:sz w:val="14"/>
                <w:szCs w:val="14"/>
                <w:b w:val="1"/>
                <w:bCs w:val="1"/>
                <w:color w:val="auto"/>
              </w:rPr>
              <w:t>Sempra Energy Consolidated:</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vMerge w:val="restart"/>
          </w:tcPr>
          <w:p>
            <w:pPr>
              <w:jc w:val="right"/>
              <w:ind w:right="6"/>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60" w:type="dxa"/>
            <w:vAlign w:val="bottom"/>
            <w:gridSpan w:val="4"/>
          </w:tcPr>
          <w:p>
            <w:pPr>
              <w:ind w:left="800"/>
              <w:spacing w:after="0"/>
              <w:rPr>
                <w:sz w:val="20"/>
                <w:szCs w:val="20"/>
                <w:color w:val="auto"/>
              </w:rPr>
            </w:pPr>
            <w:r>
              <w:rPr>
                <w:rFonts w:ascii="Arial" w:cs="Arial" w:eastAsia="Arial" w:hAnsi="Arial"/>
                <w:sz w:val="14"/>
                <w:szCs w:val="14"/>
                <w:color w:val="auto"/>
              </w:rPr>
              <w:t>Net income (loss)(2)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133</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vMerge w:val="continue"/>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9"/>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319</w:t>
            </w:r>
          </w:p>
        </w:tc>
        <w:tc>
          <w:tcPr>
            <w:tcW w:w="6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w w:val="96"/>
              </w:rPr>
              <w:t>(17)</w:t>
            </w: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gridSpan w:val="4"/>
          </w:tcPr>
          <w:p>
            <w:pPr>
              <w:ind w:left="800"/>
              <w:spacing w:after="0"/>
              <w:rPr>
                <w:sz w:val="20"/>
                <w:szCs w:val="20"/>
                <w:color w:val="auto"/>
              </w:rPr>
            </w:pPr>
            <w:r>
              <w:rPr>
                <w:rFonts w:ascii="Arial" w:cs="Arial" w:eastAsia="Arial" w:hAnsi="Arial"/>
                <w:sz w:val="14"/>
                <w:szCs w:val="14"/>
                <w:color w:val="auto"/>
              </w:rPr>
              <w:t>Foreign currency translation</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gridSpan w:val="2"/>
          </w:tcPr>
          <w:p>
            <w:pPr>
              <w:ind w:left="960"/>
              <w:spacing w:after="0"/>
              <w:rPr>
                <w:sz w:val="20"/>
                <w:szCs w:val="20"/>
                <w:color w:val="auto"/>
              </w:rPr>
            </w:pPr>
            <w:r>
              <w:rPr>
                <w:rFonts w:ascii="Arial" w:cs="Arial" w:eastAsia="Arial" w:hAnsi="Arial"/>
                <w:sz w:val="14"/>
                <w:szCs w:val="14"/>
                <w:color w:val="auto"/>
              </w:rPr>
              <w:t>adjustments</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53</w:t>
            </w:r>
          </w:p>
        </w:tc>
        <w:tc>
          <w:tcPr>
            <w:tcW w:w="180" w:type="dxa"/>
            <w:vAlign w:val="bottom"/>
          </w:tcPr>
          <w:p>
            <w:pPr>
              <w:spacing w:after="0"/>
              <w:rPr>
                <w:sz w:val="16"/>
                <w:szCs w:val="16"/>
                <w:color w:val="auto"/>
              </w:rPr>
            </w:pPr>
          </w:p>
        </w:tc>
        <w:tc>
          <w:tcPr>
            <w:tcW w:w="560" w:type="dxa"/>
            <w:vAlign w:val="bottom"/>
            <w:gridSpan w:val="2"/>
          </w:tcPr>
          <w:p>
            <w:pPr>
              <w:jc w:val="right"/>
              <w:ind w:right="4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9"/>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gridSpan w:val="4"/>
          </w:tcPr>
          <w:p>
            <w:pPr>
              <w:ind w:left="140"/>
              <w:spacing w:after="0"/>
              <w:rPr>
                <w:sz w:val="20"/>
                <w:szCs w:val="20"/>
                <w:color w:val="auto"/>
              </w:rPr>
            </w:pPr>
            <w:r>
              <w:rPr>
                <w:rFonts w:ascii="Arial" w:cs="Arial" w:eastAsia="Arial" w:hAnsi="Arial"/>
                <w:sz w:val="14"/>
                <w:szCs w:val="14"/>
                <w:color w:val="auto"/>
              </w:rPr>
              <w:t>&lt; /font&gt;   Financial instruments</w:t>
            </w:r>
          </w:p>
        </w:tc>
        <w:tc>
          <w:tcPr>
            <w:tcW w:w="14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6"/>
                <w:szCs w:val="16"/>
                <w:color w:val="auto"/>
              </w:rPr>
            </w:pPr>
          </w:p>
        </w:tc>
        <w:tc>
          <w:tcPr>
            <w:tcW w:w="560" w:type="dxa"/>
            <w:vAlign w:val="bottom"/>
            <w:gridSpan w:val="2"/>
          </w:tcPr>
          <w:p>
            <w:pPr>
              <w:jc w:val="right"/>
              <w:ind w:right="46"/>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820" w:type="dxa"/>
            <w:vAlign w:val="bottom"/>
          </w:tcPr>
          <w:p>
            <w:pPr>
              <w:jc w:val="right"/>
              <w:ind w:right="24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gridSpan w:val="4"/>
          </w:tcPr>
          <w:p>
            <w:pPr>
              <w:ind w:left="800"/>
              <w:spacing w:after="0"/>
              <w:rPr>
                <w:sz w:val="20"/>
                <w:szCs w:val="20"/>
                <w:color w:val="auto"/>
              </w:rPr>
            </w:pPr>
            <w:r>
              <w:rPr>
                <w:rFonts w:ascii="Arial" w:cs="Arial" w:eastAsia="Arial" w:hAnsi="Arial"/>
                <w:sz w:val="14"/>
                <w:szCs w:val="14"/>
                <w:color w:val="auto"/>
              </w:rPr>
              <w:t>Available-for-sale securities</w:t>
            </w:r>
          </w:p>
        </w:tc>
        <w:tc>
          <w:tcPr>
            <w:tcW w:w="140" w:type="dxa"/>
            <w:vAlign w:val="bottom"/>
          </w:tcPr>
          <w:p>
            <w:pPr>
              <w:spacing w:after="0"/>
              <w:rPr>
                <w:sz w:val="16"/>
                <w:szCs w:val="16"/>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6"/>
                <w:szCs w:val="16"/>
                <w:color w:val="auto"/>
              </w:rPr>
            </w:pPr>
          </w:p>
        </w:tc>
        <w:tc>
          <w:tcPr>
            <w:tcW w:w="560" w:type="dxa"/>
            <w:vAlign w:val="bottom"/>
            <w:gridSpan w:val="2"/>
          </w:tcPr>
          <w:p>
            <w:pPr>
              <w:jc w:val="right"/>
              <w:ind w:right="4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9"/>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80" w:type="dxa"/>
            <w:vAlign w:val="bottom"/>
            <w:gridSpan w:val="2"/>
          </w:tcPr>
          <w:p>
            <w:pPr>
              <w:ind w:left="800"/>
              <w:spacing w:after="0"/>
              <w:rPr>
                <w:sz w:val="20"/>
                <w:szCs w:val="20"/>
                <w:color w:val="auto"/>
              </w:rPr>
            </w:pPr>
            <w:r>
              <w:rPr>
                <w:rFonts w:ascii="Arial" w:cs="Arial" w:eastAsia="Arial" w:hAnsi="Arial"/>
                <w:sz w:val="14"/>
                <w:szCs w:val="14"/>
                <w:color w:val="auto"/>
              </w:rPr>
              <w:t>Net actuarial gain</w:t>
            </w:r>
          </w:p>
        </w:tc>
        <w:tc>
          <w:tcPr>
            <w:tcW w:w="8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gridSpan w:val="4"/>
          </w:tcPr>
          <w:p>
            <w:pPr>
              <w:ind w:left="800"/>
              <w:spacing w:after="0"/>
              <w:rPr>
                <w:sz w:val="20"/>
                <w:szCs w:val="20"/>
                <w:color w:val="auto"/>
              </w:rPr>
            </w:pPr>
            <w:r>
              <w:rPr>
                <w:rFonts w:ascii="Arial" w:cs="Arial" w:eastAsia="Arial" w:hAnsi="Arial"/>
                <w:sz w:val="14"/>
                <w:szCs w:val="14"/>
                <w:color w:val="auto"/>
              </w:rPr>
              <w:t>Comprehensive income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188</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
              <w:spacing w:after="0"/>
              <w:rPr>
                <w:sz w:val="20"/>
                <w:szCs w:val="20"/>
                <w:color w:val="auto"/>
              </w:rPr>
            </w:pPr>
            <w:r>
              <w:rPr>
                <w:rFonts w:ascii="Arial" w:cs="Arial" w:eastAsia="Arial" w:hAnsi="Arial"/>
                <w:sz w:val="14"/>
                <w:szCs w:val="14"/>
                <w:color w:val="auto"/>
              </w:rPr>
              <w:t>(5)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9"/>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313</w:t>
            </w:r>
          </w:p>
        </w:tc>
        <w:tc>
          <w:tcPr>
            <w:tcW w:w="6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w w:val="96"/>
              </w:rPr>
              <w:t>(17)</w:t>
            </w: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296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SDG&amp;E:</w:t>
            </w: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80" w:type="dxa"/>
            <w:vAlign w:val="bottom"/>
            <w:gridSpan w:val="2"/>
          </w:tcPr>
          <w:p>
            <w:pPr>
              <w:ind w:left="800"/>
              <w:spacing w:after="0"/>
              <w:rPr>
                <w:sz w:val="20"/>
                <w:szCs w:val="20"/>
                <w:color w:val="auto"/>
              </w:rPr>
            </w:pPr>
            <w:r>
              <w:rPr>
                <w:rFonts w:ascii="Arial" w:cs="Arial" w:eastAsia="Arial" w:hAnsi="Arial"/>
                <w:sz w:val="14"/>
                <w:szCs w:val="14"/>
                <w:color w:val="auto"/>
              </w:rPr>
              <w:t>Net income (loss)</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108</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
              <w:spacing w:after="0"/>
              <w:rPr>
                <w:sz w:val="20"/>
                <w:szCs w:val="20"/>
                <w:color w:val="auto"/>
              </w:rPr>
            </w:pPr>
            <w:r>
              <w:rPr>
                <w:rFonts w:ascii="Arial" w:cs="Arial" w:eastAsia="Arial" w:hAnsi="Arial"/>
                <w:sz w:val="14"/>
                <w:szCs w:val="14"/>
                <w:color w:val="auto"/>
              </w:rPr>
              <w:t>(5)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9"/>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110</w:t>
            </w:r>
          </w:p>
        </w:tc>
        <w:tc>
          <w:tcPr>
            <w:tcW w:w="6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w w:val="96"/>
              </w:rPr>
              <w:t>(18)</w:t>
            </w: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20" w:type="dxa"/>
            <w:vAlign w:val="bottom"/>
            <w:gridSpan w:val="3"/>
          </w:tcPr>
          <w:p>
            <w:pPr>
              <w:ind w:left="800"/>
              <w:spacing w:after="0"/>
              <w:rPr>
                <w:sz w:val="20"/>
                <w:szCs w:val="20"/>
                <w:color w:val="auto"/>
              </w:rPr>
            </w:pPr>
            <w:r>
              <w:rPr>
                <w:rFonts w:ascii="Arial" w:cs="Arial" w:eastAsia="Arial" w:hAnsi="Arial"/>
                <w:sz w:val="14"/>
                <w:szCs w:val="14"/>
                <w:color w:val="auto"/>
              </w:rPr>
              <w:t>Financial instruments</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-&amp; nbsp;</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gridSpan w:val="4"/>
          </w:tcPr>
          <w:p>
            <w:pPr>
              <w:ind w:left="800"/>
              <w:spacing w:after="0"/>
              <w:rPr>
                <w:sz w:val="20"/>
                <w:szCs w:val="20"/>
                <w:color w:val="auto"/>
              </w:rPr>
            </w:pPr>
            <w:r>
              <w:rPr>
                <w:rFonts w:ascii="Arial" w:cs="Arial" w:eastAsia="Arial" w:hAnsi="Arial"/>
                <w:sz w:val="14"/>
                <w:szCs w:val="14"/>
                <w:color w:val="auto"/>
              </w:rPr>
              <w:t>Comprehensive income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108</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9"/>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110</w:t>
            </w:r>
          </w:p>
        </w:tc>
        <w:tc>
          <w:tcPr>
            <w:tcW w:w="6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w w:val="96"/>
              </w:rPr>
              <w:t>(18)</w:t>
            </w: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9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PE:</w:t>
            </w:r>
          </w:p>
        </w:tc>
        <w:tc>
          <w:tcPr>
            <w:tcW w:w="8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80" w:type="dxa"/>
            <w:vAlign w:val="bottom"/>
            <w:gridSpan w:val="2"/>
          </w:tcPr>
          <w:p>
            <w:pPr>
              <w:ind w:left="800"/>
              <w:spacing w:after="0"/>
              <w:rPr>
                <w:sz w:val="20"/>
                <w:szCs w:val="20"/>
                <w:color w:val="auto"/>
              </w:rPr>
            </w:pPr>
            <w:r>
              <w:rPr>
                <w:rFonts w:ascii="Arial" w:cs="Arial" w:eastAsia="Arial" w:hAnsi="Arial"/>
                <w:sz w:val="14"/>
                <w:szCs w:val="14"/>
                <w:color w:val="auto"/>
              </w:rPr>
              <w:t>Net income(2)</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79</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6"/>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9"/>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73</w:t>
            </w:r>
          </w:p>
        </w:tc>
        <w:tc>
          <w:tcPr>
            <w:tcW w:w="6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20" w:type="dxa"/>
            <w:vAlign w:val="bottom"/>
            <w:gridSpan w:val="3"/>
          </w:tcPr>
          <w:p>
            <w:pPr>
              <w:ind w:left="800"/>
              <w:spacing w:after="0"/>
              <w:rPr>
                <w:sz w:val="20"/>
                <w:szCs w:val="20"/>
                <w:color w:val="auto"/>
              </w:rPr>
            </w:pPr>
            <w:r>
              <w:rPr>
                <w:rFonts w:ascii="Arial" w:cs="Arial" w:eastAsia="Arial" w:hAnsi="Arial"/>
                <w:sz w:val="14"/>
                <w:szCs w:val="14"/>
                <w:color w:val="auto"/>
              </w:rPr>
              <w:t>Financial instruments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6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80</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73</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80" w:type="dxa"/>
            <w:vAlign w:val="bottom"/>
            <w:gridSpan w:val="2"/>
          </w:tcPr>
          <w:p>
            <w:pPr>
              <w:ind w:left="80"/>
              <w:spacing w:after="0"/>
              <w:rPr>
                <w:sz w:val="20"/>
                <w:szCs w:val="20"/>
                <w:color w:val="auto"/>
              </w:rPr>
            </w:pPr>
            <w:r>
              <w:rPr>
                <w:rFonts w:ascii="Arial" w:cs="Arial" w:eastAsia="Arial" w:hAnsi="Arial"/>
                <w:sz w:val="14"/>
                <w:szCs w:val="14"/>
                <w:b w:val="1"/>
                <w:bCs w:val="1"/>
                <w:color w:val="auto"/>
              </w:rPr>
              <w:t>SoCalGas:</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color w:val="auto"/>
              </w:rPr>
              <w:t>&lt; /font&gt;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gridSpan w:val="2"/>
          </w:tcPr>
          <w:p>
            <w:pPr>
              <w:ind w:left="800"/>
              <w:spacing w:after="0"/>
              <w:rPr>
                <w:sz w:val="20"/>
                <w:szCs w:val="20"/>
                <w:color w:val="auto"/>
              </w:rPr>
            </w:pPr>
            <w:r>
              <w:rPr>
                <w:rFonts w:ascii="Arial" w:cs="Arial" w:eastAsia="Arial" w:hAnsi="Arial"/>
                <w:sz w:val="14"/>
                <w:szCs w:val="14"/>
                <w:color w:val="auto"/>
              </w:rPr>
              <w:t>Net income</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78</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6"/>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9"/>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74</w:t>
            </w:r>
          </w:p>
        </w:tc>
        <w:tc>
          <w:tcPr>
            <w:tcW w:w="6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20" w:type="dxa"/>
            <w:vAlign w:val="bottom"/>
            <w:gridSpan w:val="3"/>
          </w:tcPr>
          <w:p>
            <w:pPr>
              <w:ind w:left="800"/>
              <w:spacing w:after="0"/>
              <w:rPr>
                <w:sz w:val="20"/>
                <w:szCs w:val="20"/>
                <w:color w:val="auto"/>
              </w:rPr>
            </w:pPr>
            <w:r>
              <w:rPr>
                <w:rFonts w:ascii="Arial" w:cs="Arial" w:eastAsia="Arial" w:hAnsi="Arial"/>
                <w:sz w:val="14"/>
                <w:szCs w:val="14"/>
                <w:color w:val="auto"/>
              </w:rPr>
              <w:t>Financial instruments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6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79</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79</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74</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gridSpan w:val="2"/>
          </w:tcPr>
          <w:p>
            <w:pPr>
              <w:ind w:left="180"/>
              <w:spacing w:after="0" w:line="208" w:lineRule="exact"/>
              <w:rPr>
                <w:sz w:val="20"/>
                <w:szCs w:val="20"/>
                <w:color w:val="auto"/>
              </w:rPr>
            </w:pPr>
            <w:r>
              <w:rPr>
                <w:rFonts w:ascii="Arial" w:cs="Arial" w:eastAsia="Arial" w:hAnsi="Arial"/>
                <w:sz w:val="19"/>
                <w:szCs w:val="19"/>
                <w:color w:val="auto"/>
              </w:rPr>
              <w:t>$</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860" w:type="dxa"/>
            <w:vAlign w:val="bottom"/>
            <w:gridSpan w:val="4"/>
            <w:shd w:val="clear" w:color="auto" w:fill="C0C0C0"/>
          </w:tcPr>
          <w:p>
            <w:pPr>
              <w:ind w:left="80"/>
              <w:spacing w:after="0"/>
              <w:rPr>
                <w:sz w:val="20"/>
                <w:szCs w:val="20"/>
                <w:color w:val="auto"/>
              </w:rPr>
            </w:pPr>
            <w:r>
              <w:rPr>
                <w:rFonts w:ascii="Arial" w:cs="Arial" w:eastAsia="Arial" w:hAnsi="Arial"/>
                <w:sz w:val="14"/>
                <w:szCs w:val="14"/>
                <w:b w:val="1"/>
                <w:bCs w:val="1"/>
                <w:color w:val="auto"/>
              </w:rPr>
              <w:t>COMPREHENSIVE INCOME (Continued)</w:t>
            </w:r>
          </w:p>
        </w:tc>
        <w:tc>
          <w:tcPr>
            <w:tcW w:w="140" w:type="dxa"/>
            <w:vAlign w:val="bottom"/>
            <w:shd w:val="clear" w:color="auto" w:fill="C0C0C0"/>
          </w:tcPr>
          <w:p>
            <w:pPr>
              <w:spacing w:after="0"/>
              <w:rPr>
                <w:sz w:val="18"/>
                <w:szCs w:val="18"/>
                <w:color w:val="auto"/>
              </w:rPr>
            </w:pPr>
          </w:p>
        </w:tc>
        <w:tc>
          <w:tcPr>
            <w:tcW w:w="62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80" w:type="dxa"/>
            <w:vAlign w:val="bottom"/>
            <w:gridSpan w:val="2"/>
            <w:shd w:val="clear" w:color="auto" w:fill="C0C0C0"/>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84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right"/>
              <w:ind w:right="228"/>
              <w:spacing w:after="0"/>
              <w:rPr>
                <w:sz w:val="20"/>
                <w:szCs w:val="20"/>
                <w:color w:val="auto"/>
              </w:rPr>
            </w:pPr>
            <w:r>
              <w:rPr>
                <w:rFonts w:ascii="Arial" w:cs="Arial" w:eastAsia="Arial" w:hAnsi="Arial"/>
                <w:sz w:val="13"/>
                <w:szCs w:val="13"/>
                <w:color w:val="auto"/>
              </w:rPr>
              <w:t>Nine months ended September 30,</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rPr>
              <w:t>2010</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48"/>
              <w:spacing w:after="0" w:line="148" w:lineRule="exact"/>
              <w:rPr>
                <w:sz w:val="20"/>
                <w:szCs w:val="20"/>
                <w:color w:val="auto"/>
              </w:rPr>
            </w:pPr>
            <w:r>
              <w:rPr>
                <w:rFonts w:ascii="Arial" w:cs="Arial" w:eastAsia="Arial" w:hAnsi="Arial"/>
                <w:sz w:val="13"/>
                <w:szCs w:val="13"/>
                <w:color w:val="auto"/>
              </w:rPr>
              <w:t>2009</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4"/>
          </w:tcPr>
          <w:p>
            <w:pPr>
              <w:jc w:val="center"/>
              <w:ind w:right="200"/>
              <w:spacing w:after="0" w:line="189" w:lineRule="exact"/>
              <w:rPr>
                <w:sz w:val="20"/>
                <w:szCs w:val="20"/>
                <w:color w:val="auto"/>
              </w:rPr>
            </w:pPr>
            <w:r>
              <w:rPr>
                <w:rFonts w:ascii="Arial" w:cs="Arial" w:eastAsia="Arial" w:hAnsi="Arial"/>
                <w:sz w:val="19"/>
                <w:szCs w:val="19"/>
                <w:color w:val="auto"/>
              </w:rPr>
              <w:t>Share-</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ind w:right="168"/>
              <w:spacing w:after="0"/>
              <w:rPr>
                <w:sz w:val="20"/>
                <w:szCs w:val="20"/>
                <w:color w:val="auto"/>
              </w:rPr>
            </w:pPr>
            <w:r>
              <w:rPr>
                <w:rFonts w:ascii="Arial" w:cs="Arial" w:eastAsia="Arial" w:hAnsi="Arial"/>
                <w:sz w:val="13"/>
                <w:szCs w:val="13"/>
                <w:color w:val="auto"/>
              </w:rPr>
              <w:t>Non-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jc w:val="center"/>
              <w:ind w:right="108"/>
              <w:spacing w:after="0"/>
              <w:rPr>
                <w:sz w:val="20"/>
                <w:szCs w:val="20"/>
                <w:color w:val="auto"/>
              </w:rPr>
            </w:pPr>
            <w:r>
              <w:rPr>
                <w:rFonts w:ascii="Arial" w:cs="Arial" w:eastAsia="Arial" w:hAnsi="Arial"/>
                <w:sz w:val="13"/>
                <w:szCs w:val="13"/>
                <w:color w:val="auto"/>
                <w:w w:val="97"/>
              </w:rPr>
              <w:t>Share-</w:t>
            </w:r>
          </w:p>
        </w:tc>
        <w:tc>
          <w:tcPr>
            <w:tcW w:w="240" w:type="dxa"/>
            <w:vAlign w:val="bottom"/>
          </w:tcPr>
          <w:p>
            <w:pPr>
              <w:spacing w:after="0"/>
              <w:rPr>
                <w:sz w:val="16"/>
                <w:szCs w:val="16"/>
                <w:color w:val="auto"/>
              </w:rPr>
            </w:pPr>
          </w:p>
        </w:tc>
        <w:tc>
          <w:tcPr>
            <w:tcW w:w="560" w:type="dxa"/>
            <w:vAlign w:val="bottom"/>
          </w:tcPr>
          <w:p>
            <w:pPr>
              <w:jc w:val="right"/>
              <w:ind w:right="188"/>
              <w:spacing w:after="0"/>
              <w:rPr>
                <w:sz w:val="20"/>
                <w:szCs w:val="20"/>
                <w:color w:val="auto"/>
              </w:rPr>
            </w:pPr>
            <w:r>
              <w:rPr>
                <w:rFonts w:ascii="Arial" w:cs="Arial" w:eastAsia="Arial" w:hAnsi="Arial"/>
                <w:sz w:val="13"/>
                <w:szCs w:val="13"/>
                <w:color w:val="auto"/>
                <w:w w:val="99"/>
              </w:rPr>
              <w:t>Non-</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holders'</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color w:val="auto"/>
              </w:rPr>
              <w:t>controlling</w:t>
            </w:r>
          </w:p>
        </w:tc>
        <w:tc>
          <w:tcPr>
            <w:tcW w:w="18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Total</w:t>
            </w:r>
          </w:p>
        </w:tc>
        <w:tc>
          <w:tcPr>
            <w:tcW w:w="1100" w:type="dxa"/>
            <w:vAlign w:val="bottom"/>
            <w:gridSpan w:val="2"/>
          </w:tcPr>
          <w:p>
            <w:pPr>
              <w:jc w:val="center"/>
              <w:ind w:left="183"/>
              <w:spacing w:after="0"/>
              <w:rPr>
                <w:sz w:val="20"/>
                <w:szCs w:val="20"/>
                <w:color w:val="auto"/>
              </w:rPr>
            </w:pPr>
            <w:r>
              <w:rPr>
                <w:rFonts w:ascii="Arial" w:cs="Arial" w:eastAsia="Arial" w:hAnsi="Arial"/>
                <w:sz w:val="19"/>
                <w:szCs w:val="19"/>
                <w:color w:val="auto"/>
                <w:w w:val="90"/>
              </w:rPr>
              <w:t>holders'</w:t>
            </w:r>
          </w:p>
        </w:tc>
        <w:tc>
          <w:tcPr>
            <w:tcW w:w="800" w:type="dxa"/>
            <w:vAlign w:val="bottom"/>
            <w:gridSpan w:val="2"/>
          </w:tcPr>
          <w:p>
            <w:pPr>
              <w:ind w:left="120"/>
              <w:spacing w:after="0"/>
              <w:rPr>
                <w:sz w:val="20"/>
                <w:szCs w:val="20"/>
                <w:color w:val="auto"/>
              </w:rPr>
            </w:pPr>
            <w:r>
              <w:rPr>
                <w:rFonts w:ascii="Arial" w:cs="Arial" w:eastAsia="Arial" w:hAnsi="Arial"/>
                <w:sz w:val="13"/>
                <w:szCs w:val="13"/>
                <w:color w:val="auto"/>
              </w:rPr>
              <w:t>controlling</w:t>
            </w:r>
          </w:p>
        </w:tc>
        <w:tc>
          <w:tcPr>
            <w:tcW w:w="180" w:type="dxa"/>
            <w:vAlign w:val="bottom"/>
          </w:tcPr>
          <w:p>
            <w:pPr>
              <w:spacing w:after="0"/>
              <w:rPr>
                <w:sz w:val="21"/>
                <w:szCs w:val="21"/>
                <w:color w:val="auto"/>
              </w:rPr>
            </w:pPr>
          </w:p>
        </w:tc>
        <w:tc>
          <w:tcPr>
            <w:tcW w:w="600" w:type="dxa"/>
            <w:vAlign w:val="bottom"/>
          </w:tcPr>
          <w:p>
            <w:pPr>
              <w:jc w:val="right"/>
              <w:ind w:right="18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4"/>
        </w:trPr>
        <w:tc>
          <w:tcPr>
            <w:tcW w:w="19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3"/>
                <w:szCs w:val="13"/>
                <w:color w:val="auto"/>
                <w:w w:val="96"/>
              </w:rPr>
              <w:t>Equity(1)</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Interests</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w w:val="99"/>
              </w:rPr>
              <w:t>Equity</w:t>
            </w:r>
          </w:p>
        </w:tc>
        <w:tc>
          <w:tcPr>
            <w:tcW w:w="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88"/>
              <w:spacing w:after="0"/>
              <w:rPr>
                <w:sz w:val="20"/>
                <w:szCs w:val="20"/>
                <w:color w:val="auto"/>
              </w:rPr>
            </w:pPr>
            <w:r>
              <w:rPr>
                <w:rFonts w:ascii="Arial" w:cs="Arial" w:eastAsia="Arial" w:hAnsi="Arial"/>
                <w:sz w:val="13"/>
                <w:szCs w:val="13"/>
                <w:color w:val="auto"/>
                <w:w w:val="99"/>
              </w:rPr>
              <w:t>Equity(1)</w:t>
            </w:r>
          </w:p>
        </w:tc>
        <w:tc>
          <w:tcPr>
            <w:tcW w:w="8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3"/>
                <w:szCs w:val="13"/>
                <w:color w:val="auto"/>
              </w:rPr>
              <w:t>Interests</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w w:val="99"/>
              </w:rPr>
              <w:t>Equity</w:t>
            </w:r>
          </w:p>
        </w:tc>
        <w:tc>
          <w:tcPr>
            <w:tcW w:w="0" w:type="dxa"/>
            <w:vAlign w:val="bottom"/>
          </w:tcPr>
          <w:p>
            <w:pPr>
              <w:spacing w:after="0"/>
              <w:rPr>
                <w:sz w:val="1"/>
                <w:szCs w:val="1"/>
                <w:color w:val="auto"/>
              </w:rPr>
            </w:pPr>
          </w:p>
        </w:tc>
      </w:tr>
      <w:tr>
        <w:trPr>
          <w:trHeight w:val="144"/>
        </w:trPr>
        <w:tc>
          <w:tcPr>
            <w:tcW w:w="1980" w:type="dxa"/>
            <w:vAlign w:val="bottom"/>
            <w:gridSpan w:val="2"/>
          </w:tcPr>
          <w:p>
            <w:pPr>
              <w:ind w:left="80"/>
              <w:spacing w:after="0" w:line="144" w:lineRule="exact"/>
              <w:rPr>
                <w:sz w:val="20"/>
                <w:szCs w:val="20"/>
                <w:color w:val="auto"/>
              </w:rPr>
            </w:pPr>
            <w:r>
              <w:rPr>
                <w:rFonts w:ascii="Arial" w:cs="Arial" w:eastAsia="Arial" w:hAnsi="Arial"/>
                <w:sz w:val="14"/>
                <w:szCs w:val="14"/>
                <w:b w:val="1"/>
                <w:bCs w:val="1"/>
                <w:color w:val="auto"/>
              </w:rPr>
              <w:t>Sempra Energy</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8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Consolidated:</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Net income (loss)(2)</w:t>
            </w:r>
          </w:p>
        </w:tc>
        <w:tc>
          <w:tcPr>
            <w:tcW w:w="840" w:type="dxa"/>
            <w:vAlign w:val="bottom"/>
          </w:tcPr>
          <w:p>
            <w:pPr>
              <w:ind w:lef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466</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432</w:t>
            </w:r>
          </w:p>
        </w:tc>
        <w:tc>
          <w:tcPr>
            <w:tcW w:w="420" w:type="dxa"/>
            <w:vAlign w:val="bottom"/>
          </w:tcPr>
          <w:p>
            <w:pPr>
              <w:ind w:left="3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838</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68"/>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Foreign currency</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translation</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80" w:type="dxa"/>
            <w:vAlign w:val="bottom"/>
            <w:gridSpan w:val="2"/>
          </w:tcPr>
          <w:p>
            <w:pPr>
              <w:ind w:left="600"/>
              <w:spacing w:after="0"/>
              <w:rPr>
                <w:sz w:val="20"/>
                <w:szCs w:val="20"/>
                <w:color w:val="auto"/>
              </w:rPr>
            </w:pPr>
            <w:r>
              <w:rPr>
                <w:rFonts w:ascii="Arial" w:cs="Arial" w:eastAsia="Arial" w:hAnsi="Arial"/>
                <w:sz w:val="14"/>
                <w:szCs w:val="14"/>
                <w:color w:val="auto"/>
              </w:rPr>
              <w:t>adjustments</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32</w:t>
            </w:r>
          </w:p>
        </w:tc>
        <w:tc>
          <w:tcPr>
            <w:tcW w:w="4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2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8"/>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Financial instruments</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8"/>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Available-for-sale</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9"/>
                <w:szCs w:val="19"/>
                <w:color w:val="auto"/>
              </w:rPr>
              <w:t>1</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securities</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4"/>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Net actuarial gain</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4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0"/>
        </w:trPr>
        <w:tc>
          <w:tcPr>
            <w:tcW w:w="1920" w:type="dxa"/>
            <w:vAlign w:val="bottom"/>
          </w:tcPr>
          <w:p>
            <w:pPr>
              <w:ind w:left="440"/>
              <w:spacing w:after="0" w:line="150" w:lineRule="exact"/>
              <w:rPr>
                <w:sz w:val="20"/>
                <w:szCs w:val="20"/>
                <w:color w:val="auto"/>
              </w:rPr>
            </w:pPr>
            <w:r>
              <w:rPr>
                <w:rFonts w:ascii="Arial" w:cs="Arial" w:eastAsia="Arial" w:hAnsi="Arial"/>
                <w:sz w:val="14"/>
                <w:szCs w:val="14"/>
                <w:color w:val="auto"/>
              </w:rPr>
              <w:t>Comprehensive</w:t>
            </w: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vMerge w:val="restart"/>
          </w:tcPr>
          <w:p>
            <w:pPr>
              <w:ind w:left="320"/>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9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income (loss)</w:t>
            </w: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4"/>
              </w:rPr>
              <w:t>491</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462</w:t>
            </w:r>
          </w:p>
        </w:tc>
        <w:tc>
          <w:tcPr>
            <w:tcW w:w="4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950</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90"/>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SDG&amp;E:</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Net income (loss)</w:t>
            </w:r>
          </w:p>
        </w:tc>
        <w:tc>
          <w:tcPr>
            <w:tcW w:w="840" w:type="dxa"/>
            <w:vAlign w:val="bottom"/>
          </w:tcPr>
          <w:p>
            <w:pPr>
              <w:ind w:lef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268</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234</w:t>
            </w:r>
          </w:p>
        </w:tc>
        <w:tc>
          <w:tcPr>
            <w:tcW w:w="420" w:type="dxa"/>
            <w:vAlign w:val="bottom"/>
          </w:tcPr>
          <w:p>
            <w:pPr>
              <w:ind w:left="3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2"/>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Financial instruments</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4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Net actuarial gain</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0"/>
        </w:trPr>
        <w:tc>
          <w:tcPr>
            <w:tcW w:w="1920" w:type="dxa"/>
            <w:vAlign w:val="bottom"/>
          </w:tcPr>
          <w:p>
            <w:pPr>
              <w:ind w:left="440"/>
              <w:spacing w:after="0" w:line="150" w:lineRule="exact"/>
              <w:rPr>
                <w:sz w:val="20"/>
                <w:szCs w:val="20"/>
                <w:color w:val="auto"/>
              </w:rPr>
            </w:pPr>
            <w:r>
              <w:rPr>
                <w:rFonts w:ascii="Arial" w:cs="Arial" w:eastAsia="Arial" w:hAnsi="Arial"/>
                <w:sz w:val="14"/>
                <w:szCs w:val="14"/>
                <w:color w:val="auto"/>
              </w:rPr>
              <w:t>Comprehensive</w:t>
            </w: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9"/>
                <w:szCs w:val="19"/>
                <w:color w:val="auto"/>
              </w:rPr>
              <w:t>284</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9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income (loss)</w:t>
            </w: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4"/>
              </w:rPr>
              <w:t>269</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240</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8"/>
        </w:trPr>
        <w:tc>
          <w:tcPr>
            <w:tcW w:w="1980" w:type="dxa"/>
            <w:vAlign w:val="bottom"/>
            <w:gridSpan w:val="2"/>
          </w:tcPr>
          <w:p>
            <w:pPr>
              <w:ind w:left="80"/>
              <w:spacing w:after="0"/>
              <w:rPr>
                <w:sz w:val="20"/>
                <w:szCs w:val="20"/>
                <w:color w:val="auto"/>
              </w:rPr>
            </w:pPr>
            <w:r>
              <w:rPr>
                <w:rFonts w:ascii="Arial" w:cs="Arial" w:eastAsia="Arial" w:hAnsi="Arial"/>
                <w:sz w:val="14"/>
                <w:szCs w:val="14"/>
                <w:b w:val="1"/>
                <w:bCs w:val="1"/>
                <w:color w:val="auto"/>
              </w:rPr>
              <w:t>PE:</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4"/>
            <w:vMerge w:val="restart"/>
          </w:tcPr>
          <w:p>
            <w:pPr>
              <w:ind w:left="380"/>
              <w:spacing w:after="0"/>
              <w:rPr>
                <w:sz w:val="20"/>
                <w:szCs w:val="20"/>
                <w:color w:val="auto"/>
              </w:rPr>
            </w:pPr>
            <w:r>
              <w:rPr>
                <w:rFonts w:ascii="Arial" w:cs="Arial" w:eastAsia="Arial" w:hAnsi="Arial"/>
                <w:sz w:val="19"/>
                <w:szCs w:val="19"/>
                <w:color w:val="auto"/>
              </w:rPr>
              <w:t>215</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Net income(2)</w:t>
            </w:r>
          </w:p>
        </w:tc>
        <w:tc>
          <w:tcPr>
            <w:tcW w:w="840" w:type="dxa"/>
            <w:vAlign w:val="bottom"/>
          </w:tcPr>
          <w:p>
            <w:pPr>
              <w:ind w:lef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215</w:t>
            </w:r>
          </w:p>
        </w:tc>
        <w:tc>
          <w:tcPr>
            <w:tcW w:w="420" w:type="dxa"/>
            <w:vAlign w:val="bottom"/>
          </w:tcPr>
          <w:p>
            <w:pPr>
              <w:ind w:left="3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195</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40" w:type="dxa"/>
            <w:vAlign w:val="bottom"/>
            <w:gridSpan w:val="13"/>
          </w:tcPr>
          <w:p>
            <w:pPr>
              <w:ind w:left="40"/>
              <w:spacing w:after="0" w:line="216" w:lineRule="exact"/>
              <w:rPr>
                <w:sz w:val="20"/>
                <w:szCs w:val="20"/>
                <w:color w:val="auto"/>
              </w:rPr>
            </w:pPr>
            <w:r>
              <w:rPr>
                <w:rFonts w:ascii="Arial" w:cs="Arial" w:eastAsia="Arial" w:hAnsi="Arial"/>
                <w:sz w:val="19"/>
                <w:szCs w:val="19"/>
                <w:color w:val="auto"/>
                <w:w w:val="95"/>
              </w:rPr>
              <w:t>&lt; font style="FONT-SIZE:9pt; COLOR:black; FONT-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Financial instruments</w:t>
            </w:r>
          </w:p>
        </w:tc>
        <w:tc>
          <w:tcPr>
            <w:tcW w:w="2380" w:type="dxa"/>
            <w:vAlign w:val="bottom"/>
            <w:gridSpan w:val="7"/>
          </w:tcPr>
          <w:p>
            <w:pPr>
              <w:ind w:left="40"/>
              <w:spacing w:after="0"/>
              <w:rPr>
                <w:sz w:val="20"/>
                <w:szCs w:val="20"/>
                <w:color w:val="auto"/>
              </w:rPr>
            </w:pPr>
            <w:r>
              <w:rPr>
                <w:rFonts w:ascii="Arial" w:cs="Arial" w:eastAsia="Arial" w:hAnsi="Arial"/>
                <w:sz w:val="19"/>
                <w:szCs w:val="19"/>
                <w:color w:val="auto"/>
              </w:rPr>
              <w:t>FAMILY:'Arial','sans-serif'"&gt;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20"/>
                <w:szCs w:val="20"/>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0"/>
        </w:trPr>
        <w:tc>
          <w:tcPr>
            <w:tcW w:w="1920" w:type="dxa"/>
            <w:vAlign w:val="bottom"/>
          </w:tcPr>
          <w:p>
            <w:pPr>
              <w:ind w:left="440"/>
              <w:spacing w:after="0" w:line="150" w:lineRule="exact"/>
              <w:rPr>
                <w:sz w:val="20"/>
                <w:szCs w:val="20"/>
                <w:color w:val="auto"/>
              </w:rPr>
            </w:pPr>
            <w:r>
              <w:rPr>
                <w:rFonts w:ascii="Arial" w:cs="Arial" w:eastAsia="Arial" w:hAnsi="Arial"/>
                <w:sz w:val="14"/>
                <w:szCs w:val="14"/>
                <w:color w:val="auto"/>
              </w:rPr>
              <w:t>Comprehensive</w:t>
            </w: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9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income</w:t>
            </w: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4"/>
              </w:rPr>
              <w:t>217</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217</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8"/>
        </w:trPr>
        <w:tc>
          <w:tcPr>
            <w:tcW w:w="1980" w:type="dxa"/>
            <w:vAlign w:val="bottom"/>
            <w:gridSpan w:val="2"/>
          </w:tcPr>
          <w:p>
            <w:pPr>
              <w:ind w:left="80"/>
              <w:spacing w:after="0"/>
              <w:rPr>
                <w:sz w:val="20"/>
                <w:szCs w:val="20"/>
                <w:color w:val="auto"/>
              </w:rPr>
            </w:pPr>
            <w:r>
              <w:rPr>
                <w:rFonts w:ascii="Arial" w:cs="Arial" w:eastAsia="Arial" w:hAnsi="Arial"/>
                <w:sz w:val="14"/>
                <w:szCs w:val="14"/>
                <w:b w:val="1"/>
                <w:bCs w:val="1"/>
                <w:color w:val="auto"/>
              </w:rPr>
              <w:t>SoCalGas:</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Net income</w:t>
            </w:r>
          </w:p>
        </w:tc>
        <w:tc>
          <w:tcPr>
            <w:tcW w:w="840" w:type="dxa"/>
            <w:vAlign w:val="bottom"/>
          </w:tcPr>
          <w:p>
            <w:pPr>
              <w:ind w:lef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213</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213</w:t>
            </w:r>
          </w:p>
        </w:tc>
        <w:tc>
          <w:tcPr>
            <w:tcW w:w="420" w:type="dxa"/>
            <w:vAlign w:val="bottom"/>
          </w:tcPr>
          <w:p>
            <w:pPr>
              <w:ind w:left="3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98"/>
        </w:trPr>
        <w:tc>
          <w:tcPr>
            <w:tcW w:w="1980" w:type="dxa"/>
            <w:vAlign w:val="bottom"/>
            <w:gridSpan w:val="2"/>
          </w:tcPr>
          <w:p>
            <w:pPr>
              <w:ind w:left="440"/>
              <w:spacing w:after="0"/>
              <w:rPr>
                <w:sz w:val="20"/>
                <w:szCs w:val="20"/>
                <w:color w:val="auto"/>
              </w:rPr>
            </w:pPr>
            <w:r>
              <w:rPr>
                <w:rFonts w:ascii="Arial" w:cs="Arial" w:eastAsia="Arial" w:hAnsi="Arial"/>
                <w:sz w:val="14"/>
                <w:szCs w:val="14"/>
                <w:color w:val="auto"/>
              </w:rPr>
              <w:t>Financial instruments</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0"/>
        </w:trPr>
        <w:tc>
          <w:tcPr>
            <w:tcW w:w="1920" w:type="dxa"/>
            <w:vAlign w:val="bottom"/>
          </w:tcPr>
          <w:p>
            <w:pPr>
              <w:ind w:left="440"/>
              <w:spacing w:after="0" w:line="150" w:lineRule="exact"/>
              <w:rPr>
                <w:sz w:val="20"/>
                <w:szCs w:val="20"/>
                <w:color w:val="auto"/>
              </w:rPr>
            </w:pPr>
            <w:r>
              <w:rPr>
                <w:rFonts w:ascii="Arial" w:cs="Arial" w:eastAsia="Arial" w:hAnsi="Arial"/>
                <w:sz w:val="14"/>
                <w:szCs w:val="14"/>
                <w:color w:val="auto"/>
              </w:rPr>
              <w:t>Comprehensive</w:t>
            </w: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9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income</w:t>
            </w: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4"/>
              </w:rPr>
              <w:t>215</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215</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44" w:hanging="244"/>
        <w:spacing w:after="0"/>
        <w:tabs>
          <w:tab w:leader="none" w:pos="344"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Shareholders' equity of Sempra Energy Consolidated, SDG&amp;E, PE or SoCalGas as indicated in left margin.</w:t>
      </w:r>
    </w:p>
    <w:p>
      <w:pPr>
        <w:ind w:left="444" w:hanging="344"/>
        <w:spacing w:after="0" w:line="182" w:lineRule="auto"/>
        <w:tabs>
          <w:tab w:leader="none" w:pos="444" w:val="left"/>
        </w:tabs>
        <w:numPr>
          <w:ilvl w:val="0"/>
          <w:numId w:val="14"/>
        </w:numPr>
        <w:rPr>
          <w:rFonts w:ascii="Arial" w:cs="Arial" w:eastAsia="Arial" w:hAnsi="Arial"/>
          <w:sz w:val="26"/>
          <w:szCs w:val="26"/>
          <w:i w:val="1"/>
          <w:iCs w:val="1"/>
          <w:color w:val="auto"/>
          <w:vertAlign w:val="subscript"/>
        </w:rPr>
      </w:pPr>
      <w:r>
        <w:rPr>
          <w:rFonts w:ascii="Arial" w:cs="Arial" w:eastAsia="Arial" w:hAnsi="Arial"/>
          <w:sz w:val="19"/>
          <w:szCs w:val="19"/>
          <w:i w:val="1"/>
          <w:iCs w:val="1"/>
          <w:color w:val="auto"/>
        </w:rPr>
        <w:t>Before preferred dividends of subsidiaries.</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amounts for comprehensive income in the table above are net of income tax expense (benefit) as follows:</w:t>
      </w:r>
    </w:p>
    <w:p>
      <w:pPr>
        <w:spacing w:after="0" w:line="310" w:lineRule="exact"/>
        <w:rPr>
          <w:sz w:val="20"/>
          <w:szCs w:val="20"/>
          <w:color w:val="auto"/>
        </w:rPr>
      </w:pPr>
    </w:p>
    <w:p>
      <w:pPr>
        <w:ind w:left="4" w:right="60" w:hanging="4"/>
        <w:spacing w:after="0" w:line="262" w:lineRule="auto"/>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td style="BORDER-RIGHT:0px; PADDING-RIGHT:5.75pt; BORDER-TOP:0px; PADDING-LEFT:5.75pt; BACKGROUND:white; PADDING-BOTTOM:0in; BORDER-LEFT:0px; PADDING-TOP:0in; BORDER-BOTTOM:silver 2.25pt solid; HEIGHT:12pt" valign=bottom&gt;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 w:lineRule="exact"/>
        <w:rPr>
          <w:sz w:val="20"/>
          <w:szCs w:val="20"/>
          <w:color w:val="auto"/>
        </w:rPr>
      </w:pPr>
    </w:p>
    <w:p>
      <w:pPr>
        <w:ind w:left="4" w:right="60" w:hanging="4"/>
        <w:spacing w:after="0" w:line="253" w:lineRule="auto"/>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td style="BORDER-RIGHT:0px; PADDING-RIGHT:5.75pt; BORDER-TOP:0px; PADDING-LEFT:5.75pt; BACKGROUND:white; PADDING-BOTTOM:0in; BORDER-LEFT:0px; PADDING-TOP:0in; BORDER-BOTTOM:silver 2.25pt solid; HEIGHT:12pt" valign=bottom&gt;</w:t>
      </w:r>
    </w:p>
    <w:p>
      <w:pPr>
        <w:ind w:left="11324"/>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261860" cy="289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ind w:left="84"/>
        <w:spacing w:after="0"/>
        <w:rPr>
          <w:sz w:val="20"/>
          <w:szCs w:val="20"/>
          <w:color w:val="auto"/>
        </w:rPr>
      </w:pPr>
      <w:r>
        <w:rPr>
          <w:rFonts w:ascii="Arial" w:cs="Arial" w:eastAsia="Arial" w:hAnsi="Arial"/>
          <w:sz w:val="14"/>
          <w:szCs w:val="14"/>
          <w:b w:val="1"/>
          <w:bCs w:val="1"/>
          <w:color w:val="auto"/>
        </w:rPr>
        <w:t>INCOME TAX EXPENSE (BENEFIT) ASSOCIATED WITH OTHER COMPREHENSIVE INCOME</w:t>
      </w:r>
      <w:r>
        <w:rPr>
          <w:rFonts w:ascii="Arial" w:cs="Arial" w:eastAsia="Arial" w:hAnsi="Arial"/>
          <w:sz w:val="19"/>
          <w:szCs w:val="19"/>
          <w:b w:val="1"/>
          <w:bCs w:val="1"/>
          <w:color w:val="auto"/>
        </w:rPr>
        <w:t>&lt; /b&gt;</w:t>
      </w:r>
    </w:p>
    <w:p>
      <w:pPr>
        <w:spacing w:after="0" w:line="80" w:lineRule="exact"/>
        <w:rPr>
          <w:sz w:val="20"/>
          <w:szCs w:val="20"/>
          <w:color w:val="auto"/>
        </w:rPr>
      </w:pPr>
    </w:p>
    <w:p>
      <w:pPr>
        <w:ind w:left="84"/>
        <w:spacing w:after="0"/>
        <w:rPr>
          <w:sz w:val="20"/>
          <w:szCs w:val="20"/>
          <w:color w:val="auto"/>
        </w:rPr>
      </w:pPr>
      <w:r>
        <w:rPr>
          <w:rFonts w:ascii="Arial" w:cs="Arial" w:eastAsia="Arial" w:hAnsi="Arial"/>
          <w:sz w:val="13"/>
          <w:szCs w:val="13"/>
          <w:i w:val="1"/>
          <w:iCs w:val="1"/>
          <w:color w:val="auto"/>
        </w:rPr>
        <w:t>(Dollars in millions)</w:t>
      </w:r>
    </w:p>
    <w:p>
      <w:pPr>
        <w:spacing w:after="0" w:line="43" w:lineRule="exact"/>
        <w:rPr>
          <w:sz w:val="20"/>
          <w:szCs w:val="20"/>
          <w:color w:val="auto"/>
        </w:rPr>
      </w:pPr>
    </w:p>
    <w:p>
      <w:pPr>
        <w:ind w:left="5664"/>
        <w:spacing w:after="0"/>
        <w:rPr>
          <w:sz w:val="20"/>
          <w:szCs w:val="20"/>
          <w:color w:val="auto"/>
        </w:rPr>
      </w:pPr>
      <w:r>
        <w:rPr>
          <w:rFonts w:ascii="Arial" w:cs="Arial" w:eastAsia="Arial" w:hAnsi="Arial"/>
          <w:sz w:val="13"/>
          <w:szCs w:val="13"/>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-5715</wp:posOffset>
            </wp:positionV>
            <wp:extent cx="603504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5040" cy="7620"/>
                    </a:xfrm>
                    <a:prstGeom prst="rect">
                      <a:avLst/>
                    </a:prstGeom>
                    <a:noFill/>
                  </pic:spPr>
                </pic:pic>
              </a:graphicData>
            </a:graphic>
          </wp:anchor>
        </w:drawing>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2010</w:t>
            </w:r>
          </w:p>
        </w:tc>
        <w:tc>
          <w:tcPr>
            <w:tcW w:w="19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color w:val="auto"/>
                <w:w w:val="96"/>
              </w:rPr>
              <w:t>2009</w:t>
            </w:r>
          </w:p>
        </w:tc>
        <w:tc>
          <w:tcPr>
            <w:tcW w:w="700" w:type="dxa"/>
            <w:vAlign w:val="bottom"/>
            <w:tcBorders>
              <w:bottom w:val="single" w:sz="8" w:color="auto"/>
            </w:tcBorders>
          </w:tcPr>
          <w:p>
            <w:pPr>
              <w:spacing w:after="0"/>
              <w:rPr>
                <w:sz w:val="12"/>
                <w:szCs w:val="12"/>
                <w:color w:val="auto"/>
              </w:rPr>
            </w:pPr>
          </w:p>
        </w:tc>
      </w:tr>
      <w:tr>
        <w:trPr>
          <w:trHeight w:val="174"/>
        </w:trPr>
        <w:tc>
          <w:tcPr>
            <w:tcW w:w="1920" w:type="dxa"/>
            <w:vAlign w:val="bottom"/>
          </w:tcPr>
          <w:p>
            <w:pPr>
              <w:spacing w:after="0"/>
              <w:rPr>
                <w:sz w:val="15"/>
                <w:szCs w:val="15"/>
                <w:color w:val="auto"/>
              </w:rPr>
            </w:pPr>
          </w:p>
        </w:tc>
        <w:tc>
          <w:tcPr>
            <w:tcW w:w="1900" w:type="dxa"/>
            <w:vAlign w:val="bottom"/>
          </w:tcPr>
          <w:p>
            <w:pPr>
              <w:jc w:val="center"/>
              <w:ind w:right="1096"/>
              <w:spacing w:after="0"/>
              <w:rPr>
                <w:sz w:val="20"/>
                <w:szCs w:val="20"/>
                <w:color w:val="auto"/>
              </w:rPr>
            </w:pPr>
            <w:r>
              <w:rPr>
                <w:rFonts w:ascii="Arial" w:cs="Arial" w:eastAsia="Arial" w:hAnsi="Arial"/>
                <w:sz w:val="13"/>
                <w:szCs w:val="13"/>
                <w:color w:val="auto"/>
                <w:w w:val="97"/>
              </w:rPr>
              <w:t>Share-</w:t>
            </w:r>
          </w:p>
        </w:tc>
        <w:tc>
          <w:tcPr>
            <w:tcW w:w="3200" w:type="dxa"/>
            <w:vAlign w:val="bottom"/>
          </w:tcPr>
          <w:p>
            <w:pPr>
              <w:jc w:val="center"/>
              <w:spacing w:after="0"/>
              <w:rPr>
                <w:sz w:val="20"/>
                <w:szCs w:val="20"/>
                <w:color w:val="auto"/>
              </w:rPr>
            </w:pPr>
            <w:r>
              <w:rPr>
                <w:rFonts w:ascii="Arial" w:cs="Arial" w:eastAsia="Arial" w:hAnsi="Arial"/>
                <w:sz w:val="13"/>
                <w:szCs w:val="13"/>
                <w:color w:val="auto"/>
                <w:w w:val="99"/>
              </w:rPr>
              <w:t>Non-</w:t>
            </w:r>
          </w:p>
        </w:tc>
        <w:tc>
          <w:tcPr>
            <w:tcW w:w="1980" w:type="dxa"/>
            <w:vAlign w:val="bottom"/>
          </w:tcPr>
          <w:p>
            <w:pPr>
              <w:spacing w:after="0"/>
              <w:rPr>
                <w:sz w:val="15"/>
                <w:szCs w:val="15"/>
                <w:color w:val="auto"/>
              </w:rPr>
            </w:pPr>
          </w:p>
        </w:tc>
        <w:tc>
          <w:tcPr>
            <w:tcW w:w="920" w:type="dxa"/>
            <w:vAlign w:val="bottom"/>
          </w:tcPr>
          <w:p>
            <w:pPr>
              <w:jc w:val="center"/>
              <w:ind w:left="116"/>
              <w:spacing w:after="0"/>
              <w:rPr>
                <w:sz w:val="20"/>
                <w:szCs w:val="20"/>
                <w:color w:val="auto"/>
              </w:rPr>
            </w:pPr>
            <w:r>
              <w:rPr>
                <w:rFonts w:ascii="Arial" w:cs="Arial" w:eastAsia="Arial" w:hAnsi="Arial"/>
                <w:sz w:val="13"/>
                <w:szCs w:val="13"/>
                <w:color w:val="auto"/>
                <w:w w:val="97"/>
              </w:rPr>
              <w:t>Share-</w:t>
            </w:r>
          </w:p>
        </w:tc>
        <w:tc>
          <w:tcPr>
            <w:tcW w:w="820" w:type="dxa"/>
            <w:vAlign w:val="bottom"/>
          </w:tcPr>
          <w:p>
            <w:pPr>
              <w:jc w:val="center"/>
              <w:spacing w:after="0"/>
              <w:rPr>
                <w:sz w:val="20"/>
                <w:szCs w:val="20"/>
                <w:color w:val="auto"/>
              </w:rPr>
            </w:pPr>
            <w:r>
              <w:rPr>
                <w:rFonts w:ascii="Arial" w:cs="Arial" w:eastAsia="Arial" w:hAnsi="Arial"/>
                <w:sz w:val="13"/>
                <w:szCs w:val="13"/>
                <w:color w:val="auto"/>
                <w:w w:val="99"/>
              </w:rPr>
              <w:t>Non-</w:t>
            </w:r>
          </w:p>
        </w:tc>
        <w:tc>
          <w:tcPr>
            <w:tcW w:w="700" w:type="dxa"/>
            <w:vAlign w:val="bottom"/>
          </w:tcPr>
          <w:p>
            <w:pPr>
              <w:spacing w:after="0"/>
              <w:rPr>
                <w:sz w:val="15"/>
                <w:szCs w:val="15"/>
                <w:color w:val="auto"/>
              </w:rPr>
            </w:pPr>
          </w:p>
        </w:tc>
      </w:tr>
      <w:tr>
        <w:trPr>
          <w:trHeight w:val="180"/>
        </w:trPr>
        <w:tc>
          <w:tcPr>
            <w:tcW w:w="1920" w:type="dxa"/>
            <w:vAlign w:val="bottom"/>
          </w:tcPr>
          <w:p>
            <w:pPr>
              <w:spacing w:after="0"/>
              <w:rPr>
                <w:sz w:val="15"/>
                <w:szCs w:val="15"/>
                <w:color w:val="auto"/>
              </w:rPr>
            </w:pPr>
          </w:p>
        </w:tc>
        <w:tc>
          <w:tcPr>
            <w:tcW w:w="1900" w:type="dxa"/>
            <w:vAlign w:val="bottom"/>
          </w:tcPr>
          <w:p>
            <w:pPr>
              <w:jc w:val="center"/>
              <w:ind w:right="1116"/>
              <w:spacing w:after="0"/>
              <w:rPr>
                <w:sz w:val="20"/>
                <w:szCs w:val="20"/>
                <w:color w:val="auto"/>
              </w:rPr>
            </w:pPr>
            <w:r>
              <w:rPr>
                <w:rFonts w:ascii="Arial" w:cs="Arial" w:eastAsia="Arial" w:hAnsi="Arial"/>
                <w:sz w:val="13"/>
                <w:szCs w:val="13"/>
                <w:color w:val="auto"/>
                <w:w w:val="97"/>
              </w:rPr>
              <w:t>holders'</w:t>
            </w:r>
          </w:p>
        </w:tc>
        <w:tc>
          <w:tcPr>
            <w:tcW w:w="3200" w:type="dxa"/>
            <w:vAlign w:val="bottom"/>
          </w:tcPr>
          <w:p>
            <w:pPr>
              <w:jc w:val="center"/>
              <w:spacing w:after="0"/>
              <w:rPr>
                <w:sz w:val="20"/>
                <w:szCs w:val="20"/>
                <w:color w:val="auto"/>
              </w:rPr>
            </w:pPr>
            <w:r>
              <w:rPr>
                <w:rFonts w:ascii="Arial" w:cs="Arial" w:eastAsia="Arial" w:hAnsi="Arial"/>
                <w:sz w:val="13"/>
                <w:szCs w:val="13"/>
                <w:color w:val="auto"/>
                <w:w w:val="97"/>
              </w:rPr>
              <w:t>controlling</w:t>
            </w:r>
          </w:p>
        </w:tc>
        <w:tc>
          <w:tcPr>
            <w:tcW w:w="1980" w:type="dxa"/>
            <w:vAlign w:val="bottom"/>
          </w:tcPr>
          <w:p>
            <w:pPr>
              <w:jc w:val="center"/>
              <w:ind w:left="976"/>
              <w:spacing w:after="0"/>
              <w:rPr>
                <w:sz w:val="20"/>
                <w:szCs w:val="20"/>
                <w:color w:val="auto"/>
              </w:rPr>
            </w:pPr>
            <w:r>
              <w:rPr>
                <w:rFonts w:ascii="Arial" w:cs="Arial" w:eastAsia="Arial" w:hAnsi="Arial"/>
                <w:sz w:val="13"/>
                <w:szCs w:val="13"/>
                <w:color w:val="auto"/>
                <w:w w:val="89"/>
              </w:rPr>
              <w:t>Total</w:t>
            </w:r>
          </w:p>
        </w:tc>
        <w:tc>
          <w:tcPr>
            <w:tcW w:w="920" w:type="dxa"/>
            <w:vAlign w:val="bottom"/>
          </w:tcPr>
          <w:p>
            <w:pPr>
              <w:jc w:val="center"/>
              <w:ind w:left="96"/>
              <w:spacing w:after="0"/>
              <w:rPr>
                <w:sz w:val="20"/>
                <w:szCs w:val="20"/>
                <w:color w:val="auto"/>
              </w:rPr>
            </w:pPr>
            <w:r>
              <w:rPr>
                <w:rFonts w:ascii="Arial" w:cs="Arial" w:eastAsia="Arial" w:hAnsi="Arial"/>
                <w:sz w:val="13"/>
                <w:szCs w:val="13"/>
                <w:color w:val="auto"/>
                <w:w w:val="97"/>
              </w:rPr>
              <w:t>holders'</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controlling</w:t>
            </w:r>
          </w:p>
        </w:tc>
        <w:tc>
          <w:tcPr>
            <w:tcW w:w="700" w:type="dxa"/>
            <w:vAlign w:val="bottom"/>
          </w:tcPr>
          <w:p>
            <w:pPr>
              <w:jc w:val="center"/>
              <w:spacing w:after="0"/>
              <w:rPr>
                <w:sz w:val="20"/>
                <w:szCs w:val="20"/>
                <w:color w:val="auto"/>
              </w:rPr>
            </w:pPr>
            <w:r>
              <w:rPr>
                <w:rFonts w:ascii="Arial" w:cs="Arial" w:eastAsia="Arial" w:hAnsi="Arial"/>
                <w:sz w:val="13"/>
                <w:szCs w:val="13"/>
                <w:color w:val="auto"/>
                <w:w w:val="96"/>
              </w:rPr>
              <w:t>Total</w:t>
            </w:r>
          </w:p>
        </w:tc>
      </w:tr>
      <w:tr>
        <w:trPr>
          <w:trHeight w:val="166"/>
        </w:trPr>
        <w:tc>
          <w:tcPr>
            <w:tcW w:w="19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center"/>
              <w:ind w:right="1096"/>
              <w:spacing w:after="0"/>
              <w:rPr>
                <w:sz w:val="20"/>
                <w:szCs w:val="20"/>
                <w:color w:val="auto"/>
              </w:rPr>
            </w:pPr>
            <w:r>
              <w:rPr>
                <w:rFonts w:ascii="Arial" w:cs="Arial" w:eastAsia="Arial" w:hAnsi="Arial"/>
                <w:sz w:val="13"/>
                <w:szCs w:val="13"/>
                <w:color w:val="auto"/>
                <w:w w:val="96"/>
              </w:rPr>
              <w:t>Equity(1)</w:t>
            </w: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Interests</w:t>
            </w:r>
          </w:p>
        </w:tc>
        <w:tc>
          <w:tcPr>
            <w:tcW w:w="1980" w:type="dxa"/>
            <w:vAlign w:val="bottom"/>
            <w:tcBorders>
              <w:bottom w:val="single" w:sz="8" w:color="auto"/>
            </w:tcBorders>
          </w:tcPr>
          <w:p>
            <w:pPr>
              <w:jc w:val="center"/>
              <w:ind w:left="996"/>
              <w:spacing w:after="0"/>
              <w:rPr>
                <w:sz w:val="20"/>
                <w:szCs w:val="20"/>
                <w:color w:val="auto"/>
              </w:rPr>
            </w:pPr>
            <w:r>
              <w:rPr>
                <w:rFonts w:ascii="Arial" w:cs="Arial" w:eastAsia="Arial" w:hAnsi="Arial"/>
                <w:sz w:val="13"/>
                <w:szCs w:val="13"/>
                <w:color w:val="auto"/>
                <w:w w:val="99"/>
              </w:rPr>
              <w:t>Equity</w:t>
            </w:r>
          </w:p>
        </w:tc>
        <w:tc>
          <w:tcPr>
            <w:tcW w:w="92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w w:val="96"/>
              </w:rPr>
              <w:t>Equity( 1)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Interests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Equity</w:t>
            </w:r>
          </w:p>
        </w:tc>
      </w:tr>
    </w:tbl>
    <w:p>
      <w:pPr>
        <w:sectPr>
          <w:pgSz w:w="11900" w:h="16876" w:orient="portrait"/>
          <w:cols w:equalWidth="0" w:num="1">
            <w:col w:w="11444"/>
          </w:cols>
          <w:pgMar w:left="236" w:top="126" w:right="219" w:bottom="0" w:gutter="0" w:footer="0" w:header="0"/>
        </w:sectPr>
      </w:pPr>
    </w:p>
    <w:bookmarkStart w:id="22" w:name="page23"/>
    <w:bookmarkEnd w:id="22"/>
    <w:p>
      <w:pPr>
        <w:spacing w:after="0" w:line="8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Sempra Energy</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Consolidated:</w:t>
      </w:r>
    </w:p>
    <w:p>
      <w:pPr>
        <w:spacing w:after="0" w:line="31" w:lineRule="exact"/>
        <w:rPr>
          <w:sz w:val="20"/>
          <w:szCs w:val="20"/>
          <w:color w:val="auto"/>
        </w:rPr>
      </w:pPr>
    </w:p>
    <w:p>
      <w:pPr>
        <w:ind w:left="440"/>
        <w:spacing w:after="0"/>
        <w:tabs>
          <w:tab w:leader="none" w:pos="2040" w:val="left"/>
          <w:tab w:leader="none" w:pos="2360" w:val="left"/>
          <w:tab w:leader="none" w:pos="3000" w:val="left"/>
          <w:tab w:leader="none" w:pos="7960" w:val="left"/>
          <w:tab w:leader="none" w:pos="8320" w:val="left"/>
          <w:tab w:leader="none" w:pos="8620" w:val="left"/>
          <w:tab w:leader="none" w:pos="9300" w:val="left"/>
          <w:tab w:leader="none" w:pos="9640" w:val="left"/>
          <w:tab w:leader="none" w:pos="10100" w:val="left"/>
          <w:tab w:leader="none" w:pos="10480" w:val="left"/>
          <w:tab w:leader="none" w:pos="10800" w:val="left"/>
          <w:tab w:leader="none" w:pos="11140" w:val="left"/>
        </w:tabs>
        <w:rPr>
          <w:sz w:val="20"/>
          <w:szCs w:val="20"/>
          <w:color w:val="auto"/>
        </w:rPr>
      </w:pPr>
      <w:r>
        <w:rPr>
          <w:rFonts w:ascii="Arial" w:cs="Arial" w:eastAsia="Arial" w:hAnsi="Arial"/>
          <w:sz w:val="14"/>
          <w:szCs w:val="14"/>
          <w:color w:val="auto"/>
        </w:rPr>
        <w:t>Financial instruments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tab/>
        <w:t>(1)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Pr>
          <w:p>
            <w:pPr>
              <w:spacing w:after="0"/>
              <w:rPr>
                <w:sz w:val="18"/>
                <w:szCs w:val="18"/>
                <w:color w:val="auto"/>
              </w:rPr>
            </w:pPr>
          </w:p>
        </w:tc>
        <w:tc>
          <w:tcPr>
            <w:tcW w:w="1580" w:type="dxa"/>
            <w:vAlign w:val="bottom"/>
            <w:vMerge w:val="restart"/>
          </w:tcPr>
          <w:p>
            <w:pPr>
              <w:ind w:left="100"/>
              <w:spacing w:after="0"/>
              <w:rPr>
                <w:sz w:val="20"/>
                <w:szCs w:val="20"/>
                <w:color w:val="auto"/>
              </w:rPr>
            </w:pPr>
            <w:r>
              <w:rPr>
                <w:rFonts w:ascii="Arial" w:cs="Arial" w:eastAsia="Arial" w:hAnsi="Arial"/>
                <w:sz w:val="14"/>
                <w:szCs w:val="14"/>
                <w:color w:val="auto"/>
              </w:rPr>
              <w:t>Available-for-sale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9"/>
                <w:szCs w:val="19"/>
                <w:color w:val="auto"/>
              </w:rPr>
              <w:t>&lt;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3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180" w:type="dxa"/>
            <w:vAlign w:val="bottom"/>
            <w:vMerge w:val="restart"/>
          </w:tcPr>
          <w:p>
            <w:pPr>
              <w:ind w:left="100"/>
              <w:spacing w:after="0"/>
              <w:rPr>
                <w:sz w:val="20"/>
                <w:szCs w:val="20"/>
                <w:color w:val="auto"/>
              </w:rPr>
            </w:pPr>
            <w:r>
              <w:rPr>
                <w:rFonts w:ascii="Arial" w:cs="Arial" w:eastAsia="Arial" w:hAnsi="Arial"/>
                <w:sz w:val="19"/>
                <w:szCs w:val="19"/>
                <w:color w:val="auto"/>
              </w:rPr>
              <w:t>/td&gt;</w:t>
            </w: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vMerge w:val="restart"/>
          </w:tcPr>
          <w:p>
            <w:pPr>
              <w:jc w:val="right"/>
              <w:ind w:right="85"/>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4"/>
                <w:szCs w:val="14"/>
                <w:color w:val="auto"/>
              </w:rPr>
              <w:t>securities</w:t>
            </w:r>
          </w:p>
        </w:tc>
        <w:tc>
          <w:tcPr>
            <w:tcW w:w="340" w:type="dxa"/>
            <w:vAlign w:val="bottom"/>
          </w:tcPr>
          <w:p>
            <w:pPr>
              <w:spacing w:after="0"/>
              <w:rPr>
                <w:sz w:val="13"/>
                <w:szCs w:val="13"/>
                <w:color w:val="auto"/>
              </w:rPr>
            </w:pPr>
          </w:p>
        </w:tc>
        <w:tc>
          <w:tcPr>
            <w:tcW w:w="38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5180" w:type="dxa"/>
            <w:vAlign w:val="bottom"/>
            <w:vMerge w:val="continue"/>
          </w:tcPr>
          <w:p>
            <w:pPr>
              <w:spacing w:after="0"/>
              <w:rPr>
                <w:sz w:val="13"/>
                <w:szCs w:val="13"/>
                <w:color w:val="auto"/>
              </w:rPr>
            </w:pPr>
          </w:p>
        </w:tc>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jc w:val="right"/>
              <w:ind w:right="65"/>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38"/>
        </w:trPr>
        <w:tc>
          <w:tcPr>
            <w:tcW w:w="340" w:type="dxa"/>
            <w:vAlign w:val="bottom"/>
            <w:tcBorders>
              <w:bottom w:val="single" w:sz="8" w:color="C0C0C0"/>
            </w:tcBorders>
          </w:tcPr>
          <w:p>
            <w:pPr>
              <w:spacing w:after="0"/>
              <w:rPr>
                <w:sz w:val="20"/>
                <w:szCs w:val="20"/>
                <w:color w:val="auto"/>
              </w:rPr>
            </w:pPr>
          </w:p>
        </w:tc>
        <w:tc>
          <w:tcPr>
            <w:tcW w:w="1580" w:type="dxa"/>
            <w:vAlign w:val="bottom"/>
            <w:tcBorders>
              <w:bottom w:val="single" w:sz="8" w:color="C0C0C0"/>
            </w:tcBorders>
          </w:tcPr>
          <w:p>
            <w:pPr>
              <w:ind w:left="100"/>
              <w:spacing w:after="0"/>
              <w:rPr>
                <w:sz w:val="20"/>
                <w:szCs w:val="20"/>
                <w:color w:val="auto"/>
              </w:rPr>
            </w:pPr>
            <w:r>
              <w:rPr>
                <w:rFonts w:ascii="Arial" w:cs="Arial" w:eastAsia="Arial" w:hAnsi="Arial"/>
                <w:sz w:val="14"/>
                <w:szCs w:val="14"/>
                <w:color w:val="auto"/>
              </w:rPr>
              <w:t>Net actuarial gain</w:t>
            </w:r>
          </w:p>
        </w:tc>
        <w:tc>
          <w:tcPr>
            <w:tcW w:w="34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jc w:val="right"/>
              <w:ind w:right="66"/>
              <w:spacing w:after="0"/>
              <w:rPr>
                <w:sz w:val="20"/>
                <w:szCs w:val="20"/>
                <w:color w:val="auto"/>
              </w:rPr>
            </w:pPr>
            <w:r>
              <w:rPr>
                <w:rFonts w:ascii="Arial" w:cs="Arial" w:eastAsia="Arial" w:hAnsi="Arial"/>
                <w:sz w:val="19"/>
                <w:szCs w:val="19"/>
                <w:color w:val="auto"/>
              </w:rPr>
              <w:t>1</w:t>
            </w:r>
          </w:p>
        </w:tc>
        <w:tc>
          <w:tcPr>
            <w:tcW w:w="518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ind w:lef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420" w:type="dxa"/>
            <w:vAlign w:val="bottom"/>
            <w:tcBorders>
              <w:bottom w:val="single" w:sz="8" w:color="C0C0C0"/>
            </w:tcBorders>
          </w:tcPr>
          <w:p>
            <w:pPr>
              <w:jc w:val="right"/>
              <w:ind w:right="65"/>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tcPr>
          <w:p>
            <w:pPr>
              <w:spacing w:after="0"/>
              <w:rPr>
                <w:sz w:val="20"/>
                <w:szCs w:val="20"/>
                <w:color w:val="auto"/>
              </w:rPr>
            </w:pPr>
          </w:p>
        </w:tc>
        <w:tc>
          <w:tcPr>
            <w:tcW w:w="5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jc w:val="right"/>
              <w:ind w:right="106"/>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jc w:val="right"/>
              <w:ind w:right="6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80" w:type="dxa"/>
            <w:vAlign w:val="bottom"/>
          </w:tcPr>
          <w:p>
            <w:pPr>
              <w:ind w:left="640"/>
              <w:spacing w:after="0" w:line="197" w:lineRule="exact"/>
              <w:rPr>
                <w:sz w:val="20"/>
                <w:szCs w:val="20"/>
                <w:color w:val="auto"/>
              </w:rPr>
            </w:pPr>
            <w:r>
              <w:rPr>
                <w:rFonts w:ascii="Arial" w:cs="Arial" w:eastAsia="Arial" w:hAnsi="Arial"/>
                <w:sz w:val="19"/>
                <w:szCs w:val="19"/>
                <w:color w:val="auto"/>
              </w:rPr>
              <w:t>&lt; font style="FONT-SIZE:8pt; COLOR:black; FONT-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20" w:type="dxa"/>
            <w:vAlign w:val="bottom"/>
            <w:gridSpan w:val="2"/>
          </w:tcPr>
          <w:p>
            <w:pPr>
              <w:ind w:left="80"/>
              <w:spacing w:after="0"/>
              <w:rPr>
                <w:sz w:val="20"/>
                <w:szCs w:val="20"/>
                <w:color w:val="auto"/>
              </w:rPr>
            </w:pPr>
            <w:r>
              <w:rPr>
                <w:rFonts w:ascii="Arial" w:cs="Arial" w:eastAsia="Arial" w:hAnsi="Arial"/>
                <w:sz w:val="14"/>
                <w:szCs w:val="14"/>
                <w:b w:val="1"/>
                <w:bCs w:val="1"/>
                <w:color w:val="auto"/>
              </w:rPr>
              <w:t>SDG&amp;E:</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180" w:type="dxa"/>
            <w:vAlign w:val="bottom"/>
          </w:tcPr>
          <w:p>
            <w:pPr>
              <w:ind w:left="640"/>
              <w:spacing w:after="0"/>
              <w:rPr>
                <w:sz w:val="20"/>
                <w:szCs w:val="20"/>
                <w:color w:val="auto"/>
              </w:rPr>
            </w:pPr>
            <w:r>
              <w:rPr>
                <w:rFonts w:ascii="Arial" w:cs="Arial" w:eastAsia="Arial" w:hAnsi="Arial"/>
                <w:sz w:val="19"/>
                <w:szCs w:val="19"/>
                <w:color w:val="auto"/>
              </w:rPr>
              <w:t>FAMILY:'Arial','sans-serif'"&gt;</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40" w:type="dxa"/>
            <w:vAlign w:val="bottom"/>
            <w:tcBorders>
              <w:bottom w:val="single" w:sz="8" w:color="C0C0C0"/>
            </w:tcBorders>
          </w:tcPr>
          <w:p>
            <w:pPr>
              <w:spacing w:after="0"/>
              <w:rPr>
                <w:sz w:val="16"/>
                <w:szCs w:val="16"/>
                <w:color w:val="auto"/>
              </w:rPr>
            </w:pPr>
          </w:p>
        </w:tc>
        <w:tc>
          <w:tcPr>
            <w:tcW w:w="1580" w:type="dxa"/>
            <w:vAlign w:val="bottom"/>
            <w:tcBorders>
              <w:bottom w:val="single" w:sz="8" w:color="C0C0C0"/>
            </w:tcBorders>
          </w:tcPr>
          <w:p>
            <w:pPr>
              <w:ind w:left="100"/>
              <w:spacing w:after="0"/>
              <w:rPr>
                <w:sz w:val="20"/>
                <w:szCs w:val="20"/>
                <w:color w:val="auto"/>
              </w:rPr>
            </w:pPr>
            <w:r>
              <w:rPr>
                <w:rFonts w:ascii="Arial" w:cs="Arial" w:eastAsia="Arial" w:hAnsi="Arial"/>
                <w:sz w:val="14"/>
                <w:szCs w:val="14"/>
                <w:color w:val="auto"/>
              </w:rPr>
              <w:t>Financial instruments</w:t>
            </w:r>
          </w:p>
        </w:tc>
        <w:tc>
          <w:tcPr>
            <w:tcW w:w="340" w:type="dxa"/>
            <w:vAlign w:val="bottom"/>
            <w:tcBorders>
              <w:bottom w:val="single" w:sz="8" w:color="C0C0C0"/>
            </w:tcBorders>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tcPr>
          <w:p>
            <w:pPr>
              <w:jc w:val="right"/>
              <w:ind w:right="6"/>
              <w:spacing w:after="0"/>
              <w:rPr>
                <w:sz w:val="20"/>
                <w:szCs w:val="20"/>
                <w:color w:val="auto"/>
              </w:rPr>
            </w:pPr>
            <w:r>
              <w:rPr>
                <w:rFonts w:ascii="Arial" w:cs="Arial" w:eastAsia="Arial" w:hAnsi="Arial"/>
                <w:sz w:val="14"/>
                <w:szCs w:val="14"/>
                <w:color w:val="auto"/>
              </w:rPr>
              <w:t>$</w:t>
            </w:r>
          </w:p>
        </w:tc>
        <w:tc>
          <w:tcPr>
            <w:tcW w:w="5180" w:type="dxa"/>
            <w:vAlign w:val="bottom"/>
            <w:tcBorders>
              <w:bottom w:val="single" w:sz="8" w:color="C0C0C0"/>
            </w:tcBorders>
          </w:tcPr>
          <w:p>
            <w:pPr>
              <w:ind w:left="3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tcBorders>
          </w:tcPr>
          <w:p>
            <w:pPr>
              <w:ind w:lef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tcBorders>
          </w:tcPr>
          <w:p>
            <w:pPr>
              <w:jc w:val="right"/>
              <w:ind w:right="5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0C0C0"/>
            </w:tcBorders>
          </w:tcPr>
          <w:p>
            <w:pPr>
              <w:spacing w:after="0"/>
              <w:rPr>
                <w:sz w:val="16"/>
                <w:szCs w:val="16"/>
                <w:color w:val="auto"/>
              </w:rPr>
            </w:pPr>
          </w:p>
        </w:tc>
        <w:tc>
          <w:tcPr>
            <w:tcW w:w="260" w:type="dxa"/>
            <w:vAlign w:val="bottom"/>
            <w:tcBorders>
              <w:bottom w:val="single" w:sz="8" w:color="C0C0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0C0C0"/>
            </w:tcBorders>
          </w:tcPr>
          <w:p>
            <w:pPr>
              <w:ind w:left="1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0C0C0"/>
            </w:tcBorders>
            <w:gridSpan w:val="2"/>
          </w:tcPr>
          <w:p>
            <w:pPr>
              <w:jc w:val="right"/>
              <w:ind w:right="236"/>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tcPr>
          <w:p>
            <w:pPr>
              <w:jc w:val="right"/>
              <w:ind w:right="66"/>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20" w:type="dxa"/>
            <w:vAlign w:val="bottom"/>
            <w:gridSpan w:val="2"/>
          </w:tcPr>
          <w:p>
            <w:pPr>
              <w:ind w:left="80"/>
              <w:spacing w:after="0"/>
              <w:rPr>
                <w:sz w:val="20"/>
                <w:szCs w:val="20"/>
                <w:color w:val="auto"/>
              </w:rPr>
            </w:pPr>
            <w:r>
              <w:rPr>
                <w:rFonts w:ascii="Arial" w:cs="Arial" w:eastAsia="Arial" w:hAnsi="Arial"/>
                <w:sz w:val="14"/>
                <w:szCs w:val="14"/>
                <w:b w:val="1"/>
                <w:bCs w:val="1"/>
                <w:color w:val="auto"/>
              </w:rPr>
              <w:t>PE:</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vMerge w:val="restart"/>
          </w:tcPr>
          <w:p>
            <w:pPr>
              <w:jc w:val="right"/>
              <w:ind w:right="66"/>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580" w:type="dxa"/>
            <w:vAlign w:val="bottom"/>
            <w:tcBorders>
              <w:bottom w:val="single" w:sz="8" w:color="C0C0C0"/>
            </w:tcBorders>
          </w:tcPr>
          <w:p>
            <w:pPr>
              <w:ind w:left="100"/>
              <w:spacing w:after="0"/>
              <w:rPr>
                <w:sz w:val="20"/>
                <w:szCs w:val="20"/>
                <w:color w:val="auto"/>
              </w:rPr>
            </w:pPr>
            <w:r>
              <w:rPr>
                <w:rFonts w:ascii="Arial" w:cs="Arial" w:eastAsia="Arial" w:hAnsi="Arial"/>
                <w:sz w:val="14"/>
                <w:szCs w:val="14"/>
                <w:color w:val="auto"/>
              </w:rPr>
              <w:t>Financial instruments</w:t>
            </w:r>
          </w:p>
        </w:tc>
        <w:tc>
          <w:tcPr>
            <w:tcW w:w="340" w:type="dxa"/>
            <w:vAlign w:val="bottom"/>
            <w:tcBorders>
              <w:bottom w:val="single" w:sz="8" w:color="C0C0C0"/>
            </w:tcBorders>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tcPr>
          <w:p>
            <w:pPr>
              <w:jc w:val="right"/>
              <w:ind w:right="6"/>
              <w:spacing w:after="0"/>
              <w:rPr>
                <w:sz w:val="20"/>
                <w:szCs w:val="20"/>
                <w:color w:val="auto"/>
              </w:rPr>
            </w:pPr>
            <w:r>
              <w:rPr>
                <w:rFonts w:ascii="Arial" w:cs="Arial" w:eastAsia="Arial" w:hAnsi="Arial"/>
                <w:sz w:val="14"/>
                <w:szCs w:val="14"/>
                <w:color w:val="auto"/>
              </w:rPr>
              <w:t>$</w:t>
            </w:r>
          </w:p>
        </w:tc>
        <w:tc>
          <w:tcPr>
            <w:tcW w:w="5180" w:type="dxa"/>
            <w:vAlign w:val="bottom"/>
            <w:tcBorders>
              <w:bottom w:val="single" w:sz="8" w:color="C0C0C0"/>
            </w:tcBorders>
          </w:tcPr>
          <w:p>
            <w:pPr>
              <w:ind w:left="3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tcBorders>
          </w:tcPr>
          <w:p>
            <w:pPr>
              <w:ind w:lef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tcBorders>
          </w:tcPr>
          <w:p>
            <w:pPr>
              <w:jc w:val="right"/>
              <w:ind w:right="50"/>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0C0C0"/>
            </w:tcBorders>
          </w:tcPr>
          <w:p>
            <w:pPr>
              <w:ind w:left="1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0C0C0"/>
            </w:tcBorders>
          </w:tcPr>
          <w:p>
            <w:pPr>
              <w:spacing w:after="0"/>
              <w:rPr>
                <w:sz w:val="18"/>
                <w:szCs w:val="18"/>
                <w:color w:val="auto"/>
              </w:rPr>
            </w:pPr>
          </w:p>
        </w:tc>
        <w:tc>
          <w:tcPr>
            <w:tcW w:w="620" w:type="dxa"/>
            <w:vAlign w:val="bottom"/>
            <w:tcBorders>
              <w:bottom w:val="single" w:sz="8" w:color="C0C0C0"/>
            </w:tcBorders>
            <w:gridSpan w:val="2"/>
          </w:tcPr>
          <w:p>
            <w:pPr>
              <w:jc w:val="right"/>
              <w:ind w:right="236"/>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C0C0C0"/>
            </w:tcBorders>
            <w:vMerge w:val="continue"/>
          </w:tcPr>
          <w:p>
            <w:pPr>
              <w:spacing w:after="0"/>
              <w:rPr>
                <w:sz w:val="18"/>
                <w:szCs w:val="18"/>
                <w:color w:val="auto"/>
              </w:rPr>
            </w:pPr>
          </w:p>
        </w:tc>
        <w:tc>
          <w:tcPr>
            <w:tcW w:w="26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920" w:type="dxa"/>
            <w:vAlign w:val="bottom"/>
            <w:gridSpan w:val="2"/>
          </w:tcPr>
          <w:p>
            <w:pPr>
              <w:ind w:left="80"/>
              <w:spacing w:after="0"/>
              <w:rPr>
                <w:sz w:val="20"/>
                <w:szCs w:val="20"/>
                <w:color w:val="auto"/>
              </w:rPr>
            </w:pPr>
            <w:r>
              <w:rPr>
                <w:rFonts w:ascii="Arial" w:cs="Arial" w:eastAsia="Arial" w:hAnsi="Arial"/>
                <w:sz w:val="14"/>
                <w:szCs w:val="14"/>
                <w:b w:val="1"/>
                <w:bCs w:val="1"/>
                <w:color w:val="auto"/>
              </w:rPr>
              <w:t>SoCalGas:</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vMerge w:val="restart"/>
          </w:tcPr>
          <w:p>
            <w:pPr>
              <w:jc w:val="right"/>
              <w:ind w:right="6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0"/>
        </w:trPr>
        <w:tc>
          <w:tcPr>
            <w:tcW w:w="340" w:type="dxa"/>
            <w:vAlign w:val="bottom"/>
            <w:tcBorders>
              <w:bottom w:val="single" w:sz="8" w:color="C0C0C0"/>
            </w:tcBorders>
          </w:tcPr>
          <w:p>
            <w:pPr>
              <w:spacing w:after="0"/>
              <w:rPr>
                <w:sz w:val="18"/>
                <w:szCs w:val="18"/>
                <w:color w:val="auto"/>
              </w:rPr>
            </w:pPr>
          </w:p>
        </w:tc>
        <w:tc>
          <w:tcPr>
            <w:tcW w:w="1580" w:type="dxa"/>
            <w:vAlign w:val="bottom"/>
            <w:tcBorders>
              <w:bottom w:val="single" w:sz="8" w:color="C0C0C0"/>
            </w:tcBorders>
          </w:tcPr>
          <w:p>
            <w:pPr>
              <w:ind w:left="100"/>
              <w:spacing w:after="0"/>
              <w:rPr>
                <w:sz w:val="20"/>
                <w:szCs w:val="20"/>
                <w:color w:val="auto"/>
              </w:rPr>
            </w:pPr>
            <w:r>
              <w:rPr>
                <w:rFonts w:ascii="Arial" w:cs="Arial" w:eastAsia="Arial" w:hAnsi="Arial"/>
                <w:sz w:val="14"/>
                <w:szCs w:val="14"/>
                <w:color w:val="auto"/>
              </w:rPr>
              <w:t>Financial instruments</w:t>
            </w:r>
          </w:p>
        </w:tc>
        <w:tc>
          <w:tcPr>
            <w:tcW w:w="340" w:type="dxa"/>
            <w:vAlign w:val="bottom"/>
            <w:tcBorders>
              <w:bottom w:val="single" w:sz="8" w:color="C0C0C0"/>
            </w:tcBorders>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tcPr>
          <w:p>
            <w:pPr>
              <w:jc w:val="right"/>
              <w:ind w:right="46"/>
              <w:spacing w:after="0"/>
              <w:rPr>
                <w:sz w:val="20"/>
                <w:szCs w:val="20"/>
                <w:color w:val="auto"/>
              </w:rPr>
            </w:pPr>
            <w:r>
              <w:rPr>
                <w:rFonts w:ascii="Arial" w:cs="Arial" w:eastAsia="Arial" w:hAnsi="Arial"/>
                <w:sz w:val="14"/>
                <w:szCs w:val="14"/>
                <w:color w:val="auto"/>
              </w:rPr>
              <w:t>1</w:t>
            </w:r>
          </w:p>
        </w:tc>
        <w:tc>
          <w:tcPr>
            <w:tcW w:w="5180" w:type="dxa"/>
            <w:vAlign w:val="bottom"/>
            <w:tcBorders>
              <w:bottom w:val="single" w:sz="8" w:color="C0C0C0"/>
            </w:tcBorders>
          </w:tcPr>
          <w:p>
            <w:pPr>
              <w:ind w:lef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tcBorders>
          </w:tcPr>
          <w:p>
            <w:pPr>
              <w:ind w:lef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tcBorders>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0C0C0"/>
            </w:tcBorders>
          </w:tcPr>
          <w:p>
            <w:pPr>
              <w:jc w:val="right"/>
              <w:ind w:right="65"/>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C0C0C0"/>
            </w:tcBorders>
          </w:tcPr>
          <w:p>
            <w:pPr>
              <w:spacing w:after="0"/>
              <w:rPr>
                <w:sz w:val="18"/>
                <w:szCs w:val="18"/>
                <w:color w:val="auto"/>
              </w:rPr>
            </w:pPr>
          </w:p>
        </w:tc>
        <w:tc>
          <w:tcPr>
            <w:tcW w:w="300" w:type="dxa"/>
            <w:vAlign w:val="bottom"/>
            <w:tcBorders>
              <w:bottom w:val="single" w:sz="8" w:color="C0C0C0"/>
            </w:tcBorders>
          </w:tcPr>
          <w:p>
            <w:pPr>
              <w:ind w:left="1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0C0C0"/>
            </w:tcBorders>
            <w:gridSpan w:val="2"/>
          </w:tcPr>
          <w:p>
            <w:pPr>
              <w:jc w:val="right"/>
              <w:ind w:right="196"/>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tcPr>
          <w:p>
            <w:pPr>
              <w:jc w:val="right"/>
              <w:ind w:right="26"/>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0C0C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ind w:left="3040"/>
              <w:spacing w:after="0"/>
              <w:rPr>
                <w:sz w:val="20"/>
                <w:szCs w:val="20"/>
                <w:color w:val="auto"/>
              </w:rPr>
            </w:pPr>
            <w:r>
              <w:rPr>
                <w:rFonts w:ascii="Arial" w:cs="Arial" w:eastAsia="Arial" w:hAnsi="Arial"/>
                <w:sz w:val="13"/>
                <w:szCs w:val="13"/>
                <w:color w:val="auto"/>
              </w:rPr>
              <w:t>Nine months ended September 30,</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tcPr>
          <w:p>
            <w:pPr>
              <w:jc w:val="center"/>
              <w:ind w:left="265"/>
              <w:spacing w:after="0"/>
              <w:rPr>
                <w:sz w:val="20"/>
                <w:szCs w:val="20"/>
                <w:color w:val="auto"/>
              </w:rPr>
            </w:pPr>
            <w:r>
              <w:rPr>
                <w:rFonts w:ascii="Arial" w:cs="Arial" w:eastAsia="Arial" w:hAnsi="Arial"/>
                <w:sz w:val="13"/>
                <w:szCs w:val="13"/>
                <w:color w:val="auto"/>
                <w:w w:val="96"/>
              </w:rPr>
              <w:t>2010</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center"/>
              <w:ind w:left="189"/>
              <w:spacing w:after="0"/>
              <w:rPr>
                <w:sz w:val="20"/>
                <w:szCs w:val="20"/>
                <w:color w:val="auto"/>
              </w:rPr>
            </w:pPr>
            <w:r>
              <w:rPr>
                <w:rFonts w:ascii="Arial" w:cs="Arial" w:eastAsia="Arial" w:hAnsi="Arial"/>
                <w:sz w:val="13"/>
                <w:szCs w:val="13"/>
                <w:color w:val="auto"/>
                <w:w w:val="96"/>
              </w:rPr>
              <w:t>2009</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20" w:type="dxa"/>
            <w:vAlign w:val="bottom"/>
            <w:gridSpan w:val="2"/>
          </w:tcPr>
          <w:p>
            <w:pPr>
              <w:jc w:val="right"/>
              <w:ind w:right="86"/>
              <w:spacing w:after="0"/>
              <w:rPr>
                <w:sz w:val="20"/>
                <w:szCs w:val="20"/>
                <w:color w:val="auto"/>
              </w:rPr>
            </w:pPr>
            <w:r>
              <w:rPr>
                <w:rFonts w:ascii="Arial" w:cs="Arial" w:eastAsia="Arial" w:hAnsi="Arial"/>
                <w:sz w:val="13"/>
                <w:szCs w:val="13"/>
                <w:color w:val="auto"/>
              </w:rPr>
              <w:t>Share-</w:t>
            </w:r>
          </w:p>
        </w:tc>
        <w:tc>
          <w:tcPr>
            <w:tcW w:w="5180" w:type="dxa"/>
            <w:vAlign w:val="bottom"/>
          </w:tcPr>
          <w:p>
            <w:pPr>
              <w:jc w:val="center"/>
              <w:ind w:left="265"/>
              <w:spacing w:after="0"/>
              <w:rPr>
                <w:sz w:val="20"/>
                <w:szCs w:val="20"/>
                <w:color w:val="auto"/>
              </w:rPr>
            </w:pPr>
            <w:r>
              <w:rPr>
                <w:rFonts w:ascii="Arial" w:cs="Arial" w:eastAsia="Arial" w:hAnsi="Arial"/>
                <w:sz w:val="13"/>
                <w:szCs w:val="13"/>
                <w:color w:val="auto"/>
                <w:w w:val="99"/>
              </w:rPr>
              <w:t>Non-</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3"/>
                <w:szCs w:val="13"/>
                <w:color w:val="auto"/>
              </w:rPr>
              <w:t>Share-</w:t>
            </w:r>
          </w:p>
        </w:tc>
        <w:tc>
          <w:tcPr>
            <w:tcW w:w="80" w:type="dxa"/>
            <w:vAlign w:val="bottom"/>
          </w:tcPr>
          <w:p>
            <w:pPr>
              <w:spacing w:after="0"/>
              <w:rPr>
                <w:sz w:val="15"/>
                <w:szCs w:val="15"/>
                <w:color w:val="auto"/>
              </w:rPr>
            </w:pPr>
          </w:p>
        </w:tc>
        <w:tc>
          <w:tcPr>
            <w:tcW w:w="540" w:type="dxa"/>
            <w:vAlign w:val="bottom"/>
          </w:tcPr>
          <w:p>
            <w:pPr>
              <w:jc w:val="center"/>
              <w:ind w:left="156"/>
              <w:spacing w:after="0"/>
              <w:rPr>
                <w:sz w:val="20"/>
                <w:szCs w:val="20"/>
                <w:color w:val="auto"/>
              </w:rPr>
            </w:pPr>
            <w:r>
              <w:rPr>
                <w:rFonts w:ascii="Arial" w:cs="Arial" w:eastAsia="Arial" w:hAnsi="Arial"/>
                <w:sz w:val="13"/>
                <w:szCs w:val="13"/>
                <w:color w:val="auto"/>
                <w:w w:val="99"/>
              </w:rPr>
              <w:t>Non-</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color w:val="auto"/>
              </w:rPr>
              <w:t>holders'</w:t>
            </w:r>
          </w:p>
        </w:tc>
        <w:tc>
          <w:tcPr>
            <w:tcW w:w="5180" w:type="dxa"/>
            <w:vAlign w:val="bottom"/>
          </w:tcPr>
          <w:p>
            <w:pPr>
              <w:jc w:val="center"/>
              <w:ind w:left="285"/>
              <w:spacing w:after="0"/>
              <w:rPr>
                <w:sz w:val="20"/>
                <w:szCs w:val="20"/>
                <w:color w:val="auto"/>
              </w:rPr>
            </w:pPr>
            <w:r>
              <w:rPr>
                <w:rFonts w:ascii="Arial" w:cs="Arial" w:eastAsia="Arial" w:hAnsi="Arial"/>
                <w:sz w:val="13"/>
                <w:szCs w:val="13"/>
                <w:color w:val="auto"/>
                <w:w w:val="97"/>
              </w:rPr>
              <w:t>controlling</w:t>
            </w:r>
          </w:p>
        </w:tc>
        <w:tc>
          <w:tcPr>
            <w:tcW w:w="340" w:type="dxa"/>
            <w:vAlign w:val="bottom"/>
          </w:tcPr>
          <w:p>
            <w:pPr>
              <w:spacing w:after="0"/>
              <w:rPr>
                <w:sz w:val="15"/>
                <w:szCs w:val="15"/>
                <w:color w:val="auto"/>
              </w:rPr>
            </w:pPr>
          </w:p>
        </w:tc>
        <w:tc>
          <w:tcPr>
            <w:tcW w:w="760" w:type="dxa"/>
            <w:vAlign w:val="bottom"/>
            <w:gridSpan w:val="2"/>
          </w:tcPr>
          <w:p>
            <w:pPr>
              <w:jc w:val="right"/>
              <w:ind w:right="185"/>
              <w:spacing w:after="0"/>
              <w:rPr>
                <w:sz w:val="20"/>
                <w:szCs w:val="20"/>
                <w:color w:val="auto"/>
              </w:rPr>
            </w:pPr>
            <w:r>
              <w:rPr>
                <w:rFonts w:ascii="Arial" w:cs="Arial" w:eastAsia="Arial" w:hAnsi="Arial"/>
                <w:sz w:val="13"/>
                <w:szCs w:val="13"/>
                <w:color w:val="auto"/>
              </w:rPr>
              <w:t>Total</w:t>
            </w:r>
          </w:p>
        </w:tc>
        <w:tc>
          <w:tcPr>
            <w:tcW w:w="260" w:type="dxa"/>
            <w:vAlign w:val="bottom"/>
          </w:tcPr>
          <w:p>
            <w:pPr>
              <w:spacing w:after="0"/>
              <w:rPr>
                <w:sz w:val="15"/>
                <w:szCs w:val="15"/>
                <w:color w:val="auto"/>
              </w:rPr>
            </w:pPr>
          </w:p>
        </w:tc>
        <w:tc>
          <w:tcPr>
            <w:tcW w:w="660" w:type="dxa"/>
            <w:vAlign w:val="bottom"/>
            <w:gridSpan w:val="2"/>
          </w:tcPr>
          <w:p>
            <w:pPr>
              <w:ind w:left="140"/>
              <w:spacing w:after="0"/>
              <w:rPr>
                <w:sz w:val="20"/>
                <w:szCs w:val="20"/>
                <w:color w:val="auto"/>
              </w:rPr>
            </w:pPr>
            <w:r>
              <w:rPr>
                <w:rFonts w:ascii="Arial" w:cs="Arial" w:eastAsia="Arial" w:hAnsi="Arial"/>
                <w:sz w:val="13"/>
                <w:szCs w:val="13"/>
                <w:color w:val="auto"/>
              </w:rPr>
              <w:t>holders'</w:t>
            </w:r>
          </w:p>
        </w:tc>
        <w:tc>
          <w:tcPr>
            <w:tcW w:w="8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97"/>
              </w:rPr>
              <w:t>controlling</w:t>
            </w:r>
          </w:p>
        </w:tc>
        <w:tc>
          <w:tcPr>
            <w:tcW w:w="700" w:type="dxa"/>
            <w:vAlign w:val="bottom"/>
            <w:gridSpan w:val="2"/>
          </w:tcPr>
          <w:p>
            <w:pPr>
              <w:ind w:left="18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6"/>
        </w:trPr>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3"/>
                <w:szCs w:val="13"/>
                <w:color w:val="auto"/>
              </w:rPr>
              <w:t>Equity(1)</w:t>
            </w:r>
          </w:p>
        </w:tc>
        <w:tc>
          <w:tcPr>
            <w:tcW w:w="5180" w:type="dxa"/>
            <w:vAlign w:val="bottom"/>
            <w:tcBorders>
              <w:bottom w:val="single" w:sz="8" w:color="auto"/>
            </w:tcBorders>
          </w:tcPr>
          <w:p>
            <w:pPr>
              <w:jc w:val="center"/>
              <w:ind w:left="265"/>
              <w:spacing w:after="0"/>
              <w:rPr>
                <w:sz w:val="20"/>
                <w:szCs w:val="20"/>
                <w:color w:val="auto"/>
              </w:rPr>
            </w:pPr>
            <w:r>
              <w:rPr>
                <w:rFonts w:ascii="Arial" w:cs="Arial" w:eastAsia="Arial" w:hAnsi="Arial"/>
                <w:sz w:val="13"/>
                <w:szCs w:val="13"/>
                <w:color w:val="auto"/>
                <w:w w:val="96"/>
              </w:rPr>
              <w:t>Interests</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3"/>
                <w:szCs w:val="13"/>
                <w:color w:val="auto"/>
              </w:rPr>
              <w:t>Equity</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Equity(1)</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3"/>
                <w:szCs w:val="13"/>
                <w:color w:val="auto"/>
              </w:rPr>
              <w:t>Interests</w:t>
            </w: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44"/>
        </w:trPr>
        <w:tc>
          <w:tcPr>
            <w:tcW w:w="1920" w:type="dxa"/>
            <w:vAlign w:val="bottom"/>
            <w:gridSpan w:val="2"/>
          </w:tcPr>
          <w:p>
            <w:pPr>
              <w:ind w:left="80"/>
              <w:spacing w:after="0" w:line="144" w:lineRule="exact"/>
              <w:rPr>
                <w:sz w:val="20"/>
                <w:szCs w:val="20"/>
                <w:color w:val="auto"/>
              </w:rPr>
            </w:pPr>
            <w:r>
              <w:rPr>
                <w:rFonts w:ascii="Arial" w:cs="Arial" w:eastAsia="Arial" w:hAnsi="Arial"/>
                <w:sz w:val="14"/>
                <w:szCs w:val="14"/>
                <w:b w:val="1"/>
                <w:bCs w:val="1"/>
                <w:color w:val="auto"/>
              </w:rPr>
              <w:t>Sempra Energy</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92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Consolidated:</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580" w:type="dxa"/>
            <w:vAlign w:val="bottom"/>
          </w:tcPr>
          <w:p>
            <w:pPr>
              <w:ind w:left="100"/>
              <w:spacing w:after="0" w:line="216" w:lineRule="exact"/>
              <w:rPr>
                <w:sz w:val="20"/>
                <w:szCs w:val="20"/>
                <w:color w:val="auto"/>
              </w:rPr>
            </w:pPr>
            <w:r>
              <w:rPr>
                <w:rFonts w:ascii="Arial" w:cs="Arial" w:eastAsia="Arial" w:hAnsi="Arial"/>
                <w:sz w:val="19"/>
                <w:szCs w:val="19"/>
                <w:color w:val="auto"/>
              </w:rPr>
              <w:t>Financial</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18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340" w:type="dxa"/>
            <w:vAlign w:val="bottom"/>
          </w:tcPr>
          <w:p>
            <w:pPr>
              <w:spacing w:after="0"/>
              <w:rPr>
                <w:sz w:val="8"/>
                <w:szCs w:val="8"/>
                <w:color w:val="auto"/>
              </w:rPr>
            </w:pPr>
          </w:p>
        </w:tc>
        <w:tc>
          <w:tcPr>
            <w:tcW w:w="1580" w:type="dxa"/>
            <w:vAlign w:val="bottom"/>
            <w:vMerge w:val="restart"/>
          </w:tcPr>
          <w:p>
            <w:pPr>
              <w:ind w:left="100"/>
              <w:spacing w:after="0"/>
              <w:rPr>
                <w:sz w:val="20"/>
                <w:szCs w:val="20"/>
                <w:color w:val="auto"/>
              </w:rPr>
            </w:pPr>
            <w:r>
              <w:rPr>
                <w:rFonts w:ascii="Arial" w:cs="Arial" w:eastAsia="Arial" w:hAnsi="Arial"/>
                <w:sz w:val="19"/>
                <w:szCs w:val="19"/>
                <w:color w:val="auto"/>
              </w:rPr>
              <w:t>instruments</w:t>
            </w:r>
          </w:p>
        </w:tc>
        <w:tc>
          <w:tcPr>
            <w:tcW w:w="3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
              <w:spacing w:after="0"/>
              <w:rPr>
                <w:sz w:val="20"/>
                <w:szCs w:val="20"/>
                <w:color w:val="auto"/>
              </w:rPr>
            </w:pPr>
            <w:r>
              <w:rPr>
                <w:rFonts w:ascii="Arial" w:cs="Arial" w:eastAsia="Arial" w:hAnsi="Arial"/>
                <w:sz w:val="14"/>
                <w:szCs w:val="14"/>
                <w:color w:val="auto"/>
              </w:rPr>
              <w:t>(7)</w:t>
            </w:r>
          </w:p>
        </w:tc>
        <w:tc>
          <w:tcPr>
            <w:tcW w:w="5180" w:type="dxa"/>
            <w:vAlign w:val="bottom"/>
            <w:vMerge w:val="continue"/>
          </w:tcPr>
          <w:p>
            <w:pPr>
              <w:spacing w:after="0"/>
              <w:rPr>
                <w:sz w:val="8"/>
                <w:szCs w:val="8"/>
                <w:color w:val="auto"/>
              </w:rPr>
            </w:pPr>
          </w:p>
        </w:tc>
        <w:tc>
          <w:tcPr>
            <w:tcW w:w="3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25"/>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8"/>
                <w:szCs w:val="8"/>
                <w:color w:val="auto"/>
              </w:rPr>
            </w:pP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620" w:type="dxa"/>
            <w:vAlign w:val="bottom"/>
            <w:gridSpan w:val="2"/>
            <w:vMerge w:val="restart"/>
          </w:tcPr>
          <w:p>
            <w:pPr>
              <w:jc w:val="right"/>
              <w:ind w:right="196"/>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6"/>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rPr>
                <w:sz w:val="20"/>
                <w:szCs w:val="20"/>
                <w:color w:val="auto"/>
              </w:rPr>
            </w:pPr>
            <w:r>
              <w:rPr>
                <w:rFonts w:ascii="Arial" w:cs="Arial" w:eastAsia="Arial" w:hAnsi="Arial"/>
                <w:sz w:val="14"/>
                <w:szCs w:val="14"/>
                <w:color w:val="auto"/>
                <w:w w:val="76"/>
              </w:rPr>
              <w:t>$</w:t>
            </w:r>
          </w:p>
        </w:tc>
        <w:tc>
          <w:tcPr>
            <w:tcW w:w="440" w:type="dxa"/>
            <w:vAlign w:val="bottom"/>
            <w:vMerge w:val="restart"/>
          </w:tcPr>
          <w:p>
            <w:pPr>
              <w:jc w:val="right"/>
              <w:ind w:right="65"/>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8"/>
        </w:trPr>
        <w:tc>
          <w:tcPr>
            <w:tcW w:w="34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51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4"/>
                <w:szCs w:val="14"/>
                <w:color w:val="auto"/>
              </w:rPr>
              <w:t>Available-for-sale</w:t>
            </w:r>
          </w:p>
        </w:tc>
        <w:tc>
          <w:tcPr>
            <w:tcW w:w="340" w:type="dxa"/>
            <w:vAlign w:val="bottom"/>
          </w:tcPr>
          <w:p>
            <w:pPr>
              <w:spacing w:after="0"/>
              <w:rPr>
                <w:sz w:val="14"/>
                <w:szCs w:val="14"/>
                <w:color w:val="auto"/>
              </w:rPr>
            </w:pPr>
          </w:p>
        </w:tc>
        <w:tc>
          <w:tcPr>
            <w:tcW w:w="380" w:type="dxa"/>
            <w:vAlign w:val="bottom"/>
            <w:vMerge w:val="restart"/>
          </w:tcPr>
          <w:p>
            <w:pPr>
              <w:jc w:val="right"/>
              <w:ind w:right="6"/>
              <w:spacing w:after="0"/>
              <w:rPr>
                <w:sz w:val="20"/>
                <w:szCs w:val="20"/>
                <w:color w:val="auto"/>
              </w:rPr>
            </w:pPr>
            <w:r>
              <w:rPr>
                <w:rFonts w:ascii="Arial" w:cs="Arial" w:eastAsia="Arial" w:hAnsi="Arial"/>
                <w:sz w:val="14"/>
                <w:szCs w:val="14"/>
                <w:color w:val="auto"/>
              </w:rPr>
              <w:t>(1)</w:t>
            </w:r>
          </w:p>
        </w:tc>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1580" w:type="dxa"/>
            <w:vAlign w:val="bottom"/>
            <w:vMerge w:val="restart"/>
          </w:tcPr>
          <w:p>
            <w:pPr>
              <w:ind w:left="100"/>
              <w:spacing w:after="0"/>
              <w:rPr>
                <w:sz w:val="20"/>
                <w:szCs w:val="20"/>
                <w:color w:val="auto"/>
              </w:rPr>
            </w:pPr>
            <w:r>
              <w:rPr>
                <w:rFonts w:ascii="Arial" w:cs="Arial" w:eastAsia="Arial" w:hAnsi="Arial"/>
                <w:sz w:val="14"/>
                <w:szCs w:val="14"/>
                <w:color w:val="auto"/>
              </w:rPr>
              <w:t>securities</w:t>
            </w:r>
          </w:p>
        </w:tc>
        <w:tc>
          <w:tcPr>
            <w:tcW w:w="3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5180" w:type="dxa"/>
            <w:vAlign w:val="bottom"/>
          </w:tcPr>
          <w:p>
            <w:pPr>
              <w:spacing w:after="0"/>
              <w:rPr>
                <w:sz w:val="7"/>
                <w:szCs w:val="7"/>
                <w:color w:val="auto"/>
              </w:rPr>
            </w:pPr>
          </w:p>
        </w:tc>
        <w:tc>
          <w:tcPr>
            <w:tcW w:w="3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7"/>
                <w:szCs w:val="7"/>
                <w:color w:val="auto"/>
              </w:rPr>
            </w:pPr>
          </w:p>
        </w:tc>
        <w:tc>
          <w:tcPr>
            <w:tcW w:w="420" w:type="dxa"/>
            <w:vAlign w:val="bottom"/>
            <w:vMerge w:val="restart"/>
          </w:tcPr>
          <w:p>
            <w:pPr>
              <w:jc w:val="right"/>
              <w:ind w:right="25"/>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vMerge w:val="restart"/>
          </w:tcPr>
          <w:p>
            <w:pPr>
              <w:jc w:val="right"/>
              <w:ind w:right="106"/>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7"/>
                <w:szCs w:val="7"/>
                <w:color w:val="auto"/>
              </w:rPr>
            </w:pPr>
          </w:p>
        </w:tc>
        <w:tc>
          <w:tcPr>
            <w:tcW w:w="440" w:type="dxa"/>
            <w:vAlign w:val="bottom"/>
            <w:vMerge w:val="restart"/>
          </w:tcPr>
          <w:p>
            <w:pPr>
              <w:jc w:val="right"/>
              <w:ind w:right="65"/>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4"/>
        </w:trPr>
        <w:tc>
          <w:tcPr>
            <w:tcW w:w="34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1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40" w:type="dxa"/>
            <w:vAlign w:val="bottom"/>
            <w:tcBorders>
              <w:bottom w:val="single" w:sz="8" w:color="C0C0C0"/>
            </w:tcBorders>
          </w:tcPr>
          <w:p>
            <w:pPr>
              <w:spacing w:after="0"/>
              <w:rPr>
                <w:sz w:val="16"/>
                <w:szCs w:val="16"/>
                <w:color w:val="auto"/>
              </w:rPr>
            </w:pPr>
          </w:p>
        </w:tc>
        <w:tc>
          <w:tcPr>
            <w:tcW w:w="1580" w:type="dxa"/>
            <w:vAlign w:val="bottom"/>
            <w:tcBorders>
              <w:bottom w:val="single" w:sz="8" w:color="C0C0C0"/>
            </w:tcBorders>
          </w:tcPr>
          <w:p>
            <w:pPr>
              <w:ind w:left="100"/>
              <w:spacing w:after="0"/>
              <w:rPr>
                <w:sz w:val="20"/>
                <w:szCs w:val="20"/>
                <w:color w:val="auto"/>
              </w:rPr>
            </w:pPr>
            <w:r>
              <w:rPr>
                <w:rFonts w:ascii="Arial" w:cs="Arial" w:eastAsia="Arial" w:hAnsi="Arial"/>
                <w:sz w:val="14"/>
                <w:szCs w:val="14"/>
                <w:color w:val="auto"/>
              </w:rPr>
              <w:t>Net actuarial gain</w:t>
            </w:r>
          </w:p>
        </w:tc>
        <w:tc>
          <w:tcPr>
            <w:tcW w:w="340" w:type="dxa"/>
            <w:vAlign w:val="bottom"/>
            <w:tcBorders>
              <w:bottom w:val="single" w:sz="8" w:color="C0C0C0"/>
            </w:tcBorders>
          </w:tcPr>
          <w:p>
            <w:pPr>
              <w:spacing w:after="0"/>
              <w:rPr>
                <w:sz w:val="16"/>
                <w:szCs w:val="16"/>
                <w:color w:val="auto"/>
              </w:rPr>
            </w:pPr>
          </w:p>
        </w:tc>
        <w:tc>
          <w:tcPr>
            <w:tcW w:w="380" w:type="dxa"/>
            <w:vAlign w:val="bottom"/>
            <w:tcBorders>
              <w:bottom w:val="single" w:sz="8" w:color="C0C0C0"/>
            </w:tcBorders>
          </w:tcPr>
          <w:p>
            <w:pPr>
              <w:jc w:val="right"/>
              <w:ind w:right="46"/>
              <w:spacing w:after="0"/>
              <w:rPr>
                <w:sz w:val="20"/>
                <w:szCs w:val="20"/>
                <w:color w:val="auto"/>
              </w:rPr>
            </w:pPr>
            <w:r>
              <w:rPr>
                <w:rFonts w:ascii="Arial" w:cs="Arial" w:eastAsia="Arial" w:hAnsi="Arial"/>
                <w:sz w:val="14"/>
                <w:szCs w:val="14"/>
                <w:color w:val="auto"/>
              </w:rPr>
              <w:t>3</w:t>
            </w:r>
          </w:p>
        </w:tc>
        <w:tc>
          <w:tcPr>
            <w:tcW w:w="5180" w:type="dxa"/>
            <w:vAlign w:val="bottom"/>
            <w:tcBorders>
              <w:bottom w:val="single" w:sz="8" w:color="C0C0C0"/>
            </w:tcBorders>
          </w:tcPr>
          <w:p>
            <w:pPr>
              <w:spacing w:after="0"/>
              <w:rPr>
                <w:sz w:val="16"/>
                <w:szCs w:val="16"/>
                <w:color w:val="auto"/>
              </w:rPr>
            </w:pPr>
          </w:p>
        </w:tc>
        <w:tc>
          <w:tcPr>
            <w:tcW w:w="340" w:type="dxa"/>
            <w:vAlign w:val="bottom"/>
            <w:tcBorders>
              <w:bottom w:val="single" w:sz="8" w:color="C0C0C0"/>
            </w:tcBorders>
          </w:tcPr>
          <w:p>
            <w:pPr>
              <w:ind w:lef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tcBorders>
          </w:tcPr>
          <w:p>
            <w:pPr>
              <w:spacing w:after="0"/>
              <w:rPr>
                <w:sz w:val="16"/>
                <w:szCs w:val="16"/>
                <w:color w:val="auto"/>
              </w:rPr>
            </w:pPr>
          </w:p>
        </w:tc>
        <w:tc>
          <w:tcPr>
            <w:tcW w:w="420" w:type="dxa"/>
            <w:vAlign w:val="bottom"/>
            <w:tcBorders>
              <w:bottom w:val="single" w:sz="8" w:color="C0C0C0"/>
            </w:tcBorders>
          </w:tcPr>
          <w:p>
            <w:pPr>
              <w:jc w:val="right"/>
              <w:ind w:right="65"/>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C0C0C0"/>
            </w:tcBorders>
          </w:tcPr>
          <w:p>
            <w:pPr>
              <w:spacing w:after="0"/>
              <w:rPr>
                <w:sz w:val="16"/>
                <w:szCs w:val="16"/>
                <w:color w:val="auto"/>
              </w:rPr>
            </w:pPr>
          </w:p>
        </w:tc>
        <w:tc>
          <w:tcPr>
            <w:tcW w:w="300" w:type="dxa"/>
            <w:vAlign w:val="bottom"/>
            <w:tcBorders>
              <w:bottom w:val="single" w:sz="8" w:color="C0C0C0"/>
            </w:tcBorders>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540" w:type="dxa"/>
            <w:vAlign w:val="bottom"/>
            <w:tcBorders>
              <w:bottom w:val="single" w:sz="8" w:color="C0C0C0"/>
            </w:tcBorders>
          </w:tcPr>
          <w:p>
            <w:pPr>
              <w:spacing w:after="0"/>
              <w:rPr>
                <w:sz w:val="16"/>
                <w:szCs w:val="16"/>
                <w:color w:val="auto"/>
              </w:rPr>
            </w:pPr>
          </w:p>
        </w:tc>
        <w:tc>
          <w:tcPr>
            <w:tcW w:w="280" w:type="dxa"/>
            <w:vAlign w:val="bottom"/>
            <w:tcBorders>
              <w:bottom w:val="single" w:sz="8" w:color="C0C0C0"/>
            </w:tcBorders>
          </w:tcPr>
          <w:p>
            <w:pPr>
              <w:jc w:val="right"/>
              <w:ind w:right="106"/>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tcPr>
          <w:p>
            <w:pPr>
              <w:spacing w:after="0"/>
              <w:rPr>
                <w:sz w:val="16"/>
                <w:szCs w:val="16"/>
                <w:color w:val="auto"/>
              </w:rPr>
            </w:pPr>
          </w:p>
        </w:tc>
        <w:tc>
          <w:tcPr>
            <w:tcW w:w="440" w:type="dxa"/>
            <w:vAlign w:val="bottom"/>
            <w:tcBorders>
              <w:bottom w:val="single" w:sz="8" w:color="C0C0C0"/>
            </w:tcBorders>
          </w:tcPr>
          <w:p>
            <w:pPr>
              <w:jc w:val="right"/>
              <w:ind w:right="65"/>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1920" w:type="dxa"/>
            <w:vAlign w:val="bottom"/>
            <w:gridSpan w:val="2"/>
          </w:tcPr>
          <w:p>
            <w:pPr>
              <w:ind w:left="80"/>
              <w:spacing w:after="0"/>
              <w:rPr>
                <w:sz w:val="20"/>
                <w:szCs w:val="20"/>
                <w:color w:val="auto"/>
              </w:rPr>
            </w:pPr>
            <w:r>
              <w:rPr>
                <w:rFonts w:ascii="Arial" w:cs="Arial" w:eastAsia="Arial" w:hAnsi="Arial"/>
                <w:sz w:val="14"/>
                <w:szCs w:val="14"/>
                <w:b w:val="1"/>
                <w:bCs w:val="1"/>
                <w:color w:val="auto"/>
              </w:rPr>
              <w:t>SDG&amp;E:</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0" w:type="dxa"/>
            <w:vAlign w:val="bottom"/>
            <w:tcBorders>
              <w:bottom w:val="single" w:sz="8" w:color="C0C0C0"/>
            </w:tcBorders>
          </w:tcPr>
          <w:p>
            <w:pPr>
              <w:spacing w:after="0"/>
              <w:rPr>
                <w:sz w:val="18"/>
                <w:szCs w:val="18"/>
                <w:color w:val="auto"/>
              </w:rPr>
            </w:pPr>
          </w:p>
        </w:tc>
        <w:tc>
          <w:tcPr>
            <w:tcW w:w="1580" w:type="dxa"/>
            <w:vAlign w:val="bottom"/>
            <w:tcBorders>
              <w:bottom w:val="single" w:sz="8" w:color="C0C0C0"/>
            </w:tcBorders>
          </w:tcPr>
          <w:p>
            <w:pPr>
              <w:ind w:left="100"/>
              <w:spacing w:after="0"/>
              <w:rPr>
                <w:sz w:val="20"/>
                <w:szCs w:val="20"/>
                <w:color w:val="auto"/>
              </w:rPr>
            </w:pPr>
            <w:r>
              <w:rPr>
                <w:rFonts w:ascii="Arial" w:cs="Arial" w:eastAsia="Arial" w:hAnsi="Arial"/>
                <w:sz w:val="14"/>
                <w:szCs w:val="14"/>
                <w:color w:val="auto"/>
              </w:rPr>
              <w:t>Financial instruments</w:t>
            </w:r>
          </w:p>
        </w:tc>
        <w:tc>
          <w:tcPr>
            <w:tcW w:w="340" w:type="dxa"/>
            <w:vAlign w:val="bottom"/>
            <w:tcBorders>
              <w:bottom w:val="single" w:sz="8" w:color="C0C0C0"/>
            </w:tcBorders>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tcPr>
          <w:p>
            <w:pPr>
              <w:jc w:val="right"/>
              <w:ind w:right="46"/>
              <w:spacing w:after="0"/>
              <w:rPr>
                <w:sz w:val="20"/>
                <w:szCs w:val="20"/>
                <w:color w:val="auto"/>
              </w:rPr>
            </w:pPr>
            <w:r>
              <w:rPr>
                <w:rFonts w:ascii="Arial" w:cs="Arial" w:eastAsia="Arial" w:hAnsi="Arial"/>
                <w:sz w:val="14"/>
                <w:szCs w:val="14"/>
                <w:color w:val="auto"/>
              </w:rPr>
              <w:t>-</w:t>
            </w:r>
          </w:p>
        </w:tc>
        <w:tc>
          <w:tcPr>
            <w:tcW w:w="5180" w:type="dxa"/>
            <w:vAlign w:val="bottom"/>
            <w:tcBorders>
              <w:bottom w:val="single" w:sz="8" w:color="C0C0C0"/>
            </w:tcBorders>
          </w:tcPr>
          <w:p>
            <w:pPr>
              <w:ind w:lef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tcBorders>
          </w:tcPr>
          <w:p>
            <w:pPr>
              <w:ind w:lef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tcBorders>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0C0C0"/>
            </w:tcBorders>
          </w:tcPr>
          <w:p>
            <w:pPr>
              <w:jc w:val="right"/>
              <w:ind w:right="65"/>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tcPr>
          <w:p>
            <w:pPr>
              <w:spacing w:after="0"/>
              <w:rPr>
                <w:sz w:val="18"/>
                <w:szCs w:val="18"/>
                <w:color w:val="auto"/>
              </w:rPr>
            </w:pPr>
          </w:p>
        </w:tc>
        <w:tc>
          <w:tcPr>
            <w:tcW w:w="300" w:type="dxa"/>
            <w:vAlign w:val="bottom"/>
            <w:tcBorders>
              <w:bottom w:val="single" w:sz="8" w:color="C0C0C0"/>
            </w:tcBorders>
          </w:tcPr>
          <w:p>
            <w:pPr>
              <w:ind w:left="1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1</w:t>
            </w:r>
          </w:p>
        </w:tc>
        <w:tc>
          <w:tcPr>
            <w:tcW w:w="620" w:type="dxa"/>
            <w:vAlign w:val="bottom"/>
            <w:tcBorders>
              <w:bottom w:val="single" w:sz="8" w:color="C0C0C0"/>
            </w:tcBorders>
            <w:gridSpan w:val="2"/>
          </w:tcPr>
          <w:p>
            <w:pPr>
              <w:jc w:val="right"/>
              <w:ind w:right="196"/>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tcPr>
          <w:p>
            <w:pPr>
              <w:jc w:val="right"/>
              <w:ind w:right="106"/>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0C0C0"/>
            </w:tcBorders>
          </w:tcPr>
          <w:p>
            <w:pPr>
              <w:jc w:val="right"/>
              <w:ind w:right="65"/>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0"/>
        </w:trPr>
        <w:tc>
          <w:tcPr>
            <w:tcW w:w="1920" w:type="dxa"/>
            <w:vAlign w:val="bottom"/>
            <w:gridSpan w:val="2"/>
          </w:tcPr>
          <w:p>
            <w:pPr>
              <w:ind w:left="80"/>
              <w:spacing w:after="0"/>
              <w:rPr>
                <w:sz w:val="20"/>
                <w:szCs w:val="20"/>
                <w:color w:val="auto"/>
              </w:rPr>
            </w:pPr>
            <w:r>
              <w:rPr>
                <w:rFonts w:ascii="Arial" w:cs="Arial" w:eastAsia="Arial" w:hAnsi="Arial"/>
                <w:sz w:val="14"/>
                <w:szCs w:val="14"/>
                <w:b w:val="1"/>
                <w:bCs w:val="1"/>
                <w:color w:val="auto"/>
              </w:rPr>
              <w:t>PE:</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0" w:type="dxa"/>
            <w:vAlign w:val="bottom"/>
            <w:tcBorders>
              <w:bottom w:val="single" w:sz="8" w:color="C0C0C0"/>
            </w:tcBorders>
          </w:tcPr>
          <w:p>
            <w:pPr>
              <w:spacing w:after="0"/>
              <w:rPr>
                <w:sz w:val="16"/>
                <w:szCs w:val="16"/>
                <w:color w:val="auto"/>
              </w:rPr>
            </w:pPr>
          </w:p>
        </w:tc>
        <w:tc>
          <w:tcPr>
            <w:tcW w:w="1580" w:type="dxa"/>
            <w:vAlign w:val="bottom"/>
            <w:tcBorders>
              <w:bottom w:val="single" w:sz="8" w:color="C0C0C0"/>
            </w:tcBorders>
          </w:tcPr>
          <w:p>
            <w:pPr>
              <w:ind w:left="100"/>
              <w:spacing w:after="0"/>
              <w:rPr>
                <w:sz w:val="20"/>
                <w:szCs w:val="20"/>
                <w:color w:val="auto"/>
              </w:rPr>
            </w:pPr>
            <w:r>
              <w:rPr>
                <w:rFonts w:ascii="Arial" w:cs="Arial" w:eastAsia="Arial" w:hAnsi="Arial"/>
                <w:sz w:val="14"/>
                <w:szCs w:val="14"/>
                <w:color w:val="auto"/>
              </w:rPr>
              <w:t>Financial instruments</w:t>
            </w:r>
          </w:p>
        </w:tc>
        <w:tc>
          <w:tcPr>
            <w:tcW w:w="340" w:type="dxa"/>
            <w:vAlign w:val="bottom"/>
            <w:tcBorders>
              <w:bottom w:val="single" w:sz="8" w:color="C0C0C0"/>
            </w:tcBorders>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tcPr>
          <w:p>
            <w:pPr>
              <w:jc w:val="right"/>
              <w:ind w:right="46"/>
              <w:spacing w:after="0"/>
              <w:rPr>
                <w:sz w:val="20"/>
                <w:szCs w:val="20"/>
                <w:color w:val="auto"/>
              </w:rPr>
            </w:pPr>
            <w:r>
              <w:rPr>
                <w:rFonts w:ascii="Arial" w:cs="Arial" w:eastAsia="Arial" w:hAnsi="Arial"/>
                <w:sz w:val="14"/>
                <w:szCs w:val="14"/>
                <w:color w:val="auto"/>
              </w:rPr>
              <w:t>2</w:t>
            </w:r>
          </w:p>
        </w:tc>
        <w:tc>
          <w:tcPr>
            <w:tcW w:w="5180" w:type="dxa"/>
            <w:vAlign w:val="bottom"/>
            <w:tcBorders>
              <w:bottom w:val="single" w:sz="8" w:color="C0C0C0"/>
            </w:tcBorders>
          </w:tcPr>
          <w:p>
            <w:pPr>
              <w:ind w:lef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tcBorders>
          </w:tcPr>
          <w:p>
            <w:pPr>
              <w:ind w:lef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tcBorders>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0C0C0"/>
            </w:tcBorders>
          </w:tcPr>
          <w:p>
            <w:pPr>
              <w:jc w:val="right"/>
              <w:ind w:right="65"/>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0C0C0"/>
            </w:tcBorders>
          </w:tcPr>
          <w:p>
            <w:pPr>
              <w:spacing w:after="0"/>
              <w:rPr>
                <w:sz w:val="16"/>
                <w:szCs w:val="16"/>
                <w:color w:val="auto"/>
              </w:rPr>
            </w:pPr>
          </w:p>
        </w:tc>
        <w:tc>
          <w:tcPr>
            <w:tcW w:w="300" w:type="dxa"/>
            <w:vAlign w:val="bottom"/>
            <w:tcBorders>
              <w:bottom w:val="single" w:sz="8" w:color="C0C0C0"/>
            </w:tcBorders>
          </w:tcPr>
          <w:p>
            <w:pPr>
              <w:ind w:left="1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1</w:t>
            </w:r>
          </w:p>
        </w:tc>
        <w:tc>
          <w:tcPr>
            <w:tcW w:w="620" w:type="dxa"/>
            <w:vAlign w:val="bottom"/>
            <w:tcBorders>
              <w:bottom w:val="single" w:sz="8" w:color="C0C0C0"/>
            </w:tcBorders>
            <w:gridSpan w:val="2"/>
          </w:tcPr>
          <w:p>
            <w:pPr>
              <w:jc w:val="right"/>
              <w:ind w:right="196"/>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tcPr>
          <w:p>
            <w:pPr>
              <w:jc w:val="right"/>
              <w:ind w:right="106"/>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0C0C0"/>
            </w:tcBorders>
          </w:tcPr>
          <w:p>
            <w:pPr>
              <w:jc w:val="right"/>
              <w:ind w:right="65"/>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0"/>
        </w:trPr>
        <w:tc>
          <w:tcPr>
            <w:tcW w:w="1920" w:type="dxa"/>
            <w:vAlign w:val="bottom"/>
            <w:gridSpan w:val="2"/>
          </w:tcPr>
          <w:p>
            <w:pPr>
              <w:ind w:left="80"/>
              <w:spacing w:after="0"/>
              <w:rPr>
                <w:sz w:val="20"/>
                <w:szCs w:val="20"/>
                <w:color w:val="auto"/>
              </w:rPr>
            </w:pPr>
            <w:r>
              <w:rPr>
                <w:rFonts w:ascii="Arial" w:cs="Arial" w:eastAsia="Arial" w:hAnsi="Arial"/>
                <w:sz w:val="14"/>
                <w:szCs w:val="14"/>
                <w:b w:val="1"/>
                <w:bCs w:val="1"/>
                <w:color w:val="auto"/>
              </w:rPr>
              <w:t>SoCalGas:</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40" w:type="dxa"/>
            <w:vAlign w:val="bottom"/>
            <w:tcBorders>
              <w:bottom w:val="single" w:sz="8" w:color="C0C0C0"/>
            </w:tcBorders>
          </w:tcPr>
          <w:p>
            <w:pPr>
              <w:spacing w:after="0"/>
              <w:rPr>
                <w:sz w:val="24"/>
                <w:szCs w:val="24"/>
                <w:color w:val="auto"/>
              </w:rPr>
            </w:pPr>
          </w:p>
        </w:tc>
        <w:tc>
          <w:tcPr>
            <w:tcW w:w="1580" w:type="dxa"/>
            <w:vAlign w:val="bottom"/>
            <w:tcBorders>
              <w:bottom w:val="single" w:sz="8" w:color="C0C0C0"/>
            </w:tcBorders>
          </w:tcPr>
          <w:p>
            <w:pPr>
              <w:ind w:left="100"/>
              <w:spacing w:after="0"/>
              <w:rPr>
                <w:sz w:val="20"/>
                <w:szCs w:val="20"/>
                <w:color w:val="auto"/>
              </w:rPr>
            </w:pPr>
            <w:r>
              <w:rPr>
                <w:rFonts w:ascii="Arial" w:cs="Arial" w:eastAsia="Arial" w:hAnsi="Arial"/>
                <w:sz w:val="14"/>
                <w:szCs w:val="14"/>
                <w:color w:val="auto"/>
              </w:rPr>
              <w:t>Financial instruments</w:t>
            </w:r>
          </w:p>
        </w:tc>
        <w:tc>
          <w:tcPr>
            <w:tcW w:w="340" w:type="dxa"/>
            <w:vAlign w:val="bottom"/>
            <w:tcBorders>
              <w:bottom w:val="single" w:sz="8" w:color="C0C0C0"/>
            </w:tcBorders>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tcPr>
          <w:p>
            <w:pPr>
              <w:jc w:val="right"/>
              <w:ind w:right="46"/>
              <w:spacing w:after="0"/>
              <w:rPr>
                <w:sz w:val="20"/>
                <w:szCs w:val="20"/>
                <w:color w:val="auto"/>
              </w:rPr>
            </w:pPr>
            <w:r>
              <w:rPr>
                <w:rFonts w:ascii="Arial" w:cs="Arial" w:eastAsia="Arial" w:hAnsi="Arial"/>
                <w:sz w:val="14"/>
                <w:szCs w:val="14"/>
                <w:color w:val="auto"/>
              </w:rPr>
              <w:t>2</w:t>
            </w:r>
          </w:p>
        </w:tc>
        <w:tc>
          <w:tcPr>
            <w:tcW w:w="5180" w:type="dxa"/>
            <w:vAlign w:val="bottom"/>
            <w:tcBorders>
              <w:bottom w:val="single" w:sz="8" w:color="C0C0C0"/>
            </w:tcBorders>
          </w:tcPr>
          <w:p>
            <w:pPr>
              <w:ind w:lef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tcBorders>
          </w:tcPr>
          <w:p>
            <w:pPr>
              <w:ind w:lef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tcBorders>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0C0C0"/>
            </w:tcBorders>
          </w:tcPr>
          <w:p>
            <w:pPr>
              <w:jc w:val="right"/>
              <w:ind w:right="65"/>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0C0C0"/>
            </w:tcBorders>
          </w:tcPr>
          <w:p>
            <w:pPr>
              <w:spacing w:after="0"/>
              <w:rPr>
                <w:sz w:val="24"/>
                <w:szCs w:val="24"/>
                <w:color w:val="auto"/>
              </w:rPr>
            </w:pPr>
          </w:p>
        </w:tc>
        <w:tc>
          <w:tcPr>
            <w:tcW w:w="300" w:type="dxa"/>
            <w:vAlign w:val="bottom"/>
            <w:tcBorders>
              <w:bottom w:val="single" w:sz="8" w:color="C0C0C0"/>
            </w:tcBorders>
          </w:tcPr>
          <w:p>
            <w:pPr>
              <w:ind w:left="1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1</w:t>
            </w:r>
          </w:p>
        </w:tc>
        <w:tc>
          <w:tcPr>
            <w:tcW w:w="620" w:type="dxa"/>
            <w:vAlign w:val="bottom"/>
            <w:tcBorders>
              <w:bottom w:val="single" w:sz="8" w:color="C0C0C0"/>
            </w:tcBorders>
            <w:gridSpan w:val="2"/>
          </w:tcPr>
          <w:p>
            <w:pPr>
              <w:jc w:val="right"/>
              <w:ind w:right="196"/>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tcPr>
          <w:p>
            <w:pPr>
              <w:jc w:val="right"/>
              <w:ind w:right="106"/>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0C0C0"/>
            </w:tcBorders>
          </w:tcPr>
          <w:p>
            <w:pPr>
              <w:jc w:val="right"/>
              <w:ind w:right="65"/>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40" w:hanging="352"/>
        <w:spacing w:after="0"/>
        <w:tabs>
          <w:tab w:leader="none" w:pos="440"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Shareholders' equity of Sempra Energy Consolidated, SDG&amp;E, PE or SoCalGas as indicated in left margin.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EQUITY AND NONCONTROLLING INTERESTS</w:t>
      </w:r>
    </w:p>
    <w:p>
      <w:pPr>
        <w:spacing w:after="0" w:line="98" w:lineRule="exact"/>
        <w:rPr>
          <w:sz w:val="20"/>
          <w:szCs w:val="20"/>
          <w:color w:val="auto"/>
        </w:rPr>
      </w:pPr>
    </w:p>
    <w:p>
      <w:pPr>
        <w:ind w:right="260"/>
        <w:spacing w:after="0" w:line="342" w:lineRule="auto"/>
        <w:rPr>
          <w:sz w:val="20"/>
          <w:szCs w:val="20"/>
          <w:color w:val="auto"/>
        </w:rPr>
      </w:pPr>
      <w:r>
        <w:rPr>
          <w:rFonts w:ascii="Arial" w:cs="Arial" w:eastAsia="Arial" w:hAnsi="Arial"/>
          <w:sz w:val="14"/>
          <w:szCs w:val="14"/>
          <w:color w:val="auto"/>
        </w:rPr>
        <w:t>The following two tables provide a reconciliation of Sempra Energy and SDG&amp;E shareholders’ equity and noncontrolling interests for the nine months ended S eptember 30, 2010 and 2009. There were no changes in the equity of PE's noncontrolling interests for the three months or nine months ended September 30, 2010 or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4389120" cy="289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89120" cy="289560"/>
                    </a:xfrm>
                    <a:prstGeom prst="rect">
                      <a:avLst/>
                    </a:prstGeom>
                    <a:noFill/>
                  </pic:spPr>
                </pic:pic>
              </a:graphicData>
            </a:graphic>
          </wp:anchor>
        </w:drawing>
      </w:r>
    </w:p>
    <w:p>
      <w:pPr>
        <w:spacing w:after="0" w:line="27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SHAREHOLDERS' EQUITY AND NONCONTROLLING INTERESTS</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9"/>
          <w:szCs w:val="19"/>
          <w:i w:val="1"/>
          <w:iCs w:val="1"/>
          <w:color w:val="auto"/>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Sempra</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8"/>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89"/>
              <w:spacing w:after="0"/>
              <w:rPr>
                <w:sz w:val="20"/>
                <w:szCs w:val="20"/>
                <w:color w:val="auto"/>
              </w:rPr>
            </w:pPr>
            <w:r>
              <w:rPr>
                <w:rFonts w:ascii="Arial" w:cs="Arial" w:eastAsia="Arial" w:hAnsi="Arial"/>
                <w:sz w:val="13"/>
                <w:szCs w:val="13"/>
                <w:color w:val="auto"/>
              </w:rPr>
              <w:t>Energy</w:t>
            </w:r>
          </w:p>
        </w:tc>
        <w:tc>
          <w:tcPr>
            <w:tcW w:w="24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Arial" w:cs="Arial" w:eastAsia="Arial" w:hAnsi="Arial"/>
                <w:sz w:val="13"/>
                <w:szCs w:val="13"/>
                <w:color w:val="auto"/>
              </w:rPr>
              <w:t>Non-</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7"/>
              </w:rPr>
              <w:t>Shareholders'</w:t>
            </w:r>
          </w:p>
        </w:tc>
        <w:tc>
          <w:tcPr>
            <w:tcW w:w="24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3"/>
                <w:szCs w:val="13"/>
                <w:color w:val="auto"/>
              </w:rPr>
              <w:t>controlling</w:t>
            </w: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89"/>
              </w:rPr>
              <w:t>Total</w:t>
            </w:r>
          </w:p>
        </w:tc>
      </w:tr>
      <w:tr>
        <w:trPr>
          <w:trHeight w:val="154"/>
        </w:trPr>
        <w:tc>
          <w:tcPr>
            <w:tcW w:w="3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Equity</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Interests</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Equity</w:t>
            </w:r>
          </w:p>
        </w:tc>
      </w:tr>
      <w:tr>
        <w:trPr>
          <w:trHeight w:val="178"/>
        </w:trPr>
        <w:tc>
          <w:tcPr>
            <w:tcW w:w="3300" w:type="dxa"/>
            <w:vAlign w:val="bottom"/>
          </w:tcPr>
          <w:p>
            <w:pPr>
              <w:ind w:left="80"/>
              <w:spacing w:after="0"/>
              <w:rPr>
                <w:sz w:val="20"/>
                <w:szCs w:val="20"/>
                <w:color w:val="auto"/>
              </w:rPr>
            </w:pPr>
            <w:r>
              <w:rPr>
                <w:rFonts w:ascii="Arial" w:cs="Arial" w:eastAsia="Arial" w:hAnsi="Arial"/>
                <w:sz w:val="14"/>
                <w:szCs w:val="14"/>
                <w:color w:val="auto"/>
              </w:rPr>
              <w:t>Balance at December 31, 2009</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9,007</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244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9,251</w:t>
            </w:r>
          </w:p>
        </w:tc>
      </w:tr>
      <w:tr>
        <w:trPr>
          <w:trHeight w:val="192"/>
        </w:trPr>
        <w:tc>
          <w:tcPr>
            <w:tcW w:w="3300" w:type="dxa"/>
            <w:vAlign w:val="bottom"/>
          </w:tcPr>
          <w:p>
            <w:pPr>
              <w:ind w:left="80"/>
              <w:spacing w:after="0"/>
              <w:rPr>
                <w:sz w:val="20"/>
                <w:szCs w:val="20"/>
                <w:color w:val="auto"/>
              </w:rPr>
            </w:pPr>
            <w:r>
              <w:rPr>
                <w:rFonts w:ascii="Arial" w:cs="Arial" w:eastAsia="Arial" w:hAnsi="Arial"/>
                <w:sz w:val="14"/>
                <w:szCs w:val="14"/>
                <w:color w:val="auto"/>
              </w:rPr>
              <w:t>Comprehensive income (loss)</w:t>
            </w:r>
          </w:p>
        </w:tc>
        <w:tc>
          <w:tcPr>
            <w:tcW w:w="26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491</w:t>
            </w:r>
          </w:p>
        </w:tc>
        <w:tc>
          <w:tcPr>
            <w:tcW w:w="2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(29)</w:t>
            </w:r>
          </w:p>
        </w:tc>
        <w:tc>
          <w:tcPr>
            <w:tcW w:w="2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462</w:t>
            </w:r>
          </w:p>
        </w:tc>
      </w:tr>
      <w:tr>
        <w:trPr>
          <w:trHeight w:val="204"/>
        </w:trPr>
        <w:tc>
          <w:tcPr>
            <w:tcW w:w="3300" w:type="dxa"/>
            <w:vAlign w:val="bottom"/>
          </w:tcPr>
          <w:p>
            <w:pPr>
              <w:ind w:left="80"/>
              <w:spacing w:after="0"/>
              <w:rPr>
                <w:sz w:val="20"/>
                <w:szCs w:val="20"/>
                <w:color w:val="auto"/>
              </w:rPr>
            </w:pPr>
            <w:r>
              <w:rPr>
                <w:rFonts w:ascii="Arial" w:cs="Arial" w:eastAsia="Arial" w:hAnsi="Arial"/>
                <w:sz w:val="14"/>
                <w:szCs w:val="14"/>
                <w:color w:val="auto"/>
              </w:rPr>
              <w:t>Share-based compensation expense</w:t>
            </w:r>
          </w:p>
        </w:tc>
        <w:tc>
          <w:tcPr>
            <w:tcW w:w="260" w:type="dxa"/>
            <w:vAlign w:val="bottom"/>
          </w:tcPr>
          <w:p>
            <w:pPr>
              <w:spacing w:after="0"/>
              <w:rPr>
                <w:sz w:val="17"/>
                <w:szCs w:val="17"/>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31</w:t>
            </w:r>
          </w:p>
        </w:tc>
        <w:tc>
          <w:tcPr>
            <w:tcW w:w="24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31</w:t>
            </w:r>
          </w:p>
        </w:tc>
      </w:tr>
      <w:tr>
        <w:trPr>
          <w:trHeight w:val="204"/>
        </w:trPr>
        <w:tc>
          <w:tcPr>
            <w:tcW w:w="3300" w:type="dxa"/>
            <w:vAlign w:val="bottom"/>
          </w:tcPr>
          <w:p>
            <w:pPr>
              <w:ind w:left="80"/>
              <w:spacing w:after="0"/>
              <w:rPr>
                <w:sz w:val="20"/>
                <w:szCs w:val="20"/>
                <w:color w:val="auto"/>
              </w:rPr>
            </w:pPr>
            <w:r>
              <w:rPr>
                <w:rFonts w:ascii="Arial" w:cs="Arial" w:eastAsia="Arial" w:hAnsi="Arial"/>
                <w:sz w:val="14"/>
                <w:szCs w:val="14"/>
                <w:color w:val="auto"/>
              </w:rPr>
              <w:t>Common stock dividends decl ared</w:t>
            </w:r>
          </w:p>
        </w:tc>
        <w:tc>
          <w:tcPr>
            <w:tcW w:w="26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(287)</w:t>
            </w:r>
          </w:p>
        </w:tc>
        <w:tc>
          <w:tcPr>
            <w:tcW w:w="24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(287)</w:t>
            </w:r>
          </w:p>
        </w:tc>
      </w:tr>
      <w:tr>
        <w:trPr>
          <w:trHeight w:val="204"/>
        </w:trPr>
        <w:tc>
          <w:tcPr>
            <w:tcW w:w="3300" w:type="dxa"/>
            <w:vAlign w:val="bottom"/>
          </w:tcPr>
          <w:p>
            <w:pPr>
              <w:ind w:left="80"/>
              <w:spacing w:after="0"/>
              <w:rPr>
                <w:sz w:val="20"/>
                <w:szCs w:val="20"/>
                <w:color w:val="auto"/>
              </w:rPr>
            </w:pPr>
            <w:r>
              <w:rPr>
                <w:rFonts w:ascii="Arial" w:cs="Arial" w:eastAsia="Arial" w:hAnsi="Arial"/>
                <w:sz w:val="14"/>
                <w:szCs w:val="14"/>
                <w:color w:val="auto"/>
              </w:rPr>
              <w:t>Preferred dividends of subsidiaries</w:t>
            </w:r>
          </w:p>
        </w:tc>
        <w:tc>
          <w:tcPr>
            <w:tcW w:w="26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(7)</w:t>
            </w:r>
          </w:p>
        </w:tc>
      </w:tr>
      <w:tr>
        <w:trPr>
          <w:trHeight w:val="204"/>
        </w:trPr>
        <w:tc>
          <w:tcPr>
            <w:tcW w:w="3300" w:type="dxa"/>
            <w:vAlign w:val="bottom"/>
          </w:tcPr>
          <w:p>
            <w:pPr>
              <w:ind w:left="80"/>
              <w:spacing w:after="0"/>
              <w:rPr>
                <w:sz w:val="20"/>
                <w:szCs w:val="20"/>
                <w:color w:val="auto"/>
              </w:rPr>
            </w:pPr>
            <w:r>
              <w:rPr>
                <w:rFonts w:ascii="Arial" w:cs="Arial" w:eastAsia="Arial" w:hAnsi="Arial"/>
                <w:sz w:val="14"/>
                <w:szCs w:val="14"/>
                <w:color w:val="auto"/>
              </w:rPr>
              <w:t>Issuance of common stock</w:t>
            </w:r>
          </w:p>
        </w:tc>
        <w:tc>
          <w:tcPr>
            <w:tcW w:w="260" w:type="dxa"/>
            <w:vAlign w:val="bottom"/>
          </w:tcPr>
          <w:p>
            <w:pPr>
              <w:spacing w:after="0"/>
              <w:rPr>
                <w:sz w:val="17"/>
                <w:szCs w:val="17"/>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53</w:t>
            </w:r>
          </w:p>
        </w:tc>
      </w:tr>
      <w:tr>
        <w:trPr>
          <w:trHeight w:val="204"/>
        </w:trPr>
        <w:tc>
          <w:tcPr>
            <w:tcW w:w="3300" w:type="dxa"/>
            <w:vAlign w:val="bottom"/>
          </w:tcPr>
          <w:p>
            <w:pPr>
              <w:ind w:left="80"/>
              <w:spacing w:after="0"/>
              <w:rPr>
                <w:sz w:val="20"/>
                <w:szCs w:val="20"/>
                <w:color w:val="auto"/>
              </w:rPr>
            </w:pPr>
            <w:r>
              <w:rPr>
                <w:rFonts w:ascii="Arial" w:cs="Arial" w:eastAsia="Arial" w:hAnsi="Arial"/>
                <w:sz w:val="14"/>
                <w:szCs w:val="14"/>
                <w:color w:val="auto"/>
              </w:rPr>
              <w:t>Tax benefit related to share-based compensation</w:t>
            </w:r>
          </w:p>
        </w:tc>
        <w:tc>
          <w:tcPr>
            <w:tcW w:w="260" w:type="dxa"/>
            <w:vAlign w:val="bottom"/>
          </w:tcPr>
          <w:p>
            <w:pPr>
              <w:spacing w:after="0"/>
              <w:rPr>
                <w:sz w:val="17"/>
                <w:szCs w:val="17"/>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3</w:t>
            </w:r>
          </w:p>
        </w:tc>
      </w:tr>
      <w:tr>
        <w:trPr>
          <w:trHeight w:val="204"/>
        </w:trPr>
        <w:tc>
          <w:tcPr>
            <w:tcW w:w="3300" w:type="dxa"/>
            <w:vAlign w:val="bottom"/>
          </w:tcPr>
          <w:p>
            <w:pPr>
              <w:ind w:left="80"/>
              <w:spacing w:after="0"/>
              <w:rPr>
                <w:sz w:val="20"/>
                <w:szCs w:val="20"/>
                <w:color w:val="auto"/>
              </w:rPr>
            </w:pPr>
            <w:r>
              <w:rPr>
                <w:rFonts w:ascii="Arial" w:cs="Arial" w:eastAsia="Arial" w:hAnsi="Arial"/>
                <w:sz w:val="14"/>
                <w:szCs w:val="14"/>
                <w:color w:val="auto"/>
              </w:rPr>
              <w:t>Repurchase of common stock</w:t>
            </w:r>
          </w:p>
        </w:tc>
        <w:tc>
          <w:tcPr>
            <w:tcW w:w="26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(502)</w:t>
            </w:r>
          </w:p>
        </w:tc>
        <w:tc>
          <w:tcPr>
            <w:tcW w:w="24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(502)</w:t>
            </w:r>
          </w:p>
        </w:tc>
      </w:tr>
      <w:tr>
        <w:trPr>
          <w:trHeight w:val="204"/>
        </w:trPr>
        <w:tc>
          <w:tcPr>
            <w:tcW w:w="3300" w:type="dxa"/>
            <w:vAlign w:val="bottom"/>
          </w:tcPr>
          <w:p>
            <w:pPr>
              <w:ind w:left="80"/>
              <w:spacing w:after="0"/>
              <w:rPr>
                <w:sz w:val="20"/>
                <w:szCs w:val="20"/>
                <w:color w:val="auto"/>
              </w:rPr>
            </w:pPr>
            <w:r>
              <w:rPr>
                <w:rFonts w:ascii="Arial" w:cs="Arial" w:eastAsia="Arial" w:hAnsi="Arial"/>
                <w:sz w:val="14"/>
                <w:szCs w:val="14"/>
                <w:color w:val="auto"/>
              </w:rPr>
              <w:t>Common stock released from ESOP</w:t>
            </w:r>
          </w:p>
        </w:tc>
        <w:tc>
          <w:tcPr>
            <w:tcW w:w="260" w:type="dxa"/>
            <w:vAlign w:val="bottom"/>
          </w:tcPr>
          <w:p>
            <w:pPr>
              <w:spacing w:after="0"/>
              <w:rPr>
                <w:sz w:val="17"/>
                <w:szCs w:val="17"/>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13</w:t>
            </w:r>
          </w:p>
        </w:tc>
      </w:tr>
      <w:tr>
        <w:trPr>
          <w:trHeight w:val="198"/>
        </w:trPr>
        <w:tc>
          <w:tcPr>
            <w:tcW w:w="3300" w:type="dxa"/>
            <w:vAlign w:val="bottom"/>
          </w:tcPr>
          <w:p>
            <w:pPr>
              <w:ind w:left="80"/>
              <w:spacing w:after="0"/>
              <w:rPr>
                <w:sz w:val="20"/>
                <w:szCs w:val="20"/>
                <w:color w:val="auto"/>
              </w:rPr>
            </w:pPr>
            <w:r>
              <w:rPr>
                <w:rFonts w:ascii="Arial" w:cs="Arial" w:eastAsia="Arial" w:hAnsi="Arial"/>
                <w:sz w:val="14"/>
                <w:szCs w:val="14"/>
                <w:color w:val="auto"/>
              </w:rPr>
              <w:t>Distributions to noncontrolling interests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w:t>
            </w:r>
          </w:p>
        </w:tc>
      </w:tr>
      <w:tr>
        <w:trPr>
          <w:trHeight w:val="176"/>
        </w:trPr>
        <w:tc>
          <w:tcPr>
            <w:tcW w:w="3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Balance at September 30, 2010</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8,802</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205</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9,007</w:t>
            </w:r>
          </w:p>
        </w:tc>
      </w:tr>
      <w:tr>
        <w:trPr>
          <w:trHeight w:val="174"/>
        </w:trPr>
        <w:tc>
          <w:tcPr>
            <w:tcW w:w="3300" w:type="dxa"/>
            <w:vAlign w:val="bottom"/>
          </w:tcPr>
          <w:p>
            <w:pPr>
              <w:ind w:left="80"/>
              <w:spacing w:after="0"/>
              <w:rPr>
                <w:sz w:val="20"/>
                <w:szCs w:val="20"/>
                <w:color w:val="auto"/>
              </w:rPr>
            </w:pPr>
            <w:r>
              <w:rPr>
                <w:rFonts w:ascii="Arial" w:cs="Arial" w:eastAsia="Arial" w:hAnsi="Arial"/>
                <w:sz w:val="14"/>
                <w:szCs w:val="14"/>
                <w:color w:val="auto"/>
              </w:rPr>
              <w:t>Balance at December 31, 2008</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7,969</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340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&amp;n bsp;8,309</w:t>
            </w:r>
          </w:p>
        </w:tc>
      </w:tr>
      <w:tr>
        <w:trPr>
          <w:trHeight w:val="192"/>
        </w:trPr>
        <w:tc>
          <w:tcPr>
            <w:tcW w:w="3300" w:type="dxa"/>
            <w:vAlign w:val="bottom"/>
          </w:tcPr>
          <w:p>
            <w:pPr>
              <w:ind w:left="80"/>
              <w:spacing w:after="0"/>
              <w:rPr>
                <w:sz w:val="20"/>
                <w:szCs w:val="20"/>
                <w:color w:val="auto"/>
              </w:rPr>
            </w:pPr>
            <w:r>
              <w:rPr>
                <w:rFonts w:ascii="Arial" w:cs="Arial" w:eastAsia="Arial" w:hAnsi="Arial"/>
                <w:sz w:val="14"/>
                <w:szCs w:val="14"/>
                <w:color w:val="auto"/>
              </w:rPr>
              <w:t>Comprehensive income (loss)</w:t>
            </w:r>
          </w:p>
        </w:tc>
        <w:tc>
          <w:tcPr>
            <w:tcW w:w="26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950</w:t>
            </w:r>
          </w:p>
        </w:tc>
        <w:tc>
          <w:tcPr>
            <w:tcW w:w="2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(25)</w:t>
            </w:r>
          </w:p>
        </w:tc>
        <w:tc>
          <w:tcPr>
            <w:tcW w:w="2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925</w:t>
            </w:r>
          </w:p>
        </w:tc>
      </w:tr>
      <w:tr>
        <w:trPr>
          <w:trHeight w:val="192"/>
        </w:trPr>
        <w:tc>
          <w:tcPr>
            <w:tcW w:w="3300" w:type="dxa"/>
            <w:vAlign w:val="bottom"/>
          </w:tcPr>
          <w:p>
            <w:pPr>
              <w:ind w:left="80"/>
              <w:spacing w:after="0"/>
              <w:rPr>
                <w:sz w:val="20"/>
                <w:szCs w:val="20"/>
                <w:color w:val="auto"/>
              </w:rPr>
            </w:pPr>
            <w:r>
              <w:rPr>
                <w:rFonts w:ascii="Arial" w:cs="Arial" w:eastAsia="Arial" w:hAnsi="Arial"/>
                <w:sz w:val="14"/>
                <w:szCs w:val="14"/>
                <w:color w:val="auto"/>
              </w:rPr>
              <w:t>Purchase of noncontrolling interest in subsidiary</w:t>
            </w:r>
          </w:p>
        </w:tc>
        <w:tc>
          <w:tcPr>
            <w:tcW w:w="26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(84)</w:t>
            </w:r>
          </w:p>
        </w:tc>
        <w:tc>
          <w:tcPr>
            <w:tcW w:w="28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(94)</w:t>
            </w:r>
          </w:p>
        </w:tc>
      </w:tr>
      <w:tr>
        <w:trPr>
          <w:trHeight w:val="204"/>
        </w:trPr>
        <w:tc>
          <w:tcPr>
            <w:tcW w:w="3300" w:type="dxa"/>
            <w:vAlign w:val="bottom"/>
          </w:tcPr>
          <w:p>
            <w:pPr>
              <w:ind w:left="80"/>
              <w:spacing w:after="0"/>
              <w:rPr>
                <w:sz w:val="20"/>
                <w:szCs w:val="20"/>
                <w:color w:val="auto"/>
              </w:rPr>
            </w:pPr>
            <w:r>
              <w:rPr>
                <w:rFonts w:ascii="Arial" w:cs="Arial" w:eastAsia="Arial" w:hAnsi="Arial"/>
                <w:sz w:val="14"/>
                <w:szCs w:val="14"/>
                <w:color w:val="auto"/>
              </w:rPr>
              <w:t>Share-based compensation expense</w:t>
            </w:r>
          </w:p>
        </w:tc>
        <w:tc>
          <w:tcPr>
            <w:tcW w:w="260" w:type="dxa"/>
            <w:vAlign w:val="bottom"/>
          </w:tcPr>
          <w:p>
            <w:pPr>
              <w:spacing w:after="0"/>
              <w:rPr>
                <w:sz w:val="17"/>
                <w:szCs w:val="17"/>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&amp;nbs p;28</w:t>
            </w:r>
          </w:p>
        </w:tc>
        <w:tc>
          <w:tcPr>
            <w:tcW w:w="24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28</w:t>
            </w:r>
          </w:p>
        </w:tc>
      </w:tr>
      <w:tr>
        <w:trPr>
          <w:trHeight w:val="204"/>
        </w:trPr>
        <w:tc>
          <w:tcPr>
            <w:tcW w:w="3300" w:type="dxa"/>
            <w:vAlign w:val="bottom"/>
          </w:tcPr>
          <w:p>
            <w:pPr>
              <w:ind w:left="80"/>
              <w:spacing w:after="0"/>
              <w:rPr>
                <w:sz w:val="20"/>
                <w:szCs w:val="20"/>
                <w:color w:val="auto"/>
              </w:rPr>
            </w:pPr>
            <w:r>
              <w:rPr>
                <w:rFonts w:ascii="Arial" w:cs="Arial" w:eastAsia="Arial" w:hAnsi="Arial"/>
                <w:sz w:val="14"/>
                <w:szCs w:val="14"/>
                <w:color w:val="auto"/>
              </w:rPr>
              <w:t>Common stock dividends declared</w:t>
            </w:r>
          </w:p>
        </w:tc>
        <w:tc>
          <w:tcPr>
            <w:tcW w:w="26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(287)</w:t>
            </w:r>
          </w:p>
        </w:tc>
        <w:tc>
          <w:tcPr>
            <w:tcW w:w="24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(287)</w:t>
            </w:r>
          </w:p>
        </w:tc>
      </w:tr>
      <w:tr>
        <w:trPr>
          <w:trHeight w:val="204"/>
        </w:trPr>
        <w:tc>
          <w:tcPr>
            <w:tcW w:w="3300" w:type="dxa"/>
            <w:vAlign w:val="bottom"/>
          </w:tcPr>
          <w:p>
            <w:pPr>
              <w:spacing w:after="0"/>
              <w:rPr>
                <w:sz w:val="20"/>
                <w:szCs w:val="20"/>
                <w:color w:val="auto"/>
              </w:rPr>
            </w:pPr>
            <w:r>
              <w:rPr>
                <w:rFonts w:ascii="Arial" w:cs="Arial" w:eastAsia="Arial" w:hAnsi="Arial"/>
                <w:sz w:val="14"/>
                <w:szCs w:val="14"/>
                <w:color w:val="auto"/>
              </w:rPr>
              <w:t>Preferred dividends of subsidiaries</w:t>
            </w:r>
          </w:p>
        </w:tc>
        <w:tc>
          <w:tcPr>
            <w:tcW w:w="26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(7)</w:t>
            </w:r>
          </w:p>
        </w:tc>
      </w:tr>
      <w:tr>
        <w:trPr>
          <w:trHeight w:val="204"/>
        </w:trPr>
        <w:tc>
          <w:tcPr>
            <w:tcW w:w="3300" w:type="dxa"/>
            <w:vAlign w:val="bottom"/>
          </w:tcPr>
          <w:p>
            <w:pPr>
              <w:ind w:left="80"/>
              <w:spacing w:after="0"/>
              <w:rPr>
                <w:sz w:val="20"/>
                <w:szCs w:val="20"/>
                <w:color w:val="auto"/>
              </w:rPr>
            </w:pPr>
            <w:r>
              <w:rPr>
                <w:rFonts w:ascii="Arial" w:cs="Arial" w:eastAsia="Arial" w:hAnsi="Arial"/>
                <w:sz w:val="14"/>
                <w:szCs w:val="14"/>
                <w:color w:val="auto"/>
              </w:rPr>
              <w:t>Issuance of common stock</w:t>
            </w:r>
          </w:p>
        </w:tc>
        <w:tc>
          <w:tcPr>
            <w:tcW w:w="260" w:type="dxa"/>
            <w:vAlign w:val="bottom"/>
          </w:tcPr>
          <w:p>
            <w:pPr>
              <w:spacing w:after="0"/>
              <w:rPr>
                <w:sz w:val="17"/>
                <w:szCs w:val="17"/>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81</w:t>
            </w:r>
          </w:p>
        </w:tc>
        <w:tc>
          <w:tcPr>
            <w:tcW w:w="24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81</w:t>
            </w:r>
          </w:p>
        </w:tc>
      </w:tr>
      <w:tr>
        <w:trPr>
          <w:trHeight w:val="204"/>
        </w:trPr>
        <w:tc>
          <w:tcPr>
            <w:tcW w:w="3300" w:type="dxa"/>
            <w:vAlign w:val="bottom"/>
          </w:tcPr>
          <w:p>
            <w:pPr>
              <w:ind w:left="80"/>
              <w:spacing w:after="0"/>
              <w:rPr>
                <w:sz w:val="20"/>
                <w:szCs w:val="20"/>
                <w:color w:val="auto"/>
              </w:rPr>
            </w:pPr>
            <w:r>
              <w:rPr>
                <w:rFonts w:ascii="Arial" w:cs="Arial" w:eastAsia="Arial" w:hAnsi="Arial"/>
                <w:sz w:val="14"/>
                <w:szCs w:val="14"/>
                <w:color w:val="auto"/>
              </w:rPr>
              <w:t>Tax benefit related to share-based compensation</w:t>
            </w:r>
          </w:p>
        </w:tc>
        <w:tc>
          <w:tcPr>
            <w:tcW w:w="260" w:type="dxa"/>
            <w:vAlign w:val="bottom"/>
          </w:tcPr>
          <w:p>
            <w:pPr>
              <w:spacing w:after="0"/>
              <w:rPr>
                <w:sz w:val="17"/>
                <w:szCs w:val="17"/>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4"/>
        </w:trPr>
        <w:tc>
          <w:tcPr>
            <w:tcW w:w="3300" w:type="dxa"/>
            <w:vAlign w:val="bottom"/>
          </w:tcPr>
          <w:p>
            <w:pPr>
              <w:ind w:left="80"/>
              <w:spacing w:after="0"/>
              <w:rPr>
                <w:sz w:val="20"/>
                <w:szCs w:val="20"/>
                <w:color w:val="auto"/>
              </w:rPr>
            </w:pPr>
            <w:r>
              <w:rPr>
                <w:rFonts w:ascii="Arial" w:cs="Arial" w:eastAsia="Arial" w:hAnsi="Arial"/>
                <w:sz w:val="14"/>
                <w:szCs w:val="14"/>
                <w:color w:val="auto"/>
              </w:rPr>
              <w:t>Common stock released from ESOP</w:t>
            </w:r>
          </w:p>
        </w:tc>
        <w:tc>
          <w:tcPr>
            <w:tcW w:w="260" w:type="dxa"/>
            <w:vAlign w:val="bottom"/>
          </w:tcPr>
          <w:p>
            <w:pPr>
              <w:spacing w:after="0"/>
              <w:rPr>
                <w:sz w:val="17"/>
                <w:szCs w:val="17"/>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11</w:t>
            </w:r>
          </w:p>
        </w:tc>
      </w:tr>
      <w:tr>
        <w:trPr>
          <w:trHeight w:val="198"/>
        </w:trPr>
        <w:tc>
          <w:tcPr>
            <w:tcW w:w="3300" w:type="dxa"/>
            <w:vAlign w:val="bottom"/>
          </w:tcPr>
          <w:p>
            <w:pPr>
              <w:ind w:left="80"/>
              <w:spacing w:after="0"/>
              <w:rPr>
                <w:sz w:val="20"/>
                <w:szCs w:val="20"/>
                <w:color w:val="auto"/>
              </w:rPr>
            </w:pPr>
            <w:r>
              <w:rPr>
                <w:rFonts w:ascii="Arial" w:cs="Arial" w:eastAsia="Arial" w:hAnsi="Arial"/>
                <w:sz w:val="14"/>
                <w:szCs w:val="14"/>
                <w:color w:val="auto"/>
              </w:rPr>
              <w:t>Equity contributed by noncontrolling interests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w:t>
            </w:r>
          </w:p>
        </w:tc>
      </w:tr>
      <w:tr>
        <w:trPr>
          <w:trHeight w:val="176"/>
        </w:trPr>
        <w:tc>
          <w:tcPr>
            <w:tcW w:w="3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Balance at September 30, 2009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8,745</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238</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8,983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3909060" cy="259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09060" cy="259080"/>
                    </a:xfrm>
                    <a:prstGeom prst="rect">
                      <a:avLst/>
                    </a:prstGeom>
                    <a:noFill/>
                  </pic:spPr>
                </pic:pic>
              </a:graphicData>
            </a:graphic>
          </wp:anchor>
        </w:drawing>
      </w:r>
    </w:p>
    <w:p>
      <w:pPr>
        <w:spacing w:after="0" w:line="21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SHAREHOLDERS' EQUITY AND NONCONTROLLING INTEREST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8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SDG&amp;E</w:t>
            </w:r>
          </w:p>
        </w:tc>
        <w:tc>
          <w:tcPr>
            <w:tcW w:w="260" w:type="dxa"/>
            <w:vAlign w:val="bottom"/>
          </w:tcPr>
          <w:p>
            <w:pPr>
              <w:spacing w:after="0"/>
              <w:rPr>
                <w:sz w:val="14"/>
                <w:szCs w:val="14"/>
                <w:color w:val="auto"/>
              </w:rPr>
            </w:pPr>
          </w:p>
        </w:tc>
        <w:tc>
          <w:tcPr>
            <w:tcW w:w="780" w:type="dxa"/>
            <w:vAlign w:val="bottom"/>
          </w:tcPr>
          <w:p>
            <w:pPr>
              <w:jc w:val="right"/>
              <w:ind w:right="190"/>
              <w:spacing w:after="0"/>
              <w:rPr>
                <w:sz w:val="20"/>
                <w:szCs w:val="20"/>
                <w:color w:val="auto"/>
              </w:rPr>
            </w:pPr>
            <w:r>
              <w:rPr>
                <w:rFonts w:ascii="Arial" w:cs="Arial" w:eastAsia="Arial" w:hAnsi="Arial"/>
                <w:sz w:val="13"/>
                <w:szCs w:val="13"/>
                <w:color w:val="auto"/>
              </w:rPr>
              <w:t>Non-</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Shareholders'</w:t>
            </w:r>
          </w:p>
        </w:tc>
        <w:tc>
          <w:tcPr>
            <w:tcW w:w="260" w:type="dxa"/>
            <w:vAlign w:val="bottom"/>
          </w:tcPr>
          <w:p>
            <w:pPr>
              <w:spacing w:after="0"/>
              <w:rPr>
                <w:sz w:val="14"/>
                <w:szCs w:val="14"/>
                <w:color w:val="auto"/>
              </w:rPr>
            </w:pPr>
          </w:p>
        </w:tc>
        <w:tc>
          <w:tcPr>
            <w:tcW w:w="780" w:type="dxa"/>
            <w:vAlign w:val="bottom"/>
          </w:tcPr>
          <w:p>
            <w:pPr>
              <w:jc w:val="right"/>
              <w:ind w:right="30"/>
              <w:spacing w:after="0"/>
              <w:rPr>
                <w:sz w:val="20"/>
                <w:szCs w:val="20"/>
                <w:color w:val="auto"/>
              </w:rPr>
            </w:pPr>
            <w:r>
              <w:rPr>
                <w:rFonts w:ascii="Arial" w:cs="Arial" w:eastAsia="Arial" w:hAnsi="Arial"/>
                <w:sz w:val="13"/>
                <w:szCs w:val="13"/>
                <w:color w:val="auto"/>
              </w:rPr>
              <w:t>controlling</w:t>
            </w:r>
          </w:p>
        </w:tc>
        <w:tc>
          <w:tcPr>
            <w:tcW w:w="280" w:type="dxa"/>
            <w:vAlign w:val="bottom"/>
          </w:tcPr>
          <w:p>
            <w:pPr>
              <w:spacing w:after="0"/>
              <w:rPr>
                <w:sz w:val="14"/>
                <w:szCs w:val="14"/>
                <w:color w:val="auto"/>
              </w:rPr>
            </w:pPr>
          </w:p>
        </w:tc>
        <w:tc>
          <w:tcPr>
            <w:tcW w:w="620" w:type="dxa"/>
            <w:vAlign w:val="bottom"/>
          </w:tcPr>
          <w:p>
            <w:pPr>
              <w:jc w:val="right"/>
              <w:ind w:right="130"/>
              <w:spacing w:after="0"/>
              <w:rPr>
                <w:sz w:val="20"/>
                <w:szCs w:val="20"/>
                <w:color w:val="auto"/>
              </w:rPr>
            </w:pPr>
            <w:r>
              <w:rPr>
                <w:rFonts w:ascii="Arial" w:cs="Arial" w:eastAsia="Arial" w:hAnsi="Arial"/>
                <w:sz w:val="13"/>
                <w:szCs w:val="13"/>
                <w:color w:val="auto"/>
              </w:rPr>
              <w:t>Total</w:t>
            </w:r>
          </w:p>
        </w:tc>
      </w:tr>
      <w:tr>
        <w:trPr>
          <w:trHeight w:val="154"/>
        </w:trPr>
        <w:tc>
          <w:tcPr>
            <w:tcW w:w="2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Equity</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color w:val="auto"/>
              </w:rPr>
              <w:t>Interest</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rPr>
              <w:t>Equity</w:t>
            </w:r>
          </w:p>
        </w:tc>
      </w:tr>
      <w:tr>
        <w:trPr>
          <w:trHeight w:val="202"/>
        </w:trPr>
        <w:tc>
          <w:tcPr>
            <w:tcW w:w="2980" w:type="dxa"/>
            <w:vAlign w:val="bottom"/>
          </w:tcPr>
          <w:p>
            <w:pPr>
              <w:ind w:left="80"/>
              <w:spacing w:after="0"/>
              <w:rPr>
                <w:sz w:val="20"/>
                <w:szCs w:val="20"/>
                <w:color w:val="auto"/>
              </w:rPr>
            </w:pPr>
            <w:r>
              <w:rPr>
                <w:rFonts w:ascii="Arial" w:cs="Arial" w:eastAsia="Arial" w:hAnsi="Arial"/>
                <w:sz w:val="14"/>
                <w:szCs w:val="14"/>
                <w:color w:val="auto"/>
              </w:rPr>
              <w:t>Balance at December 31, 2009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2,739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146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2,885</w:t>
            </w:r>
          </w:p>
        </w:tc>
      </w:tr>
      <w:tr>
        <w:trPr>
          <w:trHeight w:val="204"/>
        </w:trPr>
        <w:tc>
          <w:tcPr>
            <w:tcW w:w="2980" w:type="dxa"/>
            <w:vAlign w:val="bottom"/>
          </w:tcPr>
          <w:p>
            <w:pPr>
              <w:ind w:left="80"/>
              <w:spacing w:after="0"/>
              <w:rPr>
                <w:sz w:val="20"/>
                <w:szCs w:val="20"/>
                <w:color w:val="auto"/>
              </w:rPr>
            </w:pPr>
            <w:r>
              <w:rPr>
                <w:rFonts w:ascii="Arial" w:cs="Arial" w:eastAsia="Arial" w:hAnsi="Arial"/>
                <w:sz w:val="14"/>
                <w:szCs w:val="14"/>
                <w:color w:val="auto"/>
              </w:rPr>
              <w:t>Comprehen sive income (loss)</w:t>
            </w:r>
          </w:p>
        </w:tc>
        <w:tc>
          <w:tcPr>
            <w:tcW w:w="260" w:type="dxa"/>
            <w:vAlign w:val="bottom"/>
          </w:tcPr>
          <w:p>
            <w:pPr>
              <w:spacing w:after="0"/>
              <w:rPr>
                <w:sz w:val="17"/>
                <w:szCs w:val="17"/>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269</w:t>
            </w:r>
          </w:p>
        </w:tc>
        <w:tc>
          <w:tcPr>
            <w:tcW w:w="260" w:type="dxa"/>
            <w:vAlign w:val="bottom"/>
          </w:tcPr>
          <w:p>
            <w:pPr>
              <w:spacing w:after="0"/>
              <w:rPr>
                <w:sz w:val="17"/>
                <w:szCs w:val="17"/>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(29)</w:t>
            </w:r>
          </w:p>
        </w:tc>
        <w:tc>
          <w:tcPr>
            <w:tcW w:w="280" w:type="dxa"/>
            <w:vAlign w:val="bottom"/>
          </w:tcPr>
          <w:p>
            <w:pPr>
              <w:spacing w:after="0"/>
              <w:rPr>
                <w:sz w:val="17"/>
                <w:szCs w:val="17"/>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240</w:t>
            </w:r>
          </w:p>
        </w:tc>
      </w:tr>
      <w:tr>
        <w:trPr>
          <w:trHeight w:val="204"/>
        </w:trPr>
        <w:tc>
          <w:tcPr>
            <w:tcW w:w="2980" w:type="dxa"/>
            <w:vAlign w:val="bottom"/>
          </w:tcPr>
          <w:p>
            <w:pPr>
              <w:ind w:left="80"/>
              <w:spacing w:after="0"/>
              <w:rPr>
                <w:sz w:val="20"/>
                <w:szCs w:val="20"/>
                <w:color w:val="auto"/>
              </w:rPr>
            </w:pPr>
            <w:r>
              <w:rPr>
                <w:rFonts w:ascii="Arial" w:cs="Arial" w:eastAsia="Arial" w:hAnsi="Arial"/>
                <w:sz w:val="14"/>
                <w:szCs w:val="14"/>
                <w:color w:val="auto"/>
              </w:rPr>
              <w:t>Preferred stock dividends declared</w:t>
            </w:r>
          </w:p>
        </w:tc>
        <w:tc>
          <w:tcPr>
            <w:tcW w:w="260" w:type="dxa"/>
            <w:vAlign w:val="bottom"/>
          </w:tcPr>
          <w:p>
            <w:pPr>
              <w:spacing w:after="0"/>
              <w:rPr>
                <w:sz w:val="17"/>
                <w:szCs w:val="17"/>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7"/>
                <w:szCs w:val="17"/>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(4)</w:t>
            </w:r>
          </w:p>
        </w:tc>
      </w:tr>
      <w:tr>
        <w:trPr>
          <w:trHeight w:val="186"/>
        </w:trPr>
        <w:tc>
          <w:tcPr>
            <w:tcW w:w="2980" w:type="dxa"/>
            <w:vAlign w:val="bottom"/>
          </w:tcPr>
          <w:p>
            <w:pPr>
              <w:ind w:left="80"/>
              <w:spacing w:after="0"/>
              <w:rPr>
                <w:sz w:val="20"/>
                <w:szCs w:val="20"/>
                <w:color w:val="auto"/>
              </w:rPr>
            </w:pPr>
            <w:r>
              <w:rPr>
                <w:rFonts w:ascii="Arial" w:cs="Arial" w:eastAsia="Arial" w:hAnsi="Arial"/>
                <w:sz w:val="14"/>
                <w:szCs w:val="14"/>
                <w:color w:val="auto"/>
              </w:rPr>
              <w:t>Distributions to noncontrolling interest</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w:t>
            </w:r>
          </w:p>
        </w:tc>
      </w:tr>
      <w:tr>
        <w:trPr>
          <w:trHeight w:val="188"/>
        </w:trPr>
        <w:tc>
          <w:tcPr>
            <w:tcW w:w="29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Balance at September 30, 2010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3,004</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107</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3,111</w:t>
            </w:r>
          </w:p>
        </w:tc>
      </w:tr>
      <w:tr>
        <w:trPr>
          <w:trHeight w:val="218"/>
        </w:trPr>
        <w:tc>
          <w:tcPr>
            <w:tcW w:w="2980" w:type="dxa"/>
            <w:vAlign w:val="bottom"/>
          </w:tcPr>
          <w:p>
            <w:pPr>
              <w:ind w:left="80"/>
              <w:spacing w:after="0"/>
              <w:rPr>
                <w:sz w:val="20"/>
                <w:szCs w:val="20"/>
                <w:color w:val="auto"/>
              </w:rPr>
            </w:pPr>
            <w:r>
              <w:rPr>
                <w:rFonts w:ascii="Arial" w:cs="Arial" w:eastAsia="Arial" w:hAnsi="Arial"/>
                <w:sz w:val="14"/>
                <w:szCs w:val="14"/>
                <w:color w:val="auto"/>
              </w:rPr>
              <w:t>Balance at December 31, 2008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2,542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128</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2,670</w:t>
            </w:r>
          </w:p>
        </w:tc>
      </w:tr>
      <w:tr>
        <w:trPr>
          <w:trHeight w:val="172"/>
        </w:trPr>
        <w:tc>
          <w:tcPr>
            <w:tcW w:w="2980" w:type="dxa"/>
            <w:vAlign w:val="bottom"/>
          </w:tcPr>
          <w:p>
            <w:pPr>
              <w:ind w:left="80"/>
              <w:spacing w:after="0"/>
              <w:rPr>
                <w:sz w:val="20"/>
                <w:szCs w:val="20"/>
                <w:color w:val="auto"/>
              </w:rPr>
            </w:pPr>
            <w:r>
              <w:rPr>
                <w:rFonts w:ascii="Arial" w:cs="Arial" w:eastAsia="Arial" w:hAnsi="Arial"/>
                <w:sz w:val="14"/>
                <w:szCs w:val="14"/>
                <w:color w:val="auto"/>
              </w:rPr>
              <w:t>Comprehensive income</w:t>
            </w:r>
          </w:p>
        </w:tc>
        <w:tc>
          <w:tcPr>
            <w:tcW w:w="260" w:type="dxa"/>
            <w:vAlign w:val="bottom"/>
          </w:tcPr>
          <w:p>
            <w:pPr>
              <w:spacing w:after="0"/>
              <w:rPr>
                <w:sz w:val="14"/>
                <w:szCs w:val="14"/>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284</w:t>
            </w:r>
          </w:p>
        </w:tc>
        <w:tc>
          <w:tcPr>
            <w:tcW w:w="260" w:type="dxa"/>
            <w:vAlign w:val="bottom"/>
          </w:tcPr>
          <w:p>
            <w:pPr>
              <w:spacing w:after="0"/>
              <w:rPr>
                <w:sz w:val="14"/>
                <w:szCs w:val="14"/>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4"/>
                <w:szCs w:val="14"/>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290</w:t>
            </w:r>
          </w:p>
        </w:tc>
      </w:tr>
    </w:tbl>
    <w:p>
      <w:pPr>
        <w:sectPr>
          <w:pgSz w:w="11900" w:h="16918" w:orient="portrait"/>
          <w:cols w:equalWidth="0" w:num="1">
            <w:col w:w="11440"/>
          </w:cols>
          <w:pgMar w:left="240" w:top="123" w:right="21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tcPr>
          <w:p>
            <w:pPr>
              <w:ind w:left="80"/>
              <w:spacing w:after="0"/>
              <w:rPr>
                <w:sz w:val="20"/>
                <w:szCs w:val="20"/>
                <w:color w:val="auto"/>
              </w:rPr>
            </w:pPr>
            <w:r>
              <w:rPr>
                <w:rFonts w:ascii="Arial" w:cs="Arial" w:eastAsia="Arial" w:hAnsi="Arial"/>
                <w:sz w:val="14"/>
                <w:szCs w:val="14"/>
                <w:color w:val="auto"/>
              </w:rPr>
              <w:t>Common stock dividends declared</w:t>
            </w:r>
          </w:p>
        </w:tc>
        <w:tc>
          <w:tcPr>
            <w:tcW w:w="4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42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(150)</w:t>
            </w:r>
          </w:p>
        </w:tc>
      </w:tr>
      <w:tr>
        <w:trPr>
          <w:trHeight w:val="204"/>
        </w:trPr>
        <w:tc>
          <w:tcPr>
            <w:tcW w:w="2980" w:type="dxa"/>
            <w:vAlign w:val="bottom"/>
          </w:tcPr>
          <w:p>
            <w:pPr>
              <w:ind w:left="80"/>
              <w:spacing w:after="0"/>
              <w:rPr>
                <w:sz w:val="20"/>
                <w:szCs w:val="20"/>
                <w:color w:val="auto"/>
              </w:rPr>
            </w:pPr>
            <w:r>
              <w:rPr>
                <w:rFonts w:ascii="Arial" w:cs="Arial" w:eastAsia="Arial" w:hAnsi="Arial"/>
                <w:sz w:val="14"/>
                <w:szCs w:val="14"/>
                <w:color w:val="auto"/>
              </w:rPr>
              <w:t>Preferred stock dividends declared</w:t>
            </w:r>
          </w:p>
        </w:tc>
        <w:tc>
          <w:tcPr>
            <w:tcW w:w="4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42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186"/>
        </w:trPr>
        <w:tc>
          <w:tcPr>
            <w:tcW w:w="2980" w:type="dxa"/>
            <w:vAlign w:val="bottom"/>
          </w:tcPr>
          <w:p>
            <w:pPr>
              <w:ind w:left="80"/>
              <w:spacing w:after="0"/>
              <w:rPr>
                <w:sz w:val="20"/>
                <w:szCs w:val="20"/>
                <w:color w:val="auto"/>
              </w:rPr>
            </w:pPr>
            <w:r>
              <w:rPr>
                <w:rFonts w:ascii="Arial" w:cs="Arial" w:eastAsia="Arial" w:hAnsi="Arial"/>
                <w:sz w:val="14"/>
                <w:szCs w:val="14"/>
                <w:color w:val="auto"/>
              </w:rPr>
              <w:t>Equity contributed by noncontrolling interest</w:t>
            </w: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188"/>
        </w:trPr>
        <w:tc>
          <w:tcPr>
            <w:tcW w:w="29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Balance at September 30, 2009</w:t>
            </w: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2,672</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2,813</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AFFILIATES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Loans to Unconsolidated Affiliates</w:t>
      </w:r>
    </w:p>
    <w:p>
      <w:pPr>
        <w:spacing w:after="0" w:line="56"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S empra Pipelines &amp; Storage has a U.S. dollar-denominated loan to Camuzzi Gas del Sur S.A., an affiliate of Sempra Pipelines &amp; Storage’s Argentine investments, which we discuss in Note 1 of the Notes to Consolidated Financial Statements in the Annual Report. The loan to Camuzzi Gas del Sur S.A. has a $28 million balance outstanding at a variable interest rate (7.29 percent as ofSeptember 30, 2010). In May 2010, the maturity date of the loan was extended from June 2010 to June 30, 2011. The loan is fully reserved at September 30, 2010.</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Investments</w:t>
      </w:r>
    </w:p>
    <w:p>
      <w:pPr>
        <w:spacing w:after="0" w:line="5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November 2009, Sempra Pipelines &amp; Storage purchased $50 million of 2.75-percent bonds issued by Chilquinta Energía S.A., an unconsolidated affiliate, that are adjusted for Chilean inflation. The bonds mature on October 30, 2014. The carrying value of the bonds after the effect of foreign currency translation was $55 million at Septembe r 30, 2010. We discuss this investment in Note 4 of the Notes to Consolidated Financial Statements in the Annual Report.</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Affiliate Transactions</w:t>
      </w:r>
    </w:p>
    <w:p>
      <w:pPr>
        <w:spacing w:after="0" w:line="56"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Sempra Energy, SDG&amp;E and SoCalGas provide certain services to each other and are charged an allocable share of the cost of such services. Amounts due to/from affiliates are as follows:</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AMOUNTS DUE TO AND FROM AFFILIATES AT SDG&amp;E, 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61860" cy="289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2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3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80" w:type="dxa"/>
            <w:vAlign w:val="bottom"/>
          </w:tcPr>
          <w:p>
            <w:pPr>
              <w:jc w:val="right"/>
              <w:ind w:right="749"/>
              <w:spacing w:after="0"/>
              <w:rPr>
                <w:sz w:val="20"/>
                <w:szCs w:val="20"/>
                <w:color w:val="auto"/>
              </w:rPr>
            </w:pPr>
            <w:r>
              <w:rPr>
                <w:rFonts w:ascii="Arial" w:cs="Arial" w:eastAsia="Arial" w:hAnsi="Arial"/>
                <w:sz w:val="13"/>
                <w:szCs w:val="13"/>
                <w:color w:val="auto"/>
              </w:rPr>
              <w:t>September 30,</w:t>
            </w: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jc w:val="right"/>
              <w:ind w:right="749"/>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54"/>
        </w:trPr>
        <w:tc>
          <w:tcPr>
            <w:tcW w:w="202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1049"/>
              <w:spacing w:after="0"/>
              <w:rPr>
                <w:sz w:val="20"/>
                <w:szCs w:val="20"/>
                <w:color w:val="auto"/>
              </w:rPr>
            </w:pPr>
            <w:r>
              <w:rPr>
                <w:rFonts w:ascii="Arial" w:cs="Arial" w:eastAsia="Arial" w:hAnsi="Arial"/>
                <w:sz w:val="13"/>
                <w:szCs w:val="13"/>
                <w:color w:val="auto"/>
              </w:rPr>
              <w:t>2010</w:t>
            </w:r>
          </w:p>
        </w:tc>
        <w:tc>
          <w:tcPr>
            <w:tcW w:w="13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960" w:type="dxa"/>
            <w:vAlign w:val="bottom"/>
          </w:tcPr>
          <w:p>
            <w:pPr>
              <w:jc w:val="right"/>
              <w:ind w:right="1009"/>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82"/>
        </w:trPr>
        <w:tc>
          <w:tcPr>
            <w:tcW w:w="202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3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20" w:type="dxa"/>
            <w:vAlign w:val="bottom"/>
          </w:tcPr>
          <w:p>
            <w:pPr>
              <w:spacing w:after="0"/>
              <w:rPr>
                <w:sz w:val="20"/>
                <w:szCs w:val="20"/>
                <w:color w:val="auto"/>
              </w:rPr>
            </w:pPr>
            <w:r>
              <w:rPr>
                <w:rFonts w:ascii="Arial" w:cs="Arial" w:eastAsia="Arial" w:hAnsi="Arial"/>
                <w:sz w:val="14"/>
                <w:szCs w:val="14"/>
                <w:color w:val="auto"/>
              </w:rPr>
              <w:t>Current:</w:t>
            </w:r>
          </w:p>
        </w:tc>
        <w:tc>
          <w:tcPr>
            <w:tcW w:w="3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20" w:type="dxa"/>
            <w:vAlign w:val="bottom"/>
          </w:tcPr>
          <w:p>
            <w:pPr>
              <w:ind w:left="160"/>
              <w:spacing w:after="0"/>
              <w:rPr>
                <w:sz w:val="20"/>
                <w:szCs w:val="20"/>
                <w:color w:val="auto"/>
              </w:rPr>
            </w:pPr>
            <w:r>
              <w:rPr>
                <w:rFonts w:ascii="Arial" w:cs="Arial" w:eastAsia="Arial" w:hAnsi="Arial"/>
                <w:sz w:val="14"/>
                <w:szCs w:val="14"/>
                <w:color w:val="auto"/>
              </w:rPr>
              <w:t>Due from Sempra Energy</w:t>
            </w:r>
          </w:p>
        </w:tc>
        <w:tc>
          <w:tcPr>
            <w:tcW w:w="318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2020" w:type="dxa"/>
            <w:vAlign w:val="bottom"/>
          </w:tcPr>
          <w:p>
            <w:pPr>
              <w:ind w:left="160"/>
              <w:spacing w:after="0"/>
              <w:rPr>
                <w:sz w:val="20"/>
                <w:szCs w:val="20"/>
                <w:color w:val="auto"/>
              </w:rPr>
            </w:pPr>
            <w:r>
              <w:rPr>
                <w:rFonts w:ascii="Arial" w:cs="Arial" w:eastAsia="Arial" w:hAnsi="Arial"/>
                <w:sz w:val="14"/>
                <w:szCs w:val="14"/>
                <w:color w:val="auto"/>
              </w:rPr>
              <w:t>Due from SoCalGas</w:t>
            </w:r>
          </w:p>
        </w:tc>
        <w:tc>
          <w:tcPr>
            <w:tcW w:w="3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3</w:t>
            </w: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2020" w:type="dxa"/>
            <w:vAlign w:val="bottom"/>
          </w:tcPr>
          <w:p>
            <w:pPr>
              <w:ind w:left="160"/>
              <w:spacing w:after="0"/>
              <w:rPr>
                <w:sz w:val="20"/>
                <w:szCs w:val="20"/>
                <w:color w:val="auto"/>
              </w:rPr>
            </w:pPr>
            <w:r>
              <w:rPr>
                <w:rFonts w:ascii="Arial" w:cs="Arial" w:eastAsia="Arial" w:hAnsi="Arial"/>
                <w:sz w:val="14"/>
                <w:szCs w:val="14"/>
                <w:color w:val="auto"/>
              </w:rPr>
              <w:t>Due from various affiliates</w:t>
            </w:r>
          </w:p>
        </w:tc>
        <w:tc>
          <w:tcPr>
            <w:tcW w:w="3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400"/>
        </w:trPr>
        <w:tc>
          <w:tcPr>
            <w:tcW w:w="2020" w:type="dxa"/>
            <w:vAlign w:val="bottom"/>
          </w:tcPr>
          <w:p>
            <w:pPr>
              <w:ind w:left="160"/>
              <w:spacing w:after="0"/>
              <w:rPr>
                <w:sz w:val="20"/>
                <w:szCs w:val="20"/>
                <w:color w:val="auto"/>
              </w:rPr>
            </w:pPr>
            <w:r>
              <w:rPr>
                <w:rFonts w:ascii="Arial" w:cs="Arial" w:eastAsia="Arial" w:hAnsi="Arial"/>
                <w:sz w:val="14"/>
                <w:szCs w:val="14"/>
                <w:color w:val="auto"/>
              </w:rPr>
              <w:t>Due to Sempra Energy</w:t>
            </w:r>
          </w:p>
        </w:tc>
        <w:tc>
          <w:tcPr>
            <w:tcW w:w="3180" w:type="dxa"/>
            <w:vAlign w:val="bottom"/>
          </w:tcPr>
          <w:p>
            <w:pPr>
              <w:spacing w:after="0"/>
              <w:rPr>
                <w:sz w:val="24"/>
                <w:szCs w:val="24"/>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&lt; /p&gt;</w:t>
            </w: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8"/>
        </w:trPr>
        <w:tc>
          <w:tcPr>
            <w:tcW w:w="5200" w:type="dxa"/>
            <w:vAlign w:val="bottom"/>
            <w:gridSpan w:val="2"/>
          </w:tcPr>
          <w:p>
            <w:pPr>
              <w:ind w:left="160"/>
              <w:spacing w:after="0"/>
              <w:rPr>
                <w:sz w:val="20"/>
                <w:szCs w:val="20"/>
                <w:color w:val="auto"/>
              </w:rPr>
            </w:pPr>
            <w:r>
              <w:rPr>
                <w:rFonts w:ascii="Arial" w:cs="Arial" w:eastAsia="Arial" w:hAnsi="Arial"/>
                <w:sz w:val="14"/>
                <w:szCs w:val="14"/>
                <w:color w:val="auto"/>
              </w:rPr>
              <w:t>Income taxes due from Sempra Energy(1)</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366"/>
        </w:trPr>
        <w:tc>
          <w:tcPr>
            <w:tcW w:w="2020" w:type="dxa"/>
            <w:vAlign w:val="bottom"/>
          </w:tcPr>
          <w:p>
            <w:pPr>
              <w:spacing w:after="0"/>
              <w:rPr>
                <w:sz w:val="20"/>
                <w:szCs w:val="20"/>
                <w:color w:val="auto"/>
              </w:rPr>
            </w:pPr>
            <w:r>
              <w:rPr>
                <w:rFonts w:ascii="Arial" w:cs="Arial" w:eastAsia="Arial" w:hAnsi="Arial"/>
                <w:sz w:val="14"/>
                <w:szCs w:val="14"/>
                <w:color w:val="auto"/>
              </w:rPr>
              <w:t>Noncurrent:</w:t>
            </w:r>
          </w:p>
        </w:tc>
        <w:tc>
          <w:tcPr>
            <w:tcW w:w="3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200" w:type="dxa"/>
            <w:vAlign w:val="bottom"/>
            <w:gridSpan w:val="2"/>
          </w:tcPr>
          <w:p>
            <w:pPr>
              <w:ind w:left="160"/>
              <w:spacing w:after="0"/>
              <w:rPr>
                <w:sz w:val="20"/>
                <w:szCs w:val="20"/>
                <w:color w:val="auto"/>
              </w:rPr>
            </w:pPr>
            <w:r>
              <w:rPr>
                <w:rFonts w:ascii="Arial" w:cs="Arial" w:eastAsia="Arial" w:hAnsi="Arial"/>
                <w:sz w:val="14"/>
                <w:szCs w:val="14"/>
                <w:color w:val="auto"/>
              </w:rPr>
              <w:t>Promissory note due from Sempra Energy, variable rate based on</w:t>
            </w:r>
          </w:p>
        </w:tc>
        <w:tc>
          <w:tcPr>
            <w:tcW w:w="5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0" w:type="dxa"/>
            <w:vAlign w:val="bottom"/>
            <w:gridSpan w:val="2"/>
          </w:tcPr>
          <w:p>
            <w:pPr>
              <w:ind w:left="320"/>
              <w:spacing w:after="0"/>
              <w:rPr>
                <w:sz w:val="20"/>
                <w:szCs w:val="20"/>
                <w:color w:val="auto"/>
              </w:rPr>
            </w:pPr>
            <w:r>
              <w:rPr>
                <w:rFonts w:ascii="Arial" w:cs="Arial" w:eastAsia="Arial" w:hAnsi="Arial"/>
                <w:sz w:val="14"/>
                <w:szCs w:val="14"/>
                <w:color w:val="auto"/>
              </w:rPr>
              <w:t>short-term commercial paper rates (0.13% at December 31, 2009)</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66"/>
        </w:trPr>
        <w:tc>
          <w:tcPr>
            <w:tcW w:w="2020" w:type="dxa"/>
            <w:vAlign w:val="bottom"/>
          </w:tcPr>
          <w:p>
            <w:pPr>
              <w:spacing w:after="0"/>
              <w:rPr>
                <w:sz w:val="20"/>
                <w:szCs w:val="20"/>
                <w:color w:val="auto"/>
              </w:rPr>
            </w:pPr>
            <w:r>
              <w:rPr>
                <w:rFonts w:ascii="Arial" w:cs="Arial" w:eastAsia="Arial" w:hAnsi="Arial"/>
                <w:sz w:val="14"/>
                <w:szCs w:val="14"/>
                <w:b w:val="1"/>
                <w:bCs w:val="1"/>
                <w:color w:val="auto"/>
              </w:rPr>
              <w:t>Pacific Enterprises</w:t>
            </w:r>
          </w:p>
        </w:tc>
        <w:tc>
          <w:tcPr>
            <w:tcW w:w="3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20" w:type="dxa"/>
            <w:vAlign w:val="bottom"/>
          </w:tcPr>
          <w:p>
            <w:pPr>
              <w:spacing w:after="0"/>
              <w:rPr>
                <w:sz w:val="20"/>
                <w:szCs w:val="20"/>
                <w:color w:val="auto"/>
              </w:rPr>
            </w:pPr>
            <w:r>
              <w:rPr>
                <w:rFonts w:ascii="Arial" w:cs="Arial" w:eastAsia="Arial" w:hAnsi="Arial"/>
                <w:sz w:val="14"/>
                <w:szCs w:val="14"/>
                <w:color w:val="auto"/>
              </w:rPr>
              <w:t>Current:</w:t>
            </w:r>
          </w:p>
        </w:tc>
        <w:tc>
          <w:tcPr>
            <w:tcW w:w="3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20" w:type="dxa"/>
            <w:vAlign w:val="bottom"/>
          </w:tcPr>
          <w:p>
            <w:pPr>
              <w:ind w:left="160"/>
              <w:spacing w:after="0"/>
              <w:rPr>
                <w:sz w:val="20"/>
                <w:szCs w:val="20"/>
                <w:color w:val="auto"/>
              </w:rPr>
            </w:pPr>
            <w:r>
              <w:rPr>
                <w:rFonts w:ascii="Arial" w:cs="Arial" w:eastAsia="Arial" w:hAnsi="Arial"/>
                <w:sz w:val="14"/>
                <w:szCs w:val="14"/>
                <w:color w:val="auto"/>
              </w:rPr>
              <w:t>Due from Sempra Energy</w:t>
            </w:r>
          </w:p>
        </w:tc>
        <w:tc>
          <w:tcPr>
            <w:tcW w:w="318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113</w:t>
            </w:r>
          </w:p>
        </w:tc>
        <w:tc>
          <w:tcPr>
            <w:tcW w:w="134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2020" w:type="dxa"/>
            <w:vAlign w:val="bottom"/>
          </w:tcPr>
          <w:p>
            <w:pPr>
              <w:ind w:left="160"/>
              <w:spacing w:after="0"/>
              <w:rPr>
                <w:sz w:val="20"/>
                <w:szCs w:val="20"/>
                <w:color w:val="auto"/>
              </w:rPr>
            </w:pPr>
            <w:r>
              <w:rPr>
                <w:rFonts w:ascii="Arial" w:cs="Arial" w:eastAsia="Arial" w:hAnsi="Arial"/>
                <w:sz w:val="14"/>
                <w:szCs w:val="14"/>
                <w:color w:val="auto"/>
              </w:rPr>
              <w:t>Due from various affiliates</w:t>
            </w:r>
          </w:p>
        </w:tc>
        <w:tc>
          <w:tcPr>
            <w:tcW w:w="3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366"/>
        </w:trPr>
        <w:tc>
          <w:tcPr>
            <w:tcW w:w="2020" w:type="dxa"/>
            <w:vAlign w:val="bottom"/>
          </w:tcPr>
          <w:p>
            <w:pPr>
              <w:ind w:left="160"/>
              <w:spacing w:after="0"/>
              <w:rPr>
                <w:sz w:val="20"/>
                <w:szCs w:val="20"/>
                <w:color w:val="auto"/>
              </w:rPr>
            </w:pPr>
            <w:r>
              <w:rPr>
                <w:rFonts w:ascii="Arial" w:cs="Arial" w:eastAsia="Arial" w:hAnsi="Arial"/>
                <w:sz w:val="14"/>
                <w:szCs w:val="14"/>
                <w:color w:val="auto"/>
              </w:rPr>
              <w:t>Due to affiliate</w:t>
            </w:r>
          </w:p>
        </w:tc>
        <w:tc>
          <w:tcPr>
            <w:tcW w:w="3180" w:type="dxa"/>
            <w:vAlign w:val="bottom"/>
          </w:tcPr>
          <w:p>
            <w:pPr>
              <w:spacing w:after="0"/>
              <w:rPr>
                <w:sz w:val="24"/>
                <w:szCs w:val="24"/>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84</w:t>
            </w:r>
          </w:p>
        </w:tc>
        <w:tc>
          <w:tcPr>
            <w:tcW w:w="1340" w:type="dxa"/>
            <w:vAlign w:val="bottom"/>
          </w:tcPr>
          <w:p>
            <w:pPr>
              <w:spacing w:after="0"/>
              <w:rPr>
                <w:sz w:val="24"/>
                <w:szCs w:val="24"/>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6"/>
        </w:trPr>
        <w:tc>
          <w:tcPr>
            <w:tcW w:w="2020" w:type="dxa"/>
            <w:vAlign w:val="bottom"/>
          </w:tcPr>
          <w:p>
            <w:pPr>
              <w:ind w:left="160"/>
              <w:spacing w:after="0"/>
              <w:rPr>
                <w:sz w:val="20"/>
                <w:szCs w:val="20"/>
                <w:color w:val="auto"/>
              </w:rPr>
            </w:pPr>
            <w:r>
              <w:rPr>
                <w:rFonts w:ascii="Arial" w:cs="Arial" w:eastAsia="Arial" w:hAnsi="Arial"/>
                <w:sz w:val="14"/>
                <w:szCs w:val="14"/>
                <w:color w:val="auto"/>
              </w:rPr>
              <w:t>Due to SDG&amp;E</w:t>
            </w:r>
          </w:p>
        </w:tc>
        <w:tc>
          <w:tcPr>
            <w:tcW w:w="3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87</w:t>
            </w:r>
          </w:p>
        </w:tc>
        <w:tc>
          <w:tcPr>
            <w:tcW w:w="1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364"/>
        </w:trPr>
        <w:tc>
          <w:tcPr>
            <w:tcW w:w="5200" w:type="dxa"/>
            <w:vAlign w:val="bottom"/>
            <w:gridSpan w:val="2"/>
          </w:tcPr>
          <w:p>
            <w:pPr>
              <w:ind w:left="160"/>
              <w:spacing w:after="0"/>
              <w:rPr>
                <w:sz w:val="20"/>
                <w:szCs w:val="20"/>
                <w:color w:val="auto"/>
              </w:rPr>
            </w:pPr>
            <w:r>
              <w:rPr>
                <w:rFonts w:ascii="Arial" w:cs="Arial" w:eastAsia="Arial" w:hAnsi="Arial"/>
                <w:sz w:val="14"/>
                <w:szCs w:val="14"/>
                <w:color w:val="auto"/>
              </w:rPr>
              <w:t>Income taxes due to (from) Sempra Energy(1)</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76"/>
        </w:trPr>
        <w:tc>
          <w:tcPr>
            <w:tcW w:w="2020" w:type="dxa"/>
            <w:vAlign w:val="bottom"/>
          </w:tcPr>
          <w:p>
            <w:pPr>
              <w:spacing w:after="0"/>
              <w:rPr>
                <w:sz w:val="20"/>
                <w:szCs w:val="20"/>
                <w:color w:val="auto"/>
              </w:rPr>
            </w:pPr>
            <w:r>
              <w:rPr>
                <w:rFonts w:ascii="Arial" w:cs="Arial" w:eastAsia="Arial" w:hAnsi="Arial"/>
                <w:sz w:val="19"/>
                <w:szCs w:val="19"/>
                <w:color w:val="auto"/>
              </w:rPr>
              <w:t>&lt; /td&gt;</w:t>
            </w:r>
          </w:p>
        </w:tc>
        <w:tc>
          <w:tcPr>
            <w:tcW w:w="3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20" w:type="dxa"/>
            <w:vAlign w:val="bottom"/>
          </w:tcPr>
          <w:p>
            <w:pPr>
              <w:spacing w:after="0"/>
              <w:rPr>
                <w:sz w:val="20"/>
                <w:szCs w:val="20"/>
                <w:color w:val="auto"/>
              </w:rPr>
            </w:pPr>
            <w:r>
              <w:rPr>
                <w:rFonts w:ascii="Arial" w:cs="Arial" w:eastAsia="Arial" w:hAnsi="Arial"/>
                <w:sz w:val="14"/>
                <w:szCs w:val="14"/>
                <w:color w:val="auto"/>
              </w:rPr>
              <w:t>Noncurrent:</w:t>
            </w:r>
          </w:p>
        </w:tc>
        <w:tc>
          <w:tcPr>
            <w:tcW w:w="3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00" w:type="dxa"/>
            <w:vAlign w:val="bottom"/>
            <w:gridSpan w:val="2"/>
          </w:tcPr>
          <w:p>
            <w:pPr>
              <w:ind w:left="160"/>
              <w:spacing w:after="0"/>
              <w:rPr>
                <w:sz w:val="20"/>
                <w:szCs w:val="20"/>
                <w:color w:val="auto"/>
              </w:rPr>
            </w:pPr>
            <w:r>
              <w:rPr>
                <w:rFonts w:ascii="Arial" w:cs="Arial" w:eastAsia="Arial" w:hAnsi="Arial"/>
                <w:sz w:val="14"/>
                <w:szCs w:val="14"/>
                <w:color w:val="auto"/>
              </w:rPr>
              <w:t>Promissory note due from Sempra Energy, variable rate based on</w:t>
            </w:r>
          </w:p>
        </w:tc>
        <w:tc>
          <w:tcPr>
            <w:tcW w:w="5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200" w:type="dxa"/>
            <w:vAlign w:val="bottom"/>
            <w:gridSpan w:val="2"/>
          </w:tcPr>
          <w:p>
            <w:pPr>
              <w:ind w:left="320"/>
              <w:spacing w:after="0"/>
              <w:rPr>
                <w:sz w:val="20"/>
                <w:szCs w:val="20"/>
                <w:color w:val="auto"/>
              </w:rPr>
            </w:pPr>
            <w:r>
              <w:rPr>
                <w:rFonts w:ascii="Arial" w:cs="Arial" w:eastAsia="Arial" w:hAnsi="Arial"/>
                <w:sz w:val="14"/>
                <w:szCs w:val="14"/>
                <w:color w:val="auto"/>
              </w:rPr>
              <w:t>short-term commercial paper rates (0.17% at September 30, 2010)</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1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414"/>
        </w:trPr>
        <w:tc>
          <w:tcPr>
            <w:tcW w:w="202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3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4"/>
                <w:szCs w:val="14"/>
                <w:color w:val="auto"/>
              </w:rPr>
              <w:t>Current:</w:t>
            </w:r>
          </w:p>
        </w:tc>
        <w:tc>
          <w:tcPr>
            <w:tcW w:w="3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vMerge w:val="restart"/>
          </w:tcPr>
          <w:p>
            <w:pPr>
              <w:jc w:val="right"/>
              <w:spacing w:after="0"/>
              <w:rPr>
                <w:sz w:val="20"/>
                <w:szCs w:val="20"/>
                <w:color w:val="auto"/>
              </w:rPr>
            </w:pPr>
            <w:r>
              <w:rPr>
                <w:rFonts w:ascii="Arial" w:cs="Arial" w:eastAsia="Arial" w:hAnsi="Arial"/>
                <w:sz w:val="14"/>
                <w:szCs w:val="14"/>
                <w:color w:val="auto"/>
              </w:rPr>
              <w:t>118</w:t>
            </w: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20" w:type="dxa"/>
            <w:vAlign w:val="bottom"/>
          </w:tcPr>
          <w:p>
            <w:pPr>
              <w:ind w:left="160"/>
              <w:spacing w:after="0"/>
              <w:rPr>
                <w:sz w:val="20"/>
                <w:szCs w:val="20"/>
                <w:color w:val="auto"/>
              </w:rPr>
            </w:pPr>
            <w:r>
              <w:rPr>
                <w:rFonts w:ascii="Arial" w:cs="Arial" w:eastAsia="Arial" w:hAnsi="Arial"/>
                <w:sz w:val="14"/>
                <w:szCs w:val="14"/>
                <w:color w:val="auto"/>
              </w:rPr>
              <w:t>Due from Sempra Energy</w:t>
            </w:r>
          </w:p>
        </w:tc>
        <w:tc>
          <w:tcPr>
            <w:tcW w:w="3180" w:type="dxa"/>
            <w:vAlign w:val="bottom"/>
          </w:tcPr>
          <w:p>
            <w:pPr>
              <w:spacing w:after="0"/>
              <w:rPr>
                <w:sz w:val="16"/>
                <w:szCs w:val="16"/>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64"/>
        </w:trPr>
        <w:tc>
          <w:tcPr>
            <w:tcW w:w="2020" w:type="dxa"/>
            <w:vAlign w:val="bottom"/>
          </w:tcPr>
          <w:p>
            <w:pPr>
              <w:ind w:left="160"/>
              <w:spacing w:after="0"/>
              <w:rPr>
                <w:sz w:val="20"/>
                <w:szCs w:val="20"/>
                <w:color w:val="auto"/>
              </w:rPr>
            </w:pPr>
            <w:r>
              <w:rPr>
                <w:rFonts w:ascii="Arial" w:cs="Arial" w:eastAsia="Arial" w:hAnsi="Arial"/>
                <w:sz w:val="14"/>
                <w:szCs w:val="14"/>
                <w:color w:val="auto"/>
              </w:rPr>
              <w:t>Due to SDG&amp;E</w:t>
            </w:r>
          </w:p>
        </w:tc>
        <w:tc>
          <w:tcPr>
            <w:tcW w:w="3180" w:type="dxa"/>
            <w:vAlign w:val="bottom"/>
          </w:tcPr>
          <w:p>
            <w:pPr>
              <w:spacing w:after="0"/>
              <w:rPr>
                <w:sz w:val="24"/>
                <w:szCs w:val="24"/>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376"/>
        </w:trPr>
        <w:tc>
          <w:tcPr>
            <w:tcW w:w="5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Income taxes due to (from) Sempra Energy(1)</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6"/>
        </w:trPr>
        <w:tc>
          <w:tcPr>
            <w:tcW w:w="2020" w:type="dxa"/>
            <w:vAlign w:val="bottom"/>
          </w:tcPr>
          <w:p>
            <w:pPr>
              <w:spacing w:after="0" w:line="136" w:lineRule="exact"/>
              <w:rPr>
                <w:sz w:val="20"/>
                <w:szCs w:val="20"/>
                <w:color w:val="auto"/>
              </w:rPr>
            </w:pPr>
            <w:r>
              <w:rPr>
                <w:rFonts w:ascii="Arial" w:cs="Arial" w:eastAsia="Arial" w:hAnsi="Arial"/>
                <w:sz w:val="13"/>
                <w:szCs w:val="13"/>
                <w:i w:val="1"/>
                <w:iCs w:val="1"/>
                <w:color w:val="auto"/>
              </w:rPr>
              <w:t>(1)</w:t>
            </w:r>
          </w:p>
        </w:tc>
        <w:tc>
          <w:tcPr>
            <w:tcW w:w="9420" w:type="dxa"/>
            <w:vAlign w:val="bottom"/>
            <w:gridSpan w:val="6"/>
          </w:tcPr>
          <w:p>
            <w:pPr>
              <w:ind w:left="180"/>
              <w:spacing w:after="0" w:line="136" w:lineRule="exact"/>
              <w:rPr>
                <w:sz w:val="20"/>
                <w:szCs w:val="20"/>
                <w:color w:val="auto"/>
              </w:rPr>
            </w:pPr>
            <w:r>
              <w:rPr>
                <w:rFonts w:ascii="Arial" w:cs="Arial" w:eastAsia="Arial" w:hAnsi="Arial"/>
                <w:sz w:val="13"/>
                <w:szCs w:val="13"/>
                <w:i w:val="1"/>
                <w:iCs w:val="1"/>
                <w:color w:val="auto"/>
                <w:w w:val="98"/>
              </w:rPr>
              <w:t>SDG&amp;E, PE and SoCalGas are included in the consolidated income tax return of Sempra Energy and are allocated income tax expense from Sempra Energy in an</w:t>
            </w:r>
          </w:p>
        </w:tc>
        <w:tc>
          <w:tcPr>
            <w:tcW w:w="0" w:type="dxa"/>
            <w:vAlign w:val="bottom"/>
          </w:tcPr>
          <w:p>
            <w:pPr>
              <w:spacing w:after="0"/>
              <w:rPr>
                <w:sz w:val="1"/>
                <w:szCs w:val="1"/>
                <w:color w:val="auto"/>
              </w:rPr>
            </w:pPr>
          </w:p>
        </w:tc>
      </w:tr>
      <w:tr>
        <w:trPr>
          <w:trHeight w:val="166"/>
        </w:trPr>
        <w:tc>
          <w:tcPr>
            <w:tcW w:w="2020" w:type="dxa"/>
            <w:vAlign w:val="bottom"/>
          </w:tcPr>
          <w:p>
            <w:pPr>
              <w:spacing w:after="0"/>
              <w:rPr>
                <w:sz w:val="14"/>
                <w:szCs w:val="14"/>
                <w:color w:val="auto"/>
              </w:rPr>
            </w:pPr>
          </w:p>
        </w:tc>
        <w:tc>
          <w:tcPr>
            <w:tcW w:w="7000" w:type="dxa"/>
            <w:vAlign w:val="bottom"/>
            <w:gridSpan w:val="4"/>
          </w:tcPr>
          <w:p>
            <w:pPr>
              <w:ind w:left="180"/>
              <w:spacing w:after="0"/>
              <w:rPr>
                <w:sz w:val="20"/>
                <w:szCs w:val="20"/>
                <w:color w:val="auto"/>
              </w:rPr>
            </w:pPr>
            <w:r>
              <w:rPr>
                <w:rFonts w:ascii="Arial" w:cs="Arial" w:eastAsia="Arial" w:hAnsi="Arial"/>
                <w:sz w:val="13"/>
                <w:szCs w:val="13"/>
                <w:i w:val="1"/>
                <w:iCs w:val="1"/>
                <w:color w:val="auto"/>
              </w:rPr>
              <w:t>amount equal to that which would result from the companies' having always filed a separate return.</w:t>
            </w: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40"/>
        <w:spacing w:after="0"/>
        <w:rPr>
          <w:sz w:val="20"/>
          <w:szCs w:val="20"/>
          <w:color w:val="auto"/>
        </w:rPr>
      </w:pPr>
      <w:r>
        <w:rPr>
          <w:rFonts w:ascii="Arial" w:cs="Arial" w:eastAsia="Arial" w:hAnsi="Arial"/>
          <w:sz w:val="19"/>
          <w:szCs w:val="19"/>
          <w:color w:val="auto"/>
        </w:rPr>
        <w:t>&lt; /p&gt;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Revenues from unconsolidated affiliates at the Sempra Utilities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3566160" cy="289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289560"/>
                    </a:xfrm>
                    <a:prstGeom prst="rect">
                      <a:avLst/>
                    </a:prstGeom>
                    <a:noFill/>
                  </pic:spPr>
                </pic:pic>
              </a:graphicData>
            </a:graphic>
          </wp:anchor>
        </w:drawing>
      </w:r>
    </w:p>
    <w:p>
      <w:pPr>
        <w:spacing w:after="0" w:line="33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REVENUES FROM UNCONSOLIDATED AFFILIATES AT THE SEMPRA UTILITIES</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(Dollars in millions)</w:t>
      </w:r>
    </w:p>
    <w:p>
      <w:pPr>
        <w:spacing w:after="0" w:line="55" w:lineRule="exact"/>
        <w:rPr>
          <w:sz w:val="20"/>
          <w:szCs w:val="20"/>
          <w:color w:val="auto"/>
        </w:rPr>
      </w:pPr>
    </w:p>
    <w:tbl>
      <w:tblPr>
        <w:tblLayout w:type="fixed"/>
        <w:tblInd w:w="1320" w:type="dxa"/>
        <w:tblCellMar>
          <w:top w:w="0" w:type="dxa"/>
          <w:left w:w="0" w:type="dxa"/>
          <w:bottom w:w="0" w:type="dxa"/>
          <w:right w:w="0" w:type="dxa"/>
        </w:tblCellMar>
      </w:tblPr>
      <w:tr>
        <w:trPr>
          <w:trHeight w:val="154"/>
        </w:trPr>
        <w:tc>
          <w:tcPr>
            <w:tcW w:w="2100" w:type="dxa"/>
            <w:vAlign w:val="bottom"/>
            <w:gridSpan w:val="2"/>
          </w:tcPr>
          <w:p>
            <w:pPr>
              <w:jc w:val="center"/>
              <w:spacing w:after="0"/>
              <w:rPr>
                <w:sz w:val="20"/>
                <w:szCs w:val="20"/>
                <w:color w:val="auto"/>
              </w:rPr>
            </w:pPr>
            <w:r>
              <w:rPr>
                <w:rFonts w:ascii="Arial" w:cs="Arial" w:eastAsia="Arial" w:hAnsi="Arial"/>
                <w:sz w:val="13"/>
                <w:szCs w:val="13"/>
                <w:color w:val="auto"/>
                <w:w w:val="98"/>
              </w:rPr>
              <w:t>Three months ended</w:t>
            </w:r>
          </w:p>
        </w:tc>
        <w:tc>
          <w:tcPr>
            <w:tcW w:w="2200" w:type="dxa"/>
            <w:vAlign w:val="bottom"/>
            <w:gridSpan w:val="2"/>
          </w:tcPr>
          <w:p>
            <w:pPr>
              <w:jc w:val="center"/>
              <w:spacing w:after="0"/>
              <w:rPr>
                <w:sz w:val="20"/>
                <w:szCs w:val="20"/>
                <w:color w:val="auto"/>
              </w:rPr>
            </w:pPr>
            <w:r>
              <w:rPr>
                <w:rFonts w:ascii="Arial" w:cs="Arial" w:eastAsia="Arial" w:hAnsi="Arial"/>
                <w:sz w:val="13"/>
                <w:szCs w:val="13"/>
                <w:color w:val="auto"/>
                <w:w w:val="97"/>
              </w:rPr>
              <w:t>Nine months ended</w:t>
            </w:r>
          </w:p>
        </w:tc>
      </w:tr>
      <w:tr>
        <w:trPr>
          <w:trHeight w:val="154"/>
        </w:trPr>
        <w:tc>
          <w:tcPr>
            <w:tcW w:w="2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8"/>
              </w:rPr>
              <w:t>September 30,</w:t>
            </w:r>
          </w:p>
        </w:tc>
        <w:tc>
          <w:tcPr>
            <w:tcW w:w="6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616"/>
              <w:spacing w:after="0"/>
              <w:rPr>
                <w:sz w:val="20"/>
                <w:szCs w:val="20"/>
                <w:color w:val="auto"/>
              </w:rPr>
            </w:pPr>
            <w:r>
              <w:rPr>
                <w:rFonts w:ascii="Arial" w:cs="Arial" w:eastAsia="Arial" w:hAnsi="Arial"/>
                <w:sz w:val="13"/>
                <w:szCs w:val="13"/>
                <w:color w:val="auto"/>
                <w:w w:val="98"/>
              </w:rPr>
              <w:t>September 30,</w:t>
            </w:r>
          </w:p>
        </w:tc>
      </w:tr>
      <w:tr>
        <w:trPr>
          <w:trHeight w:val="157"/>
        </w:trPr>
        <w:tc>
          <w:tcPr>
            <w:tcW w:w="1060" w:type="dxa"/>
            <w:vAlign w:val="bottom"/>
          </w:tcPr>
          <w:p>
            <w:pPr>
              <w:jc w:val="right"/>
              <w:ind w:right="316"/>
              <w:spacing w:after="0"/>
              <w:rPr>
                <w:sz w:val="20"/>
                <w:szCs w:val="20"/>
                <w:color w:val="auto"/>
              </w:rPr>
            </w:pPr>
            <w:r>
              <w:rPr>
                <w:rFonts w:ascii="Arial" w:cs="Arial" w:eastAsia="Arial" w:hAnsi="Arial"/>
                <w:sz w:val="13"/>
                <w:szCs w:val="13"/>
                <w:color w:val="auto"/>
              </w:rPr>
              <w:t>2010</w:t>
            </w:r>
          </w:p>
        </w:tc>
        <w:tc>
          <w:tcPr>
            <w:tcW w:w="1040" w:type="dxa"/>
            <w:vAlign w:val="bottom"/>
          </w:tcPr>
          <w:p>
            <w:pPr>
              <w:jc w:val="right"/>
              <w:ind w:right="316"/>
              <w:spacing w:after="0"/>
              <w:rPr>
                <w:sz w:val="20"/>
                <w:szCs w:val="20"/>
                <w:color w:val="auto"/>
              </w:rPr>
            </w:pPr>
            <w:r>
              <w:rPr>
                <w:rFonts w:ascii="Arial" w:cs="Arial" w:eastAsia="Arial" w:hAnsi="Arial"/>
                <w:sz w:val="13"/>
                <w:szCs w:val="13"/>
                <w:color w:val="auto"/>
              </w:rPr>
              <w:t>2009</w:t>
            </w:r>
          </w:p>
        </w:tc>
        <w:tc>
          <w:tcPr>
            <w:tcW w:w="680" w:type="dxa"/>
            <w:vAlign w:val="bottom"/>
          </w:tcPr>
          <w:p>
            <w:pPr>
              <w:jc w:val="right"/>
              <w:spacing w:after="0"/>
              <w:rPr>
                <w:sz w:val="20"/>
                <w:szCs w:val="20"/>
                <w:color w:val="auto"/>
              </w:rPr>
            </w:pPr>
            <w:r>
              <w:rPr>
                <w:rFonts w:ascii="Arial" w:cs="Arial" w:eastAsia="Arial" w:hAnsi="Arial"/>
                <w:sz w:val="13"/>
                <w:szCs w:val="13"/>
                <w:color w:val="auto"/>
              </w:rPr>
              <w:t>2010</w:t>
            </w:r>
          </w:p>
        </w:tc>
        <w:tc>
          <w:tcPr>
            <w:tcW w:w="1520" w:type="dxa"/>
            <w:vAlign w:val="bottom"/>
          </w:tcPr>
          <w:p>
            <w:pPr>
              <w:jc w:val="right"/>
              <w:ind w:right="376"/>
              <w:spacing w:after="0"/>
              <w:rPr>
                <w:sz w:val="20"/>
                <w:szCs w:val="20"/>
                <w:color w:val="auto"/>
              </w:rPr>
            </w:pPr>
            <w:r>
              <w:rPr>
                <w:rFonts w:ascii="Arial" w:cs="Arial" w:eastAsia="Arial" w:hAnsi="Arial"/>
                <w:sz w:val="13"/>
                <w:szCs w:val="13"/>
                <w:color w:val="auto"/>
              </w:rPr>
              <w:t>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5661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7620"/>
                    </a:xfrm>
                    <a:prstGeom prst="rect">
                      <a:avLst/>
                    </a:prstGeom>
                    <a:noFill/>
                  </pic:spPr>
                </pic:pic>
              </a:graphicData>
            </a:graphic>
          </wp:anchor>
        </w:drawing>
      </w:r>
    </w:p>
    <w:p>
      <w:pPr>
        <w:sectPr>
          <w:pgSz w:w="11900" w:h="16838" w:orient="portrait"/>
          <w:cols w:equalWidth="0" w:num="1">
            <w:col w:w="11440"/>
          </w:cols>
          <w:pgMar w:left="240" w:top="309" w:right="219" w:bottom="0" w:gutter="0" w:footer="0" w:header="0"/>
        </w:sectPr>
      </w:pPr>
    </w:p>
    <w:p>
      <w:pPr>
        <w:ind w:left="80"/>
        <w:spacing w:after="0"/>
        <w:tabs>
          <w:tab w:leader="none" w:pos="1380" w:val="left"/>
          <w:tab w:leader="none" w:pos="2160" w:val="left"/>
          <w:tab w:leader="none" w:pos="2500" w:val="left"/>
          <w:tab w:leader="none" w:pos="3180" w:val="left"/>
          <w:tab w:leader="none" w:pos="3480" w:val="left"/>
          <w:tab w:leader="none" w:pos="4280" w:val="left"/>
          <w:tab w:leader="none" w:pos="4580" w:val="left"/>
          <w:tab w:leader="none" w:pos="5380" w:val="left"/>
        </w:tabs>
        <w:rPr>
          <w:sz w:val="20"/>
          <w:szCs w:val="20"/>
          <w:color w:val="auto"/>
        </w:rPr>
      </w:pPr>
      <w:r>
        <w:rPr>
          <w:rFonts w:ascii="Arial" w:cs="Arial" w:eastAsia="Arial" w:hAnsi="Arial"/>
          <w:sz w:val="14"/>
          <w:szCs w:val="14"/>
          <w:color w:val="auto"/>
        </w:rPr>
        <w:t>SDG&amp;E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9"/>
          <w:szCs w:val="19"/>
          <w:color w:val="auto"/>
        </w:rPr>
        <w:t>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w:t>
        <w:tab/>
        <w:t>$</w:t>
      </w:r>
      <w:r>
        <w:rPr>
          <w:sz w:val="20"/>
          <w:szCs w:val="20"/>
          <w:color w:val="auto"/>
        </w:rPr>
        <w:tab/>
      </w:r>
      <w:r>
        <w:rPr>
          <w:rFonts w:ascii="Arial" w:cs="Arial" w:eastAsia="Arial" w:hAnsi="Arial"/>
          <w:sz w:val="14"/>
          <w:szCs w:val="14"/>
          <w:color w:val="auto"/>
        </w:rPr>
        <w:t>6</w:t>
        <w:tab/>
        <w:t>$</w:t>
      </w:r>
      <w:r>
        <w:rPr>
          <w:sz w:val="20"/>
          <w:szCs w:val="20"/>
          <w:color w:val="auto"/>
        </w:rPr>
        <w:tab/>
      </w:r>
      <w:r>
        <w:rPr>
          <w:rFonts w:ascii="Arial" w:cs="Arial" w:eastAsia="Arial" w:hAnsi="Arial"/>
          <w:sz w:val="14"/>
          <w:szCs w:val="14"/>
          <w:color w:val="auto"/>
        </w:rPr>
        <w:t>6</w:t>
      </w:r>
    </w:p>
    <w:p>
      <w:pPr>
        <w:sectPr>
          <w:pgSz w:w="11900" w:h="16838" w:orient="portrait"/>
          <w:cols w:equalWidth="0" w:num="1">
            <w:col w:w="11440"/>
          </w:cols>
          <w:pgMar w:left="240" w:top="309" w:right="219" w:bottom="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82"/>
        </w:trPr>
        <w:tc>
          <w:tcPr>
            <w:tcW w:w="144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SoCalGas</w:t>
            </w:r>
          </w:p>
        </w:tc>
        <w:tc>
          <w:tcPr>
            <w:tcW w:w="1300" w:type="dxa"/>
            <w:vAlign w:val="bottom"/>
            <w:tcBorders>
              <w:bottom w:val="single" w:sz="8" w:color="C0C0C0"/>
            </w:tcBorders>
          </w:tcPr>
          <w:p>
            <w:pPr>
              <w:jc w:val="right"/>
              <w:ind w:right="388"/>
              <w:spacing w:after="0"/>
              <w:rPr>
                <w:sz w:val="20"/>
                <w:szCs w:val="20"/>
                <w:color w:val="auto"/>
              </w:rPr>
            </w:pPr>
            <w:r>
              <w:rPr>
                <w:rFonts w:ascii="Arial" w:cs="Arial" w:eastAsia="Arial" w:hAnsi="Arial"/>
                <w:sz w:val="14"/>
                <w:szCs w:val="14"/>
                <w:color w:val="auto"/>
              </w:rPr>
              <w:t>11</w:t>
            </w:r>
          </w:p>
        </w:tc>
        <w:tc>
          <w:tcPr>
            <w:tcW w:w="1020" w:type="dxa"/>
            <w:vAlign w:val="bottom"/>
            <w:tcBorders>
              <w:bottom w:val="single" w:sz="8" w:color="C0C0C0"/>
            </w:tcBorders>
          </w:tcPr>
          <w:p>
            <w:pPr>
              <w:jc w:val="right"/>
              <w:ind w:right="408"/>
              <w:spacing w:after="0"/>
              <w:rPr>
                <w:sz w:val="20"/>
                <w:szCs w:val="20"/>
                <w:color w:val="auto"/>
              </w:rPr>
            </w:pPr>
            <w:r>
              <w:rPr>
                <w:rFonts w:ascii="Arial" w:cs="Arial" w:eastAsia="Arial" w:hAnsi="Arial"/>
                <w:sz w:val="14"/>
                <w:szCs w:val="14"/>
                <w:color w:val="auto"/>
              </w:rPr>
              <w:t>9</w:t>
            </w:r>
          </w:p>
        </w:tc>
        <w:tc>
          <w:tcPr>
            <w:tcW w:w="1080" w:type="dxa"/>
            <w:vAlign w:val="bottom"/>
            <w:tcBorders>
              <w:bottom w:val="single" w:sz="8" w:color="C0C0C0"/>
            </w:tcBorders>
          </w:tcPr>
          <w:p>
            <w:pPr>
              <w:jc w:val="right"/>
              <w:ind w:right="388"/>
              <w:spacing w:after="0"/>
              <w:rPr>
                <w:sz w:val="20"/>
                <w:szCs w:val="20"/>
                <w:color w:val="auto"/>
              </w:rPr>
            </w:pPr>
            <w:r>
              <w:rPr>
                <w:rFonts w:ascii="Arial" w:cs="Arial" w:eastAsia="Arial" w:hAnsi="Arial"/>
                <w:sz w:val="14"/>
                <w:szCs w:val="14"/>
                <w:color w:val="auto"/>
              </w:rPr>
              <w:t>32</w:t>
            </w:r>
          </w:p>
        </w:tc>
        <w:tc>
          <w:tcPr>
            <w:tcW w:w="780" w:type="dxa"/>
            <w:vAlign w:val="bottom"/>
            <w:tcBorders>
              <w:bottom w:val="single" w:sz="8" w:color="C0C0C0"/>
            </w:tcBorders>
          </w:tcPr>
          <w:p>
            <w:pPr>
              <w:jc w:val="right"/>
              <w:ind w:right="68"/>
              <w:spacing w:after="0"/>
              <w:rPr>
                <w:sz w:val="20"/>
                <w:szCs w:val="20"/>
                <w:color w:val="auto"/>
              </w:rPr>
            </w:pPr>
            <w:r>
              <w:rPr>
                <w:rFonts w:ascii="Arial" w:cs="Arial" w:eastAsia="Arial" w:hAnsi="Arial"/>
                <w:sz w:val="14"/>
                <w:szCs w:val="14"/>
                <w:color w:val="auto"/>
              </w:rPr>
              <w:t>24</w:t>
            </w: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Transactions with RBS Sempra Commodities</w:t>
      </w:r>
    </w:p>
    <w:p>
      <w:pPr>
        <w:spacing w:after="0" w:line="5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Several of our business units engage in transactions with RBS Sempra Commodities. Amounts in our Condensed Consolidated Financial Statements related to these transactions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261860" cy="289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RECORDED FOR TRANSACTIONS WITH RBS SEMPRA COMMODITIES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0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680" w:type="dxa"/>
            <w:vAlign w:val="bottom"/>
            <w:gridSpan w:val="4"/>
          </w:tcPr>
          <w:p>
            <w:pPr>
              <w:jc w:val="right"/>
              <w:ind w:right="167"/>
              <w:spacing w:after="0"/>
              <w:rPr>
                <w:sz w:val="20"/>
                <w:szCs w:val="20"/>
                <w:color w:val="auto"/>
              </w:rPr>
            </w:pPr>
            <w:r>
              <w:rPr>
                <w:rFonts w:ascii="Arial" w:cs="Arial" w:eastAsia="Arial" w:hAnsi="Arial"/>
                <w:sz w:val="13"/>
                <w:szCs w:val="13"/>
                <w:color w:val="auto"/>
              </w:rPr>
              <w:t>Three months ended</w:t>
            </w:r>
          </w:p>
        </w:tc>
        <w:tc>
          <w:tcPr>
            <w:tcW w:w="278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Arial" w:cs="Arial" w:eastAsia="Arial" w:hAnsi="Arial"/>
                <w:sz w:val="13"/>
                <w:szCs w:val="13"/>
                <w:color w:val="auto"/>
              </w:rPr>
              <w:t>Nine months ended</w:t>
            </w:r>
          </w:p>
        </w:tc>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0" w:type="dxa"/>
            <w:vAlign w:val="bottom"/>
            <w:gridSpan w:val="4"/>
          </w:tcPr>
          <w:p>
            <w:pPr>
              <w:jc w:val="right"/>
              <w:ind w:right="436"/>
              <w:spacing w:after="0"/>
              <w:rPr>
                <w:sz w:val="20"/>
                <w:szCs w:val="20"/>
                <w:color w:val="auto"/>
              </w:rPr>
            </w:pPr>
            <w:r>
              <w:rPr>
                <w:rFonts w:ascii="Arial" w:cs="Arial" w:eastAsia="Arial" w:hAnsi="Arial"/>
                <w:sz w:val="19"/>
                <w:szCs w:val="19"/>
                <w:color w:val="auto"/>
                <w:w w:val="97"/>
              </w:rPr>
              <w:t>&lt; p style="MARGIN:0in 0in 0pt; TEXT-ALIGN:center" align=center&gt;</w:t>
            </w:r>
            <w:r>
              <w:rPr>
                <w:rFonts w:ascii="Arial" w:cs="Arial" w:eastAsia="Arial" w:hAnsi="Arial"/>
                <w:sz w:val="12"/>
                <w:szCs w:val="12"/>
                <w:color w:val="auto"/>
                <w:w w:val="97"/>
              </w:rPr>
              <w:t>September 30,</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20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3"/>
                <w:szCs w:val="13"/>
                <w:color w:val="auto"/>
              </w:rPr>
              <w:t>September 30,</w:t>
            </w:r>
          </w:p>
        </w:tc>
        <w:tc>
          <w:tcPr>
            <w:tcW w:w="27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2010</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color w:val="auto"/>
              </w:rPr>
              <w:t>2009</w:t>
            </w:r>
          </w:p>
        </w:tc>
        <w:tc>
          <w:tcPr>
            <w:tcW w:w="2780" w:type="dxa"/>
            <w:vAlign w:val="bottom"/>
            <w:tcBorders>
              <w:bottom w:val="single" w:sz="8" w:color="auto"/>
            </w:tcBorders>
          </w:tcPr>
          <w:p>
            <w:pPr>
              <w:jc w:val="right"/>
              <w:ind w:right="666"/>
              <w:spacing w:after="0"/>
              <w:rPr>
                <w:sz w:val="20"/>
                <w:szCs w:val="20"/>
                <w:color w:val="auto"/>
              </w:rPr>
            </w:pPr>
            <w:r>
              <w:rPr>
                <w:rFonts w:ascii="Arial" w:cs="Arial" w:eastAsia="Arial" w:hAnsi="Arial"/>
                <w:sz w:val="13"/>
                <w:szCs w:val="13"/>
                <w:color w:val="auto"/>
              </w:rPr>
              <w:t>2010</w:t>
            </w:r>
          </w:p>
        </w:tc>
        <w:tc>
          <w:tcPr>
            <w:tcW w:w="16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jc w:val="right"/>
              <w:ind w:right="916"/>
              <w:spacing w:after="0"/>
              <w:rPr>
                <w:sz w:val="20"/>
                <w:szCs w:val="20"/>
                <w:color w:val="auto"/>
              </w:rPr>
            </w:pPr>
            <w:r>
              <w:rPr>
                <w:rFonts w:ascii="Arial" w:cs="Arial" w:eastAsia="Arial" w:hAnsi="Arial"/>
                <w:sz w:val="13"/>
                <w:szCs w:val="13"/>
                <w:color w:val="auto"/>
              </w:rPr>
              <w:t>2009</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4"/>
        </w:trPr>
        <w:tc>
          <w:tcPr>
            <w:tcW w:w="2200" w:type="dxa"/>
            <w:vAlign w:val="bottom"/>
          </w:tcPr>
          <w:p>
            <w:pPr>
              <w:spacing w:after="0"/>
              <w:rPr>
                <w:sz w:val="20"/>
                <w:szCs w:val="20"/>
                <w:color w:val="auto"/>
              </w:rPr>
            </w:pPr>
            <w:r>
              <w:rPr>
                <w:rFonts w:ascii="Arial" w:cs="Arial" w:eastAsia="Arial" w:hAnsi="Arial"/>
                <w:sz w:val="14"/>
                <w:szCs w:val="14"/>
                <w:color w:val="auto"/>
              </w:rPr>
              <w:t>Revenues: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9"/>
                <w:szCs w:val="19"/>
                <w:color w:val="auto"/>
                <w:w w:val="90"/>
              </w:rPr>
              <w:t>&lt; /td&gt;</w:t>
            </w:r>
          </w:p>
        </w:tc>
        <w:tc>
          <w:tcPr>
            <w:tcW w:w="2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200" w:type="dxa"/>
            <w:vAlign w:val="bottom"/>
          </w:tcPr>
          <w:p>
            <w:pPr>
              <w:ind w:left="160"/>
              <w:spacing w:after="0"/>
              <w:rPr>
                <w:sz w:val="20"/>
                <w:szCs w:val="20"/>
                <w:color w:val="auto"/>
              </w:rPr>
            </w:pPr>
            <w:r>
              <w:rPr>
                <w:rFonts w:ascii="Arial" w:cs="Arial" w:eastAsia="Arial" w:hAnsi="Arial"/>
                <w:sz w:val="14"/>
                <w:szCs w:val="14"/>
                <w:color w:val="auto"/>
              </w:rPr>
              <w:t>Sempra LNG(1)</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w:t>
            </w:r>
          </w:p>
        </w:tc>
        <w:tc>
          <w:tcPr>
            <w:tcW w:w="2780" w:type="dxa"/>
            <w:vAlign w:val="bottom"/>
          </w:tcPr>
          <w:p>
            <w:pPr>
              <w:jc w:val="right"/>
              <w:ind w:right="1786"/>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199</w:t>
            </w:r>
          </w:p>
        </w:tc>
        <w:tc>
          <w:tcPr>
            <w:tcW w:w="2380" w:type="dxa"/>
            <w:vAlign w:val="bottom"/>
            <w:gridSpan w:val="2"/>
          </w:tcPr>
          <w:p>
            <w:pPr>
              <w:jc w:val="right"/>
              <w:ind w:right="2136"/>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2"/>
        </w:trPr>
        <w:tc>
          <w:tcPr>
            <w:tcW w:w="2200" w:type="dxa"/>
            <w:vAlign w:val="bottom"/>
          </w:tcPr>
          <w:p>
            <w:pPr>
              <w:ind w:left="160"/>
              <w:spacing w:after="0"/>
              <w:rPr>
                <w:sz w:val="20"/>
                <w:szCs w:val="20"/>
                <w:color w:val="auto"/>
              </w:rPr>
            </w:pPr>
            <w:r>
              <w:rPr>
                <w:rFonts w:ascii="Arial" w:cs="Arial" w:eastAsia="Arial" w:hAnsi="Arial"/>
                <w:sz w:val="14"/>
                <w:szCs w:val="14"/>
                <w:color w:val="auto"/>
              </w:rPr>
              <w:t>Sempra Commodities</w:t>
            </w:r>
          </w:p>
        </w:tc>
        <w:tc>
          <w:tcPr>
            <w:tcW w:w="7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w:t>
            </w:r>
          </w:p>
        </w:tc>
        <w:tc>
          <w:tcPr>
            <w:tcW w:w="2780" w:type="dxa"/>
            <w:vAlign w:val="bottom"/>
          </w:tcPr>
          <w:p>
            <w:pPr>
              <w:spacing w:after="0"/>
              <w:rPr>
                <w:sz w:val="16"/>
                <w:szCs w:val="16"/>
                <w:color w:val="auto"/>
              </w:rPr>
            </w:pP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0"/>
        </w:trPr>
        <w:tc>
          <w:tcPr>
            <w:tcW w:w="2200" w:type="dxa"/>
            <w:vAlign w:val="bottom"/>
          </w:tcPr>
          <w:p>
            <w:pPr>
              <w:ind w:left="160"/>
              <w:spacing w:after="0"/>
              <w:rPr>
                <w:sz w:val="20"/>
                <w:szCs w:val="20"/>
                <w:color w:val="auto"/>
              </w:rPr>
            </w:pPr>
            <w:r>
              <w:rPr>
                <w:rFonts w:ascii="Arial" w:cs="Arial" w:eastAsia="Arial" w:hAnsi="Arial"/>
                <w:sz w:val="14"/>
                <w:szCs w:val="14"/>
                <w:color w:val="auto"/>
              </w:rPr>
              <w:t>SDG&amp;E</w:t>
            </w:r>
          </w:p>
        </w:tc>
        <w:tc>
          <w:tcPr>
            <w:tcW w:w="7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2780" w:type="dxa"/>
            <w:vAlign w:val="bottom"/>
          </w:tcPr>
          <w:p>
            <w:pPr>
              <w:spacing w:after="0"/>
              <w:rPr>
                <w:sz w:val="16"/>
                <w:szCs w:val="16"/>
                <w:color w:val="auto"/>
              </w:rPr>
            </w:pP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2200" w:type="dxa"/>
            <w:vAlign w:val="bottom"/>
          </w:tcPr>
          <w:p>
            <w:pPr>
              <w:ind w:left="160"/>
              <w:spacing w:after="0"/>
              <w:rPr>
                <w:sz w:val="20"/>
                <w:szCs w:val="20"/>
                <w:color w:val="auto"/>
              </w:rPr>
            </w:pPr>
            <w:r>
              <w:rPr>
                <w:rFonts w:ascii="Arial" w:cs="Arial" w:eastAsia="Arial" w:hAnsi="Arial"/>
                <w:sz w:val="14"/>
                <w:szCs w:val="14"/>
                <w:color w:val="auto"/>
              </w:rPr>
              <w:t>SoCalGas</w:t>
            </w:r>
          </w:p>
        </w:tc>
        <w:tc>
          <w:tcPr>
            <w:tcW w:w="700" w:type="dxa"/>
            <w:vAlign w:val="bottom"/>
          </w:tcPr>
          <w:p>
            <w:pPr>
              <w:jc w:val="right"/>
              <w:spacing w:after="0"/>
              <w:rPr>
                <w:sz w:val="20"/>
                <w:szCs w:val="20"/>
                <w:color w:val="auto"/>
              </w:rPr>
            </w:pPr>
            <w:r>
              <w:rPr>
                <w:rFonts w:ascii="Arial" w:cs="Arial" w:eastAsia="Arial" w:hAnsi="Arial"/>
                <w:sz w:val="16"/>
                <w:szCs w:val="16"/>
                <w:color w:val="auto"/>
              </w:rPr>
              <w:t>&amp;n bsp;</w:t>
            </w: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2780" w:type="dxa"/>
            <w:vAlign w:val="bottom"/>
          </w:tcPr>
          <w:p>
            <w:pPr>
              <w:spacing w:after="0"/>
              <w:rPr>
                <w:sz w:val="17"/>
                <w:szCs w:val="17"/>
                <w:color w:val="auto"/>
              </w:rPr>
            </w:pP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8"/>
        </w:trPr>
        <w:tc>
          <w:tcPr>
            <w:tcW w:w="2200" w:type="dxa"/>
            <w:vAlign w:val="bottom"/>
          </w:tcPr>
          <w:p>
            <w:pPr>
              <w:ind w:left="160"/>
              <w:spacing w:after="0"/>
              <w:rPr>
                <w:sz w:val="20"/>
                <w:szCs w:val="20"/>
                <w:color w:val="auto"/>
              </w:rPr>
            </w:pPr>
            <w:r>
              <w:rPr>
                <w:rFonts w:ascii="Arial" w:cs="Arial" w:eastAsia="Arial" w:hAnsi="Arial"/>
                <w:sz w:val="14"/>
                <w:szCs w:val="14"/>
                <w:color w:val="auto"/>
              </w:rPr>
              <w:t>Sempra Generation</w:t>
            </w: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2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8"/>
        </w:trPr>
        <w:tc>
          <w:tcPr>
            <w:tcW w:w="2200" w:type="dxa"/>
            <w:vAlign w:val="bottom"/>
          </w:tcPr>
          <w:p>
            <w:pPr>
              <w:ind w:left="320"/>
              <w:spacing w:after="0"/>
              <w:rPr>
                <w:sz w:val="20"/>
                <w:szCs w:val="20"/>
                <w:color w:val="auto"/>
              </w:rPr>
            </w:pPr>
            <w:r>
              <w:rPr>
                <w:rFonts w:ascii="Arial" w:cs="Arial" w:eastAsia="Arial" w:hAnsi="Arial"/>
                <w:sz w:val="14"/>
                <w:szCs w:val="14"/>
                <w:color w:val="auto"/>
              </w:rPr>
              <w:t>Total revenues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780" w:type="dxa"/>
            <w:vAlign w:val="bottom"/>
            <w:tcBorders>
              <w:bottom w:val="single" w:sz="8" w:color="auto"/>
            </w:tcBorders>
          </w:tcPr>
          <w:p>
            <w:pPr>
              <w:jc w:val="right"/>
              <w:ind w:right="1786"/>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226</w:t>
            </w:r>
          </w:p>
        </w:tc>
        <w:tc>
          <w:tcPr>
            <w:tcW w:w="2380" w:type="dxa"/>
            <w:vAlign w:val="bottom"/>
            <w:tcBorders>
              <w:bottom w:val="single" w:sz="8" w:color="auto"/>
            </w:tcBorders>
            <w:gridSpan w:val="2"/>
          </w:tcPr>
          <w:p>
            <w:pPr>
              <w:jc w:val="right"/>
              <w:ind w:right="2136"/>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378"/>
        </w:trPr>
        <w:tc>
          <w:tcPr>
            <w:tcW w:w="2200" w:type="dxa"/>
            <w:vAlign w:val="bottom"/>
          </w:tcPr>
          <w:p>
            <w:pPr>
              <w:spacing w:after="0"/>
              <w:rPr>
                <w:sz w:val="20"/>
                <w:szCs w:val="20"/>
                <w:color w:val="auto"/>
              </w:rPr>
            </w:pPr>
            <w:r>
              <w:rPr>
                <w:rFonts w:ascii="Arial" w:cs="Arial" w:eastAsia="Arial" w:hAnsi="Arial"/>
                <w:sz w:val="14"/>
                <w:szCs w:val="14"/>
                <w:color w:val="auto"/>
              </w:rPr>
              <w:t>Cost of natural gas: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9"/>
                <w:szCs w:val="19"/>
                <w:color w:val="auto"/>
              </w:rPr>
              <w:t>Sempra LNG</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780" w:type="dxa"/>
            <w:vAlign w:val="bottom"/>
          </w:tcPr>
          <w:p>
            <w:pPr>
              <w:jc w:val="right"/>
              <w:ind w:right="1786"/>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208</w:t>
            </w:r>
          </w:p>
        </w:tc>
        <w:tc>
          <w:tcPr>
            <w:tcW w:w="2380" w:type="dxa"/>
            <w:vAlign w:val="bottom"/>
            <w:gridSpan w:val="2"/>
          </w:tcPr>
          <w:p>
            <w:pPr>
              <w:jc w:val="right"/>
              <w:ind w:right="2136"/>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200" w:type="dxa"/>
            <w:vAlign w:val="bottom"/>
          </w:tcPr>
          <w:p>
            <w:pPr>
              <w:ind w:left="160"/>
              <w:spacing w:after="0"/>
              <w:rPr>
                <w:sz w:val="20"/>
                <w:szCs w:val="20"/>
                <w:color w:val="auto"/>
              </w:rPr>
            </w:pPr>
            <w:r>
              <w:rPr>
                <w:rFonts w:ascii="Arial" w:cs="Arial" w:eastAsia="Arial" w:hAnsi="Arial"/>
                <w:sz w:val="14"/>
                <w:szCs w:val="14"/>
                <w:color w:val="auto"/>
              </w:rPr>
              <w:t>Sempra Generation</w:t>
            </w:r>
          </w:p>
        </w:tc>
        <w:tc>
          <w:tcPr>
            <w:tcW w:w="7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780" w:type="dxa"/>
            <w:vAlign w:val="bottom"/>
          </w:tcPr>
          <w:p>
            <w:pPr>
              <w:spacing w:after="0"/>
              <w:rPr>
                <w:sz w:val="16"/>
                <w:szCs w:val="16"/>
                <w:color w:val="auto"/>
              </w:rPr>
            </w:pP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58</w:t>
            </w: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200" w:type="dxa"/>
            <w:vAlign w:val="bottom"/>
          </w:tcPr>
          <w:p>
            <w:pPr>
              <w:ind w:left="160"/>
              <w:spacing w:after="0"/>
              <w:rPr>
                <w:sz w:val="20"/>
                <w:szCs w:val="20"/>
                <w:color w:val="auto"/>
              </w:rPr>
            </w:pPr>
            <w:r>
              <w:rPr>
                <w:rFonts w:ascii="Arial" w:cs="Arial" w:eastAsia="Arial" w:hAnsi="Arial"/>
                <w:sz w:val="14"/>
                <w:szCs w:val="14"/>
                <w:color w:val="auto"/>
              </w:rPr>
              <w:t>SoCalGas</w:t>
            </w:r>
          </w:p>
        </w:tc>
        <w:tc>
          <w:tcPr>
            <w:tcW w:w="7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2780" w:type="dxa"/>
            <w:vAlign w:val="bottom"/>
          </w:tcPr>
          <w:p>
            <w:pPr>
              <w:spacing w:after="0"/>
              <w:rPr>
                <w:sz w:val="16"/>
                <w:szCs w:val="16"/>
                <w:color w:val="auto"/>
              </w:rPr>
            </w:pP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2"/>
        </w:trPr>
        <w:tc>
          <w:tcPr>
            <w:tcW w:w="2200" w:type="dxa"/>
            <w:vAlign w:val="bottom"/>
          </w:tcPr>
          <w:p>
            <w:pPr>
              <w:ind w:left="200"/>
              <w:spacing w:after="0"/>
              <w:rPr>
                <w:sz w:val="20"/>
                <w:szCs w:val="20"/>
                <w:color w:val="auto"/>
              </w:rPr>
            </w:pPr>
            <w:r>
              <w:rPr>
                <w:rFonts w:ascii="Arial" w:cs="Arial" w:eastAsia="Arial" w:hAnsi="Arial"/>
                <w:sz w:val="14"/>
                <w:szCs w:val="14"/>
                <w:color w:val="auto"/>
              </w:rPr>
              <w:t>Sempra Pipelines &amp; Storage</w:t>
            </w:r>
          </w:p>
        </w:tc>
        <w:tc>
          <w:tcPr>
            <w:tcW w:w="7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2780" w:type="dxa"/>
            <w:vAlign w:val="bottom"/>
          </w:tcPr>
          <w:p>
            <w:pPr>
              <w:spacing w:after="0"/>
              <w:rPr>
                <w:sz w:val="16"/>
                <w:szCs w:val="16"/>
                <w:color w:val="auto"/>
              </w:rPr>
            </w:pP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4"/>
        </w:trPr>
        <w:tc>
          <w:tcPr>
            <w:tcW w:w="2200" w:type="dxa"/>
            <w:vAlign w:val="bottom"/>
          </w:tcPr>
          <w:p>
            <w:pPr>
              <w:ind w:left="160"/>
              <w:spacing w:after="0"/>
              <w:rPr>
                <w:sz w:val="20"/>
                <w:szCs w:val="20"/>
                <w:color w:val="auto"/>
              </w:rPr>
            </w:pPr>
            <w:r>
              <w:rPr>
                <w:rFonts w:ascii="Arial" w:cs="Arial" w:eastAsia="Arial" w:hAnsi="Arial"/>
                <w:sz w:val="14"/>
                <w:szCs w:val="14"/>
                <w:color w:val="auto"/>
              </w:rPr>
              <w:t>SDG&amp;E</w:t>
            </w: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7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200" w:type="dxa"/>
            <w:vAlign w:val="bottom"/>
          </w:tcPr>
          <w:p>
            <w:pPr>
              <w:ind w:left="320"/>
              <w:spacing w:after="0" w:line="148" w:lineRule="exact"/>
              <w:rPr>
                <w:sz w:val="20"/>
                <w:szCs w:val="20"/>
                <w:color w:val="auto"/>
              </w:rPr>
            </w:pPr>
            <w:r>
              <w:rPr>
                <w:rFonts w:ascii="Arial" w:cs="Arial" w:eastAsia="Arial" w:hAnsi="Arial"/>
                <w:sz w:val="14"/>
                <w:szCs w:val="14"/>
                <w:color w:val="auto"/>
              </w:rPr>
              <w:t>Total cost of natural gas</w:t>
            </w:r>
          </w:p>
        </w:tc>
        <w:tc>
          <w:tcPr>
            <w:tcW w:w="7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8" w:lineRule="exact"/>
              <w:rPr>
                <w:sz w:val="20"/>
                <w:szCs w:val="20"/>
                <w:color w:val="auto"/>
              </w:rPr>
            </w:pPr>
            <w:r>
              <w:rPr>
                <w:rFonts w:ascii="Arial" w:cs="Arial" w:eastAsia="Arial" w:hAnsi="Arial"/>
                <w:sz w:val="14"/>
                <w:szCs w:val="14"/>
                <w:color w:val="auto"/>
              </w:rPr>
              <w:t>110</w:t>
            </w:r>
          </w:p>
        </w:tc>
        <w:tc>
          <w:tcPr>
            <w:tcW w:w="1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8" w:lineRule="exact"/>
              <w:rPr>
                <w:sz w:val="20"/>
                <w:szCs w:val="20"/>
                <w:color w:val="auto"/>
              </w:rPr>
            </w:pPr>
            <w:r>
              <w:rPr>
                <w:rFonts w:ascii="Arial" w:cs="Arial" w:eastAsia="Arial" w:hAnsi="Arial"/>
                <w:sz w:val="14"/>
                <w:szCs w:val="14"/>
                <w:color w:val="auto"/>
              </w:rPr>
              <w:t>6</w:t>
            </w:r>
          </w:p>
        </w:tc>
        <w:tc>
          <w:tcPr>
            <w:tcW w:w="2780" w:type="dxa"/>
            <w:vAlign w:val="bottom"/>
          </w:tcPr>
          <w:p>
            <w:pPr>
              <w:jc w:val="right"/>
              <w:ind w:right="1786"/>
              <w:spacing w:after="0" w:line="148"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548"/>
              <w:spacing w:after="0" w:line="148" w:lineRule="exact"/>
              <w:rPr>
                <w:sz w:val="20"/>
                <w:szCs w:val="20"/>
                <w:color w:val="auto"/>
              </w:rPr>
            </w:pPr>
            <w:r>
              <w:rPr>
                <w:rFonts w:ascii="Arial" w:cs="Arial" w:eastAsia="Arial" w:hAnsi="Arial"/>
                <w:sz w:val="14"/>
                <w:szCs w:val="14"/>
                <w:color w:val="auto"/>
              </w:rPr>
              <w:t>323</w:t>
            </w:r>
          </w:p>
        </w:tc>
        <w:tc>
          <w:tcPr>
            <w:tcW w:w="2380" w:type="dxa"/>
            <w:vAlign w:val="bottom"/>
            <w:gridSpan w:val="2"/>
          </w:tcPr>
          <w:p>
            <w:pPr>
              <w:jc w:val="right"/>
              <w:ind w:right="2136"/>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98"/>
        </w:trPr>
        <w:tc>
          <w:tcPr>
            <w:tcW w:w="2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jc w:val="right"/>
              <w:ind w:right="366"/>
              <w:spacing w:after="0"/>
              <w:rPr>
                <w:sz w:val="20"/>
                <w:szCs w:val="20"/>
                <w:color w:val="auto"/>
              </w:rPr>
            </w:pPr>
            <w:r>
              <w:rPr>
                <w:rFonts w:ascii="Arial" w:cs="Arial" w:eastAsia="Arial" w:hAnsi="Arial"/>
                <w:sz w:val="13"/>
                <w:szCs w:val="13"/>
                <w:color w:val="auto"/>
              </w:rPr>
              <w:t>September 30,</w:t>
            </w:r>
          </w:p>
        </w:tc>
        <w:tc>
          <w:tcPr>
            <w:tcW w:w="1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0" w:type="dxa"/>
            <w:vAlign w:val="bottom"/>
          </w:tcPr>
          <w:p>
            <w:pPr>
              <w:jc w:val="right"/>
              <w:ind w:right="636"/>
              <w:spacing w:after="0"/>
              <w:rPr>
                <w:sz w:val="20"/>
                <w:szCs w:val="20"/>
                <w:color w:val="auto"/>
              </w:rPr>
            </w:pPr>
            <w:r>
              <w:rPr>
                <w:rFonts w:ascii="Arial" w:cs="Arial" w:eastAsia="Arial" w:hAnsi="Arial"/>
                <w:sz w:val="13"/>
                <w:szCs w:val="13"/>
                <w:color w:val="auto"/>
              </w:rPr>
              <w:t>December 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tcPr>
          <w:p>
            <w:pPr>
              <w:jc w:val="right"/>
              <w:ind w:right="666"/>
              <w:spacing w:after="0"/>
              <w:rPr>
                <w:sz w:val="20"/>
                <w:szCs w:val="20"/>
                <w:color w:val="auto"/>
              </w:rPr>
            </w:pPr>
            <w:r>
              <w:rPr>
                <w:rFonts w:ascii="Arial" w:cs="Arial" w:eastAsia="Arial" w:hAnsi="Arial"/>
                <w:sz w:val="13"/>
                <w:szCs w:val="13"/>
                <w:color w:val="auto"/>
              </w:rPr>
              <w:t>2010</w:t>
            </w:r>
          </w:p>
        </w:tc>
        <w:tc>
          <w:tcPr>
            <w:tcW w:w="16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jc w:val="right"/>
              <w:ind w:right="916"/>
              <w:spacing w:after="0"/>
              <w:rPr>
                <w:sz w:val="20"/>
                <w:szCs w:val="20"/>
                <w:color w:val="auto"/>
              </w:rPr>
            </w:pPr>
            <w:r>
              <w:rPr>
                <w:rFonts w:ascii="Arial" w:cs="Arial" w:eastAsia="Arial" w:hAnsi="Arial"/>
                <w:sz w:val="13"/>
                <w:szCs w:val="13"/>
                <w:color w:val="auto"/>
              </w:rPr>
              <w:t>2009</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20"/>
                <w:szCs w:val="20"/>
                <w:color w:val="auto"/>
              </w:rPr>
            </w:pPr>
            <w:r>
              <w:rPr>
                <w:rFonts w:ascii="Arial" w:cs="Arial" w:eastAsia="Arial" w:hAnsi="Arial"/>
                <w:sz w:val="14"/>
                <w:szCs w:val="14"/>
                <w:color w:val="auto"/>
              </w:rPr>
              <w:t>Fixed-price contracts and other</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00" w:type="dxa"/>
            <w:vAlign w:val="bottom"/>
          </w:tcPr>
          <w:p>
            <w:pPr>
              <w:spacing w:after="0"/>
              <w:rPr>
                <w:sz w:val="20"/>
                <w:szCs w:val="20"/>
                <w:color w:val="auto"/>
              </w:rPr>
            </w:pPr>
            <w:r>
              <w:rPr>
                <w:rFonts w:ascii="Arial" w:cs="Arial" w:eastAsia="Arial" w:hAnsi="Arial"/>
                <w:sz w:val="14"/>
                <w:szCs w:val="14"/>
                <w:color w:val="auto"/>
              </w:rPr>
              <w:t>derivatives - Net Asset (Liability):</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80" w:type="dxa"/>
            <w:vAlign w:val="bottom"/>
            <w:vMerge w:val="restart"/>
          </w:tcPr>
          <w:p>
            <w:pPr>
              <w:jc w:val="right"/>
              <w:ind w:right="1786"/>
              <w:spacing w:after="0"/>
              <w:rPr>
                <w:sz w:val="20"/>
                <w:szCs w:val="20"/>
                <w:color w:val="auto"/>
              </w:rPr>
            </w:pPr>
            <w:r>
              <w:rPr>
                <w:rFonts w:ascii="Arial" w:cs="Arial" w:eastAsia="Arial" w:hAnsi="Arial"/>
                <w:sz w:val="19"/>
                <w:szCs w:val="19"/>
                <w:color w:val="auto"/>
              </w:rPr>
              <w:t>$</w:t>
            </w: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200" w:type="dxa"/>
            <w:vAlign w:val="bottom"/>
          </w:tcPr>
          <w:p>
            <w:pPr>
              <w:ind w:left="160"/>
              <w:spacing w:after="0"/>
              <w:rPr>
                <w:sz w:val="20"/>
                <w:szCs w:val="20"/>
                <w:color w:val="auto"/>
              </w:rPr>
            </w:pPr>
            <w:r>
              <w:rPr>
                <w:rFonts w:ascii="Arial" w:cs="Arial" w:eastAsia="Arial" w:hAnsi="Arial"/>
                <w:sz w:val="14"/>
                <w:szCs w:val="14"/>
                <w:color w:val="auto"/>
              </w:rPr>
              <w:t>Sempra Generation</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28</w:t>
            </w:r>
          </w:p>
        </w:tc>
        <w:tc>
          <w:tcPr>
            <w:tcW w:w="2380" w:type="dxa"/>
            <w:vAlign w:val="bottom"/>
            <w:gridSpan w:val="2"/>
          </w:tcPr>
          <w:p>
            <w:pPr>
              <w:jc w:val="right"/>
              <w:ind w:right="2136"/>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2"/>
        </w:trPr>
        <w:tc>
          <w:tcPr>
            <w:tcW w:w="2200" w:type="dxa"/>
            <w:vAlign w:val="bottom"/>
          </w:tcPr>
          <w:p>
            <w:pPr>
              <w:ind w:left="160"/>
              <w:spacing w:after="0"/>
              <w:rPr>
                <w:sz w:val="20"/>
                <w:szCs w:val="20"/>
                <w:color w:val="auto"/>
              </w:rPr>
            </w:pPr>
            <w:r>
              <w:rPr>
                <w:rFonts w:ascii="Arial" w:cs="Arial" w:eastAsia="Arial" w:hAnsi="Arial"/>
                <w:sz w:val="14"/>
                <w:szCs w:val="14"/>
                <w:color w:val="auto"/>
              </w:rPr>
              <w:t>Sempra LNG</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(36)</w:t>
            </w: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8"/>
        </w:trPr>
        <w:tc>
          <w:tcPr>
            <w:tcW w:w="2200" w:type="dxa"/>
            <w:vAlign w:val="bottom"/>
          </w:tcPr>
          <w:p>
            <w:pPr>
              <w:ind w:left="320"/>
              <w:spacing w:after="0"/>
              <w:rPr>
                <w:sz w:val="20"/>
                <w:szCs w:val="20"/>
                <w:color w:val="auto"/>
              </w:rPr>
            </w:pPr>
            <w:r>
              <w:rPr>
                <w:rFonts w:ascii="Arial" w:cs="Arial" w:eastAsia="Arial" w:hAnsi="Arial"/>
                <w:sz w:val="14"/>
                <w:szCs w:val="14"/>
                <w:color w:val="auto"/>
              </w:rPr>
              <w:t>Total</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80" w:type="dxa"/>
            <w:vAlign w:val="bottom"/>
            <w:tcBorders>
              <w:bottom w:val="single" w:sz="8" w:color="auto"/>
            </w:tcBorders>
          </w:tcPr>
          <w:p>
            <w:pPr>
              <w:jc w:val="right"/>
              <w:ind w:right="1786"/>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(8)</w:t>
            </w:r>
          </w:p>
        </w:tc>
        <w:tc>
          <w:tcPr>
            <w:tcW w:w="2380" w:type="dxa"/>
            <w:vAlign w:val="bottom"/>
            <w:tcBorders>
              <w:bottom w:val="single" w:sz="8" w:color="auto"/>
            </w:tcBorders>
            <w:gridSpan w:val="2"/>
          </w:tcPr>
          <w:p>
            <w:pPr>
              <w:jc w:val="right"/>
              <w:ind w:right="2136"/>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374"/>
        </w:trPr>
        <w:tc>
          <w:tcPr>
            <w:tcW w:w="2200" w:type="dxa"/>
            <w:vAlign w:val="bottom"/>
          </w:tcPr>
          <w:p>
            <w:pPr>
              <w:spacing w:after="0"/>
              <w:rPr>
                <w:sz w:val="20"/>
                <w:szCs w:val="20"/>
                <w:color w:val="auto"/>
              </w:rPr>
            </w:pPr>
            <w:r>
              <w:rPr>
                <w:rFonts w:ascii="Arial" w:cs="Arial" w:eastAsia="Arial" w:hAnsi="Arial"/>
                <w:sz w:val="14"/>
                <w:szCs w:val="14"/>
                <w:color w:val="auto"/>
              </w:rPr>
              <w:t>Due to unconsolidated affiliates: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200" w:type="dxa"/>
            <w:vAlign w:val="bottom"/>
          </w:tcPr>
          <w:p>
            <w:pPr>
              <w:ind w:left="160"/>
              <w:spacing w:after="0"/>
              <w:rPr>
                <w:sz w:val="20"/>
                <w:szCs w:val="20"/>
                <w:color w:val="auto"/>
              </w:rPr>
            </w:pPr>
            <w:r>
              <w:rPr>
                <w:rFonts w:ascii="Arial" w:cs="Arial" w:eastAsia="Arial" w:hAnsi="Arial"/>
                <w:sz w:val="14"/>
                <w:szCs w:val="14"/>
                <w:color w:val="auto"/>
              </w:rPr>
              <w:t>Sempra Generation</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80" w:type="dxa"/>
            <w:vAlign w:val="bottom"/>
          </w:tcPr>
          <w:p>
            <w:pPr>
              <w:jc w:val="right"/>
              <w:ind w:right="1786"/>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8</w:t>
            </w:r>
          </w:p>
        </w:tc>
        <w:tc>
          <w:tcPr>
            <w:tcW w:w="2380" w:type="dxa"/>
            <w:vAlign w:val="bottom"/>
            <w:gridSpan w:val="2"/>
          </w:tcPr>
          <w:p>
            <w:pPr>
              <w:jc w:val="right"/>
              <w:ind w:right="2136"/>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2"/>
        </w:trPr>
        <w:tc>
          <w:tcPr>
            <w:tcW w:w="2200" w:type="dxa"/>
            <w:vAlign w:val="bottom"/>
          </w:tcPr>
          <w:p>
            <w:pPr>
              <w:ind w:left="160"/>
              <w:spacing w:after="0"/>
              <w:rPr>
                <w:sz w:val="20"/>
                <w:szCs w:val="20"/>
                <w:color w:val="auto"/>
              </w:rPr>
            </w:pPr>
            <w:r>
              <w:rPr>
                <w:rFonts w:ascii="Arial" w:cs="Arial" w:eastAsia="Arial" w:hAnsi="Arial"/>
                <w:sz w:val="14"/>
                <w:szCs w:val="14"/>
                <w:color w:val="auto"/>
              </w:rPr>
              <w:t>Sempra LNG</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4"/>
        </w:trPr>
        <w:tc>
          <w:tcPr>
            <w:tcW w:w="2200" w:type="dxa"/>
            <w:vAlign w:val="bottom"/>
          </w:tcPr>
          <w:p>
            <w:pPr>
              <w:ind w:left="160"/>
              <w:spacing w:after="0"/>
              <w:rPr>
                <w:sz w:val="20"/>
                <w:szCs w:val="20"/>
                <w:color w:val="auto"/>
              </w:rPr>
            </w:pPr>
            <w:r>
              <w:rPr>
                <w:rFonts w:ascii="Arial" w:cs="Arial" w:eastAsia="Arial" w:hAnsi="Arial"/>
                <w:sz w:val="14"/>
                <w:szCs w:val="14"/>
                <w:color w:val="auto"/>
              </w:rPr>
              <w:t>Sempra Pipelines &amp; Storage</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8"/>
        </w:trPr>
        <w:tc>
          <w:tcPr>
            <w:tcW w:w="2200" w:type="dxa"/>
            <w:vAlign w:val="bottom"/>
          </w:tcPr>
          <w:p>
            <w:pPr>
              <w:ind w:left="320"/>
              <w:spacing w:after="0"/>
              <w:rPr>
                <w:sz w:val="20"/>
                <w:szCs w:val="20"/>
                <w:color w:val="auto"/>
              </w:rPr>
            </w:pPr>
            <w:r>
              <w:rPr>
                <w:rFonts w:ascii="Arial" w:cs="Arial" w:eastAsia="Arial" w:hAnsi="Arial"/>
                <w:sz w:val="14"/>
                <w:szCs w:val="14"/>
                <w:color w:val="auto"/>
              </w:rPr>
              <w:t>Total</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80" w:type="dxa"/>
            <w:vAlign w:val="bottom"/>
            <w:tcBorders>
              <w:bottom w:val="single" w:sz="8" w:color="auto"/>
            </w:tcBorders>
          </w:tcPr>
          <w:p>
            <w:pPr>
              <w:jc w:val="right"/>
              <w:ind w:right="1786"/>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10</w:t>
            </w:r>
          </w:p>
        </w:tc>
        <w:tc>
          <w:tcPr>
            <w:tcW w:w="2380" w:type="dxa"/>
            <w:vAlign w:val="bottom"/>
            <w:tcBorders>
              <w:bottom w:val="single" w:sz="8" w:color="auto"/>
            </w:tcBorders>
            <w:gridSpan w:val="2"/>
          </w:tcPr>
          <w:p>
            <w:pPr>
              <w:jc w:val="right"/>
              <w:ind w:right="2136"/>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390"/>
        </w:trPr>
        <w:tc>
          <w:tcPr>
            <w:tcW w:w="2200" w:type="dxa"/>
            <w:vAlign w:val="bottom"/>
          </w:tcPr>
          <w:p>
            <w:pPr>
              <w:spacing w:after="0"/>
              <w:rPr>
                <w:sz w:val="20"/>
                <w:szCs w:val="20"/>
                <w:color w:val="auto"/>
              </w:rPr>
            </w:pPr>
            <w:r>
              <w:rPr>
                <w:rFonts w:ascii="Arial" w:cs="Arial" w:eastAsia="Arial" w:hAnsi="Arial"/>
                <w:sz w:val="14"/>
                <w:szCs w:val="14"/>
                <w:color w:val="auto"/>
              </w:rPr>
              <w:t>Due from unconsolidated affiliates: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2200" w:type="dxa"/>
            <w:vAlign w:val="bottom"/>
          </w:tcPr>
          <w:p>
            <w:pPr>
              <w:ind w:left="160"/>
              <w:spacing w:after="0"/>
              <w:rPr>
                <w:sz w:val="20"/>
                <w:szCs w:val="20"/>
                <w:color w:val="auto"/>
              </w:rPr>
            </w:pPr>
            <w:r>
              <w:rPr>
                <w:rFonts w:ascii="Arial" w:cs="Arial" w:eastAsia="Arial" w:hAnsi="Arial"/>
                <w:sz w:val="14"/>
                <w:szCs w:val="14"/>
                <w:color w:val="auto"/>
              </w:rPr>
              <w:t>Sempra Commodities</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80" w:type="dxa"/>
            <w:vAlign w:val="bottom"/>
          </w:tcPr>
          <w:p>
            <w:pPr>
              <w:jc w:val="right"/>
              <w:ind w:right="1786"/>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1</w:t>
            </w:r>
          </w:p>
        </w:tc>
        <w:tc>
          <w:tcPr>
            <w:tcW w:w="2380" w:type="dxa"/>
            <w:vAlign w:val="bottom"/>
            <w:gridSpan w:val="2"/>
          </w:tcPr>
          <w:p>
            <w:pPr>
              <w:jc w:val="right"/>
              <w:ind w:right="2136"/>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tcPr>
          <w:p>
            <w:pPr>
              <w:ind w:left="160"/>
              <w:spacing w:after="0"/>
              <w:rPr>
                <w:sz w:val="20"/>
                <w:szCs w:val="20"/>
                <w:color w:val="auto"/>
              </w:rPr>
            </w:pPr>
            <w:r>
              <w:rPr>
                <w:rFonts w:ascii="Arial" w:cs="Arial" w:eastAsia="Arial" w:hAnsi="Arial"/>
                <w:sz w:val="14"/>
                <w:szCs w:val="14"/>
                <w:color w:val="auto"/>
              </w:rPr>
              <w:t>Sempra Generation</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2"/>
        </w:trPr>
        <w:tc>
          <w:tcPr>
            <w:tcW w:w="2200" w:type="dxa"/>
            <w:vAlign w:val="bottom"/>
          </w:tcPr>
          <w:p>
            <w:pPr>
              <w:ind w:left="160"/>
              <w:spacing w:after="0"/>
              <w:rPr>
                <w:sz w:val="20"/>
                <w:szCs w:val="20"/>
                <w:color w:val="auto"/>
              </w:rPr>
            </w:pPr>
            <w:r>
              <w:rPr>
                <w:rFonts w:ascii="Arial" w:cs="Arial" w:eastAsia="Arial" w:hAnsi="Arial"/>
                <w:sz w:val="14"/>
                <w:szCs w:val="14"/>
                <w:color w:val="auto"/>
              </w:rPr>
              <w:t>Sempra LNG</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640" w:type="dxa"/>
            <w:vAlign w:val="bottom"/>
          </w:tcPr>
          <w:p>
            <w:pPr>
              <w:jc w:val="right"/>
              <w:ind w:right="548"/>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8"/>
        </w:trPr>
        <w:tc>
          <w:tcPr>
            <w:tcW w:w="2200" w:type="dxa"/>
            <w:vAlign w:val="bottom"/>
          </w:tcPr>
          <w:p>
            <w:pPr>
              <w:ind w:left="140"/>
              <w:spacing w:after="0"/>
              <w:rPr>
                <w:sz w:val="20"/>
                <w:szCs w:val="20"/>
                <w:color w:val="auto"/>
              </w:rPr>
            </w:pPr>
            <w:r>
              <w:rPr>
                <w:rFonts w:ascii="Arial" w:cs="Arial" w:eastAsia="Arial" w:hAnsi="Arial"/>
                <w:sz w:val="14"/>
                <w:szCs w:val="14"/>
                <w:color w:val="auto"/>
              </w:rPr>
              <w:t>Parent and other</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5</w:t>
            </w: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8"/>
        </w:trPr>
        <w:tc>
          <w:tcPr>
            <w:tcW w:w="2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Total</w:t>
            </w:r>
          </w:p>
        </w:tc>
        <w:tc>
          <w:tcPr>
            <w:tcW w:w="7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jc w:val="right"/>
              <w:ind w:right="1786"/>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30</w:t>
            </w:r>
          </w:p>
        </w:tc>
        <w:tc>
          <w:tcPr>
            <w:tcW w:w="2380" w:type="dxa"/>
            <w:vAlign w:val="bottom"/>
            <w:tcBorders>
              <w:bottom w:val="single" w:sz="8" w:color="auto"/>
            </w:tcBorders>
            <w:gridSpan w:val="2"/>
          </w:tcPr>
          <w:p>
            <w:pPr>
              <w:jc w:val="right"/>
              <w:ind w:right="2136"/>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bl>
    <w:p>
      <w:pPr>
        <w:ind w:left="1000" w:right="40" w:hanging="584"/>
        <w:spacing w:after="0" w:line="236" w:lineRule="auto"/>
        <w:tabs>
          <w:tab w:leader="none" w:pos="1000"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Includes (losses) gains of $(3) million and $11 million for the three mo nths and nine months ended September 30, 2010, respectively, and losses of $6 million and $5 million for the three months and nine months ended September 30, 2009, respectively, related to a natural gas sales agreement with RBS Sempra Commodities which is subject to mark-to-market accounting. Under this agreement, which extends for five years beginning September 1, 2009, RBS Sempra Commodities will market natural gas that Sempra LNG purchases and does not sell under other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WRITE-OFF OF LONG-LIVED ASSETS</w:t>
      </w:r>
    </w:p>
    <w:p>
      <w:pPr>
        <w:spacing w:after="0" w:line="98" w:lineRule="exact"/>
        <w:rPr>
          <w:sz w:val="20"/>
          <w:szCs w:val="20"/>
          <w:color w:val="auto"/>
        </w:rPr>
      </w:pPr>
    </w:p>
    <w:p>
      <w:pPr>
        <w:ind w:right="40"/>
        <w:spacing w:after="0" w:line="300" w:lineRule="auto"/>
        <w:rPr>
          <w:sz w:val="20"/>
          <w:szCs w:val="20"/>
          <w:color w:val="auto"/>
        </w:rPr>
      </w:pPr>
      <w:r>
        <w:rPr>
          <w:rFonts w:ascii="Arial" w:cs="Arial" w:eastAsia="Arial" w:hAnsi="Arial"/>
          <w:sz w:val="14"/>
          <w:szCs w:val="14"/>
          <w:color w:val="auto"/>
        </w:rPr>
        <w:t>In the second quarter of 2009, we recorded a pretax write-off of $132 million related to certain assets at one of Sempra Pipelines &amp; Storage’s Liberty Gas Storage natural gas storage projects. Sempra Pipelines &amp; Storage owns a 75-percent interest in the partnership that is developing the project. Our partner’ s 25-percent share of the pretax charge was $33 million, which is included in Losses Attributable to Noncontrolling Interests on our Condensed Consolidated Statements of Operations for the nine months ended September 30, 2009. The impact to our net income and to our earnings was $97 million and $64 million, respectively, for the nine months ended September 30, 2009. We discuss this write-off further in Note 1 of the Notes to Consolidated Financial Statements in the Annual Report.</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 NET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on the Condensed Consolidated Statements of Operations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833755</wp:posOffset>
            </wp:positionV>
            <wp:extent cx="7261860" cy="289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INCOME (EXPENSE), NET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2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4"/>
        </w:trPr>
        <w:tc>
          <w:tcPr>
            <w:tcW w:w="47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3"/>
                <w:szCs w:val="13"/>
                <w:color w:val="auto"/>
              </w:rPr>
              <w:t>Three months ended Se ptember 30,</w:t>
            </w:r>
          </w:p>
        </w:tc>
        <w:tc>
          <w:tcPr>
            <w:tcW w:w="4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3"/>
                <w:szCs w:val="13"/>
                <w:color w:val="auto"/>
              </w:rPr>
              <w:t>Nine months ended September 30,</w:t>
            </w:r>
          </w:p>
        </w:tc>
      </w:tr>
      <w:tr>
        <w:trPr>
          <w:trHeight w:val="160"/>
        </w:trPr>
        <w:tc>
          <w:tcPr>
            <w:tcW w:w="4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color w:val="auto"/>
              </w:rPr>
              <w:t>2010</w:t>
            </w:r>
          </w:p>
        </w:tc>
        <w:tc>
          <w:tcPr>
            <w:tcW w:w="4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2"/>
              <w:spacing w:after="0"/>
              <w:rPr>
                <w:sz w:val="20"/>
                <w:szCs w:val="20"/>
                <w:color w:val="auto"/>
              </w:rPr>
            </w:pPr>
            <w:r>
              <w:rPr>
                <w:rFonts w:ascii="Arial" w:cs="Arial" w:eastAsia="Arial" w:hAnsi="Arial"/>
                <w:sz w:val="13"/>
                <w:szCs w:val="13"/>
                <w:color w:val="auto"/>
              </w:rPr>
              <w:t>2009</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color w:val="auto"/>
              </w:rPr>
              <w:t>2010</w:t>
            </w:r>
          </w:p>
        </w:tc>
        <w:tc>
          <w:tcPr>
            <w:tcW w:w="4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2"/>
              <w:spacing w:after="0"/>
              <w:rPr>
                <w:sz w:val="20"/>
                <w:szCs w:val="20"/>
                <w:color w:val="auto"/>
              </w:rPr>
            </w:pPr>
            <w:r>
              <w:rPr>
                <w:rFonts w:ascii="Arial" w:cs="Arial" w:eastAsia="Arial" w:hAnsi="Arial"/>
                <w:sz w:val="13"/>
                <w:szCs w:val="13"/>
                <w:color w:val="auto"/>
              </w:rPr>
              <w:t>2009</w:t>
            </w:r>
          </w:p>
        </w:tc>
      </w:tr>
      <w:tr>
        <w:trPr>
          <w:trHeight w:val="214"/>
        </w:trPr>
        <w:tc>
          <w:tcPr>
            <w:tcW w:w="4720" w:type="dxa"/>
            <w:vAlign w:val="bottom"/>
          </w:tcPr>
          <w:p>
            <w:pPr>
              <w:ind w:left="80"/>
              <w:spacing w:after="0"/>
              <w:rPr>
                <w:sz w:val="20"/>
                <w:szCs w:val="20"/>
                <w:color w:val="auto"/>
              </w:rPr>
            </w:pPr>
            <w:r>
              <w:rPr>
                <w:rFonts w:ascii="Arial" w:cs="Arial" w:eastAsia="Arial" w:hAnsi="Arial"/>
                <w:sz w:val="14"/>
                <w:szCs w:val="14"/>
                <w:b w:val="1"/>
                <w:bCs w:val="1"/>
                <w:color w:val="auto"/>
              </w:rPr>
              <w:t>Sempra Energy Consolidated:</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2"/>
        </w:trPr>
        <w:tc>
          <w:tcPr>
            <w:tcW w:w="4720" w:type="dxa"/>
            <w:vAlign w:val="bottom"/>
          </w:tcPr>
          <w:p>
            <w:pPr>
              <w:ind w:left="80"/>
              <w:spacing w:after="0"/>
              <w:rPr>
                <w:sz w:val="20"/>
                <w:szCs w:val="20"/>
                <w:color w:val="auto"/>
              </w:rPr>
            </w:pPr>
            <w:r>
              <w:rPr>
                <w:rFonts w:ascii="Arial" w:cs="Arial" w:eastAsia="Arial" w:hAnsi="Arial"/>
                <w:sz w:val="14"/>
                <w:szCs w:val="14"/>
                <w:color w:val="auto"/>
              </w:rPr>
              <w:t>Allowance for equity funds used during construction</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13</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10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40</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72"/>
              <w:spacing w:after="0"/>
              <w:rPr>
                <w:sz w:val="20"/>
                <w:szCs w:val="20"/>
                <w:color w:val="auto"/>
              </w:rPr>
            </w:pPr>
            <w:r>
              <w:rPr>
                <w:rFonts w:ascii="Arial" w:cs="Arial" w:eastAsia="Arial" w:hAnsi="Arial"/>
                <w:sz w:val="14"/>
                <w:szCs w:val="14"/>
                <w:color w:val="auto"/>
              </w:rPr>
              <w:t>28</w:t>
            </w:r>
          </w:p>
        </w:tc>
      </w:tr>
    </w:tbl>
    <w:p>
      <w:pPr>
        <w:sectPr>
          <w:pgSz w:w="11900" w:h="16838" w:orient="portrait"/>
          <w:cols w:equalWidth="0" w:num="1">
            <w:col w:w="11440"/>
          </w:cols>
          <w:pgMar w:left="240" w:top="141" w:right="21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tcPr>
          <w:p>
            <w:pPr>
              <w:ind w:left="80"/>
              <w:spacing w:after="0"/>
              <w:rPr>
                <w:sz w:val="20"/>
                <w:szCs w:val="20"/>
                <w:color w:val="auto"/>
              </w:rPr>
            </w:pPr>
            <w:r>
              <w:rPr>
                <w:rFonts w:ascii="Arial" w:cs="Arial" w:eastAsia="Arial" w:hAnsi="Arial"/>
                <w:sz w:val="14"/>
                <w:szCs w:val="14"/>
                <w:color w:val="auto"/>
              </w:rPr>
              <w:t>Investment gains(1)</w:t>
            </w:r>
          </w:p>
        </w:tc>
        <w:tc>
          <w:tcPr>
            <w:tcW w:w="7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10</w:t>
            </w:r>
          </w:p>
        </w:tc>
        <w:tc>
          <w:tcPr>
            <w:tcW w:w="78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82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40" w:type="dxa"/>
            <w:vAlign w:val="bottom"/>
          </w:tcPr>
          <w:p>
            <w:pPr>
              <w:jc w:val="right"/>
              <w:ind w:right="66"/>
              <w:spacing w:after="0"/>
              <w:rPr>
                <w:sz w:val="20"/>
                <w:szCs w:val="20"/>
                <w:color w:val="auto"/>
              </w:rPr>
            </w:pPr>
            <w:r>
              <w:rPr>
                <w:rFonts w:ascii="Arial" w:cs="Arial" w:eastAsia="Arial" w:hAnsi="Arial"/>
                <w:sz w:val="14"/>
                <w:szCs w:val="14"/>
                <w:color w:val="auto"/>
              </w:rPr>
              <w:t>40</w:t>
            </w:r>
          </w:p>
        </w:tc>
        <w:tc>
          <w:tcPr>
            <w:tcW w:w="940" w:type="dxa"/>
            <w:vAlign w:val="bottom"/>
          </w:tcPr>
          <w:p>
            <w:pPr>
              <w:spacing w:after="0"/>
              <w:rPr>
                <w:sz w:val="14"/>
                <w:szCs w:val="14"/>
                <w:color w:val="auto"/>
              </w:rPr>
            </w:pPr>
          </w:p>
        </w:tc>
      </w:tr>
      <w:tr>
        <w:trPr>
          <w:trHeight w:val="192"/>
        </w:trPr>
        <w:tc>
          <w:tcPr>
            <w:tcW w:w="4720" w:type="dxa"/>
            <w:vAlign w:val="bottom"/>
          </w:tcPr>
          <w:p>
            <w:pPr>
              <w:ind w:left="80"/>
              <w:spacing w:after="0"/>
              <w:rPr>
                <w:sz w:val="20"/>
                <w:szCs w:val="20"/>
                <w:color w:val="auto"/>
              </w:rPr>
            </w:pPr>
            <w:r>
              <w:rPr>
                <w:rFonts w:ascii="Arial" w:cs="Arial" w:eastAsia="Arial" w:hAnsi="Arial"/>
                <w:sz w:val="14"/>
                <w:szCs w:val="14"/>
                <w:color w:val="auto"/>
              </w:rPr>
              <w:t>Gains (losses) on interest rate instruments(2)</w:t>
            </w:r>
          </w:p>
        </w:tc>
        <w:tc>
          <w:tcPr>
            <w:tcW w:w="76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(17)</w:t>
            </w:r>
          </w:p>
        </w:tc>
        <w:tc>
          <w:tcPr>
            <w:tcW w:w="7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340" w:type="dxa"/>
            <w:vAlign w:val="bottom"/>
          </w:tcPr>
          <w:p>
            <w:pPr>
              <w:spacing w:after="0"/>
              <w:rPr>
                <w:sz w:val="16"/>
                <w:szCs w:val="16"/>
                <w:color w:val="auto"/>
              </w:rPr>
            </w:pPr>
          </w:p>
        </w:tc>
        <w:tc>
          <w:tcPr>
            <w:tcW w:w="1380" w:type="dxa"/>
            <w:vAlign w:val="bottom"/>
            <w:gridSpan w:val="2"/>
          </w:tcPr>
          <w:p>
            <w:pPr>
              <w:jc w:val="right"/>
              <w:ind w:right="68"/>
              <w:spacing w:after="0"/>
              <w:rPr>
                <w:sz w:val="20"/>
                <w:szCs w:val="20"/>
                <w:color w:val="auto"/>
              </w:rPr>
            </w:pPr>
            <w:r>
              <w:rPr>
                <w:rFonts w:ascii="Arial" w:cs="Arial" w:eastAsia="Arial" w:hAnsi="Arial"/>
                <w:sz w:val="14"/>
                <w:szCs w:val="14"/>
                <w:color w:val="auto"/>
              </w:rPr>
              <w:t>19</w:t>
            </w:r>
          </w:p>
        </w:tc>
      </w:tr>
      <w:tr>
        <w:trPr>
          <w:trHeight w:val="190"/>
        </w:trPr>
        <w:tc>
          <w:tcPr>
            <w:tcW w:w="4720" w:type="dxa"/>
            <w:vAlign w:val="bottom"/>
          </w:tcPr>
          <w:p>
            <w:pPr>
              <w:ind w:left="80"/>
              <w:spacing w:after="0"/>
              <w:rPr>
                <w:sz w:val="20"/>
                <w:szCs w:val="20"/>
                <w:color w:val="auto"/>
              </w:rPr>
            </w:pPr>
            <w:r>
              <w:rPr>
                <w:rFonts w:ascii="Arial" w:cs="Arial" w:eastAsia="Arial" w:hAnsi="Arial"/>
                <w:sz w:val="14"/>
                <w:szCs w:val="14"/>
                <w:color w:val="auto"/>
              </w:rPr>
              <w:t>Regulatory interest, net</w:t>
            </w:r>
          </w:p>
        </w:tc>
        <w:tc>
          <w:tcPr>
            <w:tcW w:w="760" w:type="dxa"/>
            <w:vAlign w:val="bottom"/>
          </w:tcPr>
          <w:p>
            <w:pPr>
              <w:spacing w:after="0"/>
              <w:rPr>
                <w:sz w:val="16"/>
                <w:szCs w:val="16"/>
                <w:color w:val="auto"/>
              </w:rPr>
            </w:pP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78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440" w:type="dxa"/>
            <w:vAlign w:val="bottom"/>
          </w:tcPr>
          <w:p>
            <w:pPr>
              <w:jc w:val="right"/>
              <w:ind w:right="66"/>
              <w:spacing w:after="0"/>
              <w:rPr>
                <w:sz w:val="20"/>
                <w:szCs w:val="20"/>
                <w:color w:val="auto"/>
              </w:rPr>
            </w:pPr>
            <w:r>
              <w:rPr>
                <w:rFonts w:ascii="Arial" w:cs="Arial" w:eastAsia="Arial" w:hAnsi="Arial"/>
                <w:sz w:val="14"/>
                <w:szCs w:val="14"/>
                <w:color w:val="auto"/>
              </w:rPr>
              <w:t>4</w:t>
            </w:r>
          </w:p>
        </w:tc>
        <w:tc>
          <w:tcPr>
            <w:tcW w:w="940" w:type="dxa"/>
            <w:vAlign w:val="bottom"/>
          </w:tcPr>
          <w:p>
            <w:pPr>
              <w:spacing w:after="0"/>
              <w:rPr>
                <w:sz w:val="16"/>
                <w:szCs w:val="16"/>
                <w:color w:val="auto"/>
              </w:rPr>
            </w:pPr>
          </w:p>
        </w:tc>
      </w:tr>
      <w:tr>
        <w:trPr>
          <w:trHeight w:val="188"/>
        </w:trPr>
        <w:tc>
          <w:tcPr>
            <w:tcW w:w="4720" w:type="dxa"/>
            <w:vAlign w:val="bottom"/>
          </w:tcPr>
          <w:p>
            <w:pPr>
              <w:ind w:left="80"/>
              <w:spacing w:after="0"/>
              <w:rPr>
                <w:sz w:val="20"/>
                <w:szCs w:val="20"/>
                <w:color w:val="auto"/>
              </w:rPr>
            </w:pPr>
            <w:r>
              <w:rPr>
                <w:rFonts w:ascii="Arial" w:cs="Arial" w:eastAsia="Arial" w:hAnsi="Arial"/>
                <w:sz w:val="14"/>
                <w:szCs w:val="14"/>
                <w:color w:val="auto"/>
              </w:rPr>
              <w:t>Sundry, net(3)</w:t>
            </w: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59</w:t>
            </w:r>
          </w:p>
        </w:tc>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6</w:t>
            </w:r>
          </w:p>
        </w:tc>
      </w:tr>
      <w:tr>
        <w:trPr>
          <w:trHeight w:val="176"/>
        </w:trPr>
        <w:tc>
          <w:tcPr>
            <w:tcW w:w="47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Total</w:t>
            </w:r>
          </w:p>
        </w:tc>
        <w:tc>
          <w:tcPr>
            <w:tcW w:w="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66</w:t>
            </w:r>
          </w:p>
        </w:tc>
        <w:tc>
          <w:tcPr>
            <w:tcW w:w="7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97</w:t>
            </w:r>
          </w:p>
        </w:tc>
      </w:tr>
      <w:tr>
        <w:trPr>
          <w:trHeight w:val="222"/>
        </w:trPr>
        <w:tc>
          <w:tcPr>
            <w:tcW w:w="4720" w:type="dxa"/>
            <w:vAlign w:val="bottom"/>
          </w:tcPr>
          <w:p>
            <w:pPr>
              <w:ind w:left="80"/>
              <w:spacing w:after="0"/>
              <w:rPr>
                <w:sz w:val="20"/>
                <w:szCs w:val="20"/>
                <w:color w:val="auto"/>
              </w:rPr>
            </w:pPr>
            <w:r>
              <w:rPr>
                <w:rFonts w:ascii="Arial" w:cs="Arial" w:eastAsia="Arial" w:hAnsi="Arial"/>
                <w:sz w:val="14"/>
                <w:szCs w:val="14"/>
                <w:b w:val="1"/>
                <w:bCs w:val="1"/>
                <w:color w:val="auto"/>
              </w:rPr>
              <w:t>SDG&amp;E:</w:t>
            </w: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92"/>
        </w:trPr>
        <w:tc>
          <w:tcPr>
            <w:tcW w:w="4720" w:type="dxa"/>
            <w:vAlign w:val="bottom"/>
          </w:tcPr>
          <w:p>
            <w:pPr>
              <w:ind w:left="80"/>
              <w:spacing w:after="0"/>
              <w:rPr>
                <w:sz w:val="20"/>
                <w:szCs w:val="20"/>
                <w:color w:val="auto"/>
              </w:rPr>
            </w:pPr>
            <w:r>
              <w:rPr>
                <w:rFonts w:ascii="Arial" w:cs="Arial" w:eastAsia="Arial" w:hAnsi="Arial"/>
                <w:sz w:val="14"/>
                <w:szCs w:val="14"/>
                <w:color w:val="auto"/>
              </w:rPr>
              <w:t>Allowance for equity funds used during construction</w:t>
            </w:r>
          </w:p>
        </w:tc>
        <w:tc>
          <w:tcPr>
            <w:tcW w:w="7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11</w:t>
            </w:r>
          </w:p>
        </w:tc>
        <w:tc>
          <w:tcPr>
            <w:tcW w:w="7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8"/>
              <w:spacing w:after="0"/>
              <w:rPr>
                <w:sz w:val="20"/>
                <w:szCs w:val="20"/>
                <w:color w:val="auto"/>
              </w:rPr>
            </w:pPr>
            <w:r>
              <w:rPr>
                <w:rFonts w:ascii="Arial" w:cs="Arial" w:eastAsia="Arial" w:hAnsi="Arial"/>
                <w:sz w:val="14"/>
                <w:szCs w:val="14"/>
                <w:color w:val="auto"/>
              </w:rPr>
              <w:t>;21</w:t>
            </w:r>
          </w:p>
        </w:tc>
      </w:tr>
      <w:tr>
        <w:trPr>
          <w:trHeight w:val="192"/>
        </w:trPr>
        <w:tc>
          <w:tcPr>
            <w:tcW w:w="4720" w:type="dxa"/>
            <w:vAlign w:val="bottom"/>
          </w:tcPr>
          <w:p>
            <w:pPr>
              <w:ind w:left="80"/>
              <w:spacing w:after="0"/>
              <w:rPr>
                <w:sz w:val="20"/>
                <w:szCs w:val="20"/>
                <w:color w:val="auto"/>
              </w:rPr>
            </w:pPr>
            <w:r>
              <w:rPr>
                <w:rFonts w:ascii="Arial" w:cs="Arial" w:eastAsia="Arial" w:hAnsi="Arial"/>
                <w:sz w:val="14"/>
                <w:szCs w:val="14"/>
                <w:color w:val="auto"/>
              </w:rPr>
              <w:t>Gains (losses) on interest rate instruments(2)</w:t>
            </w:r>
          </w:p>
        </w:tc>
        <w:tc>
          <w:tcPr>
            <w:tcW w:w="76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(17)</w:t>
            </w:r>
          </w:p>
        </w:tc>
        <w:tc>
          <w:tcPr>
            <w:tcW w:w="7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340" w:type="dxa"/>
            <w:vAlign w:val="bottom"/>
          </w:tcPr>
          <w:p>
            <w:pPr>
              <w:spacing w:after="0"/>
              <w:rPr>
                <w:sz w:val="16"/>
                <w:szCs w:val="16"/>
                <w:color w:val="auto"/>
              </w:rPr>
            </w:pPr>
          </w:p>
        </w:tc>
        <w:tc>
          <w:tcPr>
            <w:tcW w:w="1380" w:type="dxa"/>
            <w:vAlign w:val="bottom"/>
            <w:gridSpan w:val="2"/>
          </w:tcPr>
          <w:p>
            <w:pPr>
              <w:jc w:val="right"/>
              <w:ind w:right="68"/>
              <w:spacing w:after="0"/>
              <w:rPr>
                <w:sz w:val="20"/>
                <w:szCs w:val="20"/>
                <w:color w:val="auto"/>
              </w:rPr>
            </w:pPr>
            <w:r>
              <w:rPr>
                <w:rFonts w:ascii="Arial" w:cs="Arial" w:eastAsia="Arial" w:hAnsi="Arial"/>
                <w:sz w:val="14"/>
                <w:szCs w:val="14"/>
                <w:color w:val="auto"/>
              </w:rPr>
              <w:t>19</w:t>
            </w:r>
          </w:p>
        </w:tc>
      </w:tr>
      <w:tr>
        <w:trPr>
          <w:trHeight w:val="192"/>
        </w:trPr>
        <w:tc>
          <w:tcPr>
            <w:tcW w:w="4720" w:type="dxa"/>
            <w:vAlign w:val="bottom"/>
          </w:tcPr>
          <w:p>
            <w:pPr>
              <w:ind w:left="80"/>
              <w:spacing w:after="0"/>
              <w:rPr>
                <w:sz w:val="20"/>
                <w:szCs w:val="20"/>
                <w:color w:val="auto"/>
              </w:rPr>
            </w:pPr>
            <w:r>
              <w:rPr>
                <w:rFonts w:ascii="Arial" w:cs="Arial" w:eastAsia="Arial" w:hAnsi="Arial"/>
                <w:sz w:val="14"/>
                <w:szCs w:val="14"/>
                <w:color w:val="auto"/>
              </w:rPr>
              <w:t>Regulatory interest, net</w:t>
            </w:r>
          </w:p>
        </w:tc>
        <w:tc>
          <w:tcPr>
            <w:tcW w:w="760" w:type="dxa"/>
            <w:vAlign w:val="bottom"/>
          </w:tcPr>
          <w:p>
            <w:pPr>
              <w:spacing w:after="0"/>
              <w:rPr>
                <w:sz w:val="16"/>
                <w:szCs w:val="16"/>
                <w:color w:val="auto"/>
              </w:rPr>
            </w:pP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5</w:t>
            </w:r>
          </w:p>
        </w:tc>
      </w:tr>
      <w:tr>
        <w:trPr>
          <w:trHeight w:val="186"/>
        </w:trPr>
        <w:tc>
          <w:tcPr>
            <w:tcW w:w="4720" w:type="dxa"/>
            <w:vAlign w:val="bottom"/>
          </w:tcPr>
          <w:p>
            <w:pPr>
              <w:ind w:left="80"/>
              <w:spacing w:after="0"/>
              <w:rPr>
                <w:sz w:val="20"/>
                <w:szCs w:val="20"/>
                <w:color w:val="auto"/>
              </w:rPr>
            </w:pPr>
            <w:r>
              <w:rPr>
                <w:rFonts w:ascii="Arial" w:cs="Arial" w:eastAsia="Arial" w:hAnsi="Arial"/>
                <w:sz w:val="14"/>
                <w:szCs w:val="14"/>
                <w:color w:val="auto"/>
              </w:rPr>
              <w:t>Sundry, net</w:t>
            </w: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w:t>
            </w:r>
          </w:p>
        </w:tc>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188"/>
        </w:trPr>
        <w:tc>
          <w:tcPr>
            <w:tcW w:w="47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Total</w:t>
            </w:r>
          </w:p>
        </w:tc>
        <w:tc>
          <w:tcPr>
            <w:tcW w:w="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w:t>
            </w:r>
          </w:p>
        </w:tc>
        <w:tc>
          <w:tcPr>
            <w:tcW w:w="7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45</w:t>
            </w:r>
          </w:p>
        </w:tc>
      </w:tr>
      <w:tr>
        <w:trPr>
          <w:trHeight w:val="190"/>
        </w:trPr>
        <w:tc>
          <w:tcPr>
            <w:tcW w:w="4720" w:type="dxa"/>
            <w:vAlign w:val="bottom"/>
          </w:tcPr>
          <w:p>
            <w:pPr>
              <w:ind w:left="80"/>
              <w:spacing w:after="0"/>
              <w:rPr>
                <w:sz w:val="20"/>
                <w:szCs w:val="20"/>
                <w:color w:val="auto"/>
              </w:rPr>
            </w:pPr>
            <w:r>
              <w:rPr>
                <w:rFonts w:ascii="Arial" w:cs="Arial" w:eastAsia="Arial" w:hAnsi="Arial"/>
                <w:sz w:val="14"/>
                <w:szCs w:val="14"/>
                <w:b w:val="1"/>
                <w:bCs w:val="1"/>
                <w:color w:val="auto"/>
              </w:rPr>
              <w:t>SoCalGas and PE:</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64"/>
        </w:trPr>
        <w:tc>
          <w:tcPr>
            <w:tcW w:w="4720" w:type="dxa"/>
            <w:vAlign w:val="bottom"/>
          </w:tcPr>
          <w:p>
            <w:pPr>
              <w:ind w:left="80"/>
              <w:spacing w:after="0"/>
              <w:rPr>
                <w:sz w:val="20"/>
                <w:szCs w:val="20"/>
                <w:color w:val="auto"/>
              </w:rPr>
            </w:pPr>
            <w:r>
              <w:rPr>
                <w:rFonts w:ascii="Arial" w:cs="Arial" w:eastAsia="Arial" w:hAnsi="Arial"/>
                <w:sz w:val="14"/>
                <w:szCs w:val="14"/>
                <w:color w:val="auto"/>
              </w:rPr>
              <w:t>Allowance for equity funds used during construction</w:t>
            </w:r>
          </w:p>
        </w:tc>
        <w:tc>
          <w:tcPr>
            <w:tcW w:w="7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2</w:t>
            </w:r>
          </w:p>
        </w:tc>
        <w:tc>
          <w:tcPr>
            <w:tcW w:w="7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8"/>
              <w:spacing w:after="0"/>
              <w:rPr>
                <w:sz w:val="20"/>
                <w:szCs w:val="20"/>
                <w:color w:val="auto"/>
              </w:rPr>
            </w:pPr>
            <w:r>
              <w:rPr>
                <w:rFonts w:ascii="Arial" w:cs="Arial" w:eastAsia="Arial" w:hAnsi="Arial"/>
                <w:sz w:val="14"/>
                <w:szCs w:val="14"/>
                <w:color w:val="auto"/>
              </w:rPr>
              <w:t>7</w:t>
            </w:r>
          </w:p>
        </w:tc>
      </w:tr>
      <w:tr>
        <w:trPr>
          <w:trHeight w:val="230"/>
        </w:trPr>
        <w:tc>
          <w:tcPr>
            <w:tcW w:w="4720" w:type="dxa"/>
            <w:vAlign w:val="bottom"/>
          </w:tcPr>
          <w:p>
            <w:pPr>
              <w:ind w:left="80"/>
              <w:spacing w:after="0"/>
              <w:rPr>
                <w:sz w:val="20"/>
                <w:szCs w:val="20"/>
                <w:color w:val="auto"/>
              </w:rPr>
            </w:pPr>
            <w:r>
              <w:rPr>
                <w:rFonts w:ascii="Arial" w:cs="Arial" w:eastAsia="Arial" w:hAnsi="Arial"/>
                <w:sz w:val="14"/>
                <w:szCs w:val="14"/>
                <w:color w:val="auto"/>
              </w:rPr>
              <w:t>Regulatory interest, net</w:t>
            </w:r>
          </w:p>
        </w:tc>
        <w:tc>
          <w:tcPr>
            <w:tcW w:w="760" w:type="dxa"/>
            <w:vAlign w:val="bottom"/>
          </w:tcPr>
          <w:p>
            <w:pPr>
              <w:spacing w:after="0"/>
              <w:rPr>
                <w:sz w:val="19"/>
                <w:szCs w:val="19"/>
                <w:color w:val="auto"/>
              </w:rPr>
            </w:pP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9"/>
                <w:szCs w:val="19"/>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380" w:type="dxa"/>
            <w:vAlign w:val="bottom"/>
            <w:gridSpan w:val="2"/>
          </w:tcPr>
          <w:p>
            <w:pPr>
              <w:jc w:val="right"/>
              <w:ind w:right="28"/>
              <w:spacing w:after="0"/>
              <w:rPr>
                <w:sz w:val="20"/>
                <w:szCs w:val="20"/>
                <w:color w:val="auto"/>
              </w:rPr>
            </w:pPr>
            <w:r>
              <w:rPr>
                <w:rFonts w:ascii="Arial" w:cs="Arial" w:eastAsia="Arial" w:hAnsi="Arial"/>
                <w:sz w:val="19"/>
                <w:szCs w:val="19"/>
                <w:color w:val="auto"/>
              </w:rPr>
              <w:t>(1)</w:t>
            </w:r>
          </w:p>
        </w:tc>
      </w:tr>
      <w:tr>
        <w:trPr>
          <w:trHeight w:val="184"/>
        </w:trPr>
        <w:tc>
          <w:tcPr>
            <w:tcW w:w="4720" w:type="dxa"/>
            <w:vAlign w:val="bottom"/>
          </w:tcPr>
          <w:p>
            <w:pPr>
              <w:ind w:left="80"/>
              <w:spacing w:after="0"/>
              <w:rPr>
                <w:sz w:val="20"/>
                <w:szCs w:val="20"/>
                <w:color w:val="auto"/>
              </w:rPr>
            </w:pPr>
            <w:r>
              <w:rPr>
                <w:rFonts w:ascii="Arial" w:cs="Arial" w:eastAsia="Arial" w:hAnsi="Arial"/>
                <w:sz w:val="14"/>
                <w:szCs w:val="14"/>
                <w:color w:val="auto"/>
              </w:rPr>
              <w:t>Sundry, net</w:t>
            </w: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22"/>
        </w:trPr>
        <w:tc>
          <w:tcPr>
            <w:tcW w:w="4720" w:type="dxa"/>
            <w:vAlign w:val="bottom"/>
          </w:tcPr>
          <w:p>
            <w:pPr>
              <w:ind w:left="660"/>
              <w:spacing w:after="0"/>
              <w:rPr>
                <w:sz w:val="20"/>
                <w:szCs w:val="20"/>
                <w:color w:val="auto"/>
              </w:rPr>
            </w:pPr>
            <w:r>
              <w:rPr>
                <w:rFonts w:ascii="Arial" w:cs="Arial" w:eastAsia="Arial" w:hAnsi="Arial"/>
                <w:sz w:val="14"/>
                <w:szCs w:val="14"/>
                <w:color w:val="auto"/>
              </w:rPr>
              <w:t>Total at SoCalGas</w:t>
            </w:r>
          </w:p>
        </w:tc>
        <w:tc>
          <w:tcPr>
            <w:tcW w:w="760" w:type="dxa"/>
            <w:vAlign w:val="bottom"/>
          </w:tcPr>
          <w:p>
            <w:pPr>
              <w:spacing w:after="0"/>
              <w:rPr>
                <w:sz w:val="19"/>
                <w:szCs w:val="19"/>
                <w:color w:val="auto"/>
              </w:rPr>
            </w:pPr>
          </w:p>
        </w:tc>
        <w:tc>
          <w:tcPr>
            <w:tcW w:w="920" w:type="dxa"/>
            <w:vAlign w:val="bottom"/>
          </w:tcPr>
          <w:p>
            <w:pPr>
              <w:jc w:val="right"/>
              <w:ind w:right="67"/>
              <w:spacing w:after="0"/>
              <w:rPr>
                <w:sz w:val="20"/>
                <w:szCs w:val="20"/>
                <w:color w:val="auto"/>
              </w:rPr>
            </w:pPr>
            <w:r>
              <w:rPr>
                <w:rFonts w:ascii="Arial" w:cs="Arial" w:eastAsia="Arial" w:hAnsi="Arial"/>
                <w:sz w:val="19"/>
                <w:szCs w:val="19"/>
                <w:color w:val="auto"/>
              </w:rPr>
              <w:t>2</w:t>
            </w:r>
          </w:p>
        </w:tc>
        <w:tc>
          <w:tcPr>
            <w:tcW w:w="780" w:type="dxa"/>
            <w:vAlign w:val="bottom"/>
          </w:tcPr>
          <w:p>
            <w:pPr>
              <w:spacing w:after="0"/>
              <w:rPr>
                <w:sz w:val="19"/>
                <w:szCs w:val="19"/>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9"/>
                <w:szCs w:val="19"/>
                <w:color w:val="auto"/>
              </w:rPr>
            </w:pPr>
          </w:p>
        </w:tc>
        <w:tc>
          <w:tcPr>
            <w:tcW w:w="1380" w:type="dxa"/>
            <w:vAlign w:val="bottom"/>
            <w:gridSpan w:val="2"/>
          </w:tcPr>
          <w:p>
            <w:pPr>
              <w:jc w:val="right"/>
              <w:ind w:right="68"/>
              <w:spacing w:after="0"/>
              <w:rPr>
                <w:sz w:val="20"/>
                <w:szCs w:val="20"/>
                <w:color w:val="auto"/>
              </w:rPr>
            </w:pPr>
            <w:r>
              <w:rPr>
                <w:rFonts w:ascii="Arial" w:cs="Arial" w:eastAsia="Arial" w:hAnsi="Arial"/>
                <w:sz w:val="14"/>
                <w:szCs w:val="14"/>
                <w:color w:val="auto"/>
              </w:rPr>
              <w:t>4</w:t>
            </w:r>
          </w:p>
        </w:tc>
      </w:tr>
      <w:tr>
        <w:trPr>
          <w:trHeight w:val="184"/>
        </w:trPr>
        <w:tc>
          <w:tcPr>
            <w:tcW w:w="4720" w:type="dxa"/>
            <w:vAlign w:val="bottom"/>
          </w:tcPr>
          <w:p>
            <w:pPr>
              <w:ind w:left="80"/>
              <w:spacing w:after="0"/>
              <w:rPr>
                <w:sz w:val="20"/>
                <w:szCs w:val="20"/>
                <w:color w:val="auto"/>
              </w:rPr>
            </w:pPr>
            <w:r>
              <w:rPr>
                <w:rFonts w:ascii="Arial" w:cs="Arial" w:eastAsia="Arial" w:hAnsi="Arial"/>
                <w:sz w:val="14"/>
                <w:szCs w:val="14"/>
                <w:color w:val="auto"/>
              </w:rPr>
              <w:t>Additional at PE:</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4"/>
                <w:szCs w:val="14"/>
                <w:color w:val="auto"/>
              </w:rPr>
              <w:t>Sundry, net</w:t>
            </w: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166"/>
        </w:trPr>
        <w:tc>
          <w:tcPr>
            <w:tcW w:w="4720" w:type="dxa"/>
            <w:vAlign w:val="bottom"/>
          </w:tcPr>
          <w:p>
            <w:pPr>
              <w:ind w:left="660"/>
              <w:spacing w:after="0"/>
              <w:rPr>
                <w:sz w:val="20"/>
                <w:szCs w:val="20"/>
                <w:color w:val="auto"/>
              </w:rPr>
            </w:pPr>
            <w:r>
              <w:rPr>
                <w:rFonts w:ascii="Arial" w:cs="Arial" w:eastAsia="Arial" w:hAnsi="Arial"/>
                <w:sz w:val="14"/>
                <w:szCs w:val="14"/>
                <w:color w:val="auto"/>
              </w:rPr>
              <w:t>Total at PE</w:t>
            </w:r>
          </w:p>
        </w:tc>
        <w:tc>
          <w:tcPr>
            <w:tcW w:w="7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2</w:t>
            </w:r>
          </w:p>
        </w:tc>
        <w:tc>
          <w:tcPr>
            <w:tcW w:w="7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8"/>
              <w:spacing w:after="0"/>
              <w:rPr>
                <w:sz w:val="20"/>
                <w:szCs w:val="20"/>
                <w:color w:val="auto"/>
              </w:rPr>
            </w:pPr>
            <w:r>
              <w:rPr>
                <w:rFonts w:ascii="Arial" w:cs="Arial" w:eastAsia="Arial" w:hAnsi="Arial"/>
                <w:sz w:val="14"/>
                <w:szCs w:val="14"/>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6186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ind w:left="660" w:right="200" w:hanging="454"/>
        <w:spacing w:after="0" w:line="248" w:lineRule="auto"/>
        <w:tabs>
          <w:tab w:leader="none" w:pos="660" w:val="left"/>
        </w:tabs>
        <w:numPr>
          <w:ilvl w:val="0"/>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investment gains on dedicated assets in support of our executive retirement and deferred compensation plans. These amounts are partially offset by corresponding changes in compensation expense related to the plans.</w:t>
      </w:r>
    </w:p>
    <w:p>
      <w:pPr>
        <w:ind w:left="660" w:hanging="454"/>
        <w:spacing w:after="0"/>
        <w:tabs>
          <w:tab w:leader="none" w:pos="660" w:val="left"/>
        </w:tabs>
        <w:numPr>
          <w:ilvl w:val="0"/>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Related to Otay Mesa VIE. Sempra Energy Consolidated also includes additional instruments.</w:t>
      </w:r>
    </w:p>
    <w:p>
      <w:pPr>
        <w:spacing w:after="0" w:line="18" w:lineRule="exact"/>
        <w:rPr>
          <w:rFonts w:ascii="Arial" w:cs="Arial" w:eastAsia="Arial" w:hAnsi="Arial"/>
          <w:sz w:val="13"/>
          <w:szCs w:val="13"/>
          <w:i w:val="1"/>
          <w:iCs w:val="1"/>
          <w:color w:val="auto"/>
        </w:rPr>
      </w:pPr>
    </w:p>
    <w:p>
      <w:pPr>
        <w:ind w:left="660" w:hanging="454"/>
        <w:spacing w:after="0"/>
        <w:tabs>
          <w:tab w:leader="none" w:pos="660" w:val="left"/>
        </w:tabs>
        <w:numPr>
          <w:ilvl w:val="0"/>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Amounts in 2010 include proceeds from a legal settlement of $48 million, as we discuss in Note 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5181600" cy="259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81600" cy="259080"/>
                    </a:xfrm>
                    <a:prstGeom prst="rect">
                      <a:avLst/>
                    </a:prstGeom>
                    <a:noFill/>
                  </pic:spPr>
                </pic:pic>
              </a:graphicData>
            </a:graphic>
          </wp:anchor>
        </w:drawing>
      </w:r>
    </w:p>
    <w:p>
      <w:pPr>
        <w:spacing w:after="0" w:line="32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INCOME TAX EXPENSE (BENEFIT) AND EFFECTIVE INCOME TAX RATES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6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4"/>
        </w:trPr>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tcPr>
          <w:p>
            <w:pPr>
              <w:jc w:val="center"/>
              <w:ind w:left="232"/>
              <w:spacing w:after="0"/>
              <w:rPr>
                <w:sz w:val="20"/>
                <w:szCs w:val="20"/>
                <w:color w:val="auto"/>
              </w:rPr>
            </w:pPr>
            <w:r>
              <w:rPr>
                <w:rFonts w:ascii="Arial" w:cs="Arial" w:eastAsia="Arial" w:hAnsi="Arial"/>
                <w:sz w:val="13"/>
                <w:szCs w:val="13"/>
                <w:color w:val="auto"/>
                <w:w w:val="98"/>
              </w:rPr>
              <w:t>Three months ended September 30,</w:t>
            </w:r>
          </w:p>
        </w:tc>
        <w:tc>
          <w:tcPr>
            <w:tcW w:w="13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r>
      <w:tr>
        <w:trPr>
          <w:trHeight w:val="208"/>
        </w:trPr>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Borders>
              <w:bottom w:val="single" w:sz="8" w:color="auto"/>
            </w:tcBorders>
            <w:gridSpan w:val="2"/>
          </w:tcPr>
          <w:p>
            <w:pPr>
              <w:jc w:val="right"/>
              <w:ind w:right="972"/>
              <w:spacing w:after="0" w:line="208" w:lineRule="exact"/>
              <w:rPr>
                <w:sz w:val="20"/>
                <w:szCs w:val="20"/>
                <w:color w:val="auto"/>
              </w:rPr>
            </w:pPr>
            <w:r>
              <w:rPr>
                <w:rFonts w:ascii="Arial" w:cs="Arial" w:eastAsia="Arial" w:hAnsi="Arial"/>
                <w:sz w:val="19"/>
                <w:szCs w:val="19"/>
                <w:color w:val="auto"/>
              </w:rPr>
              <w:t>2010</w:t>
            </w: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71"/>
              <w:spacing w:after="0"/>
              <w:rPr>
                <w:sz w:val="20"/>
                <w:szCs w:val="20"/>
                <w:color w:val="auto"/>
              </w:rPr>
            </w:pPr>
            <w:r>
              <w:rPr>
                <w:rFonts w:ascii="Arial" w:cs="Arial" w:eastAsia="Arial" w:hAnsi="Arial"/>
                <w:sz w:val="13"/>
                <w:szCs w:val="13"/>
                <w:color w:val="auto"/>
              </w:rPr>
              <w:t>2009</w:t>
            </w:r>
          </w:p>
        </w:tc>
        <w:tc>
          <w:tcPr>
            <w:tcW w:w="300" w:type="dxa"/>
            <w:vAlign w:val="bottom"/>
            <w:tcBorders>
              <w:bottom w:val="single" w:sz="8" w:color="auto"/>
            </w:tcBorders>
          </w:tcPr>
          <w:p>
            <w:pPr>
              <w:spacing w:after="0"/>
              <w:rPr>
                <w:sz w:val="18"/>
                <w:szCs w:val="18"/>
                <w:color w:val="auto"/>
              </w:rPr>
            </w:pPr>
          </w:p>
        </w:tc>
      </w:tr>
      <w:tr>
        <w:trPr>
          <w:trHeight w:val="162"/>
        </w:trPr>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left="6"/>
              <w:spacing w:after="0"/>
              <w:rPr>
                <w:sz w:val="20"/>
                <w:szCs w:val="20"/>
                <w:color w:val="auto"/>
              </w:rPr>
            </w:pPr>
            <w:r>
              <w:rPr>
                <w:rFonts w:ascii="Arial" w:cs="Arial" w:eastAsia="Arial" w:hAnsi="Arial"/>
                <w:sz w:val="13"/>
                <w:szCs w:val="13"/>
                <w:color w:val="auto"/>
                <w:w w:val="96"/>
              </w:rPr>
              <w:t>Income Tax Expense</w:t>
            </w:r>
          </w:p>
        </w:tc>
        <w:tc>
          <w:tcPr>
            <w:tcW w:w="1440" w:type="dxa"/>
            <w:vAlign w:val="bottom"/>
          </w:tcPr>
          <w:p>
            <w:pPr>
              <w:jc w:val="center"/>
              <w:ind w:left="232"/>
              <w:spacing w:after="0"/>
              <w:rPr>
                <w:sz w:val="20"/>
                <w:szCs w:val="20"/>
                <w:color w:val="auto"/>
              </w:rPr>
            </w:pPr>
            <w:r>
              <w:rPr>
                <w:rFonts w:ascii="Arial" w:cs="Arial" w:eastAsia="Arial" w:hAnsi="Arial"/>
                <w:sz w:val="13"/>
                <w:szCs w:val="13"/>
                <w:color w:val="auto"/>
                <w:w w:val="97"/>
              </w:rPr>
              <w:t>Effective Income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Income Tax</w:t>
            </w:r>
          </w:p>
        </w:tc>
        <w:tc>
          <w:tcPr>
            <w:tcW w:w="1300" w:type="dxa"/>
            <w:vAlign w:val="bottom"/>
          </w:tcPr>
          <w:p>
            <w:pPr>
              <w:jc w:val="center"/>
              <w:ind w:left="71"/>
              <w:spacing w:after="0"/>
              <w:rPr>
                <w:sz w:val="20"/>
                <w:szCs w:val="20"/>
                <w:color w:val="auto"/>
              </w:rPr>
            </w:pPr>
            <w:r>
              <w:rPr>
                <w:rFonts w:ascii="Arial" w:cs="Arial" w:eastAsia="Arial" w:hAnsi="Arial"/>
                <w:sz w:val="13"/>
                <w:szCs w:val="13"/>
                <w:color w:val="auto"/>
                <w:w w:val="99"/>
              </w:rPr>
              <w:t>Effective Income</w:t>
            </w:r>
          </w:p>
        </w:tc>
        <w:tc>
          <w:tcPr>
            <w:tcW w:w="300" w:type="dxa"/>
            <w:vAlign w:val="bottom"/>
          </w:tcPr>
          <w:p>
            <w:pPr>
              <w:spacing w:after="0"/>
              <w:rPr>
                <w:sz w:val="14"/>
                <w:szCs w:val="14"/>
                <w:color w:val="auto"/>
              </w:rPr>
            </w:pPr>
          </w:p>
        </w:tc>
      </w:tr>
      <w:tr>
        <w:trPr>
          <w:trHeight w:val="154"/>
        </w:trPr>
        <w:tc>
          <w:tcPr>
            <w:tcW w:w="20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(Benefit)</w:t>
            </w:r>
          </w:p>
        </w:tc>
        <w:tc>
          <w:tcPr>
            <w:tcW w:w="1440" w:type="dxa"/>
            <w:vAlign w:val="bottom"/>
            <w:tcBorders>
              <w:bottom w:val="single" w:sz="8" w:color="auto"/>
            </w:tcBorders>
          </w:tcPr>
          <w:p>
            <w:pPr>
              <w:jc w:val="center"/>
              <w:ind w:left="232"/>
              <w:spacing w:after="0"/>
              <w:rPr>
                <w:sz w:val="20"/>
                <w:szCs w:val="20"/>
                <w:color w:val="auto"/>
              </w:rPr>
            </w:pPr>
            <w:r>
              <w:rPr>
                <w:rFonts w:ascii="Arial" w:cs="Arial" w:eastAsia="Arial" w:hAnsi="Arial"/>
                <w:sz w:val="13"/>
                <w:szCs w:val="13"/>
                <w:color w:val="auto"/>
                <w:w w:val="94"/>
              </w:rPr>
              <w:t>Tax Rate</w:t>
            </w: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Expense</w:t>
            </w:r>
          </w:p>
        </w:tc>
        <w:tc>
          <w:tcPr>
            <w:tcW w:w="1300" w:type="dxa"/>
            <w:vAlign w:val="bottom"/>
            <w:tcBorders>
              <w:bottom w:val="single" w:sz="8" w:color="auto"/>
            </w:tcBorders>
          </w:tcPr>
          <w:p>
            <w:pPr>
              <w:jc w:val="center"/>
              <w:ind w:left="71"/>
              <w:spacing w:after="0"/>
              <w:rPr>
                <w:sz w:val="20"/>
                <w:szCs w:val="20"/>
                <w:color w:val="auto"/>
              </w:rPr>
            </w:pPr>
            <w:r>
              <w:rPr>
                <w:rFonts w:ascii="Arial" w:cs="Arial" w:eastAsia="Arial" w:hAnsi="Arial"/>
                <w:sz w:val="13"/>
                <w:szCs w:val="13"/>
                <w:color w:val="auto"/>
                <w:w w:val="98"/>
              </w:rPr>
              <w:t>Tax Rate</w:t>
            </w:r>
          </w:p>
        </w:tc>
        <w:tc>
          <w:tcPr>
            <w:tcW w:w="300" w:type="dxa"/>
            <w:vAlign w:val="bottom"/>
            <w:tcBorders>
              <w:bottom w:val="single" w:sz="8" w:color="auto"/>
            </w:tcBorders>
          </w:tcPr>
          <w:p>
            <w:pPr>
              <w:spacing w:after="0"/>
              <w:rPr>
                <w:sz w:val="13"/>
                <w:szCs w:val="13"/>
                <w:color w:val="auto"/>
              </w:rPr>
            </w:pPr>
          </w:p>
        </w:tc>
      </w:tr>
      <w:tr>
        <w:trPr>
          <w:trHeight w:val="190"/>
        </w:trPr>
        <w:tc>
          <w:tcPr>
            <w:tcW w:w="2060" w:type="dxa"/>
            <w:vAlign w:val="bottom"/>
          </w:tcPr>
          <w:p>
            <w:pPr>
              <w:ind w:left="80"/>
              <w:spacing w:after="0"/>
              <w:rPr>
                <w:sz w:val="20"/>
                <w:szCs w:val="20"/>
                <w:color w:val="auto"/>
              </w:rPr>
            </w:pPr>
            <w:r>
              <w:rPr>
                <w:rFonts w:ascii="Arial" w:cs="Arial" w:eastAsia="Arial" w:hAnsi="Arial"/>
                <w:sz w:val="14"/>
                <w:szCs w:val="14"/>
                <w:color w:val="auto"/>
              </w:rPr>
              <w:t>Sempra Energy Consolidated</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(32)</w:t>
            </w:r>
          </w:p>
        </w:tc>
        <w:tc>
          <w:tcPr>
            <w:tcW w:w="1440" w:type="dxa"/>
            <w:vAlign w:val="bottom"/>
          </w:tcPr>
          <w:p>
            <w:pPr>
              <w:jc w:val="center"/>
              <w:ind w:left="912"/>
              <w:spacing w:after="0"/>
              <w:rPr>
                <w:sz w:val="20"/>
                <w:szCs w:val="20"/>
                <w:color w:val="auto"/>
              </w:rPr>
            </w:pPr>
            <w:r>
              <w:rPr>
                <w:rFonts w:ascii="Arial" w:cs="Arial" w:eastAsia="Arial" w:hAnsi="Arial"/>
                <w:sz w:val="14"/>
                <w:szCs w:val="14"/>
                <w:color w:val="auto"/>
              </w:rPr>
              <w:t>(32)</w:t>
            </w:r>
          </w:p>
        </w:tc>
        <w:tc>
          <w:tcPr>
            <w:tcW w:w="30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128</w:t>
            </w:r>
          </w:p>
        </w:tc>
        <w:tc>
          <w:tcPr>
            <w:tcW w:w="1300" w:type="dxa"/>
            <w:vAlign w:val="bottom"/>
          </w:tcPr>
          <w:p>
            <w:pPr>
              <w:jc w:val="right"/>
              <w:spacing w:after="0"/>
              <w:rPr>
                <w:sz w:val="20"/>
                <w:szCs w:val="20"/>
                <w:color w:val="auto"/>
              </w:rPr>
            </w:pPr>
            <w:r>
              <w:rPr>
                <w:rFonts w:ascii="Arial" w:cs="Arial" w:eastAsia="Arial" w:hAnsi="Arial"/>
                <w:sz w:val="14"/>
                <w:szCs w:val="14"/>
                <w:color w:val="auto"/>
              </w:rPr>
              <w:t>31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4"/>
        </w:trPr>
        <w:tc>
          <w:tcPr>
            <w:tcW w:w="2060" w:type="dxa"/>
            <w:vAlign w:val="bottom"/>
          </w:tcPr>
          <w:p>
            <w:pPr>
              <w:ind w:left="80"/>
              <w:spacing w:after="0"/>
              <w:rPr>
                <w:sz w:val="20"/>
                <w:szCs w:val="20"/>
                <w:color w:val="auto"/>
              </w:rPr>
            </w:pPr>
            <w:r>
              <w:rPr>
                <w:rFonts w:ascii="Arial" w:cs="Arial" w:eastAsia="Arial" w:hAnsi="Arial"/>
                <w:sz w:val="14"/>
                <w:szCs w:val="14"/>
                <w:color w:val="auto"/>
              </w:rPr>
              <w:t>SDG&amp;E</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w:t>
            </w:r>
          </w:p>
        </w:tc>
        <w:tc>
          <w:tcPr>
            <w:tcW w:w="1440" w:type="dxa"/>
            <w:vAlign w:val="bottom"/>
          </w:tcPr>
          <w:p>
            <w:pPr>
              <w:jc w:val="center"/>
              <w:ind w:left="932"/>
              <w:spacing w:after="0"/>
              <w:rPr>
                <w:sz w:val="20"/>
                <w:szCs w:val="20"/>
                <w:color w:val="auto"/>
              </w:rPr>
            </w:pPr>
            <w:r>
              <w:rPr>
                <w:rFonts w:ascii="Arial" w:cs="Arial" w:eastAsia="Arial" w:hAnsi="Arial"/>
                <w:sz w:val="14"/>
                <w:szCs w:val="14"/>
                <w:color w:val="auto"/>
              </w:rPr>
              <w:t>35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53</w:t>
            </w:r>
          </w:p>
        </w:tc>
        <w:tc>
          <w:tcPr>
            <w:tcW w:w="1300" w:type="dxa"/>
            <w:vAlign w:val="bottom"/>
          </w:tcPr>
          <w:p>
            <w:pPr>
              <w:jc w:val="right"/>
              <w:ind w:right="71"/>
              <w:spacing w:after="0"/>
              <w:rPr>
                <w:sz w:val="20"/>
                <w:szCs w:val="20"/>
                <w:color w:val="auto"/>
              </w:rPr>
            </w:pPr>
            <w:r>
              <w:rPr>
                <w:rFonts w:ascii="Arial" w:cs="Arial" w:eastAsia="Arial" w:hAnsi="Arial"/>
                <w:sz w:val="14"/>
                <w:szCs w:val="14"/>
                <w:color w:val="auto"/>
              </w:rPr>
              <w:t>37</w:t>
            </w:r>
          </w:p>
        </w:tc>
        <w:tc>
          <w:tcPr>
            <w:tcW w:w="300" w:type="dxa"/>
            <w:vAlign w:val="bottom"/>
          </w:tcPr>
          <w:p>
            <w:pPr>
              <w:spacing w:after="0"/>
              <w:rPr>
                <w:sz w:val="17"/>
                <w:szCs w:val="17"/>
                <w:color w:val="auto"/>
              </w:rPr>
            </w:pPr>
          </w:p>
        </w:tc>
      </w:tr>
      <w:tr>
        <w:trPr>
          <w:trHeight w:val="204"/>
        </w:trPr>
        <w:tc>
          <w:tcPr>
            <w:tcW w:w="2060" w:type="dxa"/>
            <w:vAlign w:val="bottom"/>
          </w:tcPr>
          <w:p>
            <w:pPr>
              <w:ind w:left="80"/>
              <w:spacing w:after="0"/>
              <w:rPr>
                <w:sz w:val="20"/>
                <w:szCs w:val="20"/>
                <w:color w:val="auto"/>
              </w:rPr>
            </w:pPr>
            <w:r>
              <w:rPr>
                <w:rFonts w:ascii="Arial" w:cs="Arial" w:eastAsia="Arial" w:hAnsi="Arial"/>
                <w:sz w:val="14"/>
                <w:szCs w:val="14"/>
                <w:color w:val="auto"/>
              </w:rPr>
              <w:t>PE</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w:t>
            </w:r>
          </w:p>
        </w:tc>
        <w:tc>
          <w:tcPr>
            <w:tcW w:w="1440" w:type="dxa"/>
            <w:vAlign w:val="bottom"/>
          </w:tcPr>
          <w:p>
            <w:pPr>
              <w:jc w:val="center"/>
              <w:ind w:left="932"/>
              <w:spacing w:after="0"/>
              <w:rPr>
                <w:sz w:val="20"/>
                <w:szCs w:val="20"/>
                <w:color w:val="auto"/>
              </w:rPr>
            </w:pPr>
            <w:r>
              <w:rPr>
                <w:rFonts w:ascii="Arial" w:cs="Arial" w:eastAsia="Arial" w:hAnsi="Arial"/>
                <w:sz w:val="14"/>
                <w:szCs w:val="14"/>
                <w:color w:val="auto"/>
              </w:rPr>
              <w:t>35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41</w:t>
            </w:r>
          </w:p>
        </w:tc>
        <w:tc>
          <w:tcPr>
            <w:tcW w:w="1300" w:type="dxa"/>
            <w:vAlign w:val="bottom"/>
          </w:tcPr>
          <w:p>
            <w:pPr>
              <w:jc w:val="right"/>
              <w:ind w:right="71"/>
              <w:spacing w:after="0"/>
              <w:rPr>
                <w:sz w:val="20"/>
                <w:szCs w:val="20"/>
                <w:color w:val="auto"/>
              </w:rPr>
            </w:pPr>
            <w:r>
              <w:rPr>
                <w:rFonts w:ascii="Arial" w:cs="Arial" w:eastAsia="Arial" w:hAnsi="Arial"/>
                <w:sz w:val="14"/>
                <w:szCs w:val="14"/>
                <w:color w:val="auto"/>
              </w:rPr>
              <w:t>36</w:t>
            </w:r>
          </w:p>
        </w:tc>
        <w:tc>
          <w:tcPr>
            <w:tcW w:w="300" w:type="dxa"/>
            <w:vAlign w:val="bottom"/>
          </w:tcPr>
          <w:p>
            <w:pPr>
              <w:spacing w:after="0"/>
              <w:rPr>
                <w:sz w:val="17"/>
                <w:szCs w:val="17"/>
                <w:color w:val="auto"/>
              </w:rPr>
            </w:pPr>
          </w:p>
        </w:tc>
      </w:tr>
      <w:tr>
        <w:trPr>
          <w:trHeight w:val="214"/>
        </w:trPr>
        <w:tc>
          <w:tcPr>
            <w:tcW w:w="206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SoCalGas</w:t>
            </w:r>
          </w:p>
        </w:tc>
        <w:tc>
          <w:tcPr>
            <w:tcW w:w="280" w:type="dxa"/>
            <w:vAlign w:val="bottom"/>
            <w:tcBorders>
              <w:bottom w:val="single" w:sz="8" w:color="C0C0C0"/>
            </w:tcBorders>
          </w:tcPr>
          <w:p>
            <w:pPr>
              <w:spacing w:after="0"/>
              <w:rPr>
                <w:sz w:val="18"/>
                <w:szCs w:val="18"/>
                <w:color w:val="auto"/>
              </w:rPr>
            </w:pPr>
          </w:p>
        </w:tc>
        <w:tc>
          <w:tcPr>
            <w:tcW w:w="130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42</w:t>
            </w:r>
          </w:p>
        </w:tc>
        <w:tc>
          <w:tcPr>
            <w:tcW w:w="1440" w:type="dxa"/>
            <w:vAlign w:val="bottom"/>
            <w:tcBorders>
              <w:bottom w:val="single" w:sz="8" w:color="C0C0C0"/>
            </w:tcBorders>
          </w:tcPr>
          <w:p>
            <w:pPr>
              <w:jc w:val="center"/>
              <w:ind w:left="932"/>
              <w:spacing w:after="0"/>
              <w:rPr>
                <w:sz w:val="20"/>
                <w:szCs w:val="20"/>
                <w:color w:val="auto"/>
              </w:rPr>
            </w:pPr>
            <w:r>
              <w:rPr>
                <w:rFonts w:ascii="Arial" w:cs="Arial" w:eastAsia="Arial" w:hAnsi="Arial"/>
                <w:sz w:val="14"/>
                <w:szCs w:val="14"/>
                <w:color w:val="auto"/>
              </w:rPr>
              <w:t>35</w:t>
            </w:r>
          </w:p>
        </w:tc>
        <w:tc>
          <w:tcPr>
            <w:tcW w:w="30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c>
          <w:tcPr>
            <w:tcW w:w="920" w:type="dxa"/>
            <w:vAlign w:val="bottom"/>
            <w:tcBorders>
              <w:bottom w:val="single" w:sz="8" w:color="C0C0C0"/>
            </w:tcBorders>
          </w:tcPr>
          <w:p>
            <w:pPr>
              <w:jc w:val="right"/>
              <w:ind w:right="131"/>
              <w:spacing w:after="0"/>
              <w:rPr>
                <w:sz w:val="20"/>
                <w:szCs w:val="20"/>
                <w:color w:val="auto"/>
              </w:rPr>
            </w:pPr>
            <w:r>
              <w:rPr>
                <w:rFonts w:ascii="Arial" w:cs="Arial" w:eastAsia="Arial" w:hAnsi="Arial"/>
                <w:sz w:val="14"/>
                <w:szCs w:val="14"/>
                <w:color w:val="auto"/>
              </w:rPr>
              <w:t>42</w:t>
            </w:r>
          </w:p>
        </w:tc>
        <w:tc>
          <w:tcPr>
            <w:tcW w:w="1300" w:type="dxa"/>
            <w:vAlign w:val="bottom"/>
            <w:tcBorders>
              <w:bottom w:val="single" w:sz="8" w:color="C0C0C0"/>
            </w:tcBorders>
          </w:tcPr>
          <w:p>
            <w:pPr>
              <w:jc w:val="right"/>
              <w:ind w:right="71"/>
              <w:spacing w:after="0"/>
              <w:rPr>
                <w:sz w:val="20"/>
                <w:szCs w:val="20"/>
                <w:color w:val="auto"/>
              </w:rPr>
            </w:pPr>
            <w:r>
              <w:rPr>
                <w:rFonts w:ascii="Arial" w:cs="Arial" w:eastAsia="Arial" w:hAnsi="Arial"/>
                <w:sz w:val="14"/>
                <w:szCs w:val="14"/>
                <w:color w:val="auto"/>
              </w:rPr>
              <w:t>36</w:t>
            </w:r>
          </w:p>
        </w:tc>
        <w:tc>
          <w:tcPr>
            <w:tcW w:w="300" w:type="dxa"/>
            <w:vAlign w:val="bottom"/>
            <w:tcBorders>
              <w:bottom w:val="single" w:sz="8" w:color="C0C0C0"/>
            </w:tcBorders>
          </w:tcPr>
          <w:p>
            <w:pPr>
              <w:spacing w:after="0"/>
              <w:rPr>
                <w:sz w:val="18"/>
                <w:szCs w:val="18"/>
                <w:color w:val="auto"/>
              </w:rPr>
            </w:pPr>
          </w:p>
        </w:tc>
      </w:tr>
      <w:tr>
        <w:trPr>
          <w:trHeight w:val="192"/>
        </w:trPr>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left="232"/>
              <w:spacing w:after="0"/>
              <w:rPr>
                <w:sz w:val="20"/>
                <w:szCs w:val="20"/>
                <w:color w:val="auto"/>
              </w:rPr>
            </w:pPr>
            <w:r>
              <w:rPr>
                <w:rFonts w:ascii="Arial" w:cs="Arial" w:eastAsia="Arial" w:hAnsi="Arial"/>
                <w:sz w:val="13"/>
                <w:szCs w:val="13"/>
                <w:color w:val="auto"/>
                <w:w w:val="98"/>
              </w:rPr>
              <w:t>Nine months ended September 30,</w:t>
            </w:r>
          </w:p>
        </w:tc>
        <w:tc>
          <w:tcPr>
            <w:tcW w:w="1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48"/>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072"/>
              <w:spacing w:after="0" w:line="148" w:lineRule="exact"/>
              <w:rPr>
                <w:sz w:val="20"/>
                <w:szCs w:val="20"/>
                <w:color w:val="auto"/>
              </w:rPr>
            </w:pPr>
            <w:r>
              <w:rPr>
                <w:rFonts w:ascii="Arial" w:cs="Arial" w:eastAsia="Arial" w:hAnsi="Arial"/>
                <w:sz w:val="13"/>
                <w:szCs w:val="13"/>
                <w:color w:val="auto"/>
                <w:w w:val="96"/>
              </w:rPr>
              <w:t>2010</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71"/>
              <w:spacing w:after="0" w:line="148" w:lineRule="exact"/>
              <w:rPr>
                <w:sz w:val="20"/>
                <w:szCs w:val="20"/>
                <w:color w:val="auto"/>
              </w:rPr>
            </w:pPr>
            <w:r>
              <w:rPr>
                <w:rFonts w:ascii="Arial" w:cs="Arial" w:eastAsia="Arial" w:hAnsi="Arial"/>
                <w:sz w:val="13"/>
                <w:szCs w:val="13"/>
                <w:color w:val="auto"/>
              </w:rPr>
              <w:t>2009</w:t>
            </w:r>
          </w:p>
        </w:tc>
        <w:tc>
          <w:tcPr>
            <w:tcW w:w="300" w:type="dxa"/>
            <w:vAlign w:val="bottom"/>
            <w:tcBorders>
              <w:bottom w:val="single" w:sz="8" w:color="auto"/>
            </w:tcBorders>
          </w:tcPr>
          <w:p>
            <w:pPr>
              <w:spacing w:after="0"/>
              <w:rPr>
                <w:sz w:val="12"/>
                <w:szCs w:val="12"/>
                <w:color w:val="auto"/>
              </w:rPr>
            </w:pPr>
          </w:p>
        </w:tc>
      </w:tr>
      <w:tr>
        <w:trPr>
          <w:trHeight w:val="178"/>
        </w:trPr>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left="6"/>
              <w:spacing w:after="0"/>
              <w:rPr>
                <w:sz w:val="20"/>
                <w:szCs w:val="20"/>
                <w:color w:val="auto"/>
              </w:rPr>
            </w:pPr>
            <w:r>
              <w:rPr>
                <w:rFonts w:ascii="Arial" w:cs="Arial" w:eastAsia="Arial" w:hAnsi="Arial"/>
                <w:sz w:val="13"/>
                <w:szCs w:val="13"/>
                <w:color w:val="auto"/>
                <w:w w:val="97"/>
              </w:rPr>
              <w:t>Income Tax</w:t>
            </w:r>
          </w:p>
        </w:tc>
        <w:tc>
          <w:tcPr>
            <w:tcW w:w="1440" w:type="dxa"/>
            <w:vAlign w:val="bottom"/>
          </w:tcPr>
          <w:p>
            <w:pPr>
              <w:jc w:val="center"/>
              <w:ind w:left="232"/>
              <w:spacing w:after="0"/>
              <w:rPr>
                <w:sz w:val="20"/>
                <w:szCs w:val="20"/>
                <w:color w:val="auto"/>
              </w:rPr>
            </w:pPr>
            <w:r>
              <w:rPr>
                <w:rFonts w:ascii="Arial" w:cs="Arial" w:eastAsia="Arial" w:hAnsi="Arial"/>
                <w:sz w:val="13"/>
                <w:szCs w:val="13"/>
                <w:color w:val="auto"/>
                <w:w w:val="97"/>
              </w:rPr>
              <w:t>Effective Income</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Income Tax</w:t>
            </w:r>
          </w:p>
        </w:tc>
        <w:tc>
          <w:tcPr>
            <w:tcW w:w="1300" w:type="dxa"/>
            <w:vAlign w:val="bottom"/>
          </w:tcPr>
          <w:p>
            <w:pPr>
              <w:jc w:val="center"/>
              <w:ind w:left="71"/>
              <w:spacing w:after="0"/>
              <w:rPr>
                <w:sz w:val="20"/>
                <w:szCs w:val="20"/>
                <w:color w:val="auto"/>
              </w:rPr>
            </w:pPr>
            <w:r>
              <w:rPr>
                <w:rFonts w:ascii="Arial" w:cs="Arial" w:eastAsia="Arial" w:hAnsi="Arial"/>
                <w:sz w:val="13"/>
                <w:szCs w:val="13"/>
                <w:color w:val="auto"/>
                <w:w w:val="99"/>
              </w:rPr>
              <w:t>Effective Income</w:t>
            </w:r>
          </w:p>
        </w:tc>
        <w:tc>
          <w:tcPr>
            <w:tcW w:w="300" w:type="dxa"/>
            <w:vAlign w:val="bottom"/>
          </w:tcPr>
          <w:p>
            <w:pPr>
              <w:spacing w:after="0"/>
              <w:rPr>
                <w:sz w:val="15"/>
                <w:szCs w:val="15"/>
                <w:color w:val="auto"/>
              </w:rPr>
            </w:pPr>
          </w:p>
        </w:tc>
      </w:tr>
      <w:tr>
        <w:trPr>
          <w:trHeight w:val="222"/>
        </w:trPr>
        <w:tc>
          <w:tcPr>
            <w:tcW w:w="2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6"/>
              <w:spacing w:after="0"/>
              <w:rPr>
                <w:sz w:val="20"/>
                <w:szCs w:val="20"/>
                <w:color w:val="auto"/>
              </w:rPr>
            </w:pPr>
            <w:r>
              <w:rPr>
                <w:rFonts w:ascii="Arial" w:cs="Arial" w:eastAsia="Arial" w:hAnsi="Arial"/>
                <w:sz w:val="19"/>
                <w:szCs w:val="19"/>
                <w:color w:val="auto"/>
              </w:rPr>
              <w:t>Expense</w:t>
            </w:r>
          </w:p>
        </w:tc>
        <w:tc>
          <w:tcPr>
            <w:tcW w:w="1440" w:type="dxa"/>
            <w:vAlign w:val="bottom"/>
            <w:tcBorders>
              <w:bottom w:val="single" w:sz="8" w:color="auto"/>
            </w:tcBorders>
          </w:tcPr>
          <w:p>
            <w:pPr>
              <w:jc w:val="center"/>
              <w:ind w:left="232"/>
              <w:spacing w:after="0"/>
              <w:rPr>
                <w:sz w:val="20"/>
                <w:szCs w:val="20"/>
                <w:color w:val="auto"/>
              </w:rPr>
            </w:pPr>
            <w:r>
              <w:rPr>
                <w:rFonts w:ascii="Arial" w:cs="Arial" w:eastAsia="Arial" w:hAnsi="Arial"/>
                <w:sz w:val="13"/>
                <w:szCs w:val="13"/>
                <w:color w:val="auto"/>
                <w:w w:val="94"/>
              </w:rPr>
              <w:t>Tax Rate</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Expense</w:t>
            </w:r>
          </w:p>
        </w:tc>
        <w:tc>
          <w:tcPr>
            <w:tcW w:w="1300" w:type="dxa"/>
            <w:vAlign w:val="bottom"/>
            <w:tcBorders>
              <w:bottom w:val="single" w:sz="8" w:color="auto"/>
            </w:tcBorders>
          </w:tcPr>
          <w:p>
            <w:pPr>
              <w:jc w:val="center"/>
              <w:ind w:left="71"/>
              <w:spacing w:after="0"/>
              <w:rPr>
                <w:sz w:val="20"/>
                <w:szCs w:val="20"/>
                <w:color w:val="auto"/>
              </w:rPr>
            </w:pPr>
            <w:r>
              <w:rPr>
                <w:rFonts w:ascii="Arial" w:cs="Arial" w:eastAsia="Arial" w:hAnsi="Arial"/>
                <w:sz w:val="13"/>
                <w:szCs w:val="13"/>
                <w:color w:val="auto"/>
                <w:w w:val="98"/>
              </w:rPr>
              <w:t>Tax Rate</w:t>
            </w:r>
          </w:p>
        </w:tc>
        <w:tc>
          <w:tcPr>
            <w:tcW w:w="300" w:type="dxa"/>
            <w:vAlign w:val="bottom"/>
            <w:tcBorders>
              <w:bottom w:val="single" w:sz="8" w:color="auto"/>
            </w:tcBorders>
          </w:tcPr>
          <w:p>
            <w:pPr>
              <w:spacing w:after="0"/>
              <w:rPr>
                <w:sz w:val="19"/>
                <w:szCs w:val="19"/>
                <w:color w:val="auto"/>
              </w:rPr>
            </w:pPr>
          </w:p>
        </w:tc>
      </w:tr>
      <w:tr>
        <w:trPr>
          <w:trHeight w:val="190"/>
        </w:trPr>
        <w:tc>
          <w:tcPr>
            <w:tcW w:w="2060" w:type="dxa"/>
            <w:vAlign w:val="bottom"/>
          </w:tcPr>
          <w:p>
            <w:pPr>
              <w:ind w:left="80"/>
              <w:spacing w:after="0"/>
              <w:rPr>
                <w:sz w:val="20"/>
                <w:szCs w:val="20"/>
                <w:color w:val="auto"/>
              </w:rPr>
            </w:pPr>
            <w:r>
              <w:rPr>
                <w:rFonts w:ascii="Arial" w:cs="Arial" w:eastAsia="Arial" w:hAnsi="Arial"/>
                <w:sz w:val="14"/>
                <w:szCs w:val="14"/>
                <w:color w:val="auto"/>
              </w:rPr>
              <w:t>Sempra Energy Consolidated</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85</w:t>
            </w:r>
          </w:p>
        </w:tc>
        <w:tc>
          <w:tcPr>
            <w:tcW w:w="1440" w:type="dxa"/>
            <w:vAlign w:val="bottom"/>
          </w:tcPr>
          <w:p>
            <w:pPr>
              <w:jc w:val="center"/>
              <w:ind w:left="932"/>
              <w:spacing w:after="0"/>
              <w:rPr>
                <w:sz w:val="20"/>
                <w:szCs w:val="20"/>
                <w:color w:val="auto"/>
              </w:rPr>
            </w:pPr>
            <w:r>
              <w:rPr>
                <w:rFonts w:ascii="Arial" w:cs="Arial" w:eastAsia="Arial" w:hAnsi="Arial"/>
                <w:sz w:val="14"/>
                <w:szCs w:val="14"/>
                <w:color w:val="auto"/>
              </w:rPr>
              <w:t>18</w:t>
            </w:r>
          </w:p>
        </w:tc>
        <w:tc>
          <w:tcPr>
            <w:tcW w:w="30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327</w:t>
            </w:r>
          </w:p>
        </w:tc>
        <w:tc>
          <w:tcPr>
            <w:tcW w:w="1300" w:type="dxa"/>
            <w:vAlign w:val="bottom"/>
          </w:tcPr>
          <w:p>
            <w:pPr>
              <w:jc w:val="right"/>
              <w:ind w:right="71"/>
              <w:spacing w:after="0"/>
              <w:rPr>
                <w:sz w:val="20"/>
                <w:szCs w:val="20"/>
                <w:color w:val="auto"/>
              </w:rPr>
            </w:pPr>
            <w:r>
              <w:rPr>
                <w:rFonts w:ascii="Arial" w:cs="Arial" w:eastAsia="Arial" w:hAnsi="Arial"/>
                <w:sz w:val="14"/>
                <w:szCs w:val="14"/>
                <w:color w:val="auto"/>
              </w:rPr>
              <w:t>30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4"/>
        </w:trPr>
        <w:tc>
          <w:tcPr>
            <w:tcW w:w="2060" w:type="dxa"/>
            <w:vAlign w:val="bottom"/>
          </w:tcPr>
          <w:p>
            <w:pPr>
              <w:ind w:left="80"/>
              <w:spacing w:after="0"/>
              <w:rPr>
                <w:sz w:val="20"/>
                <w:szCs w:val="20"/>
                <w:color w:val="auto"/>
              </w:rPr>
            </w:pPr>
            <w:r>
              <w:rPr>
                <w:rFonts w:ascii="Arial" w:cs="Arial" w:eastAsia="Arial" w:hAnsi="Arial"/>
                <w:sz w:val="14"/>
                <w:szCs w:val="14"/>
                <w:color w:val="auto"/>
              </w:rPr>
              <w:t>SDG&amp;E</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131</w:t>
            </w:r>
          </w:p>
        </w:tc>
        <w:tc>
          <w:tcPr>
            <w:tcW w:w="1440" w:type="dxa"/>
            <w:vAlign w:val="bottom"/>
          </w:tcPr>
          <w:p>
            <w:pPr>
              <w:jc w:val="center"/>
              <w:ind w:left="932"/>
              <w:spacing w:after="0"/>
              <w:rPr>
                <w:sz w:val="20"/>
                <w:szCs w:val="20"/>
                <w:color w:val="auto"/>
              </w:rPr>
            </w:pPr>
            <w:r>
              <w:rPr>
                <w:rFonts w:ascii="Arial" w:cs="Arial" w:eastAsia="Arial" w:hAnsi="Arial"/>
                <w:sz w:val="14"/>
                <w:szCs w:val="14"/>
                <w:color w:val="auto"/>
              </w:rPr>
              <w:t>36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141</w:t>
            </w:r>
          </w:p>
        </w:tc>
        <w:tc>
          <w:tcPr>
            <w:tcW w:w="1300" w:type="dxa"/>
            <w:vAlign w:val="bottom"/>
          </w:tcPr>
          <w:p>
            <w:pPr>
              <w:jc w:val="right"/>
              <w:ind w:right="71"/>
              <w:spacing w:after="0"/>
              <w:rPr>
                <w:sz w:val="20"/>
                <w:szCs w:val="20"/>
                <w:color w:val="auto"/>
              </w:rPr>
            </w:pPr>
            <w:r>
              <w:rPr>
                <w:rFonts w:ascii="Arial" w:cs="Arial" w:eastAsia="Arial" w:hAnsi="Arial"/>
                <w:sz w:val="14"/>
                <w:szCs w:val="14"/>
                <w:color w:val="auto"/>
              </w:rPr>
              <w:t>33</w:t>
            </w:r>
          </w:p>
        </w:tc>
        <w:tc>
          <w:tcPr>
            <w:tcW w:w="300" w:type="dxa"/>
            <w:vAlign w:val="bottom"/>
          </w:tcPr>
          <w:p>
            <w:pPr>
              <w:spacing w:after="0"/>
              <w:rPr>
                <w:sz w:val="17"/>
                <w:szCs w:val="17"/>
                <w:color w:val="auto"/>
              </w:rPr>
            </w:pPr>
          </w:p>
        </w:tc>
      </w:tr>
      <w:tr>
        <w:trPr>
          <w:trHeight w:val="204"/>
        </w:trPr>
        <w:tc>
          <w:tcPr>
            <w:tcW w:w="2060" w:type="dxa"/>
            <w:vAlign w:val="bottom"/>
          </w:tcPr>
          <w:p>
            <w:pPr>
              <w:ind w:left="80"/>
              <w:spacing w:after="0"/>
              <w:rPr>
                <w:sz w:val="20"/>
                <w:szCs w:val="20"/>
                <w:color w:val="auto"/>
              </w:rPr>
            </w:pPr>
            <w:r>
              <w:rPr>
                <w:rFonts w:ascii="Arial" w:cs="Arial" w:eastAsia="Arial" w:hAnsi="Arial"/>
                <w:sz w:val="14"/>
                <w:szCs w:val="14"/>
                <w:color w:val="auto"/>
              </w:rPr>
              <w:t>PE</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132</w:t>
            </w:r>
          </w:p>
        </w:tc>
        <w:tc>
          <w:tcPr>
            <w:tcW w:w="1440" w:type="dxa"/>
            <w:vAlign w:val="bottom"/>
          </w:tcPr>
          <w:p>
            <w:pPr>
              <w:jc w:val="center"/>
              <w:ind w:left="932"/>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117</w:t>
            </w:r>
          </w:p>
        </w:tc>
        <w:tc>
          <w:tcPr>
            <w:tcW w:w="1300" w:type="dxa"/>
            <w:vAlign w:val="bottom"/>
          </w:tcPr>
          <w:p>
            <w:pPr>
              <w:jc w:val="right"/>
              <w:ind w:right="71"/>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7"/>
                <w:szCs w:val="17"/>
                <w:color w:val="auto"/>
              </w:rPr>
            </w:pPr>
          </w:p>
        </w:tc>
      </w:tr>
      <w:tr>
        <w:trPr>
          <w:trHeight w:val="214"/>
        </w:trPr>
        <w:tc>
          <w:tcPr>
            <w:tcW w:w="206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SoCalGas</w:t>
            </w:r>
          </w:p>
        </w:tc>
        <w:tc>
          <w:tcPr>
            <w:tcW w:w="280" w:type="dxa"/>
            <w:vAlign w:val="bottom"/>
            <w:tcBorders>
              <w:bottom w:val="single" w:sz="8" w:color="C0C0C0"/>
            </w:tcBorders>
          </w:tcPr>
          <w:p>
            <w:pPr>
              <w:spacing w:after="0"/>
              <w:rPr>
                <w:sz w:val="18"/>
                <w:szCs w:val="18"/>
                <w:color w:val="auto"/>
              </w:rPr>
            </w:pPr>
          </w:p>
        </w:tc>
        <w:tc>
          <w:tcPr>
            <w:tcW w:w="130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132</w:t>
            </w:r>
          </w:p>
        </w:tc>
        <w:tc>
          <w:tcPr>
            <w:tcW w:w="1440" w:type="dxa"/>
            <w:vAlign w:val="bottom"/>
            <w:tcBorders>
              <w:bottom w:val="single" w:sz="8" w:color="C0C0C0"/>
            </w:tcBorders>
          </w:tcPr>
          <w:p>
            <w:pPr>
              <w:jc w:val="center"/>
              <w:ind w:left="932"/>
              <w:spacing w:after="0"/>
              <w:rPr>
                <w:sz w:val="20"/>
                <w:szCs w:val="20"/>
                <w:color w:val="auto"/>
              </w:rPr>
            </w:pPr>
            <w:r>
              <w:rPr>
                <w:rFonts w:ascii="Arial" w:cs="Arial" w:eastAsia="Arial" w:hAnsi="Arial"/>
                <w:sz w:val="14"/>
                <w:szCs w:val="14"/>
                <w:color w:val="auto"/>
              </w:rPr>
              <w:t>38</w:t>
            </w:r>
          </w:p>
        </w:tc>
        <w:tc>
          <w:tcPr>
            <w:tcW w:w="30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c>
          <w:tcPr>
            <w:tcW w:w="920" w:type="dxa"/>
            <w:vAlign w:val="bottom"/>
            <w:tcBorders>
              <w:bottom w:val="single" w:sz="8" w:color="C0C0C0"/>
            </w:tcBorders>
          </w:tcPr>
          <w:p>
            <w:pPr>
              <w:jc w:val="right"/>
              <w:ind w:right="131"/>
              <w:spacing w:after="0"/>
              <w:rPr>
                <w:sz w:val="20"/>
                <w:szCs w:val="20"/>
                <w:color w:val="auto"/>
              </w:rPr>
            </w:pPr>
            <w:r>
              <w:rPr>
                <w:rFonts w:ascii="Arial" w:cs="Arial" w:eastAsia="Arial" w:hAnsi="Arial"/>
                <w:sz w:val="14"/>
                <w:szCs w:val="14"/>
                <w:color w:val="auto"/>
              </w:rPr>
              <w:t>115</w:t>
            </w:r>
          </w:p>
        </w:tc>
        <w:tc>
          <w:tcPr>
            <w:tcW w:w="1300" w:type="dxa"/>
            <w:vAlign w:val="bottom"/>
            <w:tcBorders>
              <w:bottom w:val="single" w:sz="8" w:color="C0C0C0"/>
            </w:tcBorders>
          </w:tcPr>
          <w:p>
            <w:pPr>
              <w:jc w:val="right"/>
              <w:ind w:right="71"/>
              <w:spacing w:after="0"/>
              <w:rPr>
                <w:sz w:val="20"/>
                <w:szCs w:val="20"/>
                <w:color w:val="auto"/>
              </w:rPr>
            </w:pPr>
            <w:r>
              <w:rPr>
                <w:rFonts w:ascii="Arial" w:cs="Arial" w:eastAsia="Arial" w:hAnsi="Arial"/>
                <w:sz w:val="14"/>
                <w:szCs w:val="14"/>
                <w:color w:val="auto"/>
              </w:rPr>
              <w:t>37</w:t>
            </w:r>
          </w:p>
        </w:tc>
        <w:tc>
          <w:tcPr>
            <w:tcW w:w="300" w:type="dxa"/>
            <w:vAlign w:val="bottom"/>
            <w:tcBorders>
              <w:bottom w:val="single" w:sz="8" w:color="C0C0C0"/>
            </w:tcBorders>
          </w:tcPr>
          <w:p>
            <w:pPr>
              <w:spacing w:after="0"/>
              <w:rPr>
                <w:sz w:val="18"/>
                <w:szCs w:val="18"/>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Effective Income Tax Rates</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change in effective income tax rate for the three months ended September 30, 2010 was primarily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planned investment tax credits;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exclusions from taxable income of the equity portion of AFUDC; and</w:t>
      </w:r>
    </w:p>
    <w:p>
      <w:pPr>
        <w:spacing w:after="0" w:line="56" w:lineRule="exact"/>
        <w:rPr>
          <w:sz w:val="20"/>
          <w:szCs w:val="20"/>
          <w:color w:val="auto"/>
        </w:rPr>
      </w:pPr>
    </w:p>
    <w:p>
      <w:pPr>
        <w:ind w:left="140" w:right="1580"/>
        <w:spacing w:after="0" w:line="270" w:lineRule="auto"/>
        <w:rPr>
          <w:sz w:val="20"/>
          <w:szCs w:val="20"/>
          <w:color w:val="auto"/>
        </w:rPr>
      </w:pPr>
      <w:r>
        <w:rPr>
          <w:rFonts w:ascii="Arial" w:cs="Arial" w:eastAsia="Arial" w:hAnsi="Arial"/>
          <w:sz w:val="16"/>
          <w:szCs w:val="16"/>
          <w:color w:val="auto"/>
        </w:rPr>
        <w:t xml:space="preserve">§higher pretax income (including a $175 million gain related to our share of the RBS Sempra Commodities sale to J.P. Morgan Ventures on July 1, 2010) in countries with lower statutory rates; </w:t>
      </w:r>
      <w:r>
        <w:rPr>
          <w:rFonts w:ascii="Arial" w:cs="Arial" w:eastAsia="Arial" w:hAnsi="Arial"/>
          <w:sz w:val="16"/>
          <w:szCs w:val="16"/>
          <w:b w:val="1"/>
          <w:bCs w:val="1"/>
          <w:color w:val="auto"/>
        </w:rPr>
        <w:t>offset by</w:t>
      </w:r>
    </w:p>
    <w:p>
      <w:pPr>
        <w:spacing w:after="0" w:line="18" w:lineRule="exact"/>
        <w:rPr>
          <w:sz w:val="20"/>
          <w:szCs w:val="20"/>
          <w:color w:val="auto"/>
        </w:rPr>
      </w:pPr>
    </w:p>
    <w:p>
      <w:pPr>
        <w:ind w:left="140" w:right="4840"/>
        <w:spacing w:after="0" w:line="357" w:lineRule="auto"/>
        <w:rPr>
          <w:sz w:val="20"/>
          <w:szCs w:val="20"/>
          <w:color w:val="auto"/>
        </w:rPr>
      </w:pPr>
      <w:r>
        <w:rPr>
          <w:rFonts w:ascii="Arial" w:cs="Arial" w:eastAsia="Arial" w:hAnsi="Arial"/>
          <w:sz w:val="14"/>
          <w:szCs w:val="14"/>
          <w:color w:val="auto"/>
        </w:rPr>
        <w:t>§$11 million state income tax expense related to our exit from the RBS Sempra Commodities business; §lower favorable impact from the resolution of prior years' income tax issues;</w:t>
      </w:r>
    </w:p>
    <w:p>
      <w:pPr>
        <w:spacing w:after="0" w:line="1" w:lineRule="exact"/>
        <w:rPr>
          <w:sz w:val="20"/>
          <w:szCs w:val="20"/>
          <w:color w:val="auto"/>
        </w:rPr>
      </w:pPr>
    </w:p>
    <w:p>
      <w:pPr>
        <w:ind w:left="140" w:right="1220"/>
        <w:spacing w:after="0" w:line="270" w:lineRule="auto"/>
        <w:rPr>
          <w:sz w:val="20"/>
          <w:szCs w:val="20"/>
          <w:color w:val="auto"/>
        </w:rPr>
      </w:pPr>
      <w:r>
        <w:rPr>
          <w:rFonts w:ascii="Arial" w:cs="Arial" w:eastAsia="Arial" w:hAnsi="Arial"/>
          <w:sz w:val="16"/>
          <w:szCs w:val="16"/>
          <w:color w:val="auto"/>
        </w:rPr>
        <w:t>§an increase in the amount by which book depreciation exceeds normalized tax depreciation, which is not treated as a deferred tax asset for ratemaking purposes; and</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§$5 million tax expense in 2010 compared to $3 million tax benefit in 2009 due to Mexican currency translation and inflation adjustments.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2010, the effective income tax rate decreased primarily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planned investment tax credits;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deductions for self-developed software costs;</w:t>
      </w:r>
    </w:p>
    <w:p>
      <w:pPr>
        <w:spacing w:after="0" w:line="56" w:lineRule="exact"/>
        <w:rPr>
          <w:sz w:val="20"/>
          <w:szCs w:val="20"/>
          <w:color w:val="auto"/>
        </w:rPr>
      </w:pPr>
    </w:p>
    <w:p>
      <w:pPr>
        <w:ind w:left="140" w:right="1580"/>
        <w:spacing w:after="0" w:line="270" w:lineRule="auto"/>
        <w:rPr>
          <w:sz w:val="20"/>
          <w:szCs w:val="20"/>
          <w:color w:val="auto"/>
        </w:rPr>
      </w:pPr>
      <w:r>
        <w:rPr>
          <w:rFonts w:ascii="Arial" w:cs="Arial" w:eastAsia="Arial" w:hAnsi="Arial"/>
          <w:sz w:val="16"/>
          <w:szCs w:val="16"/>
          <w:color w:val="auto"/>
        </w:rPr>
        <w:t>§higher pretax income (including a $175 million gain related to our share of the RBS Sempra Commodities sale to J.P. Morgan Ventures on July 1, 2010) in countries with lower statutory rates; and</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§higher exclusions from taxable income of the equity portion of AFUDC; </w:t>
      </w:r>
      <w:r>
        <w:rPr>
          <w:rFonts w:ascii="Arial" w:cs="Arial" w:eastAsia="Arial" w:hAnsi="Arial"/>
          <w:sz w:val="16"/>
          <w:szCs w:val="16"/>
          <w:b w:val="1"/>
          <w:bCs w:val="1"/>
          <w:color w:val="auto"/>
        </w:rPr>
        <w:t>offset by</w:t>
      </w:r>
    </w:p>
    <w:p>
      <w:pPr>
        <w:spacing w:after="0" w:line="60" w:lineRule="exact"/>
        <w:rPr>
          <w:sz w:val="20"/>
          <w:szCs w:val="20"/>
          <w:color w:val="auto"/>
        </w:rPr>
      </w:pPr>
    </w:p>
    <w:p>
      <w:pPr>
        <w:ind w:left="140" w:right="4840"/>
        <w:spacing w:after="0" w:line="357" w:lineRule="auto"/>
        <w:rPr>
          <w:sz w:val="20"/>
          <w:szCs w:val="20"/>
          <w:color w:val="auto"/>
        </w:rPr>
      </w:pPr>
      <w:r>
        <w:rPr>
          <w:rFonts w:ascii="Arial" w:cs="Arial" w:eastAsia="Arial" w:hAnsi="Arial"/>
          <w:sz w:val="14"/>
          <w:szCs w:val="14"/>
          <w:color w:val="auto"/>
        </w:rPr>
        <w:t>§$11 million state income tax expense related to our exit from the RBS Sempra Commodities business; §lower favorable impact from the resolution of prior years' in come tax issues;</w:t>
      </w:r>
    </w:p>
    <w:p>
      <w:pPr>
        <w:spacing w:after="0" w:line="1" w:lineRule="exact"/>
        <w:rPr>
          <w:sz w:val="20"/>
          <w:szCs w:val="20"/>
          <w:color w:val="auto"/>
        </w:rPr>
      </w:pPr>
    </w:p>
    <w:p>
      <w:pPr>
        <w:ind w:left="140" w:right="1680"/>
        <w:spacing w:after="0" w:line="270" w:lineRule="auto"/>
        <w:rPr>
          <w:sz w:val="20"/>
          <w:szCs w:val="20"/>
          <w:color w:val="auto"/>
        </w:rPr>
      </w:pPr>
      <w:r>
        <w:rPr>
          <w:rFonts w:ascii="Arial" w:cs="Arial" w:eastAsia="Arial" w:hAnsi="Arial"/>
          <w:sz w:val="16"/>
          <w:szCs w:val="16"/>
          <w:color w:val="auto"/>
        </w:rPr>
        <w:t>§a $16 million write-down of the deferred tax assets related to other postretirement benefits, as a result of a change in U.S. tax law that eliminates a future deduction, starting in 2013, for retiree healthcare funded by the Medicare Part D subsidy;</w:t>
      </w:r>
    </w:p>
    <w:p>
      <w:pPr>
        <w:spacing w:after="0" w:line="18" w:lineRule="exact"/>
        <w:rPr>
          <w:sz w:val="20"/>
          <w:szCs w:val="20"/>
          <w:color w:val="auto"/>
        </w:rPr>
      </w:pPr>
    </w:p>
    <w:p>
      <w:pPr>
        <w:ind w:left="140" w:right="1220"/>
        <w:spacing w:after="0" w:line="270" w:lineRule="auto"/>
        <w:rPr>
          <w:sz w:val="20"/>
          <w:szCs w:val="20"/>
          <w:color w:val="auto"/>
        </w:rPr>
      </w:pPr>
      <w:r>
        <w:rPr>
          <w:rFonts w:ascii="Arial" w:cs="Arial" w:eastAsia="Arial" w:hAnsi="Arial"/>
          <w:sz w:val="16"/>
          <w:szCs w:val="16"/>
          <w:color w:val="auto"/>
        </w:rPr>
        <w:t>§an increase in the amount by which book depreciation exceeds normalized tax depreciation, which is not treated as a deferred tax asset for ratemaking purposes; and</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 million higher tax expense in 2010 due to Mexican currency translation and inflation adjustments.</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SDG&amp;E</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The decrease in SDG&amp;E's effective income tax rate for the three months ended September 30, 2010 was primarily due to:</w:t>
      </w:r>
    </w:p>
    <w:p>
      <w:pPr>
        <w:sectPr>
          <w:pgSz w:w="11900" w:h="16838" w:orient="portrait"/>
          <w:cols w:equalWidth="0" w:num="1">
            <w:col w:w="11440"/>
          </w:cols>
          <w:pgMar w:left="240" w:top="141" w:right="219" w:bottom="0" w:gutter="0" w:footer="0" w:header="0"/>
        </w:sectPr>
      </w:pP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impact of Otay Mesa VIE;</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 decrease in the amount by which book depreciation exceeds normalized tax depreciation, which is not treated as a deferred tax asset for ratemaking purposes;</w:t>
      </w:r>
    </w:p>
    <w:p>
      <w:pPr>
        <w:sectPr>
          <w:pgSz w:w="11900" w:h="16838" w:orient="portrait"/>
          <w:cols w:equalWidth="0" w:num="1">
            <w:col w:w="11440"/>
          </w:cols>
          <w:pgMar w:left="240" w:top="141" w:right="219" w:bottom="0" w:gutter="0" w:footer="0" w:header="0"/>
          <w:type w:val="continuous"/>
        </w:sectPr>
      </w:pPr>
    </w:p>
    <w:bookmarkStart w:id="26" w:name="page27"/>
    <w:bookmarkEnd w:id="26"/>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exclusions from taxable income of the equity portion of AFUDC; and</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§higher favorable impact from the resolution of prior years' income tax issues; </w:t>
      </w:r>
      <w:r>
        <w:rPr>
          <w:rFonts w:ascii="Arial" w:cs="Arial" w:eastAsia="Arial" w:hAnsi="Arial"/>
          <w:sz w:val="16"/>
          <w:szCs w:val="16"/>
          <w:b w:val="1"/>
          <w:b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§lower deductions for self-developed software costs;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§lower deductions for other postretirement benefits; and</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§lower utility repair allowance.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2010, the increase in SDG&amp;E's effective income tax rate was primarily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impact of Otay Mesa VIE;</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 $3 million write-down of the deferred t ax assets related to other postretirement benefits as a result of a change in U.S. tax law, as we discuss above;</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§an increase in the amount by which book depreciation exceeds normalized tax depreciation, which is not treated as a deferred tax asset for ratemaking purposes;</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§lower deductions for other postretirement benefits; and</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§lower utility repair allowance; </w:t>
      </w:r>
      <w:r>
        <w:rPr>
          <w:rFonts w:ascii="Arial" w:cs="Arial" w:eastAsia="Arial" w:hAnsi="Arial"/>
          <w:sz w:val="16"/>
          <w:szCs w:val="16"/>
          <w:b w:val="1"/>
          <w:b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exclusions from taxable income of the equity portion of AFUDC; and</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favorable impact from the resolution of prior years' income tax issues.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SDG&amp;E's results include Otay Mesa VIE, which is consolidated, and therefore, SDG&amp;E's effective income tax rate is impacted by the VIE’s stand-alone effective income tax rate.</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PE and SoCalGas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PE's and SoCalGas' effective income tax rates for the three months ended September 30, 2010 was primarily due to:</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§higher deductions for self-developed software costs; </w:t>
      </w:r>
      <w:r>
        <w:rPr>
          <w:rFonts w:ascii="Arial" w:cs="Arial" w:eastAsia="Arial" w:hAnsi="Arial"/>
          <w:sz w:val="16"/>
          <w:szCs w:val="16"/>
          <w:b w:val="1"/>
          <w:bCs w:val="1"/>
          <w:color w:val="auto"/>
        </w:rPr>
        <w:t>offset by</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§lower deductions for other postretirement benefits; and</w:t>
      </w:r>
      <w:r>
        <w:rPr>
          <w:rFonts w:ascii="Arial" w:cs="Arial" w:eastAsia="Arial" w:hAnsi="Arial"/>
          <w:sz w:val="19"/>
          <w:szCs w:val="19"/>
          <w:color w:val="auto"/>
        </w:rPr>
        <w:t>&lt; /p&gt;</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§an increase in the amount by which book depreciation exceeds normalized tax depreciation, which is not treated as a deferred tax asset for ratemaking purposes.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2010, the increase in SoCalGas’ effective income tax rate was primarily due to:</w:t>
      </w:r>
    </w:p>
    <w:p>
      <w:pPr>
        <w:spacing w:after="0" w:line="56" w:lineRule="exact"/>
        <w:rPr>
          <w:sz w:val="20"/>
          <w:szCs w:val="20"/>
          <w:color w:val="auto"/>
        </w:rPr>
      </w:pPr>
    </w:p>
    <w:p>
      <w:pPr>
        <w:ind w:left="140" w:right="1800"/>
        <w:spacing w:after="0" w:line="313" w:lineRule="auto"/>
        <w:rPr>
          <w:sz w:val="20"/>
          <w:szCs w:val="20"/>
          <w:color w:val="auto"/>
        </w:rPr>
      </w:pPr>
      <w:r>
        <w:rPr>
          <w:rFonts w:ascii="Arial" w:cs="Arial" w:eastAsia="Arial" w:hAnsi="Arial"/>
          <w:sz w:val="16"/>
          <w:szCs w:val="16"/>
          <w:color w:val="auto"/>
        </w:rPr>
        <w:t>§a $13 million write-down of the deferred tax assets related to other postretirement benefits as a result of a change in U.S. tax law, as we discuss above; §lower deductions for other postretirement benefits; and</w:t>
      </w:r>
    </w:p>
    <w:p>
      <w:pPr>
        <w:ind w:left="140" w:right="1200"/>
        <w:spacing w:after="0" w:line="270" w:lineRule="auto"/>
        <w:rPr>
          <w:sz w:val="20"/>
          <w:szCs w:val="20"/>
          <w:color w:val="auto"/>
        </w:rPr>
      </w:pPr>
      <w:r>
        <w:rPr>
          <w:rFonts w:ascii="Arial" w:cs="Arial" w:eastAsia="Arial" w:hAnsi="Arial"/>
          <w:sz w:val="16"/>
          <w:szCs w:val="16"/>
          <w:color w:val="auto"/>
        </w:rPr>
        <w:t xml:space="preserve">§an increase in the amount by which book depreciation exceeds normalized tax depreciation, which is not treated as a deferred tax asset for ratemaking purposes; </w:t>
      </w:r>
      <w:r>
        <w:rPr>
          <w:rFonts w:ascii="Arial" w:cs="Arial" w:eastAsia="Arial" w:hAnsi="Arial"/>
          <w:sz w:val="16"/>
          <w:szCs w:val="16"/>
          <w:b w:val="1"/>
          <w:bCs w:val="1"/>
          <w:color w:val="auto"/>
        </w:rPr>
        <w:t>offset by</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deductions for self-developed software costs; and</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exclusions from taxable income of the equity portion of AFUDC.</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Although it did not change year-over-year, these fluctuations are also reflected in PE’s effective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528955</wp:posOffset>
            </wp:positionV>
            <wp:extent cx="726186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auto"/>
        </w:rPr>
        <w:t>NOTE 6. DEBT AND CREDIT FACILITIES</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COMMITTED LINES OF CREDIT</w:t>
      </w:r>
    </w:p>
    <w:p>
      <w:pPr>
        <w:spacing w:after="0" w:line="9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At September 30, 2010, Sempra Energy Consolidated had $4.3 billion in committed lines of credit to provide liquidity and to support commercial paper and variable-rate demand notes, the major components of which we detail below. Available unused credit on these lines at September 30, 2010 was $3.4 billion. In October 2010, we entered into new credit agreements to replace our previous principal credit agreements. The new agreements have a longer term and, in light of our exit from the commodities joint venture which we discuss in Note 4, a lower credit commitment by $500 million (at Sempra Global).</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52" w:lineRule="exact"/>
        <w:rPr>
          <w:sz w:val="20"/>
          <w:szCs w:val="20"/>
          <w:color w:val="auto"/>
        </w:rPr>
      </w:pPr>
    </w:p>
    <w:p>
      <w:pPr>
        <w:jc w:val="both"/>
        <w:ind w:right="60"/>
        <w:spacing w:after="0" w:line="262" w:lineRule="auto"/>
        <w:rPr>
          <w:sz w:val="20"/>
          <w:szCs w:val="20"/>
          <w:color w:val="auto"/>
        </w:rPr>
      </w:pPr>
      <w:r>
        <w:rPr>
          <w:rFonts w:ascii="Arial" w:cs="Arial" w:eastAsia="Arial" w:hAnsi="Arial"/>
          <w:sz w:val="16"/>
          <w:szCs w:val="16"/>
          <w:b w:val="1"/>
          <w:bCs w:val="1"/>
          <w:color w:val="auto"/>
        </w:rPr>
        <w:t>In October 2010, Sempra Energy entered into a new $1 billion, four-year syndicated revolving credit agreement expiring in October 2014, replacing the previous $1 billion three-year credit agreement scheduled to expire in 2011. Citibank, N.A. serves as administrative agent for the syndicate of 23 lenders. No single lender has greater than a 7-percent share.</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6"/>
          <w:szCs w:val="16"/>
          <w:b w:val="1"/>
          <w:bCs w:val="1"/>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The facility also provides for issuance of up to $400 million of letters of credit on behalf of Sempra Energy with the amount of borrowings otherwise available under the facility reduced by the amount of outstanding letters of credit.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 the previous credit agreement at September 30, 2010, Sempra Energy had no outstanding borrowings supported by the facility.</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Global</w:t>
      </w:r>
    </w:p>
    <w:p>
      <w:pPr>
        <w:spacing w:after="0" w:line="5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color w:val="auto"/>
        </w:rPr>
        <w:t>In October 2010, Sempra Global entered into a new $2 billion, four-year syndicated revolving credit agreement expiring in October 2014, replacing the previous $2.5 billion three-year credit agreement scheduled to expire in 2011. Citibank, N.A. serves as administrative agent for the syndicate of 23 lenders. No single lender has greater than a 7-percent share.</w:t>
      </w:r>
    </w:p>
    <w:p>
      <w:pPr>
        <w:spacing w:after="0" w:line="6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 edness to total capitalization (as defined in the agreement) of no more than 65 percent at the end of each quarter.</w:t>
      </w:r>
    </w:p>
    <w:p>
      <w:pPr>
        <w:spacing w:after="0" w:line="69"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b w:val="1"/>
          <w:bCs w:val="1"/>
          <w:color w:val="auto"/>
        </w:rPr>
        <w:t>Under the previous credit agreement at September 30, 2010, Sempra Global had $7 million of letters of credit outstanding, $38 million of variable-rate demand notes outstanding, and $574 million of commercial paper outstanding supported by the facility.</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Utilities</w:t>
      </w:r>
    </w:p>
    <w:p>
      <w:pPr>
        <w:spacing w:after="0" w:line="52" w:lineRule="exact"/>
        <w:rPr>
          <w:sz w:val="20"/>
          <w:szCs w:val="20"/>
          <w:color w:val="auto"/>
        </w:rPr>
      </w:pPr>
    </w:p>
    <w:p>
      <w:pPr>
        <w:ind w:right="60"/>
        <w:spacing w:after="0" w:line="301" w:lineRule="auto"/>
        <w:rPr>
          <w:sz w:val="20"/>
          <w:szCs w:val="20"/>
          <w:color w:val="auto"/>
        </w:rPr>
      </w:pPr>
      <w:r>
        <w:rPr>
          <w:rFonts w:ascii="Arial" w:cs="Arial" w:eastAsia="Arial" w:hAnsi="Arial"/>
          <w:sz w:val="14"/>
          <w:szCs w:val="14"/>
          <w:b w:val="1"/>
          <w:bCs w:val="1"/>
          <w:color w:val="auto"/>
        </w:rPr>
        <w:t>In October 2010, SDG&amp;E and SoCalGas entered into a new combined $800 million, four-year syndicated revolving credit agreement expiring in October 2014, replacing the previous $800 million three-year credit agreement scheduled to expire in 2011. JPMorgan Chase Bank serves as administrative agent for the syndicate of 22 lenders. No single lender has greater than a 7-percent share. The agreement permits each utility to individually borrow up to $600 million, subject to a combined limit of $800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w:t>
      </w:r>
    </w:p>
    <w:p>
      <w:pPr>
        <w:spacing w:after="0" w:line="46" w:lineRule="exact"/>
        <w:rPr>
          <w:sz w:val="20"/>
          <w:szCs w:val="20"/>
          <w:color w:val="auto"/>
        </w:rPr>
      </w:pPr>
    </w:p>
    <w:p>
      <w:pPr>
        <w:ind w:right="140"/>
        <w:spacing w:after="0" w:line="348" w:lineRule="auto"/>
        <w:rPr>
          <w:sz w:val="20"/>
          <w:szCs w:val="20"/>
          <w:color w:val="auto"/>
        </w:rPr>
      </w:pPr>
      <w:r>
        <w:rPr>
          <w:rFonts w:ascii="Arial" w:cs="Arial" w:eastAsia="Arial" w:hAnsi="Arial"/>
          <w:sz w:val="14"/>
          <w:szCs w:val="14"/>
          <w:b w:val="1"/>
          <w:bCs w:val="1"/>
          <w:color w:val="auto"/>
        </w:rPr>
        <w:t>Borrowings under the facility bear interest at benchmark rates plus a margin that varies with market index rates and the borrowing utility's credit rating. The agreement requires each utility to maintain a ratio of total indebtedness to total capitalization (as defined in the agreement) of no more than 65 percent at the end of each quarter.</w:t>
      </w:r>
    </w:p>
    <w:p>
      <w:pPr>
        <w:spacing w:after="0" w:line="13" w:lineRule="exact"/>
        <w:rPr>
          <w:sz w:val="20"/>
          <w:szCs w:val="20"/>
          <w:color w:val="auto"/>
        </w:rPr>
      </w:pPr>
    </w:p>
    <w:p>
      <w:pPr>
        <w:ind w:right="640"/>
        <w:spacing w:after="0" w:line="275" w:lineRule="auto"/>
        <w:rPr>
          <w:sz w:val="20"/>
          <w:szCs w:val="20"/>
          <w:color w:val="auto"/>
        </w:rPr>
      </w:pPr>
      <w:r>
        <w:rPr>
          <w:rFonts w:ascii="Arial" w:cs="Arial" w:eastAsia="Arial" w:hAnsi="Arial"/>
          <w:sz w:val="16"/>
          <w:szCs w:val="16"/>
          <w:b w:val="1"/>
          <w:bCs w:val="1"/>
          <w:color w:val="auto"/>
        </w:rPr>
        <w:t>Each utility’s obligations under the agreement are individual obligations, and a default by one utility would not constitute a default by the other utility or preclude borrowings by, or the issuance of letters o f credit on behalf of, the other utility.</w:t>
      </w:r>
    </w:p>
    <w:p>
      <w:pPr>
        <w:sectPr>
          <w:pgSz w:w="11900" w:h="16925" w:orient="portrait"/>
          <w:cols w:equalWidth="0" w:num="1">
            <w:col w:w="11420"/>
          </w:cols>
          <w:pgMar w:left="240" w:top="130" w:right="239" w:bottom="0" w:gutter="0" w:footer="0" w:header="0"/>
        </w:sectPr>
      </w:pPr>
    </w:p>
    <w:bookmarkStart w:id="27" w:name="page28"/>
    <w:bookmarkEnd w:id="27"/>
    <w:p>
      <w:pPr>
        <w:spacing w:after="0" w:line="108" w:lineRule="exact"/>
        <w:rPr>
          <w:sz w:val="20"/>
          <w:szCs w:val="20"/>
          <w:color w:val="auto"/>
        </w:rPr>
      </w:pPr>
    </w:p>
    <w:p>
      <w:pPr>
        <w:ind w:right="40"/>
        <w:spacing w:after="0" w:line="317" w:lineRule="auto"/>
        <w:rPr>
          <w:sz w:val="20"/>
          <w:szCs w:val="20"/>
          <w:color w:val="auto"/>
        </w:rPr>
      </w:pPr>
      <w:r>
        <w:rPr>
          <w:rFonts w:ascii="Arial" w:cs="Arial" w:eastAsia="Arial" w:hAnsi="Arial"/>
          <w:sz w:val="14"/>
          <w:szCs w:val="14"/>
          <w:b w:val="1"/>
          <w:bCs w:val="1"/>
          <w:color w:val="auto"/>
        </w:rPr>
        <w:t>Under the previous credit agreement at September 30, 2010, SDG&amp;E and SoCalGas had no outstanding borrowings and SDG&amp;E had $25 million of letters of credit outstanding and $237 million variable-rate demand notes outstanding supported by the facility. Available unused credit on the lines at September 30, 2010 was $338 million at SDG&amp;E and $538 million at SoCalGas; SoCalGas' availability reflects the impact of SDG&amp;E's use of the combined credit available on the line.</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RBS Sempra Commodities</w:t>
      </w:r>
    </w:p>
    <w:p>
      <w:pPr>
        <w:spacing w:after="0" w:line="52"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b w:val="1"/>
          <w:bCs w:val="1"/>
          <w:color w:val="auto"/>
        </w:rPr>
        <w:t>As we discuss in Note 4, Sempra Energy, RBS and RBS Sempra Commodities have completed the sale of certain businesses within the partnership, and there is one pending transaction for the sale of the remaining pri ncipal assets expected to close before year-end. In connection with each of these transactions, the buyers are, subject to certain qualifications, obligated to replace any guarantees that we have issued in connection with the applicable businesses sold with guarantees of their own. During the process of replacing the guarantees, they are obligated to indemnify us in accordance with the applicable transaction documents for any claims or losses in connection with the guarantees that we issued in connection with the businesses sold. With respect to the transaction with Noble Group, for those guarantees that Noble Group is not able to replace, we have agreed to allow Noble Group to continue trading under such guarantees until June 1, 2011.</w:t>
      </w:r>
    </w:p>
    <w:p>
      <w:pPr>
        <w:spacing w:after="0" w:line="49"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b w:val="1"/>
          <w:bCs w:val="1"/>
          <w:color w:val="auto"/>
        </w:rPr>
        <w:t>We have indemnified the partnership for certain litigation and tax liabilities related to the businesses purchased by the partnership. We recorded these obligations at a fair value of $5 million on April 1, 2008, the date we formed the partnership. This liability is being amortized over its expected life. Certain of these obligations may be remeasured when the indemnity is reissued to the buyers of the Sempra Commodities businesses.</w:t>
      </w:r>
    </w:p>
    <w:p>
      <w:pPr>
        <w:spacing w:after="0" w:line="69" w:lineRule="exact"/>
        <w:rPr>
          <w:sz w:val="20"/>
          <w:szCs w:val="20"/>
          <w:color w:val="auto"/>
        </w:rPr>
      </w:pPr>
    </w:p>
    <w:p>
      <w:pPr>
        <w:ind w:right="340"/>
        <w:spacing w:after="0" w:line="317" w:lineRule="auto"/>
        <w:rPr>
          <w:sz w:val="20"/>
          <w:szCs w:val="20"/>
          <w:color w:val="auto"/>
        </w:rPr>
      </w:pPr>
      <w:r>
        <w:rPr>
          <w:rFonts w:ascii="Arial" w:cs="Arial" w:eastAsia="Arial" w:hAnsi="Arial"/>
          <w:sz w:val="14"/>
          <w:szCs w:val="14"/>
          <w:b w:val="1"/>
          <w:bCs w:val="1"/>
          <w:color w:val="auto"/>
        </w:rPr>
        <w:t>RBS is obligated to provide RBS Sempra Commodities with all working-capital requirements and credit support. However, as a transitional measure, we continue to provide back-up guarantees for a portion of RBS Sempra Commodities’ trading obligations. Some of these back-up guarantees may continue for a prolonged period of time. RBS, which is controlled by the government of the United Kingdom, has fully indemnified us for any claims or losses in connection with these arrangements.</w:t>
      </w:r>
    </w:p>
    <w:p>
      <w:pPr>
        <w:spacing w:after="0" w:line="34" w:lineRule="exact"/>
        <w:rPr>
          <w:sz w:val="20"/>
          <w:szCs w:val="20"/>
          <w:color w:val="auto"/>
        </w:rPr>
      </w:pPr>
    </w:p>
    <w:p>
      <w:pPr>
        <w:ind w:right="320"/>
        <w:spacing w:after="0" w:line="348" w:lineRule="auto"/>
        <w:rPr>
          <w:sz w:val="20"/>
          <w:szCs w:val="20"/>
          <w:color w:val="auto"/>
        </w:rPr>
      </w:pPr>
      <w:r>
        <w:rPr>
          <w:rFonts w:ascii="Arial" w:cs="Arial" w:eastAsia="Arial" w:hAnsi="Arial"/>
          <w:sz w:val="14"/>
          <w:szCs w:val="14"/>
          <w:b w:val="1"/>
          <w:bCs w:val="1"/>
          <w:color w:val="auto"/>
        </w:rPr>
        <w:t>RBS Sempra Commodities’ net trading liabilities supported by Sempra Energy’s guarantees at September 30, 2010 were $561 million, consisting of guaranteed trading obligations net of collateral. Th e amount of guaranteed net trading liabilities varies from day to day with the value of the trading obligations and related collateral.</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Guarantees</w:t>
      </w:r>
    </w:p>
    <w:p>
      <w:pPr>
        <w:spacing w:after="0" w:line="52" w:lineRule="exact"/>
        <w:rPr>
          <w:sz w:val="20"/>
          <w:szCs w:val="20"/>
          <w:color w:val="auto"/>
        </w:rPr>
      </w:pPr>
    </w:p>
    <w:p>
      <w:pPr>
        <w:ind w:right="160"/>
        <w:spacing w:after="0" w:line="298" w:lineRule="auto"/>
        <w:rPr>
          <w:sz w:val="20"/>
          <w:szCs w:val="20"/>
          <w:color w:val="auto"/>
        </w:rPr>
      </w:pPr>
      <w:r>
        <w:rPr>
          <w:rFonts w:ascii="Arial" w:cs="Arial" w:eastAsia="Arial" w:hAnsi="Arial"/>
          <w:sz w:val="14"/>
          <w:szCs w:val="14"/>
          <w:b w:val="1"/>
          <w:bCs w:val="1"/>
          <w:color w:val="auto"/>
        </w:rPr>
        <w:t>Sempra Energy, Conoco Phillips (Conoco) and Kinder Morgan Energy Partners, L.P. (KMP) currently hold 25-percent, 25-percent and 50-percent ownership interests, respectively, in Rockies Express. Rockies Express operates a natural gas pipeline linking natural gas producing areas in the Rocky Mountain region to the upper Midwest and the eastern United States. In April 2010, Rockies Express’ $2 billion, five-year credit facility expiring in May 2011 that provided for revolving extensions of credit guaranteed by Sempra Energy, Conoco and KMP in proportion to their respective ownership percentages was reduced to $200 million, and Sempra Energy, Conoco and KMP were released from their guarantor obligations. Long-term debt of $1.7 billion i ssued in March 2010 was used to pay down the credit facility; this new debt is not separately guaranteed by the partners.</w:t>
      </w:r>
    </w:p>
    <w:p>
      <w:pPr>
        <w:spacing w:after="0" w:line="49" w:lineRule="exact"/>
        <w:rPr>
          <w:sz w:val="20"/>
          <w:szCs w:val="20"/>
          <w:color w:val="auto"/>
        </w:rPr>
      </w:pPr>
    </w:p>
    <w:p>
      <w:pPr>
        <w:ind w:right="120"/>
        <w:spacing w:after="0" w:line="298" w:lineRule="auto"/>
        <w:rPr>
          <w:sz w:val="20"/>
          <w:szCs w:val="20"/>
          <w:color w:val="auto"/>
        </w:rPr>
      </w:pPr>
      <w:r>
        <w:rPr>
          <w:rFonts w:ascii="Arial" w:cs="Arial" w:eastAsia="Arial" w:hAnsi="Arial"/>
          <w:sz w:val="14"/>
          <w:szCs w:val="14"/>
          <w:b w:val="1"/>
          <w:bCs w:val="1"/>
          <w:color w:val="auto"/>
        </w:rPr>
        <w:t>Sempra Generation and BP Wind Energy currently hold 50-percent ownership interests in Fowler Ridge. In August 2010, Fowler Ridge obtained a $348 million term loan expiring in August 2022. The proceeds were used to return $180 million of each owner’s investment in the joint venture. The loan agreement requires Sempra Generation and BP Wind Energy to return cash to the project in the event that the project does not meet certain cash flow criteria or in the event that the project’s debt service and operation and maintenance reserve accounts are not maintained at specific thresholds. Sempra Generation recorded a liability of $9 million for its obligation associated with the cash flow requirements, which constitutes a guarantee. The outstanding loan is not separately guaranteed by the partners. We provide additional information a bout the investment in Note 4 above and in Note 4 of the Notes to Consolidated Financial Statements in the Annual Report.</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WEIGHTED AVERAGE INTEREST RATES</w:t>
      </w:r>
    </w:p>
    <w:p>
      <w:pPr>
        <w:spacing w:after="0" w:line="94" w:lineRule="exact"/>
        <w:rPr>
          <w:sz w:val="20"/>
          <w:szCs w:val="20"/>
          <w:color w:val="auto"/>
        </w:rPr>
      </w:pPr>
    </w:p>
    <w:p>
      <w:pPr>
        <w:spacing w:after="0" w:line="348" w:lineRule="auto"/>
        <w:rPr>
          <w:sz w:val="20"/>
          <w:szCs w:val="20"/>
          <w:color w:val="auto"/>
        </w:rPr>
      </w:pPr>
      <w:r>
        <w:rPr>
          <w:rFonts w:ascii="Arial" w:cs="Arial" w:eastAsia="Arial" w:hAnsi="Arial"/>
          <w:sz w:val="14"/>
          <w:szCs w:val="14"/>
          <w:b w:val="1"/>
          <w:bCs w:val="1"/>
          <w:color w:val="auto"/>
        </w:rPr>
        <w:t>The weighted average interest rates on the total short-term debt outstanding at Sempra Energy were 0.39 percent and 0.79 percent at September 30, 2010 and December 31, 2009, respectively. The short-term debt outstanding at SDG&amp;E at December 31, 2009 was a non-interest bearing loan at Orange Grove.</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August 2010, SDG&amp;E publicly offered and sold $500 million of 4.50-percent first mortgage bonds, maturing in 2040.</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May 2010, SDG&amp;E publicly offered and sold $250 million of 5.35-percent first mortgage bonds, maturing in 2040.</w:t>
      </w:r>
    </w:p>
    <w:p>
      <w:pPr>
        <w:spacing w:after="0" w:line="104"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b w:val="1"/>
          <w:bCs w:val="1"/>
          <w:color w:val="auto"/>
        </w:rPr>
        <w:t>SDG&amp;E has two power purchase agreements with peaker plant facilities that went into commercial operation in June 2010 and are accounted for as capital leases. As of September 30, 2010, capital lease obligations for these leases, each with a 25-year term, were $181 million.</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531495</wp:posOffset>
            </wp:positionV>
            <wp:extent cx="726186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DERIVATIVE FI NANCIAL INSTRUMENTS</w:t>
      </w:r>
    </w:p>
    <w:p>
      <w:pPr>
        <w:spacing w:after="0" w:line="11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color w:val="auto"/>
        </w:rPr>
        <w:t>We use derivative instruments primarily to manage exposures arising in the normal course of business. These exposures are commodity market risk and benchmark interest rate risk. Our use of derivatives for these risks is integrated into the economic management of our anticipated revenues, anticipated expenses, assets and liabilities. Derivatives may be effective in mitigating these risks that could lead to declines in anticipated revenues or increases in anticipated expenses, or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75"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b w:val="1"/>
          <w:bCs w:val="1"/>
          <w:color w:val="auto"/>
        </w:rPr>
        <w:t>We record all derivatives at fair value on the Condensed Consolidated Balance Sheets. We designate each derivative as 1) a cash flow hedge, 2) a fair value hedge, or 3) undesignated. Depending on the applicability of hedge accounting and, for the Sempra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Statements of Consolidated Cash Flows.</w:t>
      </w:r>
    </w:p>
    <w:p>
      <w:pPr>
        <w:spacing w:after="0" w:line="7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b w:val="1"/>
          <w:bCs w:val="1"/>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HEDGE ACCOUNTING</w:t>
      </w:r>
    </w:p>
    <w:p>
      <w:pPr>
        <w:spacing w:after="0" w:line="94" w:lineRule="exact"/>
        <w:rPr>
          <w:sz w:val="20"/>
          <w:szCs w:val="20"/>
          <w:color w:val="auto"/>
        </w:rPr>
      </w:pPr>
    </w:p>
    <w:p>
      <w:pPr>
        <w:ind w:right="100"/>
        <w:spacing w:after="0" w:line="317" w:lineRule="auto"/>
        <w:rPr>
          <w:sz w:val="20"/>
          <w:szCs w:val="20"/>
          <w:color w:val="auto"/>
        </w:rPr>
      </w:pPr>
      <w:r>
        <w:rPr>
          <w:rFonts w:ascii="Arial" w:cs="Arial" w:eastAsia="Arial" w:hAnsi="Arial"/>
          <w:sz w:val="14"/>
          <w:szCs w:val="14"/>
          <w:b w:val="1"/>
          <w:bCs w:val="1"/>
          <w:color w:val="auto"/>
        </w:rPr>
        <w:t>We may designate a derivative as a cash flow hedging instrument if it effectively converts anticipated revenues or expenses to a fixed dollar amount. We may utilize cash flow hedge accounting for derivative commodity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34" w:lineRule="exact"/>
        <w:rPr>
          <w:sz w:val="20"/>
          <w:szCs w:val="20"/>
          <w:color w:val="auto"/>
        </w:rPr>
      </w:pPr>
    </w:p>
    <w:p>
      <w:pPr>
        <w:ind w:right="280"/>
        <w:spacing w:after="0" w:line="348" w:lineRule="auto"/>
        <w:rPr>
          <w:sz w:val="20"/>
          <w:szCs w:val="20"/>
          <w:color w:val="auto"/>
        </w:rPr>
      </w:pPr>
      <w:r>
        <w:rPr>
          <w:rFonts w:ascii="Arial" w:cs="Arial" w:eastAsia="Arial" w:hAnsi="Arial"/>
          <w:sz w:val="14"/>
          <w:szCs w:val="14"/>
          <w:b w:val="1"/>
          <w:bCs w:val="1"/>
          <w:color w:val="auto"/>
        </w:rPr>
        <w:t>We may designate an interest 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w:t>
      </w:r>
    </w:p>
    <w:p>
      <w:pPr>
        <w:sectPr>
          <w:pgSz w:w="11900" w:h="16946" w:orient="portrait"/>
          <w:cols w:equalWidth="0" w:num="1">
            <w:col w:w="11420"/>
          </w:cols>
          <w:pgMar w:left="240" w:top="127" w:right="239" w:bottom="0" w:gutter="0" w:footer="0" w:header="0"/>
        </w:sectPr>
      </w:pPr>
    </w:p>
    <w:bookmarkStart w:id="28" w:name="page29"/>
    <w:bookmarkEnd w:id="28"/>
    <w:p>
      <w:pPr>
        <w:spacing w:after="0" w:line="71" w:lineRule="exact"/>
        <w:rPr>
          <w:sz w:val="20"/>
          <w:szCs w:val="20"/>
          <w:color w:val="auto"/>
        </w:rPr>
      </w:pPr>
    </w:p>
    <w:p>
      <w:pPr>
        <w:ind w:right="520"/>
        <w:spacing w:after="0" w:line="275" w:lineRule="auto"/>
        <w:rPr>
          <w:sz w:val="20"/>
          <w:szCs w:val="20"/>
          <w:color w:val="auto"/>
        </w:rPr>
      </w:pPr>
      <w:r>
        <w:rPr>
          <w:rFonts w:ascii="Arial" w:cs="Arial" w:eastAsia="Arial" w:hAnsi="Arial"/>
          <w:sz w:val="16"/>
          <w:szCs w:val="16"/>
          <w:b w:val="1"/>
          <w:bCs w:val="1"/>
          <w:color w:val="auto"/>
        </w:rPr>
        <w:t>value hedges is dependent on the instrument being used, the effectiveness of the instrument in offsetti ng changes in the fair value of our debt instruments, and other criteria.</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 DERIVATIVES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Our market risk is primarily related to natural gas and electricity price volatility and the specific physical locations where we transact. We use energy derivatives to market energy products and manage these risks. The use of energy derivatives in our various businesses depends on the particular energy market, and the operating and regulatory environments applicable to the business.</w:t>
      </w:r>
    </w:p>
    <w:p>
      <w:pPr>
        <w:spacing w:after="0" w:line="69" w:lineRule="exact"/>
        <w:rPr>
          <w:sz w:val="20"/>
          <w:szCs w:val="20"/>
          <w:color w:val="auto"/>
        </w:rPr>
      </w:pPr>
    </w:p>
    <w:p>
      <w:pPr>
        <w:ind w:left="140" w:right="1280"/>
        <w:spacing w:after="0" w:line="298" w:lineRule="auto"/>
        <w:rPr>
          <w:sz w:val="20"/>
          <w:szCs w:val="20"/>
          <w:color w:val="auto"/>
        </w:rPr>
      </w:pPr>
      <w:r>
        <w:rPr>
          <w:rFonts w:ascii="Arial" w:cs="Arial" w:eastAsia="Arial" w:hAnsi="Arial"/>
          <w:sz w:val="14"/>
          <w:szCs w:val="14"/>
          <w:b w:val="1"/>
          <w:bCs w:val="1"/>
          <w:color w:val="auto"/>
        </w:rPr>
        <w:t>§The Sempra Utilities use natural gas energy derivatives, on their customers' behalf, with the objective of managing price and basis risks and lowering natural gas costs. These derivatives include fixed price natural gas positions, options, and basis risk instruments, whi ch are either exchange-traded or over-the-counter financial instruments. This activity is governed by risk management and transacting activity plans that have been filed with and approved by the California Public Utilities Commission (CPUC). Natural gas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1" w:lineRule="exact"/>
        <w:rPr>
          <w:sz w:val="20"/>
          <w:szCs w:val="20"/>
          <w:color w:val="auto"/>
        </w:rPr>
      </w:pPr>
    </w:p>
    <w:p>
      <w:pPr>
        <w:ind w:left="140" w:right="1160"/>
        <w:spacing w:after="0" w:line="317" w:lineRule="auto"/>
        <w:rPr>
          <w:sz w:val="20"/>
          <w:szCs w:val="20"/>
          <w:color w:val="auto"/>
        </w:rPr>
      </w:pPr>
      <w:r>
        <w:rPr>
          <w:rFonts w:ascii="Arial" w:cs="Arial" w:eastAsia="Arial" w:hAnsi="Arial"/>
          <w:sz w:val="13"/>
          <w:szCs w:val="13"/>
          <w:b w:val="1"/>
          <w:bCs w:val="1"/>
          <w:color w:val="auto"/>
        </w:rPr>
        <w:t>§SDG&amp;E is allocated and may purchase congestion revenue rights (CRRs), which serve to reduce the regional electricity price volatility risk which may result from local transmission capacity constraints. Unrealized gains and losses do not impact earnings, as they are offset by regulatory account balances</w:t>
      </w:r>
    </w:p>
    <w:p>
      <w:pPr>
        <w:ind w:left="140" w:right="1180" w:firstLine="5"/>
        <w:spacing w:after="0" w:line="260" w:lineRule="auto"/>
        <w:tabs>
          <w:tab w:leader="none" w:pos="218"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Realized gains and losses associated with CRRs are recorded in Cost of Electric Fuel and Purchased Power on the Condensed Consolidated Statements of Operations.</w:t>
      </w:r>
    </w:p>
    <w:p>
      <w:pPr>
        <w:spacing w:after="0" w:line="22" w:lineRule="exact"/>
        <w:rPr>
          <w:sz w:val="20"/>
          <w:szCs w:val="20"/>
          <w:color w:val="auto"/>
        </w:rPr>
      </w:pPr>
    </w:p>
    <w:p>
      <w:pPr>
        <w:ind w:left="140" w:right="1360"/>
        <w:spacing w:after="0" w:line="262" w:lineRule="auto"/>
        <w:rPr>
          <w:sz w:val="20"/>
          <w:szCs w:val="20"/>
          <w:color w:val="auto"/>
        </w:rPr>
      </w:pPr>
      <w:r>
        <w:rPr>
          <w:rFonts w:ascii="Arial" w:cs="Arial" w:eastAsia="Arial" w:hAnsi="Arial"/>
          <w:sz w:val="16"/>
          <w:szCs w:val="16"/>
          <w:b w:val="1"/>
          <w:bCs w:val="1"/>
          <w:color w:val="auto"/>
        </w:rPr>
        <w:t>§Sempra Generation uses natural gas and electricity instruments to market energy products and optimize the earnings of its power generation fleet. Gains and losses associated with these derivatives are recognized in Sempra Global and Parent Revenues or in Cost of Natural Gas, Electric Fuel and Purchased Power on the Condensed Consolidated Statements of Operations.</w:t>
      </w:r>
    </w:p>
    <w:p>
      <w:pPr>
        <w:spacing w:after="0" w:line="21" w:lineRule="exact"/>
        <w:rPr>
          <w:sz w:val="20"/>
          <w:szCs w:val="20"/>
          <w:color w:val="auto"/>
        </w:rPr>
      </w:pPr>
    </w:p>
    <w:p>
      <w:pPr>
        <w:ind w:left="140" w:right="1140"/>
        <w:spacing w:after="0" w:line="296" w:lineRule="auto"/>
        <w:rPr>
          <w:sz w:val="20"/>
          <w:szCs w:val="20"/>
          <w:color w:val="auto"/>
        </w:rPr>
      </w:pPr>
      <w:r>
        <w:rPr>
          <w:rFonts w:ascii="Arial" w:cs="Arial" w:eastAsia="Arial" w:hAnsi="Arial"/>
          <w:sz w:val="14"/>
          <w:szCs w:val="14"/>
          <w:b w:val="1"/>
          <w:bCs w:val="1"/>
          <w:color w:val="auto"/>
        </w:rPr>
        <w:t>§Sempra LNG and Sempra Pipelines &amp; Storage use natural gas derivatives to market energy products and optimize the earnings of the liquefied natural gas business and Sempra Pipelines &amp; Storage's natural gas storage and transportation asse ts. Sempra Pipelines &amp; Storage also uses natural gas energy derivatives with the objective of managing price risk and lowering natural gas prices at its Mexican distribution operations. Sempra Pipelines &amp; Storage’s derivatives are either undesignated or are recorded as commodity costs that are offset by regulatory account balances and are recovered in rates. The impacts on earnings are recognized in Sempra Global and Parent Revenues or in Cost of Natural Gas, Electric Fuel and Purchased Power on the Condensed Consolidated Statements of Operations. Sempra LNG’s derivatives are undesignated and their impact on earnings is recorded in Sempra Global and Parent Revenues on the Condensed Consolidated Statements of Operations.</w:t>
      </w:r>
    </w:p>
    <w:p>
      <w:pPr>
        <w:spacing w:after="0" w:line="2" w:lineRule="exact"/>
        <w:rPr>
          <w:sz w:val="20"/>
          <w:szCs w:val="20"/>
          <w:color w:val="auto"/>
        </w:rPr>
      </w:pPr>
    </w:p>
    <w:p>
      <w:pPr>
        <w:ind w:left="140" w:right="1480"/>
        <w:spacing w:after="0" w:line="275" w:lineRule="auto"/>
        <w:rPr>
          <w:sz w:val="20"/>
          <w:szCs w:val="20"/>
          <w:color w:val="auto"/>
        </w:rPr>
      </w:pPr>
      <w:r>
        <w:rPr>
          <w:rFonts w:ascii="Arial" w:cs="Arial" w:eastAsia="Arial" w:hAnsi="Arial"/>
          <w:sz w:val="16"/>
          <w:szCs w:val="16"/>
          <w:b w:val="1"/>
          <w:bCs w:val="1"/>
          <w:color w:val="auto"/>
        </w:rPr>
        <w:t>§From time to time, our various businesses, including the Sempra Utilities, may use other energy derivatives to hedge exposures such as the price of vehicl e fuel.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summarize net energy derivative volumes as of September 30, 2010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Business Unit and Commodity</w:t>
            </w: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Volume</w:t>
            </w:r>
          </w:p>
        </w:tc>
        <w:tc>
          <w:tcPr>
            <w:tcW w:w="360" w:type="dxa"/>
            <w:vAlign w:val="bottom"/>
            <w:tcBorders>
              <w:bottom w:val="single" w:sz="8" w:color="auto"/>
            </w:tcBorders>
          </w:tcPr>
          <w:p>
            <w:pPr>
              <w:spacing w:after="0"/>
              <w:rPr>
                <w:sz w:val="12"/>
                <w:szCs w:val="12"/>
                <w:color w:val="auto"/>
              </w:rPr>
            </w:pPr>
          </w:p>
        </w:tc>
      </w:tr>
      <w:tr>
        <w:trPr>
          <w:trHeight w:val="202"/>
        </w:trPr>
        <w:tc>
          <w:tcPr>
            <w:tcW w:w="3180" w:type="dxa"/>
            <w:vAlign w:val="bottom"/>
          </w:tcPr>
          <w:p>
            <w:pPr>
              <w:ind w:left="80"/>
              <w:spacing w:after="0"/>
              <w:rPr>
                <w:sz w:val="20"/>
                <w:szCs w:val="20"/>
                <w:color w:val="auto"/>
              </w:rPr>
            </w:pPr>
            <w:r>
              <w:rPr>
                <w:rFonts w:ascii="Arial" w:cs="Arial" w:eastAsia="Arial" w:hAnsi="Arial"/>
                <w:sz w:val="14"/>
                <w:szCs w:val="14"/>
                <w:color w:val="auto"/>
              </w:rPr>
              <w:t>Sempra Utilities:</w:t>
            </w: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3180" w:type="dxa"/>
            <w:vAlign w:val="bottom"/>
          </w:tcPr>
          <w:p>
            <w:pPr>
              <w:ind w:left="440"/>
              <w:spacing w:after="0"/>
              <w:rPr>
                <w:sz w:val="20"/>
                <w:szCs w:val="20"/>
                <w:color w:val="auto"/>
              </w:rPr>
            </w:pPr>
            <w:r>
              <w:rPr>
                <w:rFonts w:ascii="Arial" w:cs="Arial" w:eastAsia="Arial" w:hAnsi="Arial"/>
                <w:sz w:val="14"/>
                <w:szCs w:val="14"/>
                <w:color w:val="auto"/>
              </w:rPr>
              <w:t>SDG&amp;E:</w:t>
            </w: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4"/>
        </w:trPr>
        <w:tc>
          <w:tcPr>
            <w:tcW w:w="3180" w:type="dxa"/>
            <w:vAlign w:val="bottom"/>
          </w:tcPr>
          <w:p>
            <w:pPr>
              <w:ind w:left="740"/>
              <w:spacing w:after="0"/>
              <w:rPr>
                <w:sz w:val="20"/>
                <w:szCs w:val="20"/>
                <w:color w:val="auto"/>
              </w:rPr>
            </w:pPr>
            <w:r>
              <w:rPr>
                <w:rFonts w:ascii="Arial" w:cs="Arial" w:eastAsia="Arial" w:hAnsi="Arial"/>
                <w:sz w:val="14"/>
                <w:szCs w:val="14"/>
                <w:color w:val="auto"/>
              </w:rPr>
              <w:t>Natural gas</w:t>
            </w:r>
          </w:p>
        </w:tc>
        <w:tc>
          <w:tcPr>
            <w:tcW w:w="1300" w:type="dxa"/>
            <w:vAlign w:val="bottom"/>
          </w:tcPr>
          <w:p>
            <w:pPr>
              <w:ind w:left="100"/>
              <w:spacing w:after="0"/>
              <w:rPr>
                <w:sz w:val="20"/>
                <w:szCs w:val="20"/>
                <w:color w:val="auto"/>
              </w:rPr>
            </w:pPr>
            <w:r>
              <w:rPr>
                <w:rFonts w:ascii="Arial" w:cs="Arial" w:eastAsia="Arial" w:hAnsi="Arial"/>
                <w:sz w:val="14"/>
                <w:szCs w:val="14"/>
                <w:color w:val="auto"/>
              </w:rPr>
              <w:t>48 million MMBtu</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204"/>
        </w:trPr>
        <w:tc>
          <w:tcPr>
            <w:tcW w:w="3180" w:type="dxa"/>
            <w:vAlign w:val="bottom"/>
          </w:tcPr>
          <w:p>
            <w:pPr>
              <w:ind w:left="740"/>
              <w:spacing w:after="0"/>
              <w:rPr>
                <w:sz w:val="20"/>
                <w:szCs w:val="20"/>
                <w:color w:val="auto"/>
              </w:rPr>
            </w:pPr>
            <w:r>
              <w:rPr>
                <w:rFonts w:ascii="Arial" w:cs="Arial" w:eastAsia="Arial" w:hAnsi="Arial"/>
                <w:sz w:val="14"/>
                <w:szCs w:val="14"/>
                <w:color w:val="auto"/>
              </w:rPr>
              <w:t>Congestion revenue rights</w:t>
            </w:r>
          </w:p>
        </w:tc>
        <w:tc>
          <w:tcPr>
            <w:tcW w:w="1300" w:type="dxa"/>
            <w:vAlign w:val="bottom"/>
          </w:tcPr>
          <w:p>
            <w:pPr>
              <w:ind w:left="100"/>
              <w:spacing w:after="0"/>
              <w:rPr>
                <w:sz w:val="20"/>
                <w:szCs w:val="20"/>
                <w:color w:val="auto"/>
              </w:rPr>
            </w:pPr>
            <w:r>
              <w:rPr>
                <w:rFonts w:ascii="Arial" w:cs="Arial" w:eastAsia="Arial" w:hAnsi="Arial"/>
                <w:sz w:val="14"/>
                <w:szCs w:val="14"/>
                <w:color w:val="auto"/>
              </w:rPr>
              <w:t>19 million MWh</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408"/>
        </w:trPr>
        <w:tc>
          <w:tcPr>
            <w:tcW w:w="3180" w:type="dxa"/>
            <w:vAlign w:val="bottom"/>
          </w:tcPr>
          <w:p>
            <w:pPr>
              <w:ind w:left="80"/>
              <w:spacing w:after="0"/>
              <w:rPr>
                <w:sz w:val="20"/>
                <w:szCs w:val="20"/>
                <w:color w:val="auto"/>
              </w:rPr>
            </w:pPr>
            <w:r>
              <w:rPr>
                <w:rFonts w:ascii="Arial" w:cs="Arial" w:eastAsia="Arial" w:hAnsi="Arial"/>
                <w:sz w:val="14"/>
                <w:szCs w:val="14"/>
                <w:color w:val="auto"/>
              </w:rPr>
              <w:t>Sempra Global:</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4"/>
        </w:trPr>
        <w:tc>
          <w:tcPr>
            <w:tcW w:w="3180" w:type="dxa"/>
            <w:vAlign w:val="bottom"/>
          </w:tcPr>
          <w:p>
            <w:pPr>
              <w:ind w:left="440"/>
              <w:spacing w:after="0"/>
              <w:rPr>
                <w:sz w:val="20"/>
                <w:szCs w:val="20"/>
                <w:color w:val="auto"/>
              </w:rPr>
            </w:pPr>
            <w:r>
              <w:rPr>
                <w:rFonts w:ascii="Arial" w:cs="Arial" w:eastAsia="Arial" w:hAnsi="Arial"/>
                <w:sz w:val="14"/>
                <w:szCs w:val="14"/>
                <w:color w:val="auto"/>
              </w:rPr>
              <w:t>Sempra LNG - natural gas</w:t>
            </w:r>
          </w:p>
        </w:tc>
        <w:tc>
          <w:tcPr>
            <w:tcW w:w="1300" w:type="dxa"/>
            <w:vAlign w:val="bottom"/>
          </w:tcPr>
          <w:p>
            <w:pPr>
              <w:ind w:left="100"/>
              <w:spacing w:after="0"/>
              <w:rPr>
                <w:sz w:val="20"/>
                <w:szCs w:val="20"/>
                <w:color w:val="auto"/>
              </w:rPr>
            </w:pPr>
            <w:r>
              <w:rPr>
                <w:rFonts w:ascii="Arial" w:cs="Arial" w:eastAsia="Arial" w:hAnsi="Arial"/>
                <w:sz w:val="14"/>
                <w:szCs w:val="14"/>
                <w:color w:val="auto"/>
              </w:rPr>
              <w:t>7 million MMBtu</w:t>
            </w:r>
          </w:p>
        </w:tc>
        <w:tc>
          <w:tcPr>
            <w:tcW w:w="360" w:type="dxa"/>
            <w:vAlign w:val="bottom"/>
          </w:tcPr>
          <w:p>
            <w:pPr>
              <w:spacing w:after="0"/>
              <w:rPr>
                <w:sz w:val="17"/>
                <w:szCs w:val="17"/>
                <w:color w:val="auto"/>
              </w:rPr>
            </w:pPr>
          </w:p>
        </w:tc>
      </w:tr>
      <w:tr>
        <w:trPr>
          <w:trHeight w:val="204"/>
        </w:trPr>
        <w:tc>
          <w:tcPr>
            <w:tcW w:w="3180" w:type="dxa"/>
            <w:vAlign w:val="bottom"/>
          </w:tcPr>
          <w:p>
            <w:pPr>
              <w:ind w:left="440"/>
              <w:spacing w:after="0"/>
              <w:rPr>
                <w:sz w:val="20"/>
                <w:szCs w:val="20"/>
                <w:color w:val="auto"/>
              </w:rPr>
            </w:pPr>
            <w:r>
              <w:rPr>
                <w:rFonts w:ascii="Arial" w:cs="Arial" w:eastAsia="Arial" w:hAnsi="Arial"/>
                <w:sz w:val="14"/>
                <w:szCs w:val="14"/>
                <w:color w:val="auto"/>
              </w:rPr>
              <w:t>Sempra Pipelines &amp; Storage - natural gas</w:t>
            </w:r>
          </w:p>
        </w:tc>
        <w:tc>
          <w:tcPr>
            <w:tcW w:w="1300" w:type="dxa"/>
            <w:vAlign w:val="bottom"/>
          </w:tcPr>
          <w:p>
            <w:pPr>
              <w:ind w:left="100"/>
              <w:spacing w:after="0"/>
              <w:rPr>
                <w:sz w:val="20"/>
                <w:szCs w:val="20"/>
                <w:color w:val="auto"/>
              </w:rPr>
            </w:pPr>
            <w:r>
              <w:rPr>
                <w:rFonts w:ascii="Arial" w:cs="Arial" w:eastAsia="Arial" w:hAnsi="Arial"/>
                <w:sz w:val="14"/>
                <w:szCs w:val="14"/>
                <w:color w:val="auto"/>
              </w:rPr>
              <w:t>1 million MMBtu</w:t>
            </w:r>
          </w:p>
        </w:tc>
        <w:tc>
          <w:tcPr>
            <w:tcW w:w="360" w:type="dxa"/>
            <w:vAlign w:val="bottom"/>
          </w:tcPr>
          <w:p>
            <w:pPr>
              <w:spacing w:after="0"/>
              <w:rPr>
                <w:sz w:val="17"/>
                <w:szCs w:val="17"/>
                <w:color w:val="auto"/>
              </w:rPr>
            </w:pPr>
          </w:p>
        </w:tc>
      </w:tr>
      <w:tr>
        <w:trPr>
          <w:trHeight w:val="214"/>
        </w:trPr>
        <w:tc>
          <w:tcPr>
            <w:tcW w:w="3180" w:type="dxa"/>
            <w:vAlign w:val="bottom"/>
            <w:tcBorders>
              <w:bottom w:val="single" w:sz="8" w:color="C0C0C0"/>
            </w:tcBorders>
          </w:tcPr>
          <w:p>
            <w:pPr>
              <w:ind w:left="440"/>
              <w:spacing w:after="0"/>
              <w:rPr>
                <w:sz w:val="20"/>
                <w:szCs w:val="20"/>
                <w:color w:val="auto"/>
              </w:rPr>
            </w:pPr>
            <w:r>
              <w:rPr>
                <w:rFonts w:ascii="Arial" w:cs="Arial" w:eastAsia="Arial" w:hAnsi="Arial"/>
                <w:sz w:val="14"/>
                <w:szCs w:val="14"/>
                <w:color w:val="auto"/>
              </w:rPr>
              <w:t>Sempra Generation - electric power</w:t>
            </w:r>
          </w:p>
        </w:tc>
        <w:tc>
          <w:tcPr>
            <w:tcW w:w="1300" w:type="dxa"/>
            <w:vAlign w:val="bottom"/>
            <w:tcBorders>
              <w:bottom w:val="single" w:sz="8" w:color="C0C0C0"/>
            </w:tcBorders>
          </w:tcPr>
          <w:p>
            <w:pPr>
              <w:ind w:left="100"/>
              <w:spacing w:after="0"/>
              <w:rPr>
                <w:sz w:val="20"/>
                <w:szCs w:val="20"/>
                <w:color w:val="auto"/>
              </w:rPr>
            </w:pPr>
            <w:r>
              <w:rPr>
                <w:rFonts w:ascii="Arial" w:cs="Arial" w:eastAsia="Arial" w:hAnsi="Arial"/>
                <w:sz w:val="14"/>
                <w:szCs w:val="14"/>
                <w:color w:val="auto"/>
              </w:rPr>
              <w:t>1 million MWh</w:t>
            </w:r>
          </w:p>
        </w:tc>
        <w:tc>
          <w:tcPr>
            <w:tcW w:w="360" w:type="dxa"/>
            <w:vAlign w:val="bottom"/>
            <w:tcBorders>
              <w:bottom w:val="single" w:sz="8" w:color="C0C0C0"/>
            </w:tcBorders>
          </w:tcPr>
          <w:p>
            <w:pPr>
              <w:spacing w:after="0"/>
              <w:rPr>
                <w:sz w:val="18"/>
                <w:szCs w:val="18"/>
                <w:color w:val="auto"/>
              </w:rPr>
            </w:pPr>
          </w:p>
        </w:tc>
      </w:tr>
    </w:tbl>
    <w:p>
      <w:pPr>
        <w:ind w:left="440" w:hanging="344"/>
        <w:spacing w:after="0"/>
        <w:tabs>
          <w:tab w:leader="none" w:pos="44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Million British thermal units</w:t>
      </w:r>
    </w:p>
    <w:p>
      <w:pPr>
        <w:spacing w:after="0" w:line="34" w:lineRule="exact"/>
        <w:rPr>
          <w:rFonts w:ascii="Arial" w:cs="Arial" w:eastAsia="Arial" w:hAnsi="Arial"/>
          <w:sz w:val="13"/>
          <w:szCs w:val="13"/>
          <w:i w:val="1"/>
          <w:iCs w:val="1"/>
          <w:color w:val="auto"/>
        </w:rPr>
      </w:pPr>
    </w:p>
    <w:p>
      <w:pPr>
        <w:ind w:left="440" w:hanging="344"/>
        <w:spacing w:after="0"/>
        <w:tabs>
          <w:tab w:leader="none" w:pos="44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Mega watt hours</w:t>
      </w:r>
    </w:p>
    <w:p>
      <w:pPr>
        <w:spacing w:after="0" w:line="25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color w:val="auto"/>
        </w:rPr>
        <w:t>In addition to the amounts noted above, we frequently use commodity derivatives to manage risks associated with the physical locations of our customers, assets and other contractual obligations, such as natural gas purchases.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DERIVATIVES</w:t>
      </w:r>
    </w:p>
    <w:p>
      <w:pPr>
        <w:spacing w:after="0" w:line="9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b w:val="1"/>
          <w:bCs w:val="1"/>
          <w:color w:val="auto"/>
        </w:rPr>
        <w:t>We are exposed to interest rates primarily as a result of our current and expected use of financing. We periodically enter into interest rate derivative agre 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which are typically designated as cash flow hedges, to lock in interest rates in anticipation of future financings.</w:t>
      </w:r>
    </w:p>
    <w:p>
      <w:pPr>
        <w:spacing w:after="0" w:line="7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color w:val="auto"/>
        </w:rPr>
        <w:t>Interest rate derivatives are utilized by the Sempra Utilities as well as by other Sempra Energy subsidiaries. Although the Sempra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 d for as hedges at the Sempra Utilities, as at the rest of Sempra Energy's subsidiaries. Separately, Otay Mesa VIE has entered into interest rate swap agreements to moderate their exposure to interest rate changes.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net notional amounts of our interest rate derivatives as of September 30, 2010 were: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September 30, 2010</w:t>
            </w:r>
          </w:p>
        </w:tc>
        <w:tc>
          <w:tcPr>
            <w:tcW w:w="1160" w:type="dxa"/>
            <w:vAlign w:val="bottom"/>
            <w:tcBorders>
              <w:bottom w:val="single" w:sz="8" w:color="auto"/>
            </w:tcBorders>
          </w:tcPr>
          <w:p>
            <w:pPr>
              <w:spacing w:after="0"/>
              <w:rPr>
                <w:sz w:val="12"/>
                <w:szCs w:val="12"/>
                <w:color w:val="auto"/>
              </w:rPr>
            </w:pPr>
          </w:p>
        </w:tc>
      </w:tr>
      <w:tr>
        <w:trPr>
          <w:trHeight w:val="148"/>
        </w:trPr>
        <w:tc>
          <w:tcPr>
            <w:tcW w:w="298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i w:val="1"/>
                <w:iCs w:val="1"/>
                <w:color w:val="auto"/>
              </w:rPr>
              <w:t>(Dollars in millions)</w:t>
            </w:r>
          </w:p>
        </w:tc>
        <w:tc>
          <w:tcPr>
            <w:tcW w:w="4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ind w:right="1011"/>
              <w:spacing w:after="0" w:line="148" w:lineRule="exact"/>
              <w:rPr>
                <w:sz w:val="20"/>
                <w:szCs w:val="20"/>
                <w:color w:val="auto"/>
              </w:rPr>
            </w:pPr>
            <w:r>
              <w:rPr>
                <w:rFonts w:ascii="Arial" w:cs="Arial" w:eastAsia="Arial" w:hAnsi="Arial"/>
                <w:sz w:val="13"/>
                <w:szCs w:val="13"/>
                <w:color w:val="auto"/>
              </w:rPr>
              <w:t>Notional Debt</w:t>
            </w:r>
          </w:p>
        </w:tc>
        <w:tc>
          <w:tcPr>
            <w:tcW w:w="1160" w:type="dxa"/>
            <w:vAlign w:val="bottom"/>
            <w:tcBorders>
              <w:bottom w:val="single" w:sz="8" w:color="auto"/>
            </w:tcBorders>
          </w:tcPr>
          <w:p>
            <w:pPr>
              <w:jc w:val="right"/>
              <w:ind w:right="490"/>
              <w:spacing w:after="0" w:line="148" w:lineRule="exact"/>
              <w:rPr>
                <w:sz w:val="20"/>
                <w:szCs w:val="20"/>
                <w:color w:val="auto"/>
              </w:rPr>
            </w:pPr>
            <w:r>
              <w:rPr>
                <w:rFonts w:ascii="Arial" w:cs="Arial" w:eastAsia="Arial" w:hAnsi="Arial"/>
                <w:sz w:val="13"/>
                <w:szCs w:val="13"/>
                <w:color w:val="auto"/>
              </w:rPr>
              <w:t>Maturities</w:t>
            </w:r>
          </w:p>
        </w:tc>
      </w:tr>
      <w:tr>
        <w:trPr>
          <w:trHeight w:val="178"/>
        </w:trPr>
        <w:tc>
          <w:tcPr>
            <w:tcW w:w="2980" w:type="dxa"/>
            <w:vAlign w:val="bottom"/>
          </w:tcPr>
          <w:p>
            <w:pPr>
              <w:ind w:left="80"/>
              <w:spacing w:after="0"/>
              <w:rPr>
                <w:sz w:val="20"/>
                <w:szCs w:val="20"/>
                <w:color w:val="auto"/>
              </w:rPr>
            </w:pPr>
            <w:r>
              <w:rPr>
                <w:rFonts w:ascii="Arial" w:cs="Arial" w:eastAsia="Arial" w:hAnsi="Arial"/>
                <w:sz w:val="14"/>
                <w:szCs w:val="14"/>
                <w:color w:val="auto"/>
              </w:rPr>
              <w:t>Sempra Energy Consolidated(1)</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551"/>
              <w:spacing w:after="0"/>
              <w:rPr>
                <w:sz w:val="20"/>
                <w:szCs w:val="20"/>
                <w:color w:val="auto"/>
              </w:rPr>
            </w:pPr>
            <w:r>
              <w:rPr>
                <w:rFonts w:ascii="Arial" w:cs="Arial" w:eastAsia="Arial" w:hAnsi="Arial"/>
                <w:sz w:val="14"/>
                <w:szCs w:val="14"/>
                <w:color w:val="auto"/>
              </w:rPr>
              <w:t>215-355</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2011-2019</w:t>
            </w:r>
          </w:p>
        </w:tc>
      </w:tr>
      <w:tr>
        <w:trPr>
          <w:trHeight w:val="178"/>
        </w:trPr>
        <w:tc>
          <w:tcPr>
            <w:tcW w:w="2980" w:type="dxa"/>
            <w:vAlign w:val="bottom"/>
          </w:tcPr>
          <w:p>
            <w:pPr>
              <w:ind w:left="80"/>
              <w:spacing w:after="0"/>
              <w:rPr>
                <w:sz w:val="20"/>
                <w:szCs w:val="20"/>
                <w:color w:val="auto"/>
              </w:rPr>
            </w:pPr>
            <w:r>
              <w:rPr>
                <w:rFonts w:ascii="Arial" w:cs="Arial" w:eastAsia="Arial" w:hAnsi="Arial"/>
                <w:sz w:val="14"/>
                <w:szCs w:val="14"/>
                <w:color w:val="auto"/>
              </w:rPr>
              <w:t>SDG&amp;E(1)</w:t>
            </w:r>
          </w:p>
        </w:tc>
        <w:tc>
          <w:tcPr>
            <w:tcW w:w="480" w:type="dxa"/>
            <w:vAlign w:val="bottom"/>
          </w:tcPr>
          <w:p>
            <w:pPr>
              <w:spacing w:after="0"/>
              <w:rPr>
                <w:sz w:val="15"/>
                <w:szCs w:val="15"/>
                <w:color w:val="auto"/>
              </w:rPr>
            </w:pPr>
          </w:p>
        </w:tc>
        <w:tc>
          <w:tcPr>
            <w:tcW w:w="1920" w:type="dxa"/>
            <w:vAlign w:val="bottom"/>
          </w:tcPr>
          <w:p>
            <w:pPr>
              <w:jc w:val="right"/>
              <w:ind w:right="551"/>
              <w:spacing w:after="0"/>
              <w:rPr>
                <w:sz w:val="20"/>
                <w:szCs w:val="20"/>
                <w:color w:val="auto"/>
              </w:rPr>
            </w:pPr>
            <w:r>
              <w:rPr>
                <w:rFonts w:ascii="Arial" w:cs="Arial" w:eastAsia="Arial" w:hAnsi="Arial"/>
                <w:sz w:val="14"/>
                <w:szCs w:val="14"/>
                <w:color w:val="auto"/>
              </w:rPr>
              <w:t>285-372</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2019</w:t>
            </w:r>
          </w:p>
        </w:tc>
      </w:tr>
      <w:tr>
        <w:trPr>
          <w:trHeight w:val="204"/>
        </w:trPr>
        <w:tc>
          <w:tcPr>
            <w:tcW w:w="298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SoCalGas</w:t>
            </w:r>
          </w:p>
        </w:tc>
        <w:tc>
          <w:tcPr>
            <w:tcW w:w="480" w:type="dxa"/>
            <w:vAlign w:val="bottom"/>
            <w:tcBorders>
              <w:bottom w:val="single" w:sz="8" w:color="C0C0C0"/>
            </w:tcBorders>
          </w:tcPr>
          <w:p>
            <w:pPr>
              <w:spacing w:after="0"/>
              <w:rPr>
                <w:sz w:val="17"/>
                <w:szCs w:val="17"/>
                <w:color w:val="auto"/>
              </w:rPr>
            </w:pPr>
          </w:p>
        </w:tc>
        <w:tc>
          <w:tcPr>
            <w:tcW w:w="1920" w:type="dxa"/>
            <w:vAlign w:val="bottom"/>
            <w:tcBorders>
              <w:bottom w:val="single" w:sz="8" w:color="C0C0C0"/>
            </w:tcBorders>
          </w:tcPr>
          <w:p>
            <w:pPr>
              <w:jc w:val="right"/>
              <w:ind w:right="551"/>
              <w:spacing w:after="0"/>
              <w:rPr>
                <w:sz w:val="20"/>
                <w:szCs w:val="20"/>
                <w:color w:val="auto"/>
              </w:rPr>
            </w:pPr>
            <w:r>
              <w:rPr>
                <w:rFonts w:ascii="Arial" w:cs="Arial" w:eastAsia="Arial" w:hAnsi="Arial"/>
                <w:sz w:val="14"/>
                <w:szCs w:val="14"/>
                <w:color w:val="auto"/>
              </w:rPr>
              <w:t>150</w:t>
            </w:r>
          </w:p>
        </w:tc>
        <w:tc>
          <w:tcPr>
            <w:tcW w:w="1160" w:type="dxa"/>
            <w:vAlign w:val="bottom"/>
            <w:tcBorders>
              <w:bottom w:val="single" w:sz="8" w:color="C0C0C0"/>
            </w:tcBorders>
          </w:tcPr>
          <w:p>
            <w:pPr>
              <w:jc w:val="right"/>
              <w:ind w:right="30"/>
              <w:spacing w:after="0"/>
              <w:rPr>
                <w:sz w:val="20"/>
                <w:szCs w:val="20"/>
                <w:color w:val="auto"/>
              </w:rPr>
            </w:pPr>
            <w:r>
              <w:rPr>
                <w:rFonts w:ascii="Arial" w:cs="Arial" w:eastAsia="Arial" w:hAnsi="Arial"/>
                <w:sz w:val="14"/>
                <w:szCs w:val="14"/>
                <w:color w:val="auto"/>
              </w:rPr>
              <w:t>2011</w:t>
            </w:r>
          </w:p>
        </w:tc>
      </w:tr>
    </w:tbl>
    <w:p>
      <w:pPr>
        <w:ind w:left="1340" w:hanging="332"/>
        <w:spacing w:after="0"/>
        <w:tabs>
          <w:tab w:leader="none" w:pos="1340" w:val="left"/>
        </w:tabs>
        <w:numPr>
          <w:ilvl w:val="0"/>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Includes Otay Mesa VIE. All of SDG&amp;E's interest rate derivatives relate to Otay Mesa VIE.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 PRESENTATION</w:t>
      </w:r>
    </w:p>
    <w:p>
      <w:pPr>
        <w:spacing w:after="0" w:line="94"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b w:val="1"/>
          <w:bCs w:val="1"/>
          <w:color w:val="auto"/>
        </w:rPr>
        <w:t>The following table provides the fair values of derivative instruments, without consideration of margin deposits held or posted, on the Condensed Consolidated Balance Sheets as of September 30, 2010 and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5455920" cy="289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5920" cy="289560"/>
                    </a:xfrm>
                    <a:prstGeom prst="rect">
                      <a:avLst/>
                    </a:prstGeom>
                    <a:noFill/>
                  </pic:spPr>
                </pic:pic>
              </a:graphicData>
            </a:graphic>
          </wp:anchor>
        </w:drawing>
      </w:r>
    </w:p>
    <w:p>
      <w:pPr>
        <w:spacing w:after="0" w:line="31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DERIVATIVE INSTRUMENTS ON THE CONDENSED CONSOLIDATED BALANCE SHEETS</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(Dollars in millions)</w:t>
      </w:r>
    </w:p>
    <w:p>
      <w:pPr>
        <w:spacing w:after="0" w:line="7"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September 30, 2010</w:t>
      </w:r>
    </w:p>
    <w:p>
      <w:pPr>
        <w:sectPr>
          <w:pgSz w:w="11900" w:h="16910" w:orient="portrait"/>
          <w:cols w:equalWidth="0" w:num="1">
            <w:col w:w="11420"/>
          </w:cols>
          <w:pgMar w:left="240" w:top="126" w:right="23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2"/>
        </w:trPr>
        <w:tc>
          <w:tcPr>
            <w:tcW w:w="3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8"/>
              </w:rPr>
              <w:t>Deferred</w:t>
            </w: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8"/>
              </w:rPr>
              <w:t>credits</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Current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Current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and other</w:t>
            </w: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8"/>
              </w:rPr>
              <w:t>asse ts: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liabilities: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liabilities:</w:t>
            </w: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9"/>
              </w:rPr>
              <w:t>Fixed-price</w:t>
            </w:r>
          </w:p>
        </w:tc>
        <w:tc>
          <w:tcPr>
            <w:tcW w:w="280" w:type="dxa"/>
            <w:vAlign w:val="bottom"/>
          </w:tcPr>
          <w:p>
            <w:pPr>
              <w:spacing w:after="0"/>
              <w:rPr>
                <w:sz w:val="14"/>
                <w:szCs w:val="14"/>
                <w:color w:val="auto"/>
              </w:rPr>
            </w:pPr>
          </w:p>
        </w:tc>
        <w:tc>
          <w:tcPr>
            <w:tcW w:w="860" w:type="dxa"/>
            <w:vAlign w:val="bottom"/>
          </w:tcPr>
          <w:p>
            <w:pPr>
              <w:jc w:val="right"/>
              <w:ind w:right="10"/>
              <w:spacing w:after="0"/>
              <w:rPr>
                <w:sz w:val="20"/>
                <w:szCs w:val="20"/>
                <w:color w:val="auto"/>
              </w:rPr>
            </w:pPr>
            <w:r>
              <w:rPr>
                <w:rFonts w:ascii="Arial" w:cs="Arial" w:eastAsia="Arial" w:hAnsi="Arial"/>
                <w:sz w:val="13"/>
                <w:szCs w:val="13"/>
                <w:color w:val="auto"/>
              </w:rPr>
              <w:t>Investments</w:t>
            </w:r>
          </w:p>
        </w:tc>
        <w:tc>
          <w:tcPr>
            <w:tcW w:w="2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3"/>
              </w:rPr>
              <w:t>Fixed-price</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Fixed-price</w:t>
            </w: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8"/>
              </w:rPr>
              <w:t>contracts</w:t>
            </w:r>
          </w:p>
        </w:tc>
        <w:tc>
          <w:tcPr>
            <w:tcW w:w="280" w:type="dxa"/>
            <w:vAlign w:val="bottom"/>
          </w:tcPr>
          <w:p>
            <w:pPr>
              <w:spacing w:after="0"/>
              <w:rPr>
                <w:sz w:val="14"/>
                <w:szCs w:val="14"/>
                <w:color w:val="auto"/>
              </w:rPr>
            </w:pPr>
          </w:p>
        </w:tc>
        <w:tc>
          <w:tcPr>
            <w:tcW w:w="860" w:type="dxa"/>
            <w:vAlign w:val="bottom"/>
          </w:tcPr>
          <w:p>
            <w:pPr>
              <w:jc w:val="right"/>
              <w:ind w:right="130"/>
              <w:spacing w:after="0"/>
              <w:rPr>
                <w:sz w:val="20"/>
                <w:szCs w:val="20"/>
                <w:color w:val="auto"/>
              </w:rPr>
            </w:pPr>
            <w:r>
              <w:rPr>
                <w:rFonts w:ascii="Arial" w:cs="Arial" w:eastAsia="Arial" w:hAnsi="Arial"/>
                <w:sz w:val="13"/>
                <w:szCs w:val="13"/>
                <w:color w:val="auto"/>
              </w:rPr>
              <w:t>and other</w:t>
            </w:r>
          </w:p>
        </w:tc>
        <w:tc>
          <w:tcPr>
            <w:tcW w:w="2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contracts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contracts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3"/>
                <w:szCs w:val="13"/>
                <w:color w:val="auto"/>
                <w:w w:val="98"/>
              </w:rPr>
              <w:t>and other</w:t>
            </w:r>
          </w:p>
        </w:tc>
        <w:tc>
          <w:tcPr>
            <w:tcW w:w="280" w:type="dxa"/>
            <w:vAlign w:val="bottom"/>
          </w:tcPr>
          <w:p>
            <w:pPr>
              <w:spacing w:after="0"/>
              <w:rPr>
                <w:sz w:val="12"/>
                <w:szCs w:val="12"/>
                <w:color w:val="auto"/>
              </w:rPr>
            </w:pPr>
          </w:p>
        </w:tc>
        <w:tc>
          <w:tcPr>
            <w:tcW w:w="860" w:type="dxa"/>
            <w:vAlign w:val="bottom"/>
          </w:tcPr>
          <w:p>
            <w:pPr>
              <w:jc w:val="right"/>
              <w:ind w:right="190"/>
              <w:spacing w:after="0" w:line="148" w:lineRule="exact"/>
              <w:rPr>
                <w:sz w:val="20"/>
                <w:szCs w:val="20"/>
                <w:color w:val="auto"/>
              </w:rPr>
            </w:pPr>
            <w:r>
              <w:rPr>
                <w:rFonts w:ascii="Arial" w:cs="Arial" w:eastAsia="Arial" w:hAnsi="Arial"/>
                <w:sz w:val="13"/>
                <w:szCs w:val="13"/>
                <w:color w:val="auto"/>
              </w:rPr>
              <w:t>assets:</w:t>
            </w:r>
          </w:p>
        </w:tc>
        <w:tc>
          <w:tcPr>
            <w:tcW w:w="24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w w:val="98"/>
              </w:rPr>
              <w:t>and other</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3"/>
                <w:szCs w:val="13"/>
                <w:color w:val="auto"/>
                <w:w w:val="98"/>
              </w:rPr>
              <w:t>and other</w:t>
            </w:r>
          </w:p>
        </w:tc>
        <w:tc>
          <w:tcPr>
            <w:tcW w:w="0" w:type="dxa"/>
            <w:vAlign w:val="bottom"/>
          </w:tcPr>
          <w:p>
            <w:pPr>
              <w:spacing w:after="0"/>
              <w:rPr>
                <w:sz w:val="1"/>
                <w:szCs w:val="1"/>
                <w:color w:val="auto"/>
              </w:rPr>
            </w:pPr>
          </w:p>
        </w:tc>
      </w:tr>
      <w:tr>
        <w:trPr>
          <w:trHeight w:val="222"/>
        </w:trPr>
        <w:tc>
          <w:tcPr>
            <w:tcW w:w="35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Derivatives designated as hedging instruments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color w:val="auto"/>
              </w:rPr>
              <w:t>derivatives(1)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color w:val="auto"/>
              </w:rPr>
              <w:t>Sundry</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derivatives(2)</w:t>
            </w: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derivatives</w:t>
            </w:r>
          </w:p>
        </w:tc>
        <w:tc>
          <w:tcPr>
            <w:tcW w:w="0" w:type="dxa"/>
            <w:vAlign w:val="bottom"/>
          </w:tcPr>
          <w:p>
            <w:pPr>
              <w:spacing w:after="0"/>
              <w:rPr>
                <w:sz w:val="1"/>
                <w:szCs w:val="1"/>
                <w:color w:val="auto"/>
              </w:rPr>
            </w:pPr>
          </w:p>
        </w:tc>
      </w:tr>
      <w:tr>
        <w:trPr>
          <w:trHeight w:val="182"/>
        </w:trPr>
        <w:tc>
          <w:tcPr>
            <w:tcW w:w="3560" w:type="dxa"/>
            <w:vAlign w:val="bottom"/>
          </w:tcPr>
          <w:p>
            <w:pPr>
              <w:ind w:left="80"/>
              <w:spacing w:after="0"/>
              <w:rPr>
                <w:sz w:val="20"/>
                <w:szCs w:val="20"/>
                <w:color w:val="auto"/>
              </w:rPr>
            </w:pPr>
            <w:r>
              <w:rPr>
                <w:rFonts w:ascii="Arial" w:cs="Arial" w:eastAsia="Arial" w:hAnsi="Arial"/>
                <w:sz w:val="14"/>
                <w:szCs w:val="14"/>
                <w:b w:val="1"/>
                <w:bCs w:val="1"/>
                <w:color w:val="auto"/>
              </w:rPr>
              <w:t>Sempra Energy Consolidated:</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Interest rate instruments</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60" w:type="dxa"/>
            <w:vAlign w:val="bottom"/>
          </w:tcPr>
          <w:p>
            <w:pPr>
              <w:ind w:left="80"/>
              <w:spacing w:after="0"/>
              <w:rPr>
                <w:sz w:val="20"/>
                <w:szCs w:val="20"/>
                <w:color w:val="auto"/>
              </w:rPr>
            </w:pPr>
            <w:r>
              <w:rPr>
                <w:rFonts w:ascii="Arial" w:cs="Arial" w:eastAsia="Arial" w:hAnsi="Arial"/>
                <w:sz w:val="14"/>
                <w:szCs w:val="14"/>
                <w:b w:val="1"/>
                <w:bCs w:val="1"/>
                <w:color w:val="auto"/>
              </w:rPr>
              <w:t>SoCalGas:</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Interest rate instruments</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-&amp;nb sp;</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2"/>
        </w:trPr>
        <w:tc>
          <w:tcPr>
            <w:tcW w:w="35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Derivatives not designated as hedging instruments</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80"/>
              <w:spacing w:after="0"/>
              <w:rPr>
                <w:sz w:val="20"/>
                <w:szCs w:val="20"/>
                <w:color w:val="auto"/>
              </w:rPr>
            </w:pPr>
            <w:r>
              <w:rPr>
                <w:rFonts w:ascii="Arial" w:cs="Arial" w:eastAsia="Arial" w:hAnsi="Arial"/>
                <w:sz w:val="19"/>
                <w:szCs w:val="19"/>
                <w:b w:val="1"/>
                <w:bCs w:val="1"/>
                <w:color w:val="auto"/>
              </w:rPr>
              <w:t>Sempra Energy Consolidated:</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320"/>
              <w:spacing w:after="0"/>
              <w:rPr>
                <w:sz w:val="20"/>
                <w:szCs w:val="20"/>
                <w:color w:val="auto"/>
              </w:rPr>
            </w:pPr>
            <w:r>
              <w:rPr>
                <w:rFonts w:ascii="Arial" w:cs="Arial" w:eastAsia="Arial" w:hAnsi="Arial"/>
                <w:sz w:val="14"/>
                <w:szCs w:val="14"/>
                <w:color w:val="auto"/>
              </w:rPr>
              <w:t>Interest rate instruments(3)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36</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(26)</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2"/>
        </w:trPr>
        <w:tc>
          <w:tcPr>
            <w:tcW w:w="3560" w:type="dxa"/>
            <w:vAlign w:val="bottom"/>
          </w:tcPr>
          <w:p>
            <w:pPr>
              <w:ind w:left="320"/>
              <w:spacing w:after="0"/>
              <w:rPr>
                <w:sz w:val="20"/>
                <w:szCs w:val="20"/>
                <w:color w:val="auto"/>
              </w:rPr>
            </w:pPr>
            <w:r>
              <w:rPr>
                <w:rFonts w:ascii="Arial" w:cs="Arial" w:eastAsia="Arial" w:hAnsi="Arial"/>
                <w:sz w:val="14"/>
                <w:szCs w:val="14"/>
                <w:color w:val="auto"/>
              </w:rPr>
              <w:t>Commodity contracts not subject to rate recovery</w:t>
            </w:r>
          </w:p>
        </w:tc>
        <w:tc>
          <w:tcPr>
            <w:tcW w:w="260" w:type="dxa"/>
            <w:vAlign w:val="bottom"/>
          </w:tcPr>
          <w:p>
            <w:pPr>
              <w:spacing w:after="0"/>
              <w:rPr>
                <w:sz w:val="16"/>
                <w:szCs w:val="16"/>
                <w:color w:val="auto"/>
              </w:rPr>
            </w:pP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90</w:t>
            </w:r>
          </w:p>
        </w:tc>
        <w:tc>
          <w:tcPr>
            <w:tcW w:w="280" w:type="dxa"/>
            <w:vAlign w:val="bottom"/>
          </w:tcPr>
          <w:p>
            <w:pPr>
              <w:spacing w:after="0"/>
              <w:rPr>
                <w:sz w:val="16"/>
                <w:szCs w:val="16"/>
                <w:color w:val="auto"/>
              </w:rPr>
            </w:pP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6"/>
                <w:szCs w:val="16"/>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2"/>
        </w:trPr>
        <w:tc>
          <w:tcPr>
            <w:tcW w:w="3560" w:type="dxa"/>
            <w:vAlign w:val="bottom"/>
          </w:tcPr>
          <w:p>
            <w:pPr>
              <w:ind w:left="480"/>
              <w:spacing w:after="0"/>
              <w:rPr>
                <w:sz w:val="20"/>
                <w:szCs w:val="20"/>
                <w:color w:val="auto"/>
              </w:rPr>
            </w:pPr>
            <w:r>
              <w:rPr>
                <w:rFonts w:ascii="Arial" w:cs="Arial" w:eastAsia="Arial" w:hAnsi="Arial"/>
                <w:sz w:val="14"/>
                <w:szCs w:val="14"/>
                <w:color w:val="auto"/>
              </w:rPr>
              <w:t>Associated offsetting commodity contracts</w:t>
            </w:r>
          </w:p>
        </w:tc>
        <w:tc>
          <w:tcPr>
            <w:tcW w:w="2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(29)</w:t>
            </w:r>
          </w:p>
        </w:tc>
        <w:tc>
          <w:tcPr>
            <w:tcW w:w="280" w:type="dxa"/>
            <w:vAlign w:val="bottom"/>
          </w:tcPr>
          <w:p>
            <w:pPr>
              <w:spacing w:after="0"/>
              <w:rPr>
                <w:sz w:val="16"/>
                <w:szCs w:val="16"/>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6"/>
                <w:szCs w:val="16"/>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29</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3560" w:type="dxa"/>
            <w:vAlign w:val="bottom"/>
          </w:tcPr>
          <w:p>
            <w:pPr>
              <w:ind w:left="320"/>
              <w:spacing w:after="0"/>
              <w:rPr>
                <w:sz w:val="20"/>
                <w:szCs w:val="20"/>
                <w:color w:val="auto"/>
              </w:rPr>
            </w:pPr>
            <w:r>
              <w:rPr>
                <w:rFonts w:ascii="Arial" w:cs="Arial" w:eastAsia="Arial" w:hAnsi="Arial"/>
                <w:sz w:val="14"/>
                <w:szCs w:val="14"/>
                <w:color w:val="auto"/>
              </w:rPr>
              <w:t>Commodity contracts subject to rate recovery</w:t>
            </w:r>
          </w:p>
        </w:tc>
        <w:tc>
          <w:tcPr>
            <w:tcW w:w="260" w:type="dxa"/>
            <w:vAlign w:val="bottom"/>
          </w:tcPr>
          <w:p>
            <w:pPr>
              <w:spacing w:after="0"/>
              <w:rPr>
                <w:sz w:val="18"/>
                <w:szCs w:val="18"/>
                <w:color w:val="auto"/>
              </w:rPr>
            </w:pP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(61)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6"/>
        </w:trPr>
        <w:tc>
          <w:tcPr>
            <w:tcW w:w="3560" w:type="dxa"/>
            <w:vAlign w:val="bottom"/>
          </w:tcPr>
          <w:p>
            <w:pPr>
              <w:ind w:left="480"/>
              <w:spacing w:after="0"/>
              <w:rPr>
                <w:sz w:val="20"/>
                <w:szCs w:val="20"/>
                <w:color w:val="auto"/>
              </w:rPr>
            </w:pPr>
            <w:r>
              <w:rPr>
                <w:rFonts w:ascii="Arial" w:cs="Arial" w:eastAsia="Arial" w:hAnsi="Arial"/>
                <w:sz w:val="14"/>
                <w:szCs w:val="14"/>
                <w:color w:val="auto"/>
              </w:rPr>
              <w:t>Associated offsetting commodity contracts</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(53)</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(30)</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53</w:t>
            </w: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6"/>
        </w:trPr>
        <w:tc>
          <w:tcPr>
            <w:tcW w:w="35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32</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(75)</w:t>
            </w:r>
          </w:p>
        </w:tc>
        <w:tc>
          <w:tcPr>
            <w:tcW w:w="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42"/>
        </w:trPr>
        <w:tc>
          <w:tcPr>
            <w:tcW w:w="3560" w:type="dxa"/>
            <w:vAlign w:val="bottom"/>
          </w:tcPr>
          <w:p>
            <w:pPr>
              <w:ind w:left="80"/>
              <w:spacing w:after="0"/>
              <w:rPr>
                <w:sz w:val="20"/>
                <w:szCs w:val="20"/>
                <w:color w:val="auto"/>
              </w:rPr>
            </w:pPr>
            <w:r>
              <w:rPr>
                <w:rFonts w:ascii="Arial" w:cs="Arial" w:eastAsia="Arial" w:hAnsi="Arial"/>
                <w:sz w:val="19"/>
                <w:szCs w:val="19"/>
                <w:b w:val="1"/>
                <w:bCs w:val="1"/>
                <w:color w:val="auto"/>
              </w:rPr>
              <w:t>SDG&amp;E:</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320"/>
              <w:spacing w:after="0"/>
              <w:rPr>
                <w:sz w:val="20"/>
                <w:szCs w:val="20"/>
                <w:color w:val="auto"/>
              </w:rPr>
            </w:pPr>
            <w:r>
              <w:rPr>
                <w:rFonts w:ascii="Arial" w:cs="Arial" w:eastAsia="Arial" w:hAnsi="Arial"/>
                <w:sz w:val="14"/>
                <w:szCs w:val="14"/>
                <w:color w:val="auto"/>
              </w:rPr>
              <w:t>Interest rate instruments(3)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vMerge w:val="continue"/>
          </w:tcPr>
          <w:p>
            <w:pPr>
              <w:spacing w:after="0"/>
              <w:rPr>
                <w:sz w:val="14"/>
                <w:szCs w:val="14"/>
                <w:color w:val="auto"/>
              </w:rPr>
            </w:pP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(17)</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2"/>
        </w:trPr>
        <w:tc>
          <w:tcPr>
            <w:tcW w:w="3560" w:type="dxa"/>
            <w:vAlign w:val="bottom"/>
          </w:tcPr>
          <w:p>
            <w:pPr>
              <w:ind w:left="320"/>
              <w:spacing w:after="0"/>
              <w:rPr>
                <w:sz w:val="20"/>
                <w:szCs w:val="20"/>
                <w:color w:val="auto"/>
              </w:rPr>
            </w:pPr>
            <w:r>
              <w:rPr>
                <w:rFonts w:ascii="Arial" w:cs="Arial" w:eastAsia="Arial" w:hAnsi="Arial"/>
                <w:sz w:val="14"/>
                <w:szCs w:val="14"/>
                <w:color w:val="auto"/>
              </w:rPr>
              <w:t>Commodity contracts subject to rate recovery</w:t>
            </w:r>
          </w:p>
        </w:tc>
        <w:tc>
          <w:tcPr>
            <w:tcW w:w="260" w:type="dxa"/>
            <w:vAlign w:val="bottom"/>
          </w:tcPr>
          <w:p>
            <w:pPr>
              <w:spacing w:after="0"/>
              <w:rPr>
                <w:sz w:val="16"/>
                <w:szCs w:val="16"/>
                <w:color w:val="auto"/>
              </w:rPr>
            </w:pP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6"/>
                <w:szCs w:val="16"/>
                <w:color w:val="auto"/>
              </w:rPr>
            </w:pP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6"/>
                <w:szCs w:val="16"/>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(48)</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10"/>
        </w:trPr>
        <w:tc>
          <w:tcPr>
            <w:tcW w:w="3560" w:type="dxa"/>
            <w:vAlign w:val="bottom"/>
          </w:tcPr>
          <w:p>
            <w:pPr>
              <w:ind w:left="480"/>
              <w:spacing w:after="0"/>
              <w:rPr>
                <w:sz w:val="20"/>
                <w:szCs w:val="20"/>
                <w:color w:val="auto"/>
              </w:rPr>
            </w:pPr>
            <w:r>
              <w:rPr>
                <w:rFonts w:ascii="Arial" w:cs="Arial" w:eastAsia="Arial" w:hAnsi="Arial"/>
                <w:sz w:val="14"/>
                <w:szCs w:val="14"/>
                <w:color w:val="auto"/>
              </w:rPr>
              <w:t>Associated offsetting commodity contracts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(48)</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(30)</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48</w:t>
            </w: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6"/>
        </w:trPr>
        <w:tc>
          <w:tcPr>
            <w:tcW w:w="35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(25)</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0"/>
        </w:trPr>
        <w:tc>
          <w:tcPr>
            <w:tcW w:w="3560" w:type="dxa"/>
            <w:vAlign w:val="bottom"/>
          </w:tcPr>
          <w:p>
            <w:pPr>
              <w:ind w:left="80"/>
              <w:spacing w:after="0"/>
              <w:rPr>
                <w:sz w:val="20"/>
                <w:szCs w:val="20"/>
                <w:color w:val="auto"/>
              </w:rPr>
            </w:pPr>
            <w:r>
              <w:rPr>
                <w:rFonts w:ascii="Arial" w:cs="Arial" w:eastAsia="Arial" w:hAnsi="Arial"/>
                <w:sz w:val="14"/>
                <w:szCs w:val="14"/>
                <w:b w:val="1"/>
                <w:bCs w:val="1"/>
                <w:color w:val="auto"/>
              </w:rPr>
              <w:t>SoCalGas: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560" w:type="dxa"/>
            <w:vAlign w:val="bottom"/>
          </w:tcPr>
          <w:p>
            <w:pPr>
              <w:ind w:left="320"/>
              <w:spacing w:after="0"/>
              <w:rPr>
                <w:sz w:val="20"/>
                <w:szCs w:val="20"/>
                <w:color w:val="auto"/>
              </w:rPr>
            </w:pPr>
            <w:r>
              <w:rPr>
                <w:rFonts w:ascii="Arial" w:cs="Arial" w:eastAsia="Arial" w:hAnsi="Arial"/>
                <w:sz w:val="14"/>
                <w:szCs w:val="14"/>
                <w:color w:val="auto"/>
              </w:rPr>
              <w:t>Commodity contracts subject to rate recovery</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(5)</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560" w:type="dxa"/>
            <w:vAlign w:val="bottom"/>
          </w:tcPr>
          <w:p>
            <w:pPr>
              <w:ind w:left="480"/>
              <w:spacing w:after="0"/>
              <w:rPr>
                <w:sz w:val="20"/>
                <w:szCs w:val="20"/>
                <w:color w:val="auto"/>
              </w:rPr>
            </w:pPr>
            <w:r>
              <w:rPr>
                <w:rFonts w:ascii="Arial" w:cs="Arial" w:eastAsia="Arial" w:hAnsi="Arial"/>
                <w:sz w:val="14"/>
                <w:szCs w:val="14"/>
                <w:color w:val="auto"/>
              </w:rPr>
              <w:t>Associated offsetting commodity contracts</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5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172720</wp:posOffset>
            </wp:positionV>
            <wp:extent cx="319278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927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9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December 31, 2009</w:t>
            </w: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jc w:val="center"/>
              <w:ind w:left="709"/>
              <w:spacing w:after="0"/>
              <w:rPr>
                <w:sz w:val="20"/>
                <w:szCs w:val="20"/>
                <w:color w:val="auto"/>
              </w:rPr>
            </w:pPr>
            <w:r>
              <w:rPr>
                <w:rFonts w:ascii="Arial" w:cs="Arial" w:eastAsia="Arial" w:hAnsi="Arial"/>
                <w:sz w:val="13"/>
                <w:szCs w:val="13"/>
                <w:color w:val="auto"/>
                <w:w w:val="98"/>
              </w:rPr>
              <w:t>Deferred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jc w:val="center"/>
              <w:ind w:left="709"/>
              <w:spacing w:after="0"/>
              <w:rPr>
                <w:sz w:val="20"/>
                <w:szCs w:val="20"/>
                <w:color w:val="auto"/>
              </w:rPr>
            </w:pPr>
            <w:r>
              <w:rPr>
                <w:rFonts w:ascii="Arial" w:cs="Arial" w:eastAsia="Arial" w:hAnsi="Arial"/>
                <w:sz w:val="13"/>
                <w:szCs w:val="13"/>
                <w:color w:val="auto"/>
                <w:w w:val="99"/>
              </w:rPr>
              <w:t>credits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6"/>
              </w:rPr>
              <w:t>Current</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6"/>
              </w:rPr>
              <w:t>Current</w:t>
            </w:r>
          </w:p>
        </w:tc>
        <w:tc>
          <w:tcPr>
            <w:tcW w:w="240" w:type="dxa"/>
            <w:vAlign w:val="bottom"/>
          </w:tcPr>
          <w:p>
            <w:pPr>
              <w:spacing w:after="0"/>
              <w:rPr>
                <w:sz w:val="11"/>
                <w:szCs w:val="11"/>
                <w:color w:val="auto"/>
              </w:rPr>
            </w:pPr>
          </w:p>
        </w:tc>
        <w:tc>
          <w:tcPr>
            <w:tcW w:w="3680" w:type="dxa"/>
            <w:vAlign w:val="bottom"/>
          </w:tcPr>
          <w:p>
            <w:pPr>
              <w:jc w:val="center"/>
              <w:ind w:left="709"/>
              <w:spacing w:after="0" w:line="135" w:lineRule="exact"/>
              <w:rPr>
                <w:sz w:val="20"/>
                <w:szCs w:val="20"/>
                <w:color w:val="auto"/>
              </w:rPr>
            </w:pPr>
            <w:r>
              <w:rPr>
                <w:rFonts w:ascii="Arial" w:cs="Arial" w:eastAsia="Arial" w:hAnsi="Arial"/>
                <w:sz w:val="13"/>
                <w:szCs w:val="13"/>
                <w:color w:val="auto"/>
                <w:w w:val="98"/>
              </w:rPr>
              <w:t>and other</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tcPr>
          <w:p>
            <w:pPr>
              <w:ind w:left="100"/>
              <w:spacing w:after="0" w:line="216" w:lineRule="exact"/>
              <w:rPr>
                <w:sz w:val="20"/>
                <w:szCs w:val="20"/>
                <w:color w:val="auto"/>
              </w:rPr>
            </w:pPr>
            <w:r>
              <w:rPr>
                <w:rFonts w:ascii="Arial" w:cs="Arial" w:eastAsia="Arial" w:hAnsi="Arial"/>
                <w:sz w:val="19"/>
                <w:szCs w:val="19"/>
                <w:color w:val="auto"/>
              </w:rPr>
              <w:t>&lt; p style="MARGIN:0in 0in 0pt; TEXT-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tcPr>
          <w:p>
            <w:pPr>
              <w:ind w:left="100"/>
              <w:spacing w:after="0"/>
              <w:rPr>
                <w:sz w:val="20"/>
                <w:szCs w:val="20"/>
                <w:color w:val="auto"/>
              </w:rPr>
            </w:pPr>
            <w:r>
              <w:rPr>
                <w:rFonts w:ascii="Arial" w:cs="Arial" w:eastAsia="Arial" w:hAnsi="Arial"/>
                <w:sz w:val="19"/>
                <w:szCs w:val="19"/>
                <w:color w:val="auto"/>
              </w:rPr>
              <w:t>ALIGN:center" align=center&gt;</w:t>
            </w:r>
            <w:r>
              <w:rPr>
                <w:rFonts w:ascii="Arial" w:cs="Arial" w:eastAsia="Arial" w:hAnsi="Arial"/>
                <w:sz w:val="12"/>
                <w:szCs w:val="12"/>
                <w:color w:val="auto"/>
              </w:rPr>
              <w:t>liabilities: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assets: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8"/>
              </w:rPr>
              <w:t>liabilities:</w:t>
            </w:r>
          </w:p>
        </w:tc>
        <w:tc>
          <w:tcPr>
            <w:tcW w:w="2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9"/>
              </w:rPr>
              <w:t>Fixed-price</w:t>
            </w:r>
          </w:p>
        </w:tc>
        <w:tc>
          <w:tcPr>
            <w:tcW w:w="220" w:type="dxa"/>
            <w:vAlign w:val="bottom"/>
          </w:tcPr>
          <w:p>
            <w:pPr>
              <w:spacing w:after="0"/>
              <w:rPr>
                <w:sz w:val="14"/>
                <w:szCs w:val="14"/>
                <w:color w:val="auto"/>
              </w:rPr>
            </w:pPr>
          </w:p>
        </w:tc>
        <w:tc>
          <w:tcPr>
            <w:tcW w:w="840" w:type="dxa"/>
            <w:vAlign w:val="bottom"/>
          </w:tcPr>
          <w:p>
            <w:pPr>
              <w:jc w:val="right"/>
              <w:ind w:right="30"/>
              <w:spacing w:after="0"/>
              <w:rPr>
                <w:sz w:val="20"/>
                <w:szCs w:val="20"/>
                <w:color w:val="auto"/>
              </w:rPr>
            </w:pPr>
            <w:r>
              <w:rPr>
                <w:rFonts w:ascii="Arial" w:cs="Arial" w:eastAsia="Arial" w:hAnsi="Arial"/>
                <w:sz w:val="13"/>
                <w:szCs w:val="13"/>
                <w:color w:val="auto"/>
              </w:rPr>
              <w:t>Investments</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Fixed - -price</w:t>
            </w:r>
          </w:p>
        </w:tc>
        <w:tc>
          <w:tcPr>
            <w:tcW w:w="240" w:type="dxa"/>
            <w:vAlign w:val="bottom"/>
          </w:tcPr>
          <w:p>
            <w:pPr>
              <w:spacing w:after="0"/>
              <w:rPr>
                <w:sz w:val="14"/>
                <w:szCs w:val="14"/>
                <w:color w:val="auto"/>
              </w:rPr>
            </w:pPr>
          </w:p>
        </w:tc>
        <w:tc>
          <w:tcPr>
            <w:tcW w:w="3680" w:type="dxa"/>
            <w:vAlign w:val="bottom"/>
          </w:tcPr>
          <w:p>
            <w:pPr>
              <w:jc w:val="center"/>
              <w:ind w:left="689"/>
              <w:spacing w:after="0"/>
              <w:rPr>
                <w:sz w:val="20"/>
                <w:szCs w:val="20"/>
                <w:color w:val="auto"/>
              </w:rPr>
            </w:pPr>
            <w:r>
              <w:rPr>
                <w:rFonts w:ascii="Arial" w:cs="Arial" w:eastAsia="Arial" w:hAnsi="Arial"/>
                <w:sz w:val="13"/>
                <w:szCs w:val="13"/>
                <w:color w:val="auto"/>
                <w:w w:val="99"/>
              </w:rPr>
              <w:t>Fixed-price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contracts</w:t>
            </w:r>
          </w:p>
        </w:tc>
        <w:tc>
          <w:tcPr>
            <w:tcW w:w="220" w:type="dxa"/>
            <w:vAlign w:val="bottom"/>
          </w:tcPr>
          <w:p>
            <w:pPr>
              <w:spacing w:after="0"/>
              <w:rPr>
                <w:sz w:val="14"/>
                <w:szCs w:val="14"/>
                <w:color w:val="auto"/>
              </w:rPr>
            </w:pPr>
          </w:p>
        </w:tc>
        <w:tc>
          <w:tcPr>
            <w:tcW w:w="840" w:type="dxa"/>
            <w:vAlign w:val="bottom"/>
          </w:tcPr>
          <w:p>
            <w:pPr>
              <w:jc w:val="right"/>
              <w:ind w:right="70"/>
              <w:spacing w:after="0"/>
              <w:rPr>
                <w:sz w:val="20"/>
                <w:szCs w:val="20"/>
                <w:color w:val="auto"/>
              </w:rPr>
            </w:pPr>
            <w:r>
              <w:rPr>
                <w:rFonts w:ascii="Arial" w:cs="Arial" w:eastAsia="Arial" w:hAnsi="Arial"/>
                <w:sz w:val="13"/>
                <w:szCs w:val="13"/>
                <w:color w:val="auto"/>
              </w:rPr>
              <w:t>and other</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8"/>
              </w:rPr>
              <w:t>contracts</w:t>
            </w:r>
          </w:p>
        </w:tc>
        <w:tc>
          <w:tcPr>
            <w:tcW w:w="240" w:type="dxa"/>
            <w:vAlign w:val="bottom"/>
          </w:tcPr>
          <w:p>
            <w:pPr>
              <w:spacing w:after="0"/>
              <w:rPr>
                <w:sz w:val="14"/>
                <w:szCs w:val="14"/>
                <w:color w:val="auto"/>
              </w:rPr>
            </w:pPr>
          </w:p>
        </w:tc>
        <w:tc>
          <w:tcPr>
            <w:tcW w:w="3680" w:type="dxa"/>
            <w:vAlign w:val="bottom"/>
          </w:tcPr>
          <w:p>
            <w:pPr>
              <w:ind w:left="2020"/>
              <w:spacing w:after="0"/>
              <w:rPr>
                <w:sz w:val="20"/>
                <w:szCs w:val="20"/>
                <w:color w:val="auto"/>
              </w:rPr>
            </w:pPr>
            <w:r>
              <w:rPr>
                <w:rFonts w:ascii="Arial" w:cs="Arial" w:eastAsia="Arial" w:hAnsi="Arial"/>
                <w:sz w:val="13"/>
                <w:szCs w:val="13"/>
                <w:color w:val="auto"/>
              </w:rPr>
              <w:t>contracts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and other</w:t>
            </w:r>
          </w:p>
        </w:tc>
        <w:tc>
          <w:tcPr>
            <w:tcW w:w="220" w:type="dxa"/>
            <w:vAlign w:val="bottom"/>
          </w:tcPr>
          <w:p>
            <w:pPr>
              <w:spacing w:after="0"/>
              <w:rPr>
                <w:sz w:val="14"/>
                <w:szCs w:val="14"/>
                <w:color w:val="auto"/>
              </w:rPr>
            </w:pPr>
          </w:p>
        </w:tc>
        <w:tc>
          <w:tcPr>
            <w:tcW w:w="840" w:type="dxa"/>
            <w:vAlign w:val="bottom"/>
          </w:tcPr>
          <w:p>
            <w:pPr>
              <w:jc w:val="right"/>
              <w:ind w:right="130"/>
              <w:spacing w:after="0"/>
              <w:rPr>
                <w:sz w:val="20"/>
                <w:szCs w:val="20"/>
                <w:color w:val="auto"/>
              </w:rPr>
            </w:pPr>
            <w:r>
              <w:rPr>
                <w:rFonts w:ascii="Arial" w:cs="Arial" w:eastAsia="Arial" w:hAnsi="Arial"/>
                <w:sz w:val="13"/>
                <w:szCs w:val="13"/>
                <w:color w:val="auto"/>
              </w:rPr>
              <w:t>assets:</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8"/>
              </w:rPr>
              <w:t>and other</w:t>
            </w:r>
          </w:p>
        </w:tc>
        <w:tc>
          <w:tcPr>
            <w:tcW w:w="240" w:type="dxa"/>
            <w:vAlign w:val="bottom"/>
          </w:tcPr>
          <w:p>
            <w:pPr>
              <w:spacing w:after="0"/>
              <w:rPr>
                <w:sz w:val="14"/>
                <w:szCs w:val="14"/>
                <w:color w:val="auto"/>
              </w:rPr>
            </w:pPr>
          </w:p>
        </w:tc>
        <w:tc>
          <w:tcPr>
            <w:tcW w:w="3680" w:type="dxa"/>
            <w:vAlign w:val="bottom"/>
          </w:tcPr>
          <w:p>
            <w:pPr>
              <w:jc w:val="center"/>
              <w:ind w:left="709"/>
              <w:spacing w:after="0"/>
              <w:rPr>
                <w:sz w:val="20"/>
                <w:szCs w:val="20"/>
                <w:color w:val="auto"/>
              </w:rPr>
            </w:pPr>
            <w:r>
              <w:rPr>
                <w:rFonts w:ascii="Arial" w:cs="Arial" w:eastAsia="Arial" w:hAnsi="Arial"/>
                <w:sz w:val="13"/>
                <w:szCs w:val="13"/>
                <w:color w:val="auto"/>
                <w:w w:val="98"/>
              </w:rPr>
              <w:t>and other</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Derivatives designated as hedging instruments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w w:val="99"/>
              </w:rPr>
              <w:t>derivatives(1)</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color w:val="auto"/>
              </w:rPr>
              <w:t>Sundry</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derivatives(2)</w:t>
            </w:r>
          </w:p>
        </w:tc>
        <w:tc>
          <w:tcPr>
            <w:tcW w:w="24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tcPr>
          <w:p>
            <w:pPr>
              <w:jc w:val="center"/>
              <w:ind w:left="709"/>
              <w:spacing w:after="0"/>
              <w:rPr>
                <w:sz w:val="20"/>
                <w:szCs w:val="20"/>
                <w:color w:val="auto"/>
              </w:rPr>
            </w:pPr>
            <w:r>
              <w:rPr>
                <w:rFonts w:ascii="Arial" w:cs="Arial" w:eastAsia="Arial" w:hAnsi="Arial"/>
                <w:sz w:val="13"/>
                <w:szCs w:val="13"/>
                <w:color w:val="auto"/>
                <w:w w:val="99"/>
              </w:rPr>
              <w:t>derivatives</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280" w:type="dxa"/>
            <w:vAlign w:val="bottom"/>
          </w:tcPr>
          <w:p>
            <w:pPr>
              <w:ind w:left="80"/>
              <w:spacing w:after="0"/>
              <w:rPr>
                <w:sz w:val="20"/>
                <w:szCs w:val="20"/>
                <w:color w:val="auto"/>
              </w:rPr>
            </w:pPr>
            <w:r>
              <w:rPr>
                <w:rFonts w:ascii="Arial" w:cs="Arial" w:eastAsia="Arial" w:hAnsi="Arial"/>
                <w:sz w:val="14"/>
                <w:szCs w:val="14"/>
                <w:b w:val="1"/>
                <w:bCs w:val="1"/>
                <w:color w:val="auto"/>
              </w:rPr>
              <w:t>Sempra Energy Consolidated:</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89"/>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80" w:type="dxa"/>
            <w:vAlign w:val="bottom"/>
          </w:tcPr>
          <w:p>
            <w:pPr>
              <w:ind w:left="620"/>
              <w:spacing w:after="0"/>
              <w:rPr>
                <w:sz w:val="20"/>
                <w:szCs w:val="20"/>
                <w:color w:val="auto"/>
              </w:rPr>
            </w:pPr>
            <w:r>
              <w:rPr>
                <w:rFonts w:ascii="Arial" w:cs="Arial" w:eastAsia="Arial" w:hAnsi="Arial"/>
                <w:sz w:val="14"/>
                <w:szCs w:val="14"/>
                <w:color w:val="auto"/>
              </w:rPr>
              <w:t>Interest rate instruments</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2</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368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280" w:type="dxa"/>
            <w:vAlign w:val="bottom"/>
          </w:tcPr>
          <w:p>
            <w:pPr>
              <w:ind w:left="620"/>
              <w:spacing w:after="0"/>
              <w:rPr>
                <w:sz w:val="20"/>
                <w:szCs w:val="20"/>
                <w:color w:val="auto"/>
              </w:rPr>
            </w:pPr>
            <w:r>
              <w:rPr>
                <w:rFonts w:ascii="Arial" w:cs="Arial" w:eastAsia="Arial" w:hAnsi="Arial"/>
                <w:sz w:val="14"/>
                <w:szCs w:val="14"/>
                <w:color w:val="auto"/>
              </w:rPr>
              <w:t>Commodity contracts not subject to rate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tcPr>
          <w:p>
            <w:pPr>
              <w:ind w:left="620"/>
              <w:spacing w:after="0"/>
              <w:rPr>
                <w:sz w:val="20"/>
                <w:szCs w:val="20"/>
                <w:color w:val="auto"/>
              </w:rPr>
            </w:pPr>
            <w:r>
              <w:rPr>
                <w:rFonts w:ascii="Arial" w:cs="Arial" w:eastAsia="Arial" w:hAnsi="Arial"/>
                <w:sz w:val="14"/>
                <w:szCs w:val="14"/>
                <w:color w:val="auto"/>
              </w:rPr>
              <w:t>recovery</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280" w:type="dxa"/>
            <w:vAlign w:val="bottom"/>
          </w:tcPr>
          <w:p>
            <w:pPr>
              <w:ind w:left="80"/>
              <w:spacing w:after="0"/>
              <w:rPr>
                <w:sz w:val="20"/>
                <w:szCs w:val="20"/>
                <w:color w:val="auto"/>
              </w:rPr>
            </w:pPr>
            <w:r>
              <w:rPr>
                <w:rFonts w:ascii="Arial" w:cs="Arial" w:eastAsia="Arial" w:hAnsi="Arial"/>
                <w:sz w:val="14"/>
                <w:szCs w:val="14"/>
                <w:b w:val="1"/>
                <w:bCs w:val="1"/>
                <w:color w:val="auto"/>
              </w:rPr>
              <w:t>SoCalGas: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Interest rate instruments</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8"/>
        </w:trPr>
        <w:tc>
          <w:tcPr>
            <w:tcW w:w="3280" w:type="dxa"/>
            <w:vAlign w:val="bottom"/>
          </w:tcPr>
          <w:p>
            <w:pPr>
              <w:ind w:left="80"/>
              <w:spacing w:after="0"/>
              <w:rPr>
                <w:sz w:val="20"/>
                <w:szCs w:val="20"/>
                <w:color w:val="auto"/>
              </w:rPr>
            </w:pPr>
            <w:r>
              <w:rPr>
                <w:rFonts w:ascii="Arial" w:cs="Arial" w:eastAsia="Arial" w:hAnsi="Arial"/>
                <w:sz w:val="13"/>
                <w:szCs w:val="13"/>
                <w:color w:val="auto"/>
              </w:rPr>
              <w:t>Derivatives not designated as hedging instruments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Sempra Energy Consolidated:</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620"/>
              <w:spacing w:after="0"/>
              <w:rPr>
                <w:sz w:val="20"/>
                <w:szCs w:val="20"/>
                <w:color w:val="auto"/>
              </w:rPr>
            </w:pPr>
            <w:r>
              <w:rPr>
                <w:rFonts w:ascii="Arial" w:cs="Arial" w:eastAsia="Arial" w:hAnsi="Arial"/>
                <w:sz w:val="19"/>
                <w:szCs w:val="19"/>
                <w:color w:val="auto"/>
              </w:rPr>
              <w:t>Interest rate instruments(3)</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15</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(25)</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368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8"/>
        </w:trPr>
        <w:tc>
          <w:tcPr>
            <w:tcW w:w="3280" w:type="dxa"/>
            <w:vAlign w:val="bottom"/>
          </w:tcPr>
          <w:p>
            <w:pPr>
              <w:ind w:left="620"/>
              <w:spacing w:after="0"/>
              <w:rPr>
                <w:sz w:val="20"/>
                <w:szCs w:val="20"/>
                <w:color w:val="auto"/>
              </w:rPr>
            </w:pPr>
            <w:r>
              <w:rPr>
                <w:rFonts w:ascii="Arial" w:cs="Arial" w:eastAsia="Arial" w:hAnsi="Arial"/>
                <w:sz w:val="14"/>
                <w:szCs w:val="14"/>
                <w:color w:val="auto"/>
              </w:rPr>
              <w:t>Commodity contracts not subject to rate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49"/>
              <w:spacing w:after="0"/>
              <w:rPr>
                <w:sz w:val="20"/>
                <w:szCs w:val="20"/>
                <w:color w:val="auto"/>
              </w:rPr>
            </w:pPr>
            <w:r>
              <w:rPr>
                <w:rFonts w:ascii="Arial" w:cs="Arial" w:eastAsia="Arial" w:hAnsi="Arial"/>
                <w:sz w:val="19"/>
                <w:szCs w:val="19"/>
                <w:color w:val="auto"/>
              </w:rPr>
              <w:t>(64)</w:t>
            </w: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tcPr>
          <w:p>
            <w:pPr>
              <w:ind w:left="620"/>
              <w:spacing w:after="0"/>
              <w:rPr>
                <w:sz w:val="20"/>
                <w:szCs w:val="20"/>
                <w:color w:val="auto"/>
              </w:rPr>
            </w:pPr>
            <w:r>
              <w:rPr>
                <w:rFonts w:ascii="Arial" w:cs="Arial" w:eastAsia="Arial" w:hAnsi="Arial"/>
                <w:sz w:val="14"/>
                <w:szCs w:val="14"/>
                <w:color w:val="auto"/>
              </w:rPr>
              <w:t>recovery</w:t>
            </w:r>
          </w:p>
        </w:tc>
        <w:tc>
          <w:tcPr>
            <w:tcW w:w="26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74</w:t>
            </w:r>
          </w:p>
        </w:tc>
        <w:tc>
          <w:tcPr>
            <w:tcW w:w="220" w:type="dxa"/>
            <w:vAlign w:val="bottom"/>
          </w:tcPr>
          <w:p>
            <w:pPr>
              <w:spacing w:after="0"/>
              <w:rPr>
                <w:sz w:val="14"/>
                <w:szCs w:val="14"/>
                <w:color w:val="auto"/>
              </w:rPr>
            </w:pP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8"/>
        </w:trPr>
        <w:tc>
          <w:tcPr>
            <w:tcW w:w="3280" w:type="dxa"/>
            <w:vAlign w:val="bottom"/>
          </w:tcPr>
          <w:p>
            <w:pPr>
              <w:ind w:left="780"/>
              <w:spacing w:after="0"/>
              <w:rPr>
                <w:sz w:val="20"/>
                <w:szCs w:val="20"/>
                <w:color w:val="auto"/>
              </w:rPr>
            </w:pPr>
            <w:r>
              <w:rPr>
                <w:rFonts w:ascii="Arial" w:cs="Arial" w:eastAsia="Arial" w:hAnsi="Arial"/>
                <w:sz w:val="14"/>
                <w:szCs w:val="14"/>
                <w:color w:val="auto"/>
              </w:rPr>
              <w:t>Associated offsetting commodity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tcPr>
          <w:p>
            <w:pPr>
              <w:ind w:left="620"/>
              <w:spacing w:after="0"/>
              <w:rPr>
                <w:sz w:val="20"/>
                <w:szCs w:val="20"/>
                <w:color w:val="auto"/>
              </w:rPr>
            </w:pPr>
            <w:r>
              <w:rPr>
                <w:rFonts w:ascii="Arial" w:cs="Arial" w:eastAsia="Arial" w:hAnsi="Arial"/>
                <w:sz w:val="14"/>
                <w:szCs w:val="14"/>
                <w:color w:val="auto"/>
              </w:rPr>
              <w:t>contracts</w:t>
            </w:r>
          </w:p>
        </w:tc>
        <w:tc>
          <w:tcPr>
            <w:tcW w:w="26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4"/>
                <w:szCs w:val="14"/>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8"/>
        </w:trPr>
        <w:tc>
          <w:tcPr>
            <w:tcW w:w="3280" w:type="dxa"/>
            <w:vAlign w:val="bottom"/>
          </w:tcPr>
          <w:p>
            <w:pPr>
              <w:ind w:left="620"/>
              <w:spacing w:after="0"/>
              <w:rPr>
                <w:sz w:val="20"/>
                <w:szCs w:val="20"/>
                <w:color w:val="auto"/>
              </w:rPr>
            </w:pPr>
            <w:r>
              <w:rPr>
                <w:rFonts w:ascii="Arial" w:cs="Arial" w:eastAsia="Arial" w:hAnsi="Arial"/>
                <w:sz w:val="14"/>
                <w:szCs w:val="14"/>
                <w:color w:val="auto"/>
              </w:rPr>
              <w:t>Commodity contracts subject to rate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tcPr>
          <w:p>
            <w:pPr>
              <w:ind w:left="620"/>
              <w:spacing w:after="0"/>
              <w:rPr>
                <w:sz w:val="20"/>
                <w:szCs w:val="20"/>
                <w:color w:val="auto"/>
              </w:rPr>
            </w:pPr>
            <w:r>
              <w:rPr>
                <w:rFonts w:ascii="Arial" w:cs="Arial" w:eastAsia="Arial" w:hAnsi="Arial"/>
                <w:sz w:val="14"/>
                <w:szCs w:val="14"/>
                <w:color w:val="auto"/>
              </w:rPr>
              <w:t>recovery</w:t>
            </w:r>
          </w:p>
        </w:tc>
        <w:tc>
          <w:tcPr>
            <w:tcW w:w="26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4"/>
                <w:szCs w:val="14"/>
                <w:color w:val="auto"/>
              </w:rPr>
            </w:pP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8"/>
        </w:trPr>
        <w:tc>
          <w:tcPr>
            <w:tcW w:w="3280" w:type="dxa"/>
            <w:vAlign w:val="bottom"/>
          </w:tcPr>
          <w:p>
            <w:pPr>
              <w:ind w:left="780"/>
              <w:spacing w:after="0"/>
              <w:rPr>
                <w:sz w:val="20"/>
                <w:szCs w:val="20"/>
                <w:color w:val="auto"/>
              </w:rPr>
            </w:pPr>
            <w:r>
              <w:rPr>
                <w:rFonts w:ascii="Arial" w:cs="Arial" w:eastAsia="Arial" w:hAnsi="Arial"/>
                <w:sz w:val="14"/>
                <w:szCs w:val="14"/>
                <w:color w:val="auto"/>
              </w:rPr>
              <w:t>Associated offsetting commodity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tcPr>
          <w:p>
            <w:pPr>
              <w:ind w:left="620"/>
              <w:spacing w:after="0"/>
              <w:rPr>
                <w:sz w:val="20"/>
                <w:szCs w:val="20"/>
                <w:color w:val="auto"/>
              </w:rPr>
            </w:pPr>
            <w:r>
              <w:rPr>
                <w:rFonts w:ascii="Arial" w:cs="Arial" w:eastAsia="Arial" w:hAnsi="Arial"/>
                <w:sz w:val="14"/>
                <w:szCs w:val="14"/>
                <w:color w:val="auto"/>
              </w:rPr>
              <w:t>contracts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auto"/>
            </w:tcBorders>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37</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(61)</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72"/>
        </w:trPr>
        <w:tc>
          <w:tcPr>
            <w:tcW w:w="328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620"/>
              <w:spacing w:after="0"/>
              <w:rPr>
                <w:sz w:val="20"/>
                <w:szCs w:val="20"/>
                <w:color w:val="auto"/>
              </w:rPr>
            </w:pPr>
            <w:r>
              <w:rPr>
                <w:rFonts w:ascii="Arial" w:cs="Arial" w:eastAsia="Arial" w:hAnsi="Arial"/>
                <w:sz w:val="14"/>
                <w:szCs w:val="14"/>
                <w:color w:val="auto"/>
              </w:rPr>
              <w:t>Interest rate instruments(3)</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(17)</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368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8"/>
        </w:trPr>
        <w:tc>
          <w:tcPr>
            <w:tcW w:w="3280" w:type="dxa"/>
            <w:vAlign w:val="bottom"/>
          </w:tcPr>
          <w:p>
            <w:pPr>
              <w:ind w:left="620"/>
              <w:spacing w:after="0"/>
              <w:rPr>
                <w:sz w:val="20"/>
                <w:szCs w:val="20"/>
                <w:color w:val="auto"/>
              </w:rPr>
            </w:pPr>
            <w:r>
              <w:rPr>
                <w:rFonts w:ascii="Arial" w:cs="Arial" w:eastAsia="Arial" w:hAnsi="Arial"/>
                <w:sz w:val="14"/>
                <w:szCs w:val="14"/>
                <w:color w:val="auto"/>
              </w:rPr>
              <w:t>Commodity contracts subject to rate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49"/>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tcPr>
          <w:p>
            <w:pPr>
              <w:ind w:left="620"/>
              <w:spacing w:after="0"/>
              <w:rPr>
                <w:sz w:val="20"/>
                <w:szCs w:val="20"/>
                <w:color w:val="auto"/>
              </w:rPr>
            </w:pPr>
            <w:r>
              <w:rPr>
                <w:rFonts w:ascii="Arial" w:cs="Arial" w:eastAsia="Arial" w:hAnsi="Arial"/>
                <w:sz w:val="14"/>
                <w:szCs w:val="14"/>
                <w:color w:val="auto"/>
              </w:rPr>
              <w:t>recovery</w:t>
            </w:r>
          </w:p>
        </w:tc>
        <w:tc>
          <w:tcPr>
            <w:tcW w:w="26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8"/>
        </w:trPr>
        <w:tc>
          <w:tcPr>
            <w:tcW w:w="3280" w:type="dxa"/>
            <w:vAlign w:val="bottom"/>
          </w:tcPr>
          <w:p>
            <w:pPr>
              <w:ind w:left="780"/>
              <w:spacing w:after="0"/>
              <w:rPr>
                <w:sz w:val="20"/>
                <w:szCs w:val="20"/>
                <w:color w:val="auto"/>
              </w:rPr>
            </w:pPr>
            <w:r>
              <w:rPr>
                <w:rFonts w:ascii="Arial" w:cs="Arial" w:eastAsia="Arial" w:hAnsi="Arial"/>
                <w:sz w:val="14"/>
                <w:szCs w:val="14"/>
                <w:color w:val="auto"/>
              </w:rPr>
              <w:t>Associated offsetting commodity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tcPr>
          <w:p>
            <w:pPr>
              <w:ind w:left="620"/>
              <w:spacing w:after="0"/>
              <w:rPr>
                <w:sz w:val="20"/>
                <w:szCs w:val="20"/>
                <w:color w:val="auto"/>
              </w:rPr>
            </w:pPr>
            <w:r>
              <w:rPr>
                <w:rFonts w:ascii="Arial" w:cs="Arial" w:eastAsia="Arial" w:hAnsi="Arial"/>
                <w:sz w:val="14"/>
                <w:szCs w:val="14"/>
                <w:color w:val="auto"/>
              </w:rPr>
              <w:t>contracts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345"/>
        </w:trPr>
        <w:tc>
          <w:tcPr>
            <w:tcW w:w="3280" w:type="dxa"/>
            <w:vAlign w:val="bottom"/>
          </w:tcPr>
          <w:p>
            <w:pPr>
              <w:ind w:left="80"/>
              <w:spacing w:after="0"/>
              <w:rPr>
                <w:sz w:val="20"/>
                <w:szCs w:val="20"/>
                <w:color w:val="auto"/>
              </w:rPr>
            </w:pPr>
            <w:r>
              <w:rPr>
                <w:rFonts w:ascii="Arial" w:cs="Arial" w:eastAsia="Arial" w:hAnsi="Arial"/>
                <w:sz w:val="19"/>
                <w:szCs w:val="19"/>
                <w:color w:val="auto"/>
              </w:rPr>
              <w:t>&lt;</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28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rPr>
              <w:t xml:space="preserve">/td&gt;   </w:t>
            </w:r>
            <w:r>
              <w:rPr>
                <w:rFonts w:ascii="Arial" w:cs="Arial" w:eastAsia="Arial" w:hAnsi="Arial"/>
                <w:sz w:val="14"/>
                <w:szCs w:val="14"/>
                <w:color w:val="auto"/>
              </w:rPr>
              <w:t>Total</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0"/>
        </w:trPr>
        <w:tc>
          <w:tcPr>
            <w:tcW w:w="3280" w:type="dxa"/>
            <w:vAlign w:val="bottom"/>
          </w:tcPr>
          <w:p>
            <w:pPr>
              <w:ind w:left="80"/>
              <w:spacing w:after="0"/>
              <w:rPr>
                <w:sz w:val="20"/>
                <w:szCs w:val="20"/>
                <w:color w:val="auto"/>
              </w:rPr>
            </w:pPr>
            <w:r>
              <w:rPr>
                <w:rFonts w:ascii="Arial" w:cs="Arial" w:eastAsia="Arial" w:hAnsi="Arial"/>
                <w:sz w:val="14"/>
                <w:szCs w:val="14"/>
                <w:b w:val="1"/>
                <w:bCs w:val="1"/>
                <w:color w:val="auto"/>
              </w:rPr>
              <w:t>SoCalGas: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tcPr>
          <w:p>
            <w:pPr>
              <w:ind w:left="620"/>
              <w:spacing w:after="0"/>
              <w:rPr>
                <w:sz w:val="20"/>
                <w:szCs w:val="20"/>
                <w:color w:val="auto"/>
              </w:rPr>
            </w:pPr>
            <w:r>
              <w:rPr>
                <w:rFonts w:ascii="Arial" w:cs="Arial" w:eastAsia="Arial" w:hAnsi="Arial"/>
                <w:sz w:val="14"/>
                <w:szCs w:val="14"/>
                <w:color w:val="auto"/>
              </w:rPr>
              <w:t>Commodity contracts subject to rate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tcPr>
          <w:p>
            <w:pPr>
              <w:ind w:left="620"/>
              <w:spacing w:after="0"/>
              <w:rPr>
                <w:sz w:val="20"/>
                <w:szCs w:val="20"/>
                <w:color w:val="auto"/>
              </w:rPr>
            </w:pPr>
            <w:r>
              <w:rPr>
                <w:rFonts w:ascii="Arial" w:cs="Arial" w:eastAsia="Arial" w:hAnsi="Arial"/>
                <w:sz w:val="14"/>
                <w:szCs w:val="14"/>
                <w:color w:val="auto"/>
              </w:rPr>
              <w:t>recovery</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36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280" w:type="dxa"/>
            <w:vAlign w:val="bottom"/>
          </w:tcPr>
          <w:p>
            <w:pPr>
              <w:ind w:left="780"/>
              <w:spacing w:after="0"/>
              <w:rPr>
                <w:sz w:val="20"/>
                <w:szCs w:val="20"/>
                <w:color w:val="auto"/>
              </w:rPr>
            </w:pPr>
            <w:r>
              <w:rPr>
                <w:rFonts w:ascii="Arial" w:cs="Arial" w:eastAsia="Arial" w:hAnsi="Arial"/>
                <w:sz w:val="14"/>
                <w:szCs w:val="14"/>
                <w:color w:val="auto"/>
              </w:rPr>
              <w:t>Associated offsetting commodity</w:t>
            </w:r>
          </w:p>
        </w:tc>
        <w:tc>
          <w:tcPr>
            <w:tcW w:w="260" w:type="dxa"/>
            <w:vAlign w:val="bottom"/>
          </w:tcPr>
          <w:p>
            <w:pPr>
              <w:spacing w:after="0"/>
              <w:rPr>
                <w:sz w:val="14"/>
                <w:szCs w:val="14"/>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9"/>
                <w:szCs w:val="19"/>
                <w:color w:val="auto"/>
              </w:rPr>
              <w:t>(1)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tcPr>
          <w:p>
            <w:pPr>
              <w:ind w:left="620"/>
              <w:spacing w:after="0"/>
              <w:rPr>
                <w:sz w:val="20"/>
                <w:szCs w:val="20"/>
                <w:color w:val="auto"/>
              </w:rPr>
            </w:pPr>
            <w:r>
              <w:rPr>
                <w:rFonts w:ascii="Arial" w:cs="Arial" w:eastAsia="Arial" w:hAnsi="Arial"/>
                <w:sz w:val="14"/>
                <w:szCs w:val="14"/>
                <w:color w:val="auto"/>
              </w:rPr>
              <w:t>contracts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20" w:hanging="332"/>
        <w:spacing w:after="0"/>
        <w:tabs>
          <w:tab w:leader="none" w:pos="62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Included in Current Assets: Other for SoCalGas.</w:t>
      </w:r>
    </w:p>
    <w:p>
      <w:pPr>
        <w:spacing w:after="0" w:line="54" w:lineRule="exact"/>
        <w:rPr>
          <w:rFonts w:ascii="Arial" w:cs="Arial" w:eastAsia="Arial" w:hAnsi="Arial"/>
          <w:sz w:val="13"/>
          <w:szCs w:val="13"/>
          <w:i w:val="1"/>
          <w:iCs w:val="1"/>
          <w:color w:val="auto"/>
        </w:rPr>
      </w:pPr>
    </w:p>
    <w:p>
      <w:pPr>
        <w:ind w:left="620" w:hanging="332"/>
        <w:spacing w:after="0"/>
        <w:tabs>
          <w:tab w:leader="none" w:pos="62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Included in Current Liabilities: Other for SoCalGas.</w:t>
      </w:r>
    </w:p>
    <w:p>
      <w:pPr>
        <w:spacing w:after="0" w:line="54" w:lineRule="exact"/>
        <w:rPr>
          <w:rFonts w:ascii="Arial" w:cs="Arial" w:eastAsia="Arial" w:hAnsi="Arial"/>
          <w:sz w:val="13"/>
          <w:szCs w:val="13"/>
          <w:i w:val="1"/>
          <w:iCs w:val="1"/>
          <w:color w:val="auto"/>
        </w:rPr>
      </w:pPr>
    </w:p>
    <w:p>
      <w:pPr>
        <w:ind w:left="620" w:hanging="325"/>
        <w:spacing w:after="0"/>
        <w:tabs>
          <w:tab w:leader="none" w:pos="62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Includes Otay Mesa VIE. All of SDG&amp;E's amounts relate to Otay Mesa VIE.</w:t>
      </w:r>
    </w:p>
    <w:p>
      <w:pPr>
        <w:sectPr>
          <w:pgSz w:w="11900" w:h="16838" w:orient="portrait"/>
          <w:cols w:equalWidth="0" w:num="1">
            <w:col w:w="11440"/>
          </w:cols>
          <w:pgMar w:left="240" w:top="336" w:right="219" w:bottom="0" w:gutter="0" w:footer="0" w:header="0"/>
        </w:sectPr>
      </w:pPr>
    </w:p>
    <w:bookmarkStart w:id="30" w:name="page31"/>
    <w:bookmarkEnd w:id="30"/>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effects of derivative instruments designated as hedges on the Condensed Consolidated Statements of Operations for the three months and nine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30, 2010 and 2009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7261860" cy="289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spacing w:after="0" w:line="34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FAIR VALUE HEDGE IMPACT ON THE CONDENSED CONSOLIDATED STATEMENTS OF OPERATIONS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0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2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3"/>
                <w:szCs w:val="13"/>
                <w:color w:val="auto"/>
                <w:w w:val="98"/>
              </w:rPr>
              <w:t>Gain (loss) on derivative recognized in earnings</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2"/>
          </w:tcPr>
          <w:p>
            <w:pPr>
              <w:jc w:val="right"/>
              <w:ind w:right="131"/>
              <w:spacing w:after="0" w:line="148" w:lineRule="exact"/>
              <w:rPr>
                <w:sz w:val="20"/>
                <w:szCs w:val="20"/>
                <w:color w:val="auto"/>
              </w:rPr>
            </w:pPr>
            <w:r>
              <w:rPr>
                <w:rFonts w:ascii="Arial" w:cs="Arial" w:eastAsia="Arial" w:hAnsi="Arial"/>
                <w:sz w:val="13"/>
                <w:szCs w:val="13"/>
                <w:color w:val="auto"/>
              </w:rPr>
              <w:t>Three months ended September 30,</w:t>
            </w:r>
          </w:p>
        </w:tc>
        <w:tc>
          <w:tcPr>
            <w:tcW w:w="5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3"/>
          </w:tcPr>
          <w:p>
            <w:pPr>
              <w:jc w:val="right"/>
              <w:ind w:right="549"/>
              <w:spacing w:after="0" w:line="148" w:lineRule="exact"/>
              <w:rPr>
                <w:sz w:val="20"/>
                <w:szCs w:val="20"/>
                <w:color w:val="auto"/>
              </w:rPr>
            </w:pPr>
            <w:r>
              <w:rPr>
                <w:rFonts w:ascii="Arial" w:cs="Arial" w:eastAsia="Arial" w:hAnsi="Arial"/>
                <w:sz w:val="13"/>
                <w:szCs w:val="13"/>
                <w:color w:val="auto"/>
              </w:rPr>
              <w:t>Nine months ended September 30,</w:t>
            </w:r>
          </w:p>
        </w:tc>
        <w:tc>
          <w:tcPr>
            <w:tcW w:w="0" w:type="dxa"/>
            <w:vAlign w:val="bottom"/>
          </w:tcPr>
          <w:p>
            <w:pPr>
              <w:spacing w:after="0"/>
              <w:rPr>
                <w:sz w:val="1"/>
                <w:szCs w:val="1"/>
                <w:color w:val="auto"/>
              </w:rPr>
            </w:pPr>
          </w:p>
        </w:tc>
      </w:tr>
      <w:tr>
        <w:trPr>
          <w:trHeight w:val="148"/>
        </w:trPr>
        <w:tc>
          <w:tcPr>
            <w:tcW w:w="26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ind w:left="1180"/>
              <w:spacing w:after="0" w:line="148" w:lineRule="exact"/>
              <w:rPr>
                <w:sz w:val="20"/>
                <w:szCs w:val="20"/>
                <w:color w:val="auto"/>
              </w:rPr>
            </w:pPr>
            <w:r>
              <w:rPr>
                <w:rFonts w:ascii="Arial" w:cs="Arial" w:eastAsia="Arial" w:hAnsi="Arial"/>
                <w:sz w:val="13"/>
                <w:szCs w:val="13"/>
                <w:color w:val="auto"/>
              </w:rPr>
              <w:t>Location</w:t>
            </w:r>
          </w:p>
        </w:tc>
        <w:tc>
          <w:tcPr>
            <w:tcW w:w="4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70"/>
              <w:spacing w:after="0" w:line="148" w:lineRule="exact"/>
              <w:rPr>
                <w:sz w:val="20"/>
                <w:szCs w:val="20"/>
                <w:color w:val="auto"/>
              </w:rPr>
            </w:pPr>
            <w:r>
              <w:rPr>
                <w:rFonts w:ascii="Arial" w:cs="Arial" w:eastAsia="Arial" w:hAnsi="Arial"/>
                <w:sz w:val="13"/>
                <w:szCs w:val="13"/>
                <w:color w:val="auto"/>
              </w:rPr>
              <w:t>2010</w:t>
            </w:r>
          </w:p>
        </w:tc>
        <w:tc>
          <w:tcPr>
            <w:tcW w:w="1000" w:type="dxa"/>
            <w:vAlign w:val="bottom"/>
            <w:tcBorders>
              <w:bottom w:val="single" w:sz="8" w:color="auto"/>
            </w:tcBorders>
          </w:tcPr>
          <w:p>
            <w:pPr>
              <w:jc w:val="right"/>
              <w:ind w:right="51"/>
              <w:spacing w:after="0" w:line="148" w:lineRule="exact"/>
              <w:rPr>
                <w:sz w:val="20"/>
                <w:szCs w:val="20"/>
                <w:color w:val="auto"/>
              </w:rPr>
            </w:pPr>
            <w:r>
              <w:rPr>
                <w:rFonts w:ascii="Arial" w:cs="Arial" w:eastAsia="Arial" w:hAnsi="Arial"/>
                <w:sz w:val="13"/>
                <w:szCs w:val="13"/>
                <w:color w:val="auto"/>
              </w:rPr>
              <w:t>2009</w:t>
            </w:r>
          </w:p>
        </w:tc>
        <w:tc>
          <w:tcPr>
            <w:tcW w:w="5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30"/>
              <w:spacing w:after="0" w:line="148" w:lineRule="exact"/>
              <w:rPr>
                <w:sz w:val="20"/>
                <w:szCs w:val="20"/>
                <w:color w:val="auto"/>
              </w:rPr>
            </w:pPr>
            <w:r>
              <w:rPr>
                <w:rFonts w:ascii="Arial" w:cs="Arial" w:eastAsia="Arial" w:hAnsi="Arial"/>
                <w:sz w:val="13"/>
                <w:szCs w:val="13"/>
                <w:color w:val="auto"/>
              </w:rPr>
              <w:t>2010</w:t>
            </w: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09"/>
              <w:spacing w:after="0" w:line="148" w:lineRule="exact"/>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82"/>
        </w:trPr>
        <w:tc>
          <w:tcPr>
            <w:tcW w:w="2600" w:type="dxa"/>
            <w:vAlign w:val="bottom"/>
          </w:tcPr>
          <w:p>
            <w:pPr>
              <w:ind w:left="80"/>
              <w:spacing w:after="0"/>
              <w:rPr>
                <w:sz w:val="20"/>
                <w:szCs w:val="20"/>
                <w:color w:val="auto"/>
              </w:rPr>
            </w:pPr>
            <w:r>
              <w:rPr>
                <w:rFonts w:ascii="Arial" w:cs="Arial" w:eastAsia="Arial" w:hAnsi="Arial"/>
                <w:sz w:val="14"/>
                <w:szCs w:val="14"/>
                <w:b w:val="1"/>
                <w:bCs w:val="1"/>
                <w:color w:val="auto"/>
              </w:rPr>
              <w:t>Sempra Energy Consolidated:</w:t>
            </w:r>
          </w:p>
        </w:tc>
        <w:tc>
          <w:tcPr>
            <w:tcW w:w="2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00" w:type="dxa"/>
            <w:vAlign w:val="bottom"/>
          </w:tcPr>
          <w:p>
            <w:pPr>
              <w:ind w:left="440"/>
              <w:spacing w:after="0"/>
              <w:rPr>
                <w:sz w:val="20"/>
                <w:szCs w:val="20"/>
                <w:color w:val="auto"/>
              </w:rPr>
            </w:pPr>
            <w:r>
              <w:rPr>
                <w:rFonts w:ascii="Arial" w:cs="Arial" w:eastAsia="Arial" w:hAnsi="Arial"/>
                <w:sz w:val="14"/>
                <w:szCs w:val="14"/>
                <w:color w:val="auto"/>
              </w:rPr>
              <w:t>Interest rate instruments</w:t>
            </w:r>
          </w:p>
        </w:tc>
        <w:tc>
          <w:tcPr>
            <w:tcW w:w="2420" w:type="dxa"/>
            <w:vAlign w:val="bottom"/>
          </w:tcPr>
          <w:p>
            <w:pPr>
              <w:ind w:left="540"/>
              <w:spacing w:after="0"/>
              <w:rPr>
                <w:sz w:val="20"/>
                <w:szCs w:val="20"/>
                <w:color w:val="auto"/>
              </w:rPr>
            </w:pPr>
            <w:r>
              <w:rPr>
                <w:rFonts w:ascii="Arial" w:cs="Arial" w:eastAsia="Arial" w:hAnsi="Arial"/>
                <w:sz w:val="14"/>
                <w:szCs w:val="14"/>
                <w:color w:val="auto"/>
              </w:rPr>
              <w:t>Interest Expense</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w:t>
            </w:r>
          </w:p>
        </w:tc>
        <w:tc>
          <w:tcPr>
            <w:tcW w:w="100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5</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30"/>
              <w:spacing w:after="0"/>
              <w:rPr>
                <w:sz w:val="20"/>
                <w:szCs w:val="20"/>
                <w:color w:val="auto"/>
              </w:rPr>
            </w:pPr>
            <w:r>
              <w:rPr>
                <w:rFonts w:ascii="Arial" w:cs="Arial" w:eastAsia="Arial" w:hAnsi="Arial"/>
                <w:sz w:val="14"/>
                <w:szCs w:val="14"/>
                <w:color w:val="auto"/>
              </w:rPr>
              <w:t>9</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2600" w:type="dxa"/>
            <w:vAlign w:val="bottom"/>
          </w:tcPr>
          <w:p>
            <w:pPr>
              <w:ind w:left="440"/>
              <w:spacing w:after="0"/>
              <w:rPr>
                <w:sz w:val="20"/>
                <w:szCs w:val="20"/>
                <w:color w:val="auto"/>
              </w:rPr>
            </w:pPr>
            <w:r>
              <w:rPr>
                <w:rFonts w:ascii="Arial" w:cs="Arial" w:eastAsia="Arial" w:hAnsi="Arial"/>
                <w:sz w:val="14"/>
                <w:szCs w:val="14"/>
                <w:color w:val="auto"/>
              </w:rPr>
              <w:t>Interest rate instruments</w:t>
            </w:r>
          </w:p>
        </w:tc>
        <w:tc>
          <w:tcPr>
            <w:tcW w:w="2420" w:type="dxa"/>
            <w:vAlign w:val="bottom"/>
          </w:tcPr>
          <w:p>
            <w:pPr>
              <w:ind w:left="540"/>
              <w:spacing w:after="0"/>
              <w:rPr>
                <w:sz w:val="20"/>
                <w:szCs w:val="20"/>
                <w:color w:val="auto"/>
              </w:rPr>
            </w:pPr>
            <w:r>
              <w:rPr>
                <w:rFonts w:ascii="Arial" w:cs="Arial" w:eastAsia="Arial" w:hAnsi="Arial"/>
                <w:sz w:val="14"/>
                <w:szCs w:val="14"/>
                <w:color w:val="auto"/>
              </w:rPr>
              <w:t>Other Income, Net</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(11)</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8"/>
        </w:trPr>
        <w:tc>
          <w:tcPr>
            <w:tcW w:w="26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Total(1)</w:t>
            </w:r>
          </w:p>
        </w:tc>
        <w:tc>
          <w:tcPr>
            <w:tcW w:w="2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(2)</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0"/>
        </w:trPr>
        <w:tc>
          <w:tcPr>
            <w:tcW w:w="2600" w:type="dxa"/>
            <w:vAlign w:val="bottom"/>
          </w:tcPr>
          <w:p>
            <w:pPr>
              <w:ind w:left="80"/>
              <w:spacing w:after="0"/>
              <w:rPr>
                <w:sz w:val="20"/>
                <w:szCs w:val="20"/>
                <w:color w:val="auto"/>
              </w:rPr>
            </w:pPr>
            <w:r>
              <w:rPr>
                <w:rFonts w:ascii="Arial" w:cs="Arial" w:eastAsia="Arial" w:hAnsi="Arial"/>
                <w:sz w:val="14"/>
                <w:szCs w:val="14"/>
                <w:b w:val="1"/>
                <w:bCs w:val="1"/>
                <w:color w:val="auto"/>
              </w:rPr>
              <w:t>SoCalGas:</w:t>
            </w:r>
          </w:p>
        </w:tc>
        <w:tc>
          <w:tcPr>
            <w:tcW w:w="2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440"/>
              <w:spacing w:after="0"/>
              <w:rPr>
                <w:sz w:val="20"/>
                <w:szCs w:val="20"/>
                <w:color w:val="auto"/>
              </w:rPr>
            </w:pPr>
            <w:r>
              <w:rPr>
                <w:rFonts w:ascii="Arial" w:cs="Arial" w:eastAsia="Arial" w:hAnsi="Arial"/>
                <w:sz w:val="14"/>
                <w:szCs w:val="14"/>
                <w:color w:val="auto"/>
              </w:rPr>
              <w:t>Interest rate instrument</w:t>
            </w:r>
          </w:p>
        </w:tc>
        <w:tc>
          <w:tcPr>
            <w:tcW w:w="2420" w:type="dxa"/>
            <w:vAlign w:val="bottom"/>
          </w:tcPr>
          <w:p>
            <w:pPr>
              <w:ind w:left="440"/>
              <w:spacing w:after="0"/>
              <w:rPr>
                <w:sz w:val="20"/>
                <w:szCs w:val="20"/>
                <w:color w:val="auto"/>
              </w:rPr>
            </w:pPr>
            <w:r>
              <w:rPr>
                <w:rFonts w:ascii="Arial" w:cs="Arial" w:eastAsia="Arial" w:hAnsi="Arial"/>
                <w:sz w:val="14"/>
                <w:szCs w:val="14"/>
                <w:color w:val="auto"/>
              </w:rPr>
              <w:t>Interest Expense</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w:t>
            </w:r>
          </w:p>
        </w:tc>
        <w:tc>
          <w:tcPr>
            <w:tcW w:w="100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(5)</w:t>
            </w:r>
          </w:p>
        </w:tc>
        <w:tc>
          <w:tcPr>
            <w:tcW w:w="400" w:type="dxa"/>
            <w:vAlign w:val="bottom"/>
            <w:vMerge w:val="continue"/>
          </w:tcPr>
          <w:p>
            <w:pPr>
              <w:spacing w:after="0"/>
              <w:rPr>
                <w:sz w:val="15"/>
                <w:szCs w:val="15"/>
                <w:color w:val="auto"/>
              </w:rPr>
            </w:pPr>
          </w:p>
        </w:tc>
        <w:tc>
          <w:tcPr>
            <w:tcW w:w="1180" w:type="dxa"/>
            <w:vAlign w:val="bottom"/>
          </w:tcPr>
          <w:p>
            <w:pPr>
              <w:jc w:val="right"/>
              <w:ind w:right="230"/>
              <w:spacing w:after="0"/>
              <w:rPr>
                <w:sz w:val="20"/>
                <w:szCs w:val="20"/>
                <w:color w:val="auto"/>
              </w:rPr>
            </w:pPr>
            <w:r>
              <w:rPr>
                <w:rFonts w:ascii="Arial" w:cs="Arial" w:eastAsia="Arial" w:hAnsi="Arial"/>
                <w:sz w:val="14"/>
                <w:szCs w:val="14"/>
                <w:color w:val="auto"/>
              </w:rPr>
              <w:t>5</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2600" w:type="dxa"/>
            <w:vAlign w:val="bottom"/>
          </w:tcPr>
          <w:p>
            <w:pPr>
              <w:ind w:left="440"/>
              <w:spacing w:after="0"/>
              <w:rPr>
                <w:sz w:val="20"/>
                <w:szCs w:val="20"/>
                <w:color w:val="auto"/>
              </w:rPr>
            </w:pPr>
            <w:r>
              <w:rPr>
                <w:rFonts w:ascii="Arial" w:cs="Arial" w:eastAsia="Arial" w:hAnsi="Arial"/>
                <w:sz w:val="14"/>
                <w:szCs w:val="14"/>
                <w:color w:val="auto"/>
              </w:rPr>
              <w:t>Interest rate instrument</w:t>
            </w:r>
          </w:p>
        </w:tc>
        <w:tc>
          <w:tcPr>
            <w:tcW w:w="2420" w:type="dxa"/>
            <w:vAlign w:val="bottom"/>
          </w:tcPr>
          <w:p>
            <w:pPr>
              <w:ind w:left="540"/>
              <w:spacing w:after="0"/>
              <w:rPr>
                <w:sz w:val="20"/>
                <w:szCs w:val="20"/>
                <w:color w:val="auto"/>
              </w:rPr>
            </w:pPr>
            <w:r>
              <w:rPr>
                <w:rFonts w:ascii="Arial" w:cs="Arial" w:eastAsia="Arial" w:hAnsi="Arial"/>
                <w:sz w:val="14"/>
                <w:szCs w:val="14"/>
                <w:color w:val="auto"/>
              </w:rPr>
              <w:t>Other Income, Net</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(4)</w:t>
            </w:r>
          </w:p>
        </w:tc>
        <w:tc>
          <w:tcPr>
            <w:tcW w:w="400" w:type="dxa"/>
            <w:vAlign w:val="bottom"/>
            <w:tcBorders>
              <w:bottom w:val="single" w:sz="8" w:color="auto"/>
            </w:tcBorders>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8"/>
        </w:trPr>
        <w:tc>
          <w:tcPr>
            <w:tcW w:w="26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Total(1)</w:t>
            </w:r>
          </w:p>
        </w:tc>
        <w:tc>
          <w:tcPr>
            <w:tcW w:w="2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&amp;nb sp;-</w:t>
            </w: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1</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bl>
    <w:p>
      <w:pPr>
        <w:ind w:left="440" w:right="180" w:hanging="344"/>
        <w:spacing w:after="0" w:line="244" w:lineRule="auto"/>
        <w:tabs>
          <w:tab w:leader="none" w:pos="44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There has been no hedge ineffectiveness on these swaps. Changes in the fair values of the interest rate swap agreements are exactly offset by changes in the fair value of the underlying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477520</wp:posOffset>
            </wp:positionV>
            <wp:extent cx="5760720" cy="289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072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CASH FLOW HED GE IMPACT ON THE CONDENSED CONSOLIDATED STATEMENTS OF OPERATIONS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4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90"/>
              <w:spacing w:after="0" w:line="148" w:lineRule="exact"/>
              <w:rPr>
                <w:sz w:val="20"/>
                <w:szCs w:val="20"/>
                <w:color w:val="auto"/>
              </w:rPr>
            </w:pPr>
            <w:r>
              <w:rPr>
                <w:rFonts w:ascii="Arial" w:cs="Arial" w:eastAsia="Arial" w:hAnsi="Arial"/>
                <w:sz w:val="13"/>
                <w:szCs w:val="13"/>
                <w:color w:val="auto"/>
                <w:w w:val="98"/>
              </w:rPr>
              <w:t>Gain (loss)</w:t>
            </w: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gridSpan w:val="2"/>
            <w:vMerge w:val="restart"/>
          </w:tcPr>
          <w:p>
            <w:pPr>
              <w:jc w:val="center"/>
              <w:ind w:left="107"/>
              <w:spacing w:after="0"/>
              <w:rPr>
                <w:sz w:val="20"/>
                <w:szCs w:val="20"/>
                <w:color w:val="auto"/>
              </w:rPr>
            </w:pPr>
            <w:r>
              <w:rPr>
                <w:rFonts w:ascii="Arial" w:cs="Arial" w:eastAsia="Arial" w:hAnsi="Arial"/>
                <w:sz w:val="19"/>
                <w:szCs w:val="19"/>
                <w:color w:val="auto"/>
              </w:rPr>
              <w:t>Pretax gain (loss) recognized</w:t>
            </w:r>
          </w:p>
        </w:tc>
        <w:tc>
          <w:tcPr>
            <w:tcW w:w="3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90"/>
              <w:spacing w:after="0" w:line="144" w:lineRule="exact"/>
              <w:rPr>
                <w:sz w:val="20"/>
                <w:szCs w:val="20"/>
                <w:color w:val="auto"/>
              </w:rPr>
            </w:pPr>
            <w:r>
              <w:rPr>
                <w:rFonts w:ascii="Arial" w:cs="Arial" w:eastAsia="Arial" w:hAnsi="Arial"/>
                <w:sz w:val="13"/>
                <w:szCs w:val="13"/>
                <w:color w:val="auto"/>
                <w:w w:val="99"/>
              </w:rPr>
              <w:t>reclassified from</w:t>
            </w: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left="313"/>
              <w:spacing w:after="0" w:line="144" w:lineRule="exact"/>
              <w:rPr>
                <w:sz w:val="20"/>
                <w:szCs w:val="20"/>
                <w:color w:val="auto"/>
              </w:rPr>
            </w:pPr>
            <w:r>
              <w:rPr>
                <w:rFonts w:ascii="Arial" w:cs="Arial" w:eastAsia="Arial" w:hAnsi="Arial"/>
                <w:sz w:val="13"/>
                <w:szCs w:val="13"/>
                <w:color w:val="auto"/>
                <w:w w:val="94"/>
              </w:rPr>
              <w:t>AOCI</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90"/>
              <w:spacing w:after="0" w:line="144" w:lineRule="exact"/>
              <w:rPr>
                <w:sz w:val="20"/>
                <w:szCs w:val="20"/>
                <w:color w:val="auto"/>
              </w:rPr>
            </w:pPr>
            <w:r>
              <w:rPr>
                <w:rFonts w:ascii="Arial" w:cs="Arial" w:eastAsia="Arial" w:hAnsi="Arial"/>
                <w:sz w:val="13"/>
                <w:szCs w:val="13"/>
                <w:color w:val="auto"/>
                <w:w w:val="99"/>
              </w:rPr>
              <w:t>into earnings</w:t>
            </w: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jc w:val="center"/>
              <w:ind w:right="334"/>
              <w:spacing w:after="0" w:line="140" w:lineRule="exact"/>
              <w:rPr>
                <w:sz w:val="20"/>
                <w:szCs w:val="20"/>
                <w:color w:val="auto"/>
              </w:rPr>
            </w:pPr>
            <w:r>
              <w:rPr>
                <w:rFonts w:ascii="Arial" w:cs="Arial" w:eastAsia="Arial" w:hAnsi="Arial"/>
                <w:sz w:val="13"/>
                <w:szCs w:val="13"/>
                <w:color w:val="auto"/>
                <w:w w:val="97"/>
              </w:rPr>
              <w:t>in OCI (effective portion)</w:t>
            </w:r>
          </w:p>
        </w:tc>
        <w:tc>
          <w:tcPr>
            <w:tcW w:w="380" w:type="dxa"/>
            <w:vAlign w:val="bottom"/>
            <w:tcBorders>
              <w:bottom w:val="single" w:sz="8" w:color="auto"/>
            </w:tcBorders>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center"/>
              <w:ind w:right="90"/>
              <w:spacing w:after="0" w:line="140" w:lineRule="exact"/>
              <w:rPr>
                <w:sz w:val="20"/>
                <w:szCs w:val="20"/>
                <w:color w:val="auto"/>
              </w:rPr>
            </w:pPr>
            <w:r>
              <w:rPr>
                <w:rFonts w:ascii="Arial" w:cs="Arial" w:eastAsia="Arial" w:hAnsi="Arial"/>
                <w:sz w:val="13"/>
                <w:szCs w:val="13"/>
                <w:color w:val="auto"/>
                <w:w w:val="97"/>
              </w:rPr>
              <w:t>(effective portion)</w:t>
            </w: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80" w:type="dxa"/>
            <w:vAlign w:val="bottom"/>
          </w:tcPr>
          <w:p>
            <w:pPr>
              <w:jc w:val="center"/>
              <w:ind w:right="334"/>
              <w:spacing w:after="0" w:line="141" w:lineRule="exact"/>
              <w:rPr>
                <w:sz w:val="20"/>
                <w:szCs w:val="20"/>
                <w:color w:val="auto"/>
              </w:rPr>
            </w:pPr>
            <w:r>
              <w:rPr>
                <w:rFonts w:ascii="Arial" w:cs="Arial" w:eastAsia="Arial" w:hAnsi="Arial"/>
                <w:sz w:val="13"/>
                <w:szCs w:val="13"/>
                <w:color w:val="auto"/>
                <w:w w:val="98"/>
              </w:rPr>
              <w:t>Three months ended</w:t>
            </w:r>
          </w:p>
        </w:tc>
        <w:tc>
          <w:tcPr>
            <w:tcW w:w="3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40" w:type="dxa"/>
            <w:vAlign w:val="bottom"/>
            <w:gridSpan w:val="4"/>
          </w:tcPr>
          <w:p>
            <w:pPr>
              <w:jc w:val="center"/>
              <w:spacing w:after="0" w:line="141" w:lineRule="exact"/>
              <w:rPr>
                <w:sz w:val="20"/>
                <w:szCs w:val="20"/>
                <w:color w:val="auto"/>
              </w:rPr>
            </w:pPr>
            <w:r>
              <w:rPr>
                <w:rFonts w:ascii="Arial" w:cs="Arial" w:eastAsia="Arial" w:hAnsi="Arial"/>
                <w:sz w:val="13"/>
                <w:szCs w:val="13"/>
                <w:color w:val="auto"/>
                <w:w w:val="98"/>
              </w:rPr>
              <w:t>Three months ended</w:t>
            </w: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jc w:val="center"/>
              <w:ind w:right="314"/>
              <w:spacing w:after="0" w:line="140" w:lineRule="exact"/>
              <w:rPr>
                <w:sz w:val="20"/>
                <w:szCs w:val="20"/>
                <w:color w:val="auto"/>
              </w:rPr>
            </w:pPr>
            <w:r>
              <w:rPr>
                <w:rFonts w:ascii="Arial" w:cs="Arial" w:eastAsia="Arial" w:hAnsi="Arial"/>
                <w:sz w:val="13"/>
                <w:szCs w:val="13"/>
                <w:color w:val="auto"/>
                <w:w w:val="98"/>
              </w:rPr>
              <w:t>September 30,</w:t>
            </w:r>
          </w:p>
        </w:tc>
        <w:tc>
          <w:tcPr>
            <w:tcW w:w="380" w:type="dxa"/>
            <w:vAlign w:val="bottom"/>
            <w:tcBorders>
              <w:bottom w:val="single" w:sz="8" w:color="auto"/>
            </w:tcBorders>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center"/>
              <w:ind w:right="110"/>
              <w:spacing w:after="0" w:line="140" w:lineRule="exact"/>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48"/>
        </w:trPr>
        <w:tc>
          <w:tcPr>
            <w:tcW w:w="1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7"/>
              <w:spacing w:after="0" w:line="148" w:lineRule="exact"/>
              <w:rPr>
                <w:sz w:val="20"/>
                <w:szCs w:val="20"/>
                <w:color w:val="auto"/>
              </w:rPr>
            </w:pPr>
            <w:r>
              <w:rPr>
                <w:rFonts w:ascii="Arial" w:cs="Arial" w:eastAsia="Arial" w:hAnsi="Arial"/>
                <w:sz w:val="13"/>
                <w:szCs w:val="13"/>
                <w:color w:val="auto"/>
              </w:rPr>
              <w:t>2010</w:t>
            </w:r>
          </w:p>
        </w:tc>
        <w:tc>
          <w:tcPr>
            <w:tcW w:w="2180" w:type="dxa"/>
            <w:vAlign w:val="bottom"/>
            <w:tcBorders>
              <w:bottom w:val="single" w:sz="8" w:color="auto"/>
            </w:tcBorders>
          </w:tcPr>
          <w:p>
            <w:pPr>
              <w:jc w:val="right"/>
              <w:ind w:right="694"/>
              <w:spacing w:after="0" w:line="148" w:lineRule="exact"/>
              <w:rPr>
                <w:sz w:val="20"/>
                <w:szCs w:val="20"/>
                <w:color w:val="auto"/>
              </w:rPr>
            </w:pPr>
            <w:r>
              <w:rPr>
                <w:rFonts w:ascii="Arial" w:cs="Arial" w:eastAsia="Arial" w:hAnsi="Arial"/>
                <w:sz w:val="13"/>
                <w:szCs w:val="13"/>
                <w:color w:val="auto"/>
              </w:rPr>
              <w:t>2009</w:t>
            </w:r>
          </w:p>
        </w:tc>
        <w:tc>
          <w:tcPr>
            <w:tcW w:w="3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jc w:val="center"/>
              <w:ind w:left="1768"/>
              <w:spacing w:after="0" w:line="148" w:lineRule="exact"/>
              <w:rPr>
                <w:sz w:val="20"/>
                <w:szCs w:val="20"/>
                <w:color w:val="auto"/>
              </w:rPr>
            </w:pPr>
            <w:r>
              <w:rPr>
                <w:rFonts w:ascii="Arial" w:cs="Arial" w:eastAsia="Arial" w:hAnsi="Arial"/>
                <w:sz w:val="13"/>
                <w:szCs w:val="13"/>
                <w:color w:val="auto"/>
                <w:w w:val="97"/>
              </w:rPr>
              <w:t>Location</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3"/>
              <w:spacing w:after="0" w:line="148" w:lineRule="exact"/>
              <w:rPr>
                <w:sz w:val="20"/>
                <w:szCs w:val="20"/>
                <w:color w:val="auto"/>
              </w:rPr>
            </w:pPr>
            <w:r>
              <w:rPr>
                <w:rFonts w:ascii="Arial" w:cs="Arial" w:eastAsia="Arial" w:hAnsi="Arial"/>
                <w:sz w:val="13"/>
                <w:szCs w:val="13"/>
                <w:color w:val="auto"/>
                <w:w w:val="96"/>
              </w:rPr>
              <w:t>2010</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0"/>
              <w:spacing w:after="0" w:line="148" w:lineRule="exact"/>
              <w:rPr>
                <w:sz w:val="20"/>
                <w:szCs w:val="20"/>
                <w:color w:val="auto"/>
              </w:rPr>
            </w:pPr>
            <w:r>
              <w:rPr>
                <w:rFonts w:ascii="Arial" w:cs="Arial" w:eastAsia="Arial" w:hAnsi="Arial"/>
                <w:sz w:val="13"/>
                <w:szCs w:val="13"/>
                <w:color w:val="auto"/>
                <w:w w:val="96"/>
              </w:rPr>
              <w:t>2009</w:t>
            </w:r>
          </w:p>
        </w:tc>
        <w:tc>
          <w:tcPr>
            <w:tcW w:w="0" w:type="dxa"/>
            <w:vAlign w:val="bottom"/>
          </w:tcPr>
          <w:p>
            <w:pPr>
              <w:spacing w:after="0"/>
              <w:rPr>
                <w:sz w:val="1"/>
                <w:szCs w:val="1"/>
                <w:color w:val="auto"/>
              </w:rPr>
            </w:pPr>
          </w:p>
        </w:tc>
      </w:tr>
      <w:tr>
        <w:trPr>
          <w:trHeight w:val="144"/>
        </w:trPr>
        <w:tc>
          <w:tcPr>
            <w:tcW w:w="1440" w:type="dxa"/>
            <w:vAlign w:val="bottom"/>
          </w:tcPr>
          <w:p>
            <w:pPr>
              <w:ind w:left="80"/>
              <w:spacing w:after="0" w:line="144" w:lineRule="exact"/>
              <w:rPr>
                <w:sz w:val="20"/>
                <w:szCs w:val="20"/>
                <w:color w:val="auto"/>
              </w:rPr>
            </w:pPr>
            <w:r>
              <w:rPr>
                <w:rFonts w:ascii="Arial" w:cs="Arial" w:eastAsia="Arial" w:hAnsi="Arial"/>
                <w:sz w:val="14"/>
                <w:szCs w:val="14"/>
                <w:b w:val="1"/>
                <w:bCs w:val="1"/>
                <w:color w:val="auto"/>
              </w:rPr>
              <w:t>Se mpra Energy</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440" w:type="dxa"/>
            <w:vAlign w:val="bottom"/>
          </w:tcPr>
          <w:p>
            <w:pPr>
              <w:ind w:left="80"/>
              <w:spacing w:after="0"/>
              <w:rPr>
                <w:sz w:val="20"/>
                <w:szCs w:val="20"/>
                <w:color w:val="auto"/>
              </w:rPr>
            </w:pPr>
            <w:r>
              <w:rPr>
                <w:rFonts w:ascii="Arial" w:cs="Arial" w:eastAsia="Arial" w:hAnsi="Arial"/>
                <w:sz w:val="14"/>
                <w:szCs w:val="14"/>
                <w:b w:val="1"/>
                <w:bCs w:val="1"/>
                <w:color w:val="auto"/>
              </w:rPr>
              <w:t>Consolidated:</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440"/>
              <w:spacing w:after="0"/>
              <w:rPr>
                <w:sz w:val="20"/>
                <w:szCs w:val="20"/>
                <w:color w:val="auto"/>
              </w:rPr>
            </w:pPr>
            <w:r>
              <w:rPr>
                <w:rFonts w:ascii="Arial" w:cs="Arial" w:eastAsia="Arial" w:hAnsi="Arial"/>
                <w:sz w:val="14"/>
                <w:szCs w:val="14"/>
                <w:color w:val="auto"/>
              </w:rPr>
              <w:t>Interest rate</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4&amp;n</w:t>
            </w:r>
          </w:p>
        </w:tc>
        <w:tc>
          <w:tcPr>
            <w:tcW w:w="0" w:type="dxa"/>
            <w:vAlign w:val="bottom"/>
          </w:tcPr>
          <w:p>
            <w:pPr>
              <w:spacing w:after="0"/>
              <w:rPr>
                <w:sz w:val="1"/>
                <w:szCs w:val="1"/>
                <w:color w:val="auto"/>
              </w:rPr>
            </w:pPr>
          </w:p>
        </w:tc>
      </w:tr>
      <w:tr>
        <w:trPr>
          <w:trHeight w:val="168"/>
        </w:trPr>
        <w:tc>
          <w:tcPr>
            <w:tcW w:w="1440" w:type="dxa"/>
            <w:vAlign w:val="bottom"/>
          </w:tcPr>
          <w:p>
            <w:pPr>
              <w:ind w:left="440"/>
              <w:spacing w:after="0"/>
              <w:rPr>
                <w:sz w:val="20"/>
                <w:szCs w:val="20"/>
                <w:color w:val="auto"/>
              </w:rPr>
            </w:pPr>
            <w:r>
              <w:rPr>
                <w:rFonts w:ascii="Arial" w:cs="Arial" w:eastAsia="Arial" w:hAnsi="Arial"/>
                <w:sz w:val="14"/>
                <w:szCs w:val="14"/>
                <w:color w:val="auto"/>
              </w:rPr>
              <w:t>instruments(1)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1914"/>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2840" w:type="dxa"/>
            <w:vAlign w:val="bottom"/>
          </w:tcPr>
          <w:p>
            <w:pPr>
              <w:ind w:left="1900"/>
              <w:spacing w:after="0"/>
              <w:rPr>
                <w:sz w:val="20"/>
                <w:szCs w:val="20"/>
                <w:color w:val="auto"/>
              </w:rPr>
            </w:pPr>
            <w:r>
              <w:rPr>
                <w:rFonts w:ascii="Arial" w:cs="Arial" w:eastAsia="Arial" w:hAnsi="Arial"/>
                <w:sz w:val="14"/>
                <w:szCs w:val="14"/>
                <w:color w:val="auto"/>
              </w:rPr>
              <w:t>Expense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3"/>
              <w:spacing w:after="0"/>
              <w:rPr>
                <w:sz w:val="20"/>
                <w:szCs w:val="20"/>
                <w:color w:val="auto"/>
              </w:rPr>
            </w:pPr>
            <w:r>
              <w:rPr>
                <w:rFonts w:ascii="Arial" w:cs="Arial" w:eastAsia="Arial" w:hAnsi="Arial"/>
                <w:sz w:val="14"/>
                <w:szCs w:val="14"/>
                <w:color w:val="auto"/>
              </w:rPr>
              <w:t>(2)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bsp;</w:t>
            </w: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Revenues: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440"/>
              <w:spacing w:after="0"/>
              <w:rPr>
                <w:sz w:val="20"/>
                <w:szCs w:val="20"/>
                <w:color w:val="auto"/>
              </w:rPr>
            </w:pPr>
            <w:r>
              <w:rPr>
                <w:rFonts w:ascii="Arial" w:cs="Arial" w:eastAsia="Arial" w:hAnsi="Arial"/>
                <w:sz w:val="14"/>
                <w:szCs w:val="14"/>
                <w:color w:val="auto"/>
              </w:rPr>
              <w:t>Commodity</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Sempra</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440"/>
              <w:spacing w:after="0"/>
              <w:rPr>
                <w:sz w:val="20"/>
                <w:szCs w:val="20"/>
                <w:color w:val="auto"/>
              </w:rPr>
            </w:pPr>
            <w:r>
              <w:rPr>
                <w:rFonts w:ascii="Arial" w:cs="Arial" w:eastAsia="Arial" w:hAnsi="Arial"/>
                <w:sz w:val="14"/>
                <w:szCs w:val="14"/>
                <w:color w:val="auto"/>
              </w:rPr>
              <w:t>contracts not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Global</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600"/>
              <w:spacing w:after="0"/>
              <w:rPr>
                <w:sz w:val="20"/>
                <w:szCs w:val="20"/>
                <w:color w:val="auto"/>
              </w:rPr>
            </w:pPr>
            <w:r>
              <w:rPr>
                <w:rFonts w:ascii="Arial" w:cs="Arial" w:eastAsia="Arial" w:hAnsi="Arial"/>
                <w:sz w:val="14"/>
                <w:szCs w:val="14"/>
                <w:color w:val="auto"/>
              </w:rPr>
              <w:t>subject to</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440"/>
              <w:spacing w:after="0"/>
              <w:rPr>
                <w:sz w:val="20"/>
                <w:szCs w:val="20"/>
                <w:color w:val="auto"/>
              </w:rPr>
            </w:pPr>
            <w:r>
              <w:rPr>
                <w:rFonts w:ascii="Arial" w:cs="Arial" w:eastAsia="Arial" w:hAnsi="Arial"/>
                <w:sz w:val="14"/>
                <w:szCs w:val="14"/>
                <w:color w:val="auto"/>
              </w:rPr>
              <w:t>rate recovery</w:t>
            </w:r>
          </w:p>
        </w:tc>
        <w:tc>
          <w:tcPr>
            <w:tcW w:w="220" w:type="dxa"/>
            <w:vAlign w:val="bottom"/>
          </w:tcPr>
          <w:p>
            <w:pPr>
              <w:spacing w:after="0"/>
              <w:rPr>
                <w:sz w:val="14"/>
                <w:szCs w:val="14"/>
                <w:color w:val="auto"/>
              </w:rPr>
            </w:pPr>
          </w:p>
        </w:tc>
        <w:tc>
          <w:tcPr>
            <w:tcW w:w="5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218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40" w:type="dxa"/>
            <w:vAlign w:val="bottom"/>
          </w:tcPr>
          <w:p>
            <w:pPr>
              <w:jc w:val="center"/>
              <w:ind w:left="1748"/>
              <w:spacing w:after="0"/>
              <w:rPr>
                <w:sz w:val="20"/>
                <w:szCs w:val="20"/>
                <w:color w:val="auto"/>
              </w:rPr>
            </w:pPr>
            <w:r>
              <w:rPr>
                <w:rFonts w:ascii="Arial" w:cs="Arial" w:eastAsia="Arial" w:hAnsi="Arial"/>
                <w:sz w:val="14"/>
                <w:szCs w:val="14"/>
                <w:color w:val="auto"/>
              </w:rPr>
              <w:t>and Parent</w:t>
            </w:r>
          </w:p>
        </w:tc>
        <w:tc>
          <w:tcPr>
            <w:tcW w:w="180" w:type="dxa"/>
            <w:vAlign w:val="bottom"/>
          </w:tcPr>
          <w:p>
            <w:pPr>
              <w:spacing w:after="0"/>
              <w:rPr>
                <w:sz w:val="14"/>
                <w:szCs w:val="14"/>
                <w:color w:val="auto"/>
              </w:rPr>
            </w:pPr>
          </w:p>
        </w:tc>
        <w:tc>
          <w:tcPr>
            <w:tcW w:w="52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Cost of</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440"/>
              <w:spacing w:after="0"/>
              <w:rPr>
                <w:sz w:val="20"/>
                <w:szCs w:val="20"/>
                <w:color w:val="auto"/>
              </w:rPr>
            </w:pPr>
            <w:r>
              <w:rPr>
                <w:rFonts w:ascii="Arial" w:cs="Arial" w:eastAsia="Arial" w:hAnsi="Arial"/>
                <w:sz w:val="14"/>
                <w:szCs w:val="14"/>
                <w:color w:val="auto"/>
              </w:rPr>
              <w:t>Commodity</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Natural Gas,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440"/>
              <w:spacing w:after="0"/>
              <w:rPr>
                <w:sz w:val="20"/>
                <w:szCs w:val="20"/>
                <w:color w:val="auto"/>
              </w:rPr>
            </w:pPr>
            <w:r>
              <w:rPr>
                <w:rFonts w:ascii="Arial" w:cs="Arial" w:eastAsia="Arial" w:hAnsi="Arial"/>
                <w:sz w:val="14"/>
                <w:szCs w:val="14"/>
                <w:color w:val="auto"/>
              </w:rPr>
              <w:t>contracts not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Electric</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jc w:val="center"/>
              <w:ind w:left="1768"/>
              <w:spacing w:after="0"/>
              <w:rPr>
                <w:sz w:val="20"/>
                <w:szCs w:val="20"/>
                <w:color w:val="auto"/>
              </w:rPr>
            </w:pPr>
            <w:r>
              <w:rPr>
                <w:rFonts w:ascii="Arial" w:cs="Arial" w:eastAsia="Arial" w:hAnsi="Arial"/>
                <w:sz w:val="14"/>
                <w:szCs w:val="14"/>
                <w:color w:val="auto"/>
              </w:rPr>
              <w:t>Fuel and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600"/>
              <w:spacing w:after="0"/>
              <w:rPr>
                <w:sz w:val="20"/>
                <w:szCs w:val="20"/>
                <w:color w:val="auto"/>
              </w:rPr>
            </w:pPr>
            <w:r>
              <w:rPr>
                <w:rFonts w:ascii="Arial" w:cs="Arial" w:eastAsia="Arial" w:hAnsi="Arial"/>
                <w:sz w:val="14"/>
                <w:szCs w:val="14"/>
                <w:color w:val="auto"/>
              </w:rPr>
              <w:t>subject to</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Purchased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440"/>
              <w:spacing w:after="0"/>
              <w:rPr>
                <w:sz w:val="20"/>
                <w:szCs w:val="20"/>
                <w:color w:val="auto"/>
              </w:rPr>
            </w:pPr>
            <w:r>
              <w:rPr>
                <w:rFonts w:ascii="Arial" w:cs="Arial" w:eastAsia="Arial" w:hAnsi="Arial"/>
                <w:sz w:val="14"/>
                <w:szCs w:val="14"/>
                <w:color w:val="auto"/>
              </w:rPr>
              <w:t>rate recovery</w:t>
            </w:r>
          </w:p>
        </w:tc>
        <w:tc>
          <w:tcPr>
            <w:tcW w:w="220" w:type="dxa"/>
            <w:vAlign w:val="bottom"/>
          </w:tcPr>
          <w:p>
            <w:pPr>
              <w:spacing w:after="0"/>
              <w:rPr>
                <w:sz w:val="14"/>
                <w:szCs w:val="14"/>
                <w:color w:val="auto"/>
              </w:rPr>
            </w:pPr>
          </w:p>
        </w:tc>
        <w:tc>
          <w:tcPr>
            <w:tcW w:w="5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218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840" w:type="dxa"/>
            <w:vAlign w:val="bottom"/>
          </w:tcPr>
          <w:p>
            <w:pPr>
              <w:ind w:left="1900"/>
              <w:spacing w:after="0"/>
              <w:rPr>
                <w:sz w:val="20"/>
                <w:szCs w:val="20"/>
                <w:color w:val="auto"/>
              </w:rPr>
            </w:pPr>
            <w:r>
              <w:rPr>
                <w:rFonts w:ascii="Arial" w:cs="Arial" w:eastAsia="Arial" w:hAnsi="Arial"/>
                <w:sz w:val="14"/>
                <w:szCs w:val="14"/>
                <w:color w:val="auto"/>
              </w:rPr>
              <w:t>Power</w:t>
            </w:r>
          </w:p>
        </w:tc>
        <w:tc>
          <w:tcPr>
            <w:tcW w:w="180" w:type="dxa"/>
            <w:vAlign w:val="bottom"/>
          </w:tcPr>
          <w:p>
            <w:pPr>
              <w:spacing w:after="0"/>
              <w:rPr>
                <w:sz w:val="14"/>
                <w:szCs w:val="14"/>
                <w:color w:val="auto"/>
              </w:rPr>
            </w:pPr>
          </w:p>
        </w:tc>
        <w:tc>
          <w:tcPr>
            <w:tcW w:w="52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440"/>
              <w:spacing w:after="0"/>
              <w:rPr>
                <w:sz w:val="20"/>
                <w:szCs w:val="20"/>
                <w:color w:val="auto"/>
              </w:rPr>
            </w:pPr>
            <w:r>
              <w:rPr>
                <w:rFonts w:ascii="Arial" w:cs="Arial" w:eastAsia="Arial" w:hAnsi="Arial"/>
                <w:sz w:val="14"/>
                <w:szCs w:val="14"/>
                <w:color w:val="auto"/>
              </w:rPr>
              <w:t>Commodity</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(Losses):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440"/>
              <w:spacing w:after="0"/>
              <w:rPr>
                <w:sz w:val="20"/>
                <w:szCs w:val="20"/>
                <w:color w:val="auto"/>
              </w:rPr>
            </w:pPr>
            <w:r>
              <w:rPr>
                <w:rFonts w:ascii="Arial" w:cs="Arial" w:eastAsia="Arial" w:hAnsi="Arial"/>
                <w:sz w:val="14"/>
                <w:szCs w:val="14"/>
                <w:color w:val="auto"/>
              </w:rPr>
              <w:t>contracts not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RBS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jc w:val="center"/>
              <w:ind w:left="1728"/>
              <w:spacing w:after="0"/>
              <w:rPr>
                <w:sz w:val="20"/>
                <w:szCs w:val="20"/>
                <w:color w:val="auto"/>
              </w:rPr>
            </w:pPr>
            <w:r>
              <w:rPr>
                <w:rFonts w:ascii="Arial" w:cs="Arial" w:eastAsia="Arial" w:hAnsi="Arial"/>
                <w:sz w:val="14"/>
                <w:szCs w:val="14"/>
                <w:color w:val="auto"/>
              </w:rPr>
              <w:t>Sempra</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600"/>
              <w:spacing w:after="0"/>
              <w:rPr>
                <w:sz w:val="20"/>
                <w:szCs w:val="20"/>
                <w:color w:val="auto"/>
              </w:rPr>
            </w:pPr>
            <w:r>
              <w:rPr>
                <w:rFonts w:ascii="Arial" w:cs="Arial" w:eastAsia="Arial" w:hAnsi="Arial"/>
                <w:sz w:val="14"/>
                <w:szCs w:val="14"/>
                <w:color w:val="auto"/>
              </w:rPr>
              <w:t>subject to</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Commodities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40" w:type="dxa"/>
            <w:vAlign w:val="bottom"/>
          </w:tcPr>
          <w:p>
            <w:pPr>
              <w:ind w:left="440"/>
              <w:spacing w:after="0"/>
              <w:rPr>
                <w:sz w:val="20"/>
                <w:szCs w:val="20"/>
                <w:color w:val="auto"/>
              </w:rPr>
            </w:pPr>
            <w:r>
              <w:rPr>
                <w:rFonts w:ascii="Arial" w:cs="Arial" w:eastAsia="Arial" w:hAnsi="Arial"/>
                <w:sz w:val="14"/>
                <w:szCs w:val="14"/>
                <w:color w:val="auto"/>
              </w:rPr>
              <w:t>rate recovery</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w:t>
            </w:r>
          </w:p>
        </w:tc>
        <w:tc>
          <w:tcPr>
            <w:tcW w:w="2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40" w:type="dxa"/>
            <w:vAlign w:val="bottom"/>
          </w:tcPr>
          <w:p>
            <w:pPr>
              <w:ind w:left="1900"/>
              <w:spacing w:after="0"/>
              <w:rPr>
                <w:sz w:val="20"/>
                <w:szCs w:val="20"/>
                <w:color w:val="auto"/>
              </w:rPr>
            </w:pPr>
            <w:r>
              <w:rPr>
                <w:rFonts w:ascii="Arial" w:cs="Arial" w:eastAsia="Arial" w:hAnsi="Arial"/>
                <w:sz w:val="14"/>
                <w:szCs w:val="14"/>
                <w:color w:val="auto"/>
              </w:rPr>
              <w:t>LLP</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7</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4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w:t>
            </w:r>
          </w:p>
        </w:tc>
        <w:tc>
          <w:tcPr>
            <w:tcW w:w="2180" w:type="dxa"/>
            <w:vAlign w:val="bottom"/>
            <w:tcBorders>
              <w:bottom w:val="single" w:sz="8" w:color="auto"/>
            </w:tcBorders>
          </w:tcPr>
          <w:p>
            <w:pPr>
              <w:jc w:val="right"/>
              <w:ind w:right="1914"/>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2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86"/>
        </w:trPr>
        <w:tc>
          <w:tcPr>
            <w:tcW w:w="1440" w:type="dxa"/>
            <w:vAlign w:val="bottom"/>
          </w:tcPr>
          <w:p>
            <w:pPr>
              <w:ind w:left="80"/>
              <w:spacing w:after="0"/>
              <w:rPr>
                <w:sz w:val="20"/>
                <w:szCs w:val="20"/>
                <w:color w:val="auto"/>
              </w:rPr>
            </w:pPr>
            <w:r>
              <w:rPr>
                <w:rFonts w:ascii="Arial" w:cs="Arial" w:eastAsia="Arial" w:hAnsi="Arial"/>
                <w:sz w:val="14"/>
                <w:szCs w:val="14"/>
                <w:b w:val="1"/>
                <w:bCs w:val="1"/>
                <w:color w:val="auto"/>
              </w:rPr>
              <w:t>SDG&amp;E:</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tcPr>
          <w:p>
            <w:pPr>
              <w:ind w:left="1900"/>
              <w:spacing w:after="0"/>
              <w:rPr>
                <w:sz w:val="20"/>
                <w:szCs w:val="20"/>
                <w:color w:val="auto"/>
              </w:rPr>
            </w:pPr>
            <w:r>
              <w:rPr>
                <w:rFonts w:ascii="Arial" w:cs="Arial" w:eastAsia="Arial" w:hAnsi="Arial"/>
                <w:sz w:val="19"/>
                <w:szCs w:val="19"/>
                <w:color w:val="auto"/>
              </w:rPr>
              <w:t>&lt; /td&gt;</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440"/>
              <w:spacing w:after="0"/>
              <w:rPr>
                <w:sz w:val="20"/>
                <w:szCs w:val="20"/>
                <w:color w:val="auto"/>
              </w:rPr>
            </w:pPr>
            <w:r>
              <w:rPr>
                <w:rFonts w:ascii="Arial" w:cs="Arial" w:eastAsia="Arial" w:hAnsi="Arial"/>
                <w:sz w:val="14"/>
                <w:szCs w:val="14"/>
                <w:color w:val="auto"/>
              </w:rPr>
              <w:t>Interest rate</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tcBorders>
              <w:bottom w:val="single" w:sz="8" w:color="C0C0C0"/>
            </w:tcBorders>
          </w:tcPr>
          <w:p>
            <w:pPr>
              <w:ind w:left="440"/>
              <w:spacing w:after="0"/>
              <w:rPr>
                <w:sz w:val="20"/>
                <w:szCs w:val="20"/>
                <w:color w:val="auto"/>
              </w:rPr>
            </w:pPr>
            <w:r>
              <w:rPr>
                <w:rFonts w:ascii="Arial" w:cs="Arial" w:eastAsia="Arial" w:hAnsi="Arial"/>
                <w:sz w:val="14"/>
                <w:szCs w:val="14"/>
                <w:color w:val="auto"/>
              </w:rPr>
              <w:t>instruments(1)</w:t>
            </w:r>
          </w:p>
        </w:tc>
        <w:tc>
          <w:tcPr>
            <w:tcW w:w="22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0C0C0"/>
            </w:tcBorders>
          </w:tcPr>
          <w:p>
            <w:pPr>
              <w:jc w:val="right"/>
              <w:ind w:right="27"/>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C0C0C0"/>
            </w:tcBorders>
          </w:tcPr>
          <w:p>
            <w:pPr>
              <w:jc w:val="right"/>
              <w:ind w:right="1914"/>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tcPr>
          <w:p>
            <w:pPr>
              <w:jc w:val="right"/>
              <w:ind w:right="48"/>
              <w:spacing w:after="0"/>
              <w:rPr>
                <w:sz w:val="20"/>
                <w:szCs w:val="20"/>
                <w:color w:val="auto"/>
              </w:rPr>
            </w:pPr>
            <w:r>
              <w:rPr>
                <w:rFonts w:ascii="Arial" w:cs="Arial" w:eastAsia="Arial" w:hAnsi="Arial"/>
                <w:sz w:val="14"/>
                <w:szCs w:val="14"/>
                <w:color w:val="auto"/>
              </w:rPr>
              <w:t>-</w:t>
            </w:r>
          </w:p>
        </w:tc>
        <w:tc>
          <w:tcPr>
            <w:tcW w:w="2840" w:type="dxa"/>
            <w:vAlign w:val="bottom"/>
            <w:tcBorders>
              <w:bottom w:val="single" w:sz="8" w:color="C0C0C0"/>
            </w:tcBorders>
          </w:tcPr>
          <w:p>
            <w:pPr>
              <w:ind w:left="1900"/>
              <w:spacing w:after="0"/>
              <w:rPr>
                <w:sz w:val="20"/>
                <w:szCs w:val="20"/>
                <w:color w:val="auto"/>
              </w:rPr>
            </w:pPr>
            <w:r>
              <w:rPr>
                <w:rFonts w:ascii="Arial" w:cs="Arial" w:eastAsia="Arial" w:hAnsi="Arial"/>
                <w:sz w:val="14"/>
                <w:szCs w:val="14"/>
                <w:color w:val="auto"/>
              </w:rPr>
              <w:t>Expense</w:t>
            </w:r>
          </w:p>
        </w:tc>
        <w:tc>
          <w:tcPr>
            <w:tcW w:w="18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0C0C0"/>
            </w:tcBorders>
          </w:tcPr>
          <w:p>
            <w:pPr>
              <w:jc w:val="right"/>
              <w:ind w:right="13"/>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0C0C0"/>
            </w:tcBorders>
          </w:tcPr>
          <w:p>
            <w:pPr>
              <w:jc w:val="right"/>
              <w:ind w:right="5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0"/>
        </w:trPr>
        <w:tc>
          <w:tcPr>
            <w:tcW w:w="14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SoCalGas:</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&amp;</w:t>
            </w: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nbsp;</w:t>
            </w: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440"/>
              <w:spacing w:after="0"/>
              <w:rPr>
                <w:sz w:val="20"/>
                <w:szCs w:val="20"/>
                <w:color w:val="auto"/>
              </w:rPr>
            </w:pPr>
            <w:r>
              <w:rPr>
                <w:rFonts w:ascii="Arial" w:cs="Arial" w:eastAsia="Arial" w:hAnsi="Arial"/>
                <w:sz w:val="14"/>
                <w:szCs w:val="14"/>
                <w:color w:val="auto"/>
              </w:rPr>
              <w:t>Interest rate</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ind w:left="1900"/>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tcBorders>
              <w:bottom w:val="single" w:sz="8" w:color="C0C0C0"/>
            </w:tcBorders>
          </w:tcPr>
          <w:p>
            <w:pPr>
              <w:ind w:left="440"/>
              <w:spacing w:after="0"/>
              <w:rPr>
                <w:sz w:val="20"/>
                <w:szCs w:val="20"/>
                <w:color w:val="auto"/>
              </w:rPr>
            </w:pPr>
            <w:r>
              <w:rPr>
                <w:rFonts w:ascii="Arial" w:cs="Arial" w:eastAsia="Arial" w:hAnsi="Arial"/>
                <w:sz w:val="14"/>
                <w:szCs w:val="14"/>
                <w:color w:val="auto"/>
              </w:rPr>
              <w:t>instruments</w:t>
            </w:r>
          </w:p>
        </w:tc>
        <w:tc>
          <w:tcPr>
            <w:tcW w:w="22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0C0C0"/>
            </w:tcBorders>
          </w:tcPr>
          <w:p>
            <w:pPr>
              <w:jc w:val="right"/>
              <w:ind w:right="27"/>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C0C0C0"/>
            </w:tcBorders>
          </w:tcPr>
          <w:p>
            <w:pPr>
              <w:jc w:val="right"/>
              <w:ind w:right="1914"/>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tcPr>
          <w:p>
            <w:pPr>
              <w:jc w:val="right"/>
              <w:ind w:right="48"/>
              <w:spacing w:after="0"/>
              <w:rPr>
                <w:sz w:val="20"/>
                <w:szCs w:val="20"/>
                <w:color w:val="auto"/>
              </w:rPr>
            </w:pPr>
            <w:r>
              <w:rPr>
                <w:rFonts w:ascii="Arial" w:cs="Arial" w:eastAsia="Arial" w:hAnsi="Arial"/>
                <w:sz w:val="14"/>
                <w:szCs w:val="14"/>
                <w:color w:val="auto"/>
              </w:rPr>
              <w:t>-</w:t>
            </w:r>
          </w:p>
        </w:tc>
        <w:tc>
          <w:tcPr>
            <w:tcW w:w="2840" w:type="dxa"/>
            <w:vAlign w:val="bottom"/>
            <w:tcBorders>
              <w:bottom w:val="single" w:sz="8" w:color="C0C0C0"/>
            </w:tcBorders>
          </w:tcPr>
          <w:p>
            <w:pPr>
              <w:ind w:left="1900"/>
              <w:spacing w:after="0"/>
              <w:rPr>
                <w:sz w:val="20"/>
                <w:szCs w:val="20"/>
                <w:color w:val="auto"/>
              </w:rPr>
            </w:pPr>
            <w:r>
              <w:rPr>
                <w:rFonts w:ascii="Arial" w:cs="Arial" w:eastAsia="Arial" w:hAnsi="Arial"/>
                <w:sz w:val="14"/>
                <w:szCs w:val="14"/>
                <w:color w:val="auto"/>
              </w:rPr>
              <w:t>Expense</w:t>
            </w:r>
          </w:p>
        </w:tc>
        <w:tc>
          <w:tcPr>
            <w:tcW w:w="18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0C0C0"/>
            </w:tcBorders>
          </w:tcPr>
          <w:p>
            <w:pPr>
              <w:jc w:val="right"/>
              <w:ind w:right="13"/>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0C0C0"/>
            </w:tcBorders>
          </w:tcPr>
          <w:p>
            <w:pPr>
              <w:jc w:val="right"/>
              <w:ind w:right="1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2"/>
        </w:trPr>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90"/>
              <w:spacing w:after="0" w:line="148" w:lineRule="exact"/>
              <w:rPr>
                <w:sz w:val="20"/>
                <w:szCs w:val="20"/>
                <w:color w:val="auto"/>
              </w:rPr>
            </w:pPr>
            <w:r>
              <w:rPr>
                <w:rFonts w:ascii="Arial" w:cs="Arial" w:eastAsia="Arial" w:hAnsi="Arial"/>
                <w:sz w:val="13"/>
                <w:szCs w:val="13"/>
                <w:color w:val="auto"/>
                <w:w w:val="98"/>
              </w:rPr>
              <w:t>Gain (loss)</w:t>
            </w: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90"/>
              <w:spacing w:after="0" w:line="144" w:lineRule="exact"/>
              <w:rPr>
                <w:sz w:val="20"/>
                <w:szCs w:val="20"/>
                <w:color w:val="auto"/>
              </w:rPr>
            </w:pPr>
            <w:r>
              <w:rPr>
                <w:rFonts w:ascii="Arial" w:cs="Arial" w:eastAsia="Arial" w:hAnsi="Arial"/>
                <w:sz w:val="13"/>
                <w:szCs w:val="13"/>
                <w:color w:val="auto"/>
                <w:w w:val="99"/>
              </w:rPr>
              <w:t>reclassified from</w:t>
            </w: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80" w:type="dxa"/>
            <w:vAlign w:val="bottom"/>
          </w:tcPr>
          <w:p>
            <w:pPr>
              <w:jc w:val="center"/>
              <w:ind w:right="334"/>
              <w:spacing w:after="0" w:line="144" w:lineRule="exact"/>
              <w:rPr>
                <w:sz w:val="20"/>
                <w:szCs w:val="20"/>
                <w:color w:val="auto"/>
              </w:rPr>
            </w:pPr>
            <w:r>
              <w:rPr>
                <w:rFonts w:ascii="Arial" w:cs="Arial" w:eastAsia="Arial" w:hAnsi="Arial"/>
                <w:sz w:val="13"/>
                <w:szCs w:val="13"/>
                <w:color w:val="auto"/>
                <w:w w:val="98"/>
              </w:rPr>
              <w:t>Pretax gain (loss) recognized</w:t>
            </w:r>
          </w:p>
        </w:tc>
        <w:tc>
          <w:tcPr>
            <w:tcW w:w="3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left="313"/>
              <w:spacing w:after="0" w:line="144" w:lineRule="exact"/>
              <w:rPr>
                <w:sz w:val="20"/>
                <w:szCs w:val="20"/>
                <w:color w:val="auto"/>
              </w:rPr>
            </w:pPr>
            <w:r>
              <w:rPr>
                <w:rFonts w:ascii="Arial" w:cs="Arial" w:eastAsia="Arial" w:hAnsi="Arial"/>
                <w:sz w:val="13"/>
                <w:szCs w:val="13"/>
                <w:color w:val="auto"/>
                <w:w w:val="94"/>
              </w:rPr>
              <w:t>AOCI</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90"/>
              <w:spacing w:after="0" w:line="144" w:lineRule="exact"/>
              <w:rPr>
                <w:sz w:val="20"/>
                <w:szCs w:val="20"/>
                <w:color w:val="auto"/>
              </w:rPr>
            </w:pPr>
            <w:r>
              <w:rPr>
                <w:rFonts w:ascii="Arial" w:cs="Arial" w:eastAsia="Arial" w:hAnsi="Arial"/>
                <w:sz w:val="13"/>
                <w:szCs w:val="13"/>
                <w:color w:val="auto"/>
                <w:w w:val="99"/>
              </w:rPr>
              <w:t>into earnings</w:t>
            </w: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jc w:val="center"/>
              <w:ind w:right="334"/>
              <w:spacing w:after="0" w:line="140" w:lineRule="exact"/>
              <w:rPr>
                <w:sz w:val="20"/>
                <w:szCs w:val="20"/>
                <w:color w:val="auto"/>
              </w:rPr>
            </w:pPr>
            <w:r>
              <w:rPr>
                <w:rFonts w:ascii="Arial" w:cs="Arial" w:eastAsia="Arial" w:hAnsi="Arial"/>
                <w:sz w:val="13"/>
                <w:szCs w:val="13"/>
                <w:color w:val="auto"/>
                <w:w w:val="97"/>
              </w:rPr>
              <w:t>in OCI (effective portion)</w:t>
            </w:r>
          </w:p>
        </w:tc>
        <w:tc>
          <w:tcPr>
            <w:tcW w:w="380" w:type="dxa"/>
            <w:vAlign w:val="bottom"/>
            <w:tcBorders>
              <w:bottom w:val="single" w:sz="8" w:color="auto"/>
            </w:tcBorders>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center"/>
              <w:ind w:right="90"/>
              <w:spacing w:after="0" w:line="140" w:lineRule="exact"/>
              <w:rPr>
                <w:sz w:val="20"/>
                <w:szCs w:val="20"/>
                <w:color w:val="auto"/>
              </w:rPr>
            </w:pPr>
            <w:r>
              <w:rPr>
                <w:rFonts w:ascii="Arial" w:cs="Arial" w:eastAsia="Arial" w:hAnsi="Arial"/>
                <w:sz w:val="13"/>
                <w:szCs w:val="13"/>
                <w:color w:val="auto"/>
                <w:w w:val="97"/>
              </w:rPr>
              <w:t>(effective portion)</w:t>
            </w: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80" w:type="dxa"/>
            <w:vAlign w:val="bottom"/>
          </w:tcPr>
          <w:p>
            <w:pPr>
              <w:jc w:val="center"/>
              <w:ind w:right="314"/>
              <w:spacing w:after="0" w:line="141" w:lineRule="exact"/>
              <w:rPr>
                <w:sz w:val="20"/>
                <w:szCs w:val="20"/>
                <w:color w:val="auto"/>
              </w:rPr>
            </w:pPr>
            <w:r>
              <w:rPr>
                <w:rFonts w:ascii="Arial" w:cs="Arial" w:eastAsia="Arial" w:hAnsi="Arial"/>
                <w:sz w:val="13"/>
                <w:szCs w:val="13"/>
                <w:color w:val="auto"/>
                <w:w w:val="99"/>
              </w:rPr>
              <w:t>Nine months ended</w:t>
            </w:r>
          </w:p>
        </w:tc>
        <w:tc>
          <w:tcPr>
            <w:tcW w:w="3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40" w:type="dxa"/>
            <w:vAlign w:val="bottom"/>
            <w:gridSpan w:val="4"/>
          </w:tcPr>
          <w:p>
            <w:pPr>
              <w:jc w:val="right"/>
              <w:ind w:right="130"/>
              <w:spacing w:after="0" w:line="141" w:lineRule="exact"/>
              <w:rPr>
                <w:sz w:val="20"/>
                <w:szCs w:val="20"/>
                <w:color w:val="auto"/>
              </w:rPr>
            </w:pPr>
            <w:r>
              <w:rPr>
                <w:rFonts w:ascii="Arial" w:cs="Arial" w:eastAsia="Arial" w:hAnsi="Arial"/>
                <w:sz w:val="13"/>
                <w:szCs w:val="13"/>
                <w:color w:val="auto"/>
              </w:rPr>
              <w:t>Nine months ended</w:t>
            </w: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jc w:val="center"/>
              <w:ind w:right="314"/>
              <w:spacing w:after="0" w:line="140" w:lineRule="exact"/>
              <w:rPr>
                <w:sz w:val="20"/>
                <w:szCs w:val="20"/>
                <w:color w:val="auto"/>
              </w:rPr>
            </w:pPr>
            <w:r>
              <w:rPr>
                <w:rFonts w:ascii="Arial" w:cs="Arial" w:eastAsia="Arial" w:hAnsi="Arial"/>
                <w:sz w:val="13"/>
                <w:szCs w:val="13"/>
                <w:color w:val="auto"/>
                <w:w w:val="98"/>
              </w:rPr>
              <w:t>September 30,</w:t>
            </w:r>
          </w:p>
        </w:tc>
        <w:tc>
          <w:tcPr>
            <w:tcW w:w="380" w:type="dxa"/>
            <w:vAlign w:val="bottom"/>
            <w:tcBorders>
              <w:bottom w:val="single" w:sz="8" w:color="auto"/>
            </w:tcBorders>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270"/>
              <w:spacing w:after="0" w:line="140" w:lineRule="exact"/>
              <w:rPr>
                <w:sz w:val="20"/>
                <w:szCs w:val="20"/>
                <w:color w:val="auto"/>
              </w:rPr>
            </w:pPr>
            <w:r>
              <w:rPr>
                <w:rFonts w:ascii="Arial" w:cs="Arial" w:eastAsia="Arial" w:hAnsi="Arial"/>
                <w:sz w:val="13"/>
                <w:szCs w:val="13"/>
                <w:color w:val="auto"/>
              </w:rPr>
              <w:t>September 30,</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3"/>
                <w:szCs w:val="13"/>
                <w:color w:val="auto"/>
              </w:rPr>
              <w:t>2010</w:t>
            </w:r>
          </w:p>
        </w:tc>
        <w:tc>
          <w:tcPr>
            <w:tcW w:w="2180" w:type="dxa"/>
            <w:vAlign w:val="bottom"/>
          </w:tcPr>
          <w:p>
            <w:pPr>
              <w:jc w:val="right"/>
              <w:ind w:right="694"/>
              <w:spacing w:after="0"/>
              <w:rPr>
                <w:sz w:val="20"/>
                <w:szCs w:val="20"/>
                <w:color w:val="auto"/>
              </w:rPr>
            </w:pPr>
            <w:r>
              <w:rPr>
                <w:rFonts w:ascii="Arial" w:cs="Arial" w:eastAsia="Arial" w:hAnsi="Arial"/>
                <w:sz w:val="13"/>
                <w:szCs w:val="13"/>
                <w:color w:val="auto"/>
              </w:rPr>
              <w:t>2009</w:t>
            </w:r>
          </w:p>
        </w:tc>
        <w:tc>
          <w:tcPr>
            <w:tcW w:w="380" w:type="dxa"/>
            <w:vAlign w:val="bottom"/>
          </w:tcPr>
          <w:p>
            <w:pPr>
              <w:spacing w:after="0"/>
              <w:rPr>
                <w:sz w:val="14"/>
                <w:szCs w:val="14"/>
                <w:color w:val="auto"/>
              </w:rPr>
            </w:pPr>
          </w:p>
        </w:tc>
        <w:tc>
          <w:tcPr>
            <w:tcW w:w="2840" w:type="dxa"/>
            <w:vAlign w:val="bottom"/>
          </w:tcPr>
          <w:p>
            <w:pPr>
              <w:jc w:val="center"/>
              <w:ind w:left="1768"/>
              <w:spacing w:after="0"/>
              <w:rPr>
                <w:sz w:val="20"/>
                <w:szCs w:val="20"/>
                <w:color w:val="auto"/>
              </w:rPr>
            </w:pPr>
            <w:r>
              <w:rPr>
                <w:rFonts w:ascii="Arial" w:cs="Arial" w:eastAsia="Arial" w:hAnsi="Arial"/>
                <w:sz w:val="13"/>
                <w:szCs w:val="13"/>
                <w:color w:val="auto"/>
                <w:w w:val="97"/>
              </w:rPr>
              <w:t>Location</w:t>
            </w:r>
          </w:p>
        </w:tc>
        <w:tc>
          <w:tcPr>
            <w:tcW w:w="180" w:type="dxa"/>
            <w:vAlign w:val="bottom"/>
          </w:tcPr>
          <w:p>
            <w:pPr>
              <w:spacing w:after="0"/>
              <w:rPr>
                <w:sz w:val="14"/>
                <w:szCs w:val="14"/>
                <w:color w:val="auto"/>
              </w:rPr>
            </w:pPr>
          </w:p>
        </w:tc>
        <w:tc>
          <w:tcPr>
            <w:tcW w:w="520" w:type="dxa"/>
            <w:vAlign w:val="bottom"/>
          </w:tcPr>
          <w:p>
            <w:pPr>
              <w:jc w:val="right"/>
              <w:ind w:right="153"/>
              <w:spacing w:after="0"/>
              <w:rPr>
                <w:sz w:val="20"/>
                <w:szCs w:val="20"/>
                <w:color w:val="auto"/>
              </w:rPr>
            </w:pPr>
            <w:r>
              <w:rPr>
                <w:rFonts w:ascii="Arial" w:cs="Arial" w:eastAsia="Arial" w:hAnsi="Arial"/>
                <w:sz w:val="13"/>
                <w:szCs w:val="13"/>
                <w:color w:val="auto"/>
                <w:w w:val="96"/>
              </w:rPr>
              <w:t>2010</w:t>
            </w:r>
          </w:p>
        </w:tc>
        <w:tc>
          <w:tcPr>
            <w:tcW w:w="200" w:type="dxa"/>
            <w:vAlign w:val="bottom"/>
          </w:tcPr>
          <w:p>
            <w:pPr>
              <w:spacing w:after="0"/>
              <w:rPr>
                <w:sz w:val="14"/>
                <w:szCs w:val="14"/>
                <w:color w:val="auto"/>
              </w:rPr>
            </w:pPr>
          </w:p>
        </w:tc>
        <w:tc>
          <w:tcPr>
            <w:tcW w:w="540" w:type="dxa"/>
            <w:vAlign w:val="bottom"/>
          </w:tcPr>
          <w:p>
            <w:pPr>
              <w:jc w:val="right"/>
              <w:ind w:right="170"/>
              <w:spacing w:after="0"/>
              <w:rPr>
                <w:sz w:val="20"/>
                <w:szCs w:val="20"/>
                <w:color w:val="auto"/>
              </w:rPr>
            </w:pPr>
            <w:r>
              <w:rPr>
                <w:rFonts w:ascii="Arial" w:cs="Arial" w:eastAsia="Arial" w:hAnsi="Arial"/>
                <w:sz w:val="13"/>
                <w:szCs w:val="13"/>
                <w:color w:val="auto"/>
                <w:w w:val="96"/>
              </w:rPr>
              <w:t>2009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576072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60720" cy="7620"/>
                    </a:xfrm>
                    <a:prstGeom prst="rect">
                      <a:avLst/>
                    </a:prstGeom>
                    <a:noFill/>
                  </pic:spPr>
                </pic:pic>
              </a:graphicData>
            </a:graphic>
          </wp:anchor>
        </w:drawing>
      </w:r>
    </w:p>
    <w:p>
      <w:pPr>
        <w:sectPr>
          <w:pgSz w:w="11900" w:h="16858" w:orient="portrait"/>
          <w:cols w:equalWidth="0" w:num="1">
            <w:col w:w="11440"/>
          </w:cols>
          <w:pgMar w:left="240" w:top="319" w:right="219" w:bottom="0" w:gutter="0" w:footer="0" w:header="0"/>
        </w:sectPr>
      </w:pPr>
    </w:p>
    <w:tbl>
      <w:tblPr>
        <w:tblLayout w:type="fixed"/>
        <w:tblInd w:w="80" w:type="dxa"/>
        <w:tblCellMar>
          <w:top w:w="0" w:type="dxa"/>
          <w:left w:w="0" w:type="dxa"/>
          <w:bottom w:w="0" w:type="dxa"/>
          <w:right w:w="0" w:type="dxa"/>
        </w:tblCellMar>
      </w:tblPr>
      <w:tr>
        <w:trPr>
          <w:trHeight w:val="150"/>
        </w:trPr>
        <w:tc>
          <w:tcPr>
            <w:tcW w:w="1760" w:type="dxa"/>
            <w:vAlign w:val="bottom"/>
          </w:tcPr>
          <w:p>
            <w:pPr>
              <w:spacing w:after="0" w:line="150" w:lineRule="exact"/>
              <w:rPr>
                <w:sz w:val="20"/>
                <w:szCs w:val="20"/>
                <w:color w:val="auto"/>
              </w:rPr>
            </w:pPr>
            <w:r>
              <w:rPr>
                <w:rFonts w:ascii="Arial" w:cs="Arial" w:eastAsia="Arial" w:hAnsi="Arial"/>
                <w:sz w:val="14"/>
                <w:szCs w:val="14"/>
                <w:b w:val="1"/>
                <w:bCs w:val="1"/>
                <w:color w:val="auto"/>
              </w:rPr>
              <w:t>Sempra Energy</w:t>
            </w:r>
          </w:p>
        </w:tc>
        <w:tc>
          <w:tcPr>
            <w:tcW w:w="16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6"/>
        </w:trPr>
        <w:tc>
          <w:tcPr>
            <w:tcW w:w="1760" w:type="dxa"/>
            <w:vAlign w:val="bottom"/>
          </w:tcPr>
          <w:p>
            <w:pPr>
              <w:spacing w:after="0"/>
              <w:rPr>
                <w:sz w:val="20"/>
                <w:szCs w:val="20"/>
                <w:color w:val="auto"/>
              </w:rPr>
            </w:pPr>
            <w:r>
              <w:rPr>
                <w:rFonts w:ascii="Arial" w:cs="Arial" w:eastAsia="Arial" w:hAnsi="Arial"/>
                <w:sz w:val="14"/>
                <w:szCs w:val="14"/>
                <w:b w:val="1"/>
                <w:bCs w:val="1"/>
                <w:color w:val="auto"/>
              </w:rPr>
              <w:t>Consolidated:</w:t>
            </w: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68"/>
        </w:trPr>
        <w:tc>
          <w:tcPr>
            <w:tcW w:w="1760" w:type="dxa"/>
            <w:vAlign w:val="bottom"/>
          </w:tcPr>
          <w:p>
            <w:pPr>
              <w:ind w:left="360"/>
              <w:spacing w:after="0"/>
              <w:rPr>
                <w:sz w:val="20"/>
                <w:szCs w:val="20"/>
                <w:color w:val="auto"/>
              </w:rPr>
            </w:pPr>
            <w:r>
              <w:rPr>
                <w:rFonts w:ascii="Arial" w:cs="Arial" w:eastAsia="Arial" w:hAnsi="Arial"/>
                <w:sz w:val="14"/>
                <w:szCs w:val="14"/>
                <w:color w:val="auto"/>
              </w:rPr>
              <w:t>Interest rate</w:t>
            </w:r>
          </w:p>
        </w:tc>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1760" w:type="dxa"/>
            <w:vAlign w:val="bottom"/>
          </w:tcPr>
          <w:p>
            <w:pPr>
              <w:ind w:left="360"/>
              <w:spacing w:after="0"/>
              <w:rPr>
                <w:sz w:val="20"/>
                <w:szCs w:val="20"/>
                <w:color w:val="auto"/>
              </w:rPr>
            </w:pPr>
            <w:r>
              <w:rPr>
                <w:rFonts w:ascii="Arial" w:cs="Arial" w:eastAsia="Arial" w:hAnsi="Arial"/>
                <w:sz w:val="14"/>
                <w:szCs w:val="14"/>
                <w:color w:val="auto"/>
              </w:rPr>
              <w:t>instruments(1)   $</w:t>
            </w:r>
          </w:p>
        </w:tc>
        <w:tc>
          <w:tcPr>
            <w:tcW w:w="1620" w:type="dxa"/>
            <w:vAlign w:val="bottom"/>
          </w:tcPr>
          <w:p>
            <w:pPr>
              <w:ind w:left="240"/>
              <w:spacing w:after="0"/>
              <w:rPr>
                <w:sz w:val="20"/>
                <w:szCs w:val="20"/>
                <w:color w:val="auto"/>
              </w:rPr>
            </w:pPr>
            <w:r>
              <w:rPr>
                <w:rFonts w:ascii="Arial" w:cs="Arial" w:eastAsia="Arial" w:hAnsi="Arial"/>
                <w:sz w:val="14"/>
                <w:szCs w:val="14"/>
                <w:color w:val="auto"/>
              </w:rPr>
              <w:t>-   $</w:t>
            </w: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332"/>
        </w:trPr>
        <w:tc>
          <w:tcPr>
            <w:tcW w:w="1760" w:type="dxa"/>
            <w:vAlign w:val="bottom"/>
          </w:tcPr>
          <w:p>
            <w:pPr>
              <w:ind w:left="360"/>
              <w:spacing w:after="0"/>
              <w:rPr>
                <w:sz w:val="20"/>
                <w:szCs w:val="20"/>
                <w:color w:val="auto"/>
              </w:rPr>
            </w:pPr>
            <w:r>
              <w:rPr>
                <w:rFonts w:ascii="Arial" w:cs="Arial" w:eastAsia="Arial" w:hAnsi="Arial"/>
                <w:sz w:val="14"/>
                <w:szCs w:val="14"/>
                <w:color w:val="auto"/>
              </w:rPr>
              <w:t>Interest rate</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1760" w:type="dxa"/>
            <w:vAlign w:val="bottom"/>
          </w:tcPr>
          <w:p>
            <w:pPr>
              <w:ind w:left="360"/>
              <w:spacing w:after="0"/>
              <w:rPr>
                <w:sz w:val="20"/>
                <w:szCs w:val="20"/>
                <w:color w:val="auto"/>
              </w:rPr>
            </w:pPr>
            <w:r>
              <w:rPr>
                <w:rFonts w:ascii="Arial" w:cs="Arial" w:eastAsia="Arial" w:hAnsi="Arial"/>
                <w:sz w:val="14"/>
                <w:szCs w:val="14"/>
                <w:color w:val="auto"/>
              </w:rPr>
              <w:t>instruments</w:t>
            </w:r>
          </w:p>
        </w:tc>
        <w:tc>
          <w:tcPr>
            <w:tcW w:w="1620" w:type="dxa"/>
            <w:vAlign w:val="bottom"/>
          </w:tcPr>
          <w:p>
            <w:pPr>
              <w:ind w:lef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2"/>
        </w:trPr>
        <w:tc>
          <w:tcPr>
            <w:tcW w:w="1760" w:type="dxa"/>
            <w:vAlign w:val="bottom"/>
          </w:tcPr>
          <w:p>
            <w:pPr>
              <w:ind w:left="360"/>
              <w:spacing w:after="0"/>
              <w:rPr>
                <w:sz w:val="20"/>
                <w:szCs w:val="20"/>
                <w:color w:val="auto"/>
              </w:rPr>
            </w:pPr>
            <w:r>
              <w:rPr>
                <w:rFonts w:ascii="Arial" w:cs="Arial" w:eastAsia="Arial" w:hAnsi="Arial"/>
                <w:sz w:val="14"/>
                <w:szCs w:val="14"/>
                <w:color w:val="auto"/>
              </w:rPr>
              <w:t>Commodity</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1760" w:type="dxa"/>
            <w:vAlign w:val="bottom"/>
          </w:tcPr>
          <w:p>
            <w:pPr>
              <w:ind w:left="360"/>
              <w:spacing w:after="0"/>
              <w:rPr>
                <w:sz w:val="20"/>
                <w:szCs w:val="20"/>
                <w:color w:val="auto"/>
              </w:rPr>
            </w:pPr>
            <w:r>
              <w:rPr>
                <w:rFonts w:ascii="Arial" w:cs="Arial" w:eastAsia="Arial" w:hAnsi="Arial"/>
                <w:sz w:val="14"/>
                <w:szCs w:val="14"/>
                <w:color w:val="auto"/>
              </w:rPr>
              <w:t>contracts not</w:t>
            </w:r>
          </w:p>
        </w:tc>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1760" w:type="dxa"/>
            <w:vAlign w:val="bottom"/>
          </w:tcPr>
          <w:p>
            <w:pPr>
              <w:ind w:left="520"/>
              <w:spacing w:after="0"/>
              <w:rPr>
                <w:sz w:val="20"/>
                <w:szCs w:val="20"/>
                <w:color w:val="auto"/>
              </w:rPr>
            </w:pPr>
            <w:r>
              <w:rPr>
                <w:rFonts w:ascii="Arial" w:cs="Arial" w:eastAsia="Arial" w:hAnsi="Arial"/>
                <w:sz w:val="14"/>
                <w:szCs w:val="14"/>
                <w:color w:val="auto"/>
              </w:rPr>
              <w:t>subject to</w:t>
            </w:r>
          </w:p>
        </w:tc>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1760" w:type="dxa"/>
            <w:vAlign w:val="bottom"/>
          </w:tcPr>
          <w:p>
            <w:pPr>
              <w:ind w:left="360"/>
              <w:spacing w:after="0"/>
              <w:rPr>
                <w:sz w:val="20"/>
                <w:szCs w:val="20"/>
                <w:color w:val="auto"/>
              </w:rPr>
            </w:pPr>
            <w:r>
              <w:rPr>
                <w:rFonts w:ascii="Arial" w:cs="Arial" w:eastAsia="Arial" w:hAnsi="Arial"/>
                <w:sz w:val="14"/>
                <w:szCs w:val="14"/>
                <w:color w:val="auto"/>
              </w:rPr>
              <w:t>rate recovery</w:t>
            </w:r>
          </w:p>
        </w:tc>
        <w:tc>
          <w:tcPr>
            <w:tcW w:w="1620" w:type="dxa"/>
            <w:vAlign w:val="bottom"/>
          </w:tcPr>
          <w:p>
            <w:pPr>
              <w:ind w:lef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668"/>
        </w:trPr>
        <w:tc>
          <w:tcPr>
            <w:tcW w:w="1760" w:type="dxa"/>
            <w:vAlign w:val="bottom"/>
          </w:tcPr>
          <w:p>
            <w:pPr>
              <w:ind w:left="360"/>
              <w:spacing w:after="0"/>
              <w:rPr>
                <w:sz w:val="20"/>
                <w:szCs w:val="20"/>
                <w:color w:val="auto"/>
              </w:rPr>
            </w:pPr>
            <w:r>
              <w:rPr>
                <w:rFonts w:ascii="Arial" w:cs="Arial" w:eastAsia="Arial" w:hAnsi="Arial"/>
                <w:sz w:val="14"/>
                <w:szCs w:val="14"/>
                <w:color w:val="auto"/>
              </w:rPr>
              <w:t>Commodity</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1760" w:type="dxa"/>
            <w:vAlign w:val="bottom"/>
          </w:tcPr>
          <w:p>
            <w:pPr>
              <w:ind w:left="360"/>
              <w:spacing w:after="0"/>
              <w:rPr>
                <w:sz w:val="20"/>
                <w:szCs w:val="20"/>
                <w:color w:val="auto"/>
              </w:rPr>
            </w:pPr>
            <w:r>
              <w:rPr>
                <w:rFonts w:ascii="Arial" w:cs="Arial" w:eastAsia="Arial" w:hAnsi="Arial"/>
                <w:sz w:val="14"/>
                <w:szCs w:val="14"/>
                <w:color w:val="auto"/>
              </w:rPr>
              <w:t>contracts not</w:t>
            </w:r>
          </w:p>
        </w:tc>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2"/>
        </w:trPr>
        <w:tc>
          <w:tcPr>
            <w:tcW w:w="1760" w:type="dxa"/>
            <w:vAlign w:val="bottom"/>
          </w:tcPr>
          <w:p>
            <w:pPr>
              <w:ind w:left="520"/>
              <w:spacing w:after="0"/>
              <w:rPr>
                <w:sz w:val="20"/>
                <w:szCs w:val="20"/>
                <w:color w:val="auto"/>
              </w:rPr>
            </w:pPr>
            <w:r>
              <w:rPr>
                <w:rFonts w:ascii="Arial" w:cs="Arial" w:eastAsia="Arial" w:hAnsi="Arial"/>
                <w:sz w:val="14"/>
                <w:szCs w:val="14"/>
                <w:color w:val="auto"/>
              </w:rPr>
              <w:t>subject to</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1760" w:type="dxa"/>
            <w:vAlign w:val="bottom"/>
          </w:tcPr>
          <w:p>
            <w:pPr>
              <w:ind w:left="360"/>
              <w:spacing w:after="0"/>
              <w:rPr>
                <w:sz w:val="20"/>
                <w:szCs w:val="20"/>
                <w:color w:val="auto"/>
              </w:rPr>
            </w:pPr>
            <w:r>
              <w:rPr>
                <w:rFonts w:ascii="Arial" w:cs="Arial" w:eastAsia="Arial" w:hAnsi="Arial"/>
                <w:sz w:val="14"/>
                <w:szCs w:val="14"/>
                <w:color w:val="auto"/>
              </w:rPr>
              <w:t>rate recovery</w:t>
            </w:r>
          </w:p>
        </w:tc>
        <w:tc>
          <w:tcPr>
            <w:tcW w:w="1620" w:type="dxa"/>
            <w:vAlign w:val="bottom"/>
          </w:tcPr>
          <w:p>
            <w:pPr>
              <w:ind w:lef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72"/>
        </w:trPr>
        <w:tc>
          <w:tcPr>
            <w:tcW w:w="1760" w:type="dxa"/>
            <w:vAlign w:val="bottom"/>
          </w:tcPr>
          <w:p>
            <w:pPr>
              <w:ind w:left="360"/>
              <w:spacing w:after="0"/>
              <w:rPr>
                <w:sz w:val="20"/>
                <w:szCs w:val="20"/>
                <w:color w:val="auto"/>
              </w:rPr>
            </w:pPr>
            <w:r>
              <w:rPr>
                <w:rFonts w:ascii="Arial" w:cs="Arial" w:eastAsia="Arial" w:hAnsi="Arial"/>
                <w:sz w:val="14"/>
                <w:szCs w:val="14"/>
                <w:color w:val="auto"/>
              </w:rPr>
              <w:t>Commodity</w:t>
            </w:r>
          </w:p>
        </w:tc>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 w:hanging="4"/>
        <w:spacing w:after="0" w:line="271" w:lineRule="auto"/>
        <w:tabs>
          <w:tab w:leader="none" w:pos="16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 style="MARGIN:0in 0in 0pt"&gt;</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Interest</w:t>
      </w:r>
    </w:p>
    <w:p>
      <w:pPr>
        <w:spacing w:after="0" w:line="7" w:lineRule="exact"/>
        <w:rPr>
          <w:sz w:val="20"/>
          <w:szCs w:val="20"/>
          <w:color w:val="auto"/>
        </w:rPr>
      </w:pPr>
    </w:p>
    <w:p>
      <w:pPr>
        <w:spacing w:after="0"/>
        <w:tabs>
          <w:tab w:leader="none" w:pos="1020" w:val="left"/>
          <w:tab w:leader="none" w:pos="1360" w:val="left"/>
          <w:tab w:leader="none" w:pos="1720" w:val="left"/>
          <w:tab w:leader="none" w:pos="2180" w:val="left"/>
        </w:tabs>
        <w:rPr>
          <w:sz w:val="20"/>
          <w:szCs w:val="20"/>
          <w:color w:val="auto"/>
        </w:rPr>
      </w:pPr>
      <w:r>
        <w:rPr>
          <w:rFonts w:ascii="Arial" w:cs="Arial" w:eastAsia="Arial" w:hAnsi="Arial"/>
          <w:sz w:val="14"/>
          <w:szCs w:val="14"/>
          <w:color w:val="auto"/>
        </w:rPr>
        <w:t>Expense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w:t>
        <w:tab/>
        <w:t>$</w:t>
      </w:r>
      <w:r>
        <w:rPr>
          <w:sz w:val="20"/>
          <w:szCs w:val="20"/>
          <w:color w:val="auto"/>
        </w:rPr>
        <w:tab/>
      </w:r>
      <w:r>
        <w:rPr>
          <w:rFonts w:ascii="Arial" w:cs="Arial" w:eastAsia="Arial" w:hAnsi="Arial"/>
          <w:sz w:val="14"/>
          <w:szCs w:val="14"/>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Other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Income,</w:t>
      </w:r>
    </w:p>
    <w:p>
      <w:pPr>
        <w:spacing w:after="0" w:line="7" w:lineRule="exact"/>
        <w:rPr>
          <w:sz w:val="20"/>
          <w:szCs w:val="20"/>
          <w:color w:val="auto"/>
        </w:rPr>
      </w:pPr>
    </w:p>
    <w:p>
      <w:pPr>
        <w:spacing w:after="0"/>
        <w:tabs>
          <w:tab w:leader="none" w:pos="1340" w:val="left"/>
          <w:tab w:leader="none" w:pos="2180" w:val="left"/>
        </w:tabs>
        <w:rPr>
          <w:sz w:val="20"/>
          <w:szCs w:val="20"/>
          <w:color w:val="auto"/>
        </w:rPr>
      </w:pPr>
      <w:r>
        <w:rPr>
          <w:rFonts w:ascii="Arial" w:cs="Arial" w:eastAsia="Arial" w:hAnsi="Arial"/>
          <w:sz w:val="14"/>
          <w:szCs w:val="14"/>
          <w:color w:val="auto"/>
        </w:rPr>
        <w:t>Net(2)</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Revenues: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Sempra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Global</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and</w:t>
      </w:r>
    </w:p>
    <w:p>
      <w:pPr>
        <w:spacing w:after="0" w:line="7" w:lineRule="exact"/>
        <w:rPr>
          <w:sz w:val="20"/>
          <w:szCs w:val="20"/>
          <w:color w:val="auto"/>
        </w:rPr>
      </w:pPr>
    </w:p>
    <w:p>
      <w:pPr>
        <w:spacing w:after="0"/>
        <w:tabs>
          <w:tab w:leader="none" w:pos="1440" w:val="left"/>
          <w:tab w:leader="none" w:pos="2080" w:val="left"/>
        </w:tabs>
        <w:rPr>
          <w:sz w:val="20"/>
          <w:szCs w:val="20"/>
          <w:color w:val="auto"/>
        </w:rPr>
      </w:pPr>
      <w:r>
        <w:rPr>
          <w:rFonts w:ascii="Arial" w:cs="Arial" w:eastAsia="Arial" w:hAnsi="Arial"/>
          <w:sz w:val="14"/>
          <w:szCs w:val="14"/>
          <w:color w:val="auto"/>
        </w:rPr>
        <w:t>Parent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18</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Cost of</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Natural Gas,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Electric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Fuel and</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Purchased</w:t>
      </w:r>
    </w:p>
    <w:p>
      <w:pPr>
        <w:spacing w:after="0" w:line="7" w:lineRule="exact"/>
        <w:rPr>
          <w:sz w:val="20"/>
          <w:szCs w:val="20"/>
          <w:color w:val="auto"/>
        </w:rPr>
      </w:pPr>
    </w:p>
    <w:p>
      <w:pPr>
        <w:spacing w:after="0"/>
        <w:tabs>
          <w:tab w:leader="none" w:pos="1440" w:val="left"/>
          <w:tab w:leader="none" w:pos="2100" w:val="left"/>
        </w:tabs>
        <w:rPr>
          <w:sz w:val="20"/>
          <w:szCs w:val="20"/>
          <w:color w:val="auto"/>
        </w:rPr>
      </w:pPr>
      <w:r>
        <w:rPr>
          <w:rFonts w:ascii="Arial" w:cs="Arial" w:eastAsia="Arial" w:hAnsi="Arial"/>
          <w:sz w:val="14"/>
          <w:szCs w:val="14"/>
          <w:color w:val="auto"/>
        </w:rPr>
        <w:t>Power</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Equity</w:t>
      </w:r>
    </w:p>
    <w:p>
      <w:pPr>
        <w:sectPr>
          <w:pgSz w:w="11900" w:h="16858" w:orient="portrait"/>
          <w:cols w:equalWidth="0" w:num="3">
            <w:col w:w="4700" w:space="176"/>
            <w:col w:w="1624" w:space="180"/>
            <w:col w:w="4760"/>
          </w:cols>
          <w:pgMar w:left="240" w:top="319" w:right="219" w:bottom="0" w:gutter="0" w:footer="0" w:header="0"/>
          <w:type w:val="continuous"/>
        </w:sectPr>
      </w:pPr>
    </w:p>
    <w:bookmarkStart w:id="31" w:name="page32"/>
    <w:bookmarkEnd w:id="31"/>
    <w:p>
      <w:pPr>
        <w:spacing w:after="0" w:line="8" w:lineRule="exact"/>
        <w:rPr>
          <w:sz w:val="20"/>
          <w:szCs w:val="20"/>
          <w:color w:val="auto"/>
        </w:rPr>
      </w:pPr>
    </w:p>
    <w:tbl>
      <w:tblPr>
        <w:tblLayout w:type="fixed"/>
        <w:tblInd w:w="444" w:type="dxa"/>
        <w:tblCellMar>
          <w:top w:w="0" w:type="dxa"/>
          <w:left w:w="0" w:type="dxa"/>
          <w:bottom w:w="0" w:type="dxa"/>
          <w:right w:w="0" w:type="dxa"/>
        </w:tblCellMar>
      </w:tblPr>
      <w:tr>
        <w:trPr>
          <w:trHeight w:val="168"/>
        </w:trPr>
        <w:tc>
          <w:tcPr>
            <w:tcW w:w="1000" w:type="dxa"/>
            <w:vAlign w:val="bottom"/>
          </w:tcPr>
          <w:p>
            <w:pPr>
              <w:spacing w:after="0"/>
              <w:rPr>
                <w:sz w:val="20"/>
                <w:szCs w:val="20"/>
                <w:color w:val="auto"/>
              </w:rPr>
            </w:pPr>
            <w:r>
              <w:rPr>
                <w:rFonts w:ascii="Arial" w:cs="Arial" w:eastAsia="Arial" w:hAnsi="Arial"/>
                <w:sz w:val="14"/>
                <w:szCs w:val="14"/>
                <w:color w:val="auto"/>
              </w:rPr>
              <w:t>contracts not</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140" w:type="dxa"/>
            <w:vAlign w:val="bottom"/>
            <w:gridSpan w:val="2"/>
          </w:tcPr>
          <w:p>
            <w:pPr>
              <w:ind w:left="1900"/>
              <w:spacing w:after="0"/>
              <w:rPr>
                <w:sz w:val="20"/>
                <w:szCs w:val="20"/>
                <w:color w:val="auto"/>
              </w:rPr>
            </w:pPr>
            <w:r>
              <w:rPr>
                <w:rFonts w:ascii="Arial" w:cs="Arial" w:eastAsia="Arial" w:hAnsi="Arial"/>
                <w:sz w:val="14"/>
                <w:szCs w:val="14"/>
                <w:color w:val="auto"/>
              </w:rPr>
              <w:t>Earnings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140" w:type="dxa"/>
            <w:vAlign w:val="bottom"/>
            <w:gridSpan w:val="2"/>
          </w:tcPr>
          <w:p>
            <w:pPr>
              <w:ind w:left="1900"/>
              <w:spacing w:after="0"/>
              <w:rPr>
                <w:sz w:val="20"/>
                <w:szCs w:val="20"/>
                <w:color w:val="auto"/>
              </w:rPr>
            </w:pPr>
            <w:r>
              <w:rPr>
                <w:rFonts w:ascii="Arial" w:cs="Arial" w:eastAsia="Arial" w:hAnsi="Arial"/>
                <w:sz w:val="14"/>
                <w:szCs w:val="14"/>
                <w:color w:val="auto"/>
              </w:rPr>
              <w:t>(Losses):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140" w:type="dxa"/>
            <w:vAlign w:val="bottom"/>
            <w:gridSpan w:val="2"/>
          </w:tcPr>
          <w:p>
            <w:pPr>
              <w:ind w:left="1900"/>
              <w:spacing w:after="0"/>
              <w:rPr>
                <w:sz w:val="20"/>
                <w:szCs w:val="20"/>
                <w:color w:val="auto"/>
              </w:rPr>
            </w:pPr>
            <w:r>
              <w:rPr>
                <w:rFonts w:ascii="Arial" w:cs="Arial" w:eastAsia="Arial" w:hAnsi="Arial"/>
                <w:sz w:val="14"/>
                <w:szCs w:val="14"/>
                <w:color w:val="auto"/>
              </w:rPr>
              <w:t>RBS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140" w:type="dxa"/>
            <w:vAlign w:val="bottom"/>
            <w:gridSpan w:val="2"/>
          </w:tcPr>
          <w:p>
            <w:pPr>
              <w:ind w:left="2060"/>
              <w:spacing w:after="0"/>
              <w:rPr>
                <w:sz w:val="20"/>
                <w:szCs w:val="20"/>
                <w:color w:val="auto"/>
              </w:rPr>
            </w:pPr>
            <w:r>
              <w:rPr>
                <w:rFonts w:ascii="Arial" w:cs="Arial" w:eastAsia="Arial" w:hAnsi="Arial"/>
                <w:sz w:val="14"/>
                <w:szCs w:val="14"/>
                <w:color w:val="auto"/>
              </w:rPr>
              <w:t>Sempra</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000" w:type="dxa"/>
            <w:vAlign w:val="bottom"/>
          </w:tcPr>
          <w:p>
            <w:pPr>
              <w:ind w:left="160"/>
              <w:spacing w:after="0"/>
              <w:rPr>
                <w:sz w:val="20"/>
                <w:szCs w:val="20"/>
                <w:color w:val="auto"/>
              </w:rPr>
            </w:pPr>
            <w:r>
              <w:rPr>
                <w:rFonts w:ascii="Arial" w:cs="Arial" w:eastAsia="Arial" w:hAnsi="Arial"/>
                <w:sz w:val="14"/>
                <w:szCs w:val="14"/>
                <w:color w:val="auto"/>
              </w:rPr>
              <w:t>subject to</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140" w:type="dxa"/>
            <w:vAlign w:val="bottom"/>
            <w:gridSpan w:val="2"/>
          </w:tcPr>
          <w:p>
            <w:pPr>
              <w:ind w:left="1900"/>
              <w:spacing w:after="0"/>
              <w:rPr>
                <w:sz w:val="20"/>
                <w:szCs w:val="20"/>
                <w:color w:val="auto"/>
              </w:rPr>
            </w:pPr>
            <w:r>
              <w:rPr>
                <w:rFonts w:ascii="Arial" w:cs="Arial" w:eastAsia="Arial" w:hAnsi="Arial"/>
                <w:sz w:val="14"/>
                <w:szCs w:val="14"/>
                <w:color w:val="auto"/>
              </w:rPr>
              <w:t>Commodities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Arial" w:cs="Arial" w:eastAsia="Arial" w:hAnsi="Arial"/>
                <w:sz w:val="14"/>
                <w:szCs w:val="14"/>
                <w:color w:val="auto"/>
              </w:rPr>
              <w:t>rate recovery</w:t>
            </w: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40" w:type="dxa"/>
            <w:vAlign w:val="bottom"/>
          </w:tcPr>
          <w:p>
            <w:pPr>
              <w:ind w:left="1900"/>
              <w:spacing w:after="0"/>
              <w:rPr>
                <w:sz w:val="20"/>
                <w:szCs w:val="20"/>
                <w:color w:val="auto"/>
              </w:rPr>
            </w:pPr>
            <w:r>
              <w:rPr>
                <w:rFonts w:ascii="Arial" w:cs="Arial" w:eastAsia="Arial" w:hAnsi="Arial"/>
                <w:sz w:val="14"/>
                <w:szCs w:val="14"/>
                <w:color w:val="auto"/>
              </w:rPr>
              <w:t>LLP</w:t>
            </w: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r>
      <w:tr>
        <w:trPr>
          <w:trHeight w:val="166"/>
        </w:trPr>
        <w:tc>
          <w:tcPr>
            <w:tcW w:w="1000" w:type="dxa"/>
            <w:vAlign w:val="bottom"/>
          </w:tcPr>
          <w:p>
            <w:pPr>
              <w:spacing w:after="0"/>
              <w:rPr>
                <w:sz w:val="20"/>
                <w:szCs w:val="20"/>
                <w:color w:val="auto"/>
              </w:rPr>
            </w:pPr>
            <w:r>
              <w:rPr>
                <w:rFonts w:ascii="Arial" w:cs="Arial" w:eastAsia="Arial" w:hAnsi="Arial"/>
                <w:sz w:val="14"/>
                <w:szCs w:val="14"/>
                <w:color w:val="auto"/>
              </w:rPr>
              <w:t>Total</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118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3140" w:type="dxa"/>
            <w:vAlign w:val="bottom"/>
            <w:gridSpan w:val="2"/>
          </w:tcPr>
          <w:p>
            <w:pPr>
              <w:ind w:left="29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760720" cy="22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60720" cy="22860"/>
                    </a:xfrm>
                    <a:prstGeom prst="rect">
                      <a:avLst/>
                    </a:prstGeom>
                    <a:noFill/>
                  </pic:spPr>
                </pic:pic>
              </a:graphicData>
            </a:graphic>
          </wp:anchor>
        </w:drawing>
      </w:r>
    </w:p>
    <w:p>
      <w:pPr>
        <w:ind w:left="2604"/>
        <w:spacing w:after="0"/>
        <w:rPr>
          <w:sz w:val="20"/>
          <w:szCs w:val="20"/>
          <w:color w:val="auto"/>
        </w:rPr>
      </w:pPr>
      <w:r>
        <w:rPr>
          <w:rFonts w:ascii="Arial" w:cs="Arial" w:eastAsia="Arial" w:hAnsi="Arial"/>
          <w:sz w:val="19"/>
          <w:szCs w:val="19"/>
          <w:color w:val="auto"/>
        </w:rPr>
        <w:t>&lt; p style="MARGIN:0in</w:t>
      </w:r>
    </w:p>
    <w:p>
      <w:pPr>
        <w:spacing w:after="0" w:line="11" w:lineRule="exact"/>
        <w:rPr>
          <w:sz w:val="20"/>
          <w:szCs w:val="20"/>
          <w:color w:val="auto"/>
        </w:rPr>
      </w:pPr>
    </w:p>
    <w:p>
      <w:pPr>
        <w:ind w:left="2604"/>
        <w:spacing w:after="0"/>
        <w:rPr>
          <w:sz w:val="20"/>
          <w:szCs w:val="20"/>
          <w:color w:val="auto"/>
        </w:rPr>
      </w:pPr>
      <w:r>
        <w:rPr>
          <w:rFonts w:ascii="Arial" w:cs="Arial" w:eastAsia="Arial" w:hAnsi="Arial"/>
          <w:sz w:val="19"/>
          <w:szCs w:val="19"/>
          <w:color w:val="auto"/>
        </w:rPr>
        <w:t>0in 0pt; TEXT-</w:t>
      </w:r>
    </w:p>
    <w:p>
      <w:pPr>
        <w:ind w:left="2604"/>
        <w:spacing w:after="0" w:line="237" w:lineRule="auto"/>
        <w:rPr>
          <w:sz w:val="20"/>
          <w:szCs w:val="20"/>
          <w:color w:val="auto"/>
        </w:rPr>
      </w:pPr>
      <w:r>
        <w:rPr>
          <w:rFonts w:ascii="Arial" w:cs="Arial" w:eastAsia="Arial" w:hAnsi="Arial"/>
          <w:sz w:val="19"/>
          <w:szCs w:val="19"/>
          <w:color w:val="auto"/>
        </w:rPr>
        <w:t>ALIGN:right"</w:t>
      </w:r>
    </w:p>
    <w:p>
      <w:pPr>
        <w:ind w:left="2604"/>
        <w:spacing w:after="0"/>
        <w:rPr>
          <w:sz w:val="20"/>
          <w:szCs w:val="20"/>
          <w:color w:val="auto"/>
        </w:rPr>
      </w:pPr>
      <w:r>
        <w:rPr>
          <w:rFonts w:ascii="Arial" w:cs="Arial" w:eastAsia="Arial" w:hAnsi="Arial"/>
          <w:sz w:val="19"/>
          <w:szCs w:val="19"/>
          <w:color w:val="auto"/>
        </w:rPr>
        <w:t>align=right&gt;</w:t>
      </w:r>
    </w:p>
    <w:p>
      <w:pPr>
        <w:spacing w:after="0" w:line="9" w:lineRule="exact"/>
        <w:rPr>
          <w:sz w:val="20"/>
          <w:szCs w:val="20"/>
          <w:color w:val="auto"/>
        </w:rPr>
      </w:pPr>
    </w:p>
    <w:tbl>
      <w:tblPr>
        <w:tblLayout w:type="fixed"/>
        <w:tblInd w:w="84" w:type="dxa"/>
        <w:tblCellMar>
          <w:top w:w="0" w:type="dxa"/>
          <w:left w:w="0" w:type="dxa"/>
          <w:bottom w:w="0" w:type="dxa"/>
          <w:right w:w="0" w:type="dxa"/>
        </w:tblCellMar>
      </w:tblPr>
      <w:tr>
        <w:trPr>
          <w:trHeight w:val="186"/>
        </w:trPr>
        <w:tc>
          <w:tcPr>
            <w:tcW w:w="176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16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8"/>
        </w:trPr>
        <w:tc>
          <w:tcPr>
            <w:tcW w:w="1760" w:type="dxa"/>
            <w:vAlign w:val="bottom"/>
          </w:tcPr>
          <w:p>
            <w:pPr>
              <w:ind w:left="360"/>
              <w:spacing w:after="0"/>
              <w:rPr>
                <w:sz w:val="20"/>
                <w:szCs w:val="20"/>
                <w:color w:val="auto"/>
              </w:rPr>
            </w:pPr>
            <w:r>
              <w:rPr>
                <w:rFonts w:ascii="Arial" w:cs="Arial" w:eastAsia="Arial" w:hAnsi="Arial"/>
                <w:sz w:val="14"/>
                <w:szCs w:val="14"/>
                <w:color w:val="auto"/>
              </w:rPr>
              <w:t>Interest ra te</w:t>
            </w:r>
          </w:p>
        </w:tc>
        <w:tc>
          <w:tcPr>
            <w:tcW w:w="1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0" w:type="dxa"/>
            <w:vAlign w:val="bottom"/>
          </w:tcPr>
          <w:p>
            <w:pPr>
              <w:ind w:left="1000"/>
              <w:spacing w:after="0"/>
              <w:rPr>
                <w:sz w:val="20"/>
                <w:szCs w:val="20"/>
                <w:color w:val="auto"/>
              </w:rPr>
            </w:pPr>
            <w:r>
              <w:rPr>
                <w:rFonts w:ascii="Arial" w:cs="Arial" w:eastAsia="Arial" w:hAnsi="Arial"/>
                <w:sz w:val="14"/>
                <w:szCs w:val="14"/>
                <w:color w:val="auto"/>
              </w:rPr>
              <w:t>Interest</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2"/>
        </w:trPr>
        <w:tc>
          <w:tcPr>
            <w:tcW w:w="1760" w:type="dxa"/>
            <w:vAlign w:val="bottom"/>
          </w:tcPr>
          <w:p>
            <w:pPr>
              <w:ind w:left="360"/>
              <w:spacing w:after="0"/>
              <w:rPr>
                <w:sz w:val="20"/>
                <w:szCs w:val="20"/>
                <w:color w:val="auto"/>
              </w:rPr>
            </w:pPr>
            <w:r>
              <w:rPr>
                <w:rFonts w:ascii="Arial" w:cs="Arial" w:eastAsia="Arial" w:hAnsi="Arial"/>
                <w:sz w:val="14"/>
                <w:szCs w:val="14"/>
                <w:color w:val="auto"/>
              </w:rPr>
              <w:t>instruments(1)   $</w:t>
            </w:r>
          </w:p>
        </w:tc>
        <w:tc>
          <w:tcPr>
            <w:tcW w:w="1680" w:type="dxa"/>
            <w:vAlign w:val="bottom"/>
          </w:tcPr>
          <w:p>
            <w:pPr>
              <w:jc w:val="right"/>
              <w:ind w:right="1028"/>
              <w:spacing w:after="0"/>
              <w:rPr>
                <w:sz w:val="20"/>
                <w:szCs w:val="20"/>
                <w:color w:val="auto"/>
              </w:rPr>
            </w:pPr>
            <w:r>
              <w:rPr>
                <w:rFonts w:ascii="Arial" w:cs="Arial" w:eastAsia="Arial" w:hAnsi="Arial"/>
                <w:sz w:val="14"/>
                <w:szCs w:val="14"/>
                <w:color w:val="auto"/>
              </w:rPr>
              <w:t>-   $</w:t>
            </w:r>
          </w:p>
        </w:tc>
        <w:tc>
          <w:tcPr>
            <w:tcW w:w="216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1800" w:type="dxa"/>
            <w:vAlign w:val="bottom"/>
          </w:tcPr>
          <w:p>
            <w:pPr>
              <w:ind w:left="1000"/>
              <w:spacing w:after="0"/>
              <w:rPr>
                <w:sz w:val="20"/>
                <w:szCs w:val="20"/>
                <w:color w:val="auto"/>
              </w:rPr>
            </w:pPr>
            <w:r>
              <w:rPr>
                <w:rFonts w:ascii="Arial" w:cs="Arial" w:eastAsia="Arial" w:hAnsi="Arial"/>
                <w:sz w:val="14"/>
                <w:szCs w:val="14"/>
                <w:color w:val="auto"/>
              </w:rPr>
              <w:t>Expense</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    (5)</w:t>
            </w:r>
          </w:p>
        </w:tc>
        <w:tc>
          <w:tcPr>
            <w:tcW w:w="560" w:type="dxa"/>
            <w:vAlign w:val="bottom"/>
          </w:tcPr>
          <w:p>
            <w:pPr>
              <w:jc w:val="right"/>
              <w:spacing w:after="0"/>
              <w:rPr>
                <w:sz w:val="20"/>
                <w:szCs w:val="20"/>
                <w:color w:val="auto"/>
              </w:rPr>
            </w:pPr>
            <w:r>
              <w:rPr>
                <w:rFonts w:ascii="Arial" w:cs="Arial" w:eastAsia="Arial" w:hAnsi="Arial"/>
                <w:sz w:val="14"/>
                <w:szCs w:val="14"/>
                <w:color w:val="auto"/>
              </w:rPr>
              <w:t>$    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760720" cy="22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60720" cy="22860"/>
                    </a:xfrm>
                    <a:prstGeom prst="rect">
                      <a:avLst/>
                    </a:prstGeom>
                    <a:noFill/>
                  </pic:spPr>
                </pic:pic>
              </a:graphicData>
            </a:graphic>
          </wp:anchor>
        </w:drawing>
      </w:r>
    </w:p>
    <w:p>
      <w:pPr>
        <w:ind w:left="84"/>
        <w:spacing w:after="0"/>
        <w:rPr>
          <w:sz w:val="20"/>
          <w:szCs w:val="20"/>
          <w:color w:val="auto"/>
        </w:rPr>
      </w:pPr>
      <w:r>
        <w:rPr>
          <w:rFonts w:ascii="Arial" w:cs="Arial" w:eastAsia="Arial" w:hAnsi="Arial"/>
          <w:sz w:val="19"/>
          <w:szCs w:val="19"/>
          <w:b w:val="1"/>
          <w:bCs w:val="1"/>
          <w:color w:val="auto"/>
        </w:rPr>
        <w:t>SoCalGas:</w:t>
      </w:r>
    </w:p>
    <w:p>
      <w:pPr>
        <w:spacing w:after="0" w:line="29" w:lineRule="exact"/>
        <w:rPr>
          <w:sz w:val="20"/>
          <w:szCs w:val="20"/>
          <w:color w:val="auto"/>
        </w:rPr>
      </w:pPr>
    </w:p>
    <w:tbl>
      <w:tblPr>
        <w:tblLayout w:type="fixed"/>
        <w:tblInd w:w="4" w:type="dxa"/>
        <w:tblCellMar>
          <w:top w:w="0" w:type="dxa"/>
          <w:left w:w="0" w:type="dxa"/>
          <w:bottom w:w="0" w:type="dxa"/>
          <w:right w:w="0" w:type="dxa"/>
        </w:tblCellMar>
      </w:tblPr>
      <w:tr>
        <w:trPr>
          <w:trHeight w:val="168"/>
        </w:trPr>
        <w:tc>
          <w:tcPr>
            <w:tcW w:w="1380" w:type="dxa"/>
            <w:vAlign w:val="bottom"/>
          </w:tcPr>
          <w:p>
            <w:pPr>
              <w:ind w:left="440"/>
              <w:spacing w:after="0"/>
              <w:rPr>
                <w:sz w:val="20"/>
                <w:szCs w:val="20"/>
                <w:color w:val="auto"/>
              </w:rPr>
            </w:pPr>
            <w:r>
              <w:rPr>
                <w:rFonts w:ascii="Arial" w:cs="Arial" w:eastAsia="Arial" w:hAnsi="Arial"/>
                <w:sz w:val="14"/>
                <w:szCs w:val="14"/>
                <w:color w:val="auto"/>
              </w:rPr>
              <w:t>Interest rate</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0" w:type="dxa"/>
            <w:vAlign w:val="bottom"/>
          </w:tcPr>
          <w:p>
            <w:pPr>
              <w:ind w:left="1000"/>
              <w:spacing w:after="0"/>
              <w:rPr>
                <w:sz w:val="20"/>
                <w:szCs w:val="20"/>
                <w:color w:val="auto"/>
              </w:rPr>
            </w:pPr>
            <w:r>
              <w:rPr>
                <w:rFonts w:ascii="Arial" w:cs="Arial" w:eastAsia="Arial" w:hAnsi="Arial"/>
                <w:sz w:val="14"/>
                <w:szCs w:val="14"/>
                <w:color w:val="auto"/>
              </w:rPr>
              <w:t>Interest</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82"/>
        </w:trPr>
        <w:tc>
          <w:tcPr>
            <w:tcW w:w="1380" w:type="dxa"/>
            <w:vAlign w:val="bottom"/>
            <w:tcBorders>
              <w:bottom w:val="single" w:sz="8" w:color="C0C0C0"/>
            </w:tcBorders>
          </w:tcPr>
          <w:p>
            <w:pPr>
              <w:ind w:left="440"/>
              <w:spacing w:after="0"/>
              <w:rPr>
                <w:sz w:val="20"/>
                <w:szCs w:val="20"/>
                <w:color w:val="auto"/>
              </w:rPr>
            </w:pPr>
            <w:r>
              <w:rPr>
                <w:rFonts w:ascii="Arial" w:cs="Arial" w:eastAsia="Arial" w:hAnsi="Arial"/>
                <w:sz w:val="14"/>
                <w:szCs w:val="14"/>
                <w:color w:val="auto"/>
              </w:rPr>
              <w:t>instruments</w:t>
            </w:r>
          </w:p>
        </w:tc>
        <w:tc>
          <w:tcPr>
            <w:tcW w:w="460" w:type="dxa"/>
            <w:vAlign w:val="bottom"/>
            <w:tcBorders>
              <w:bottom w:val="single" w:sz="8" w:color="C0C0C0"/>
            </w:tcBorders>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0C0C0"/>
            </w:tcBorders>
          </w:tcPr>
          <w:p>
            <w:pPr>
              <w:jc w:val="right"/>
              <w:ind w:right="1028"/>
              <w:spacing w:after="0"/>
              <w:rPr>
                <w:sz w:val="20"/>
                <w:szCs w:val="20"/>
                <w:color w:val="auto"/>
              </w:rPr>
            </w:pPr>
            <w:r>
              <w:rPr>
                <w:rFonts w:ascii="Arial" w:cs="Arial" w:eastAsia="Arial" w:hAnsi="Arial"/>
                <w:sz w:val="14"/>
                <w:szCs w:val="14"/>
                <w:color w:val="auto"/>
              </w:rPr>
              <w:t>-   $</w:t>
            </w:r>
          </w:p>
        </w:tc>
        <w:tc>
          <w:tcPr>
            <w:tcW w:w="2160" w:type="dxa"/>
            <w:vAlign w:val="bottom"/>
            <w:tcBorders>
              <w:bottom w:val="single" w:sz="8" w:color="C0C0C0"/>
            </w:tcBorders>
          </w:tcPr>
          <w:p>
            <w:pPr>
              <w:jc w:val="right"/>
              <w:ind w:right="9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C0C0C0"/>
            </w:tcBorders>
          </w:tcPr>
          <w:p>
            <w:pPr>
              <w:ind w:left="1000"/>
              <w:spacing w:after="0"/>
              <w:rPr>
                <w:sz w:val="20"/>
                <w:szCs w:val="20"/>
                <w:color w:val="auto"/>
              </w:rPr>
            </w:pPr>
            <w:r>
              <w:rPr>
                <w:rFonts w:ascii="Arial" w:cs="Arial" w:eastAsia="Arial" w:hAnsi="Arial"/>
                <w:sz w:val="14"/>
                <w:szCs w:val="14"/>
                <w:color w:val="auto"/>
              </w:rPr>
              <w:t>Expense</w:t>
            </w:r>
          </w:p>
        </w:tc>
        <w:tc>
          <w:tcPr>
            <w:tcW w:w="440" w:type="dxa"/>
            <w:vAlign w:val="bottom"/>
            <w:tcBorders>
              <w:bottom w:val="single" w:sz="8" w:color="C0C0C0"/>
            </w:tcBorders>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0C0C0"/>
            </w:tcBorders>
          </w:tcPr>
          <w:p>
            <w:pPr>
              <w:jc w:val="right"/>
              <w:ind w:right="8"/>
              <w:spacing w:after="0"/>
              <w:rPr>
                <w:sz w:val="20"/>
                <w:szCs w:val="20"/>
                <w:color w:val="auto"/>
              </w:rPr>
            </w:pPr>
            <w:r>
              <w:rPr>
                <w:rFonts w:ascii="Arial" w:cs="Arial" w:eastAsia="Arial" w:hAnsi="Arial"/>
                <w:sz w:val="14"/>
                <w:szCs w:val="14"/>
                <w:color w:val="auto"/>
              </w:rPr>
              <w:t>(4)</w:t>
            </w:r>
          </w:p>
        </w:tc>
        <w:tc>
          <w:tcPr>
            <w:tcW w:w="320" w:type="dxa"/>
            <w:vAlign w:val="bottom"/>
            <w:tcBorders>
              <w:bottom w:val="single" w:sz="8" w:color="C0C0C0"/>
            </w:tcBorders>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0C0C0"/>
            </w:tcBorders>
          </w:tcPr>
          <w:p>
            <w:pPr>
              <w:jc w:val="right"/>
              <w:ind w:right="8"/>
              <w:spacing w:after="0"/>
              <w:rPr>
                <w:sz w:val="20"/>
                <w:szCs w:val="20"/>
                <w:color w:val="auto"/>
              </w:rPr>
            </w:pPr>
            <w:r>
              <w:rPr>
                <w:rFonts w:ascii="Arial" w:cs="Arial" w:eastAsia="Arial" w:hAnsi="Arial"/>
                <w:sz w:val="14"/>
                <w:szCs w:val="14"/>
                <w:color w:val="auto"/>
              </w:rPr>
              <w:t>(3)</w:t>
            </w:r>
          </w:p>
        </w:tc>
      </w:tr>
    </w:tbl>
    <w:p>
      <w:pPr>
        <w:spacing w:after="0" w:line="40" w:lineRule="exact"/>
        <w:rPr>
          <w:sz w:val="20"/>
          <w:szCs w:val="20"/>
          <w:color w:val="auto"/>
        </w:rPr>
      </w:pPr>
    </w:p>
    <w:p>
      <w:pPr>
        <w:ind w:left="444" w:hanging="344"/>
        <w:spacing w:after="0"/>
        <w:tabs>
          <w:tab w:leader="none" w:pos="444" w:val="left"/>
        </w:tabs>
        <w:numPr>
          <w:ilvl w:val="1"/>
          <w:numId w:val="26"/>
        </w:numPr>
        <w:rPr>
          <w:rFonts w:ascii="Arial" w:cs="Arial" w:eastAsia="Arial" w:hAnsi="Arial"/>
          <w:sz w:val="13"/>
          <w:szCs w:val="13"/>
          <w:i w:val="1"/>
          <w:iCs w:val="1"/>
          <w:color w:val="auto"/>
        </w:rPr>
      </w:pPr>
      <w:r>
        <w:rPr>
          <w:rFonts w:ascii="Arial" w:cs="Arial" w:eastAsia="Arial" w:hAnsi="Arial"/>
          <w:sz w:val="13"/>
          <w:szCs w:val="13"/>
          <w:i w:val="1"/>
          <w:iCs w:val="1"/>
          <w:color w:val="auto"/>
        </w:rPr>
        <w:t>Amounts in 2010 include Otay Mesa VIE. All of SDG&amp;E's 2010 interest rate derivative act ivity relates to Otay Mesa VIE.</w:t>
      </w:r>
    </w:p>
    <w:p>
      <w:pPr>
        <w:spacing w:after="0" w:line="6" w:lineRule="exact"/>
        <w:rPr>
          <w:rFonts w:ascii="Arial" w:cs="Arial" w:eastAsia="Arial" w:hAnsi="Arial"/>
          <w:sz w:val="13"/>
          <w:szCs w:val="13"/>
          <w:i w:val="1"/>
          <w:iCs w:val="1"/>
          <w:color w:val="auto"/>
        </w:rPr>
      </w:pPr>
    </w:p>
    <w:p>
      <w:pPr>
        <w:ind w:left="444" w:right="2740" w:hanging="344"/>
        <w:spacing w:after="0" w:line="239" w:lineRule="auto"/>
        <w:tabs>
          <w:tab w:leader="none" w:pos="444" w:val="left"/>
        </w:tabs>
        <w:numPr>
          <w:ilvl w:val="1"/>
          <w:numId w:val="26"/>
        </w:numPr>
        <w:rPr>
          <w:rFonts w:ascii="Arial" w:cs="Arial" w:eastAsia="Arial" w:hAnsi="Arial"/>
          <w:sz w:val="13"/>
          <w:szCs w:val="13"/>
          <w:i w:val="1"/>
          <w:iCs w:val="1"/>
          <w:color w:val="auto"/>
        </w:rPr>
      </w:pPr>
      <w:r>
        <w:rPr>
          <w:rFonts w:ascii="Arial" w:cs="Arial" w:eastAsia="Arial" w:hAnsi="Arial"/>
          <w:sz w:val="13"/>
          <w:szCs w:val="13"/>
          <w:i w:val="1"/>
          <w:iCs w:val="1"/>
          <w:color w:val="auto"/>
        </w:rPr>
        <w:t>Gains reclassified into earnings due to changes in cash requirements and associated impacts on forecasted interest payments, primarily related to proceeds received from RBS Sempra Commodities. See Note 4.</w:t>
      </w:r>
    </w:p>
    <w:p>
      <w:pPr>
        <w:spacing w:after="0" w:line="20" w:lineRule="exact"/>
        <w:rPr>
          <w:rFonts w:ascii="Arial" w:cs="Arial" w:eastAsia="Arial" w:hAnsi="Arial"/>
          <w:sz w:val="13"/>
          <w:szCs w:val="13"/>
          <w:i w:val="1"/>
          <w:iCs w:val="1"/>
          <w:color w:val="auto"/>
        </w:rPr>
      </w:pPr>
    </w:p>
    <w:p>
      <w:pPr>
        <w:ind w:left="164" w:hanging="164"/>
        <w:spacing w:after="0"/>
        <w:tabs>
          <w:tab w:leader="none" w:pos="164"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p style="MARGIN:0in 0in 0pt"&gt;</w:t>
      </w:r>
    </w:p>
    <w:p>
      <w:pPr>
        <w:spacing w:after="0" w:line="214" w:lineRule="exact"/>
        <w:rPr>
          <w:sz w:val="20"/>
          <w:szCs w:val="20"/>
          <w:color w:val="auto"/>
        </w:rPr>
      </w:pPr>
    </w:p>
    <w:p>
      <w:pPr>
        <w:ind w:left="4" w:right="60"/>
        <w:spacing w:after="0" w:line="307" w:lineRule="auto"/>
        <w:rPr>
          <w:sz w:val="20"/>
          <w:szCs w:val="20"/>
          <w:color w:val="auto"/>
        </w:rPr>
      </w:pPr>
      <w:r>
        <w:rPr>
          <w:rFonts w:ascii="Arial" w:cs="Arial" w:eastAsia="Arial" w:hAnsi="Arial"/>
          <w:sz w:val="14"/>
          <w:szCs w:val="14"/>
          <w:b w:val="1"/>
          <w:bCs w:val="1"/>
          <w:color w:val="auto"/>
        </w:rPr>
        <w:t>Sempra Energy expects that losses of $5 million, which are net of income tax benefit, that are currently recorded in Accumulated Other Comprehensive Income (Loss) related to cash flow hedges will be reclassified into earnings during the next twelve months as the hedged items affect earnings. Actual amounts ultimately reclassified to earnings depend on the commodity prices and interest rates in effect when derivative contracts that are currently outstanding mature. The maximum term over which RBS Sempra Commodities hedges forecasted natural gas purchases and sales is 63 months.</w:t>
      </w:r>
    </w:p>
    <w:p>
      <w:pPr>
        <w:spacing w:after="0" w:line="40" w:lineRule="exact"/>
        <w:rPr>
          <w:sz w:val="20"/>
          <w:szCs w:val="20"/>
          <w:color w:val="auto"/>
        </w:rPr>
      </w:pPr>
    </w:p>
    <w:p>
      <w:pPr>
        <w:ind w:left="4" w:right="180"/>
        <w:spacing w:after="0" w:line="348" w:lineRule="auto"/>
        <w:rPr>
          <w:sz w:val="20"/>
          <w:szCs w:val="20"/>
          <w:color w:val="auto"/>
        </w:rPr>
      </w:pPr>
      <w:r>
        <w:rPr>
          <w:rFonts w:ascii="Arial" w:cs="Arial" w:eastAsia="Arial" w:hAnsi="Arial"/>
          <w:sz w:val="14"/>
          <w:szCs w:val="14"/>
          <w:b w:val="1"/>
          <w:bCs w:val="1"/>
          <w:color w:val="auto"/>
        </w:rPr>
        <w:t>SDG&amp;E and SoCalGas expect that losses of $6 million and $2 million, respectively, which are net of income tax benefit, that are currently recorded in Accumulated Other Comprehensive Income (Loss) related to these cash flow hedges will be reclassified into earnings during the next twelve months as the hedged items affect earnings.</w:t>
      </w:r>
    </w:p>
    <w:p>
      <w:pPr>
        <w:spacing w:after="0" w:line="10" w:lineRule="exact"/>
        <w:rPr>
          <w:sz w:val="20"/>
          <w:szCs w:val="20"/>
          <w:color w:val="auto"/>
        </w:rPr>
      </w:pPr>
    </w:p>
    <w:p>
      <w:pPr>
        <w:ind w:left="4" w:right="260"/>
        <w:spacing w:after="0" w:line="282" w:lineRule="auto"/>
        <w:rPr>
          <w:sz w:val="20"/>
          <w:szCs w:val="20"/>
          <w:color w:val="auto"/>
        </w:rPr>
      </w:pPr>
      <w:r>
        <w:rPr>
          <w:rFonts w:ascii="Arial" w:cs="Arial" w:eastAsia="Arial" w:hAnsi="Arial"/>
          <w:sz w:val="16"/>
          <w:szCs w:val="16"/>
          <w:b w:val="1"/>
          <w:bCs w:val="1"/>
          <w:color w:val="auto"/>
        </w:rPr>
        <w:t>The effects of derivative instruments not designated as hedging instruments on the Condensed Consolidated Statements of Operations for the three months and nine months ended September 30, 2010 and 2009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726440</wp:posOffset>
            </wp:positionV>
            <wp:extent cx="7261860" cy="289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UNDESIGNATED DERIVATIVE IMPACT ON THE CONDENSED CONSOLIDATED STATEMENTS OF OPERATIONS</w:t>
      </w:r>
    </w:p>
    <w:p>
      <w:pPr>
        <w:spacing w:after="0" w:line="100"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236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5"/>
          </w:tcPr>
          <w:p>
            <w:pPr>
              <w:jc w:val="right"/>
              <w:ind w:right="563"/>
              <w:spacing w:after="0"/>
              <w:rPr>
                <w:sz w:val="20"/>
                <w:szCs w:val="20"/>
                <w:color w:val="auto"/>
              </w:rPr>
            </w:pPr>
            <w:r>
              <w:rPr>
                <w:rFonts w:ascii="Arial" w:cs="Arial" w:eastAsia="Arial" w:hAnsi="Arial"/>
                <w:sz w:val="13"/>
                <w:szCs w:val="13"/>
                <w:color w:val="auto"/>
              </w:rPr>
              <w:t>Gain (loss) on derivative recognized in earnings</w:t>
            </w: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jc w:val="center"/>
              <w:spacing w:after="0" w:line="141" w:lineRule="exact"/>
              <w:rPr>
                <w:sz w:val="20"/>
                <w:szCs w:val="20"/>
                <w:color w:val="auto"/>
              </w:rPr>
            </w:pPr>
            <w:r>
              <w:rPr>
                <w:rFonts w:ascii="Arial" w:cs="Arial" w:eastAsia="Arial" w:hAnsi="Arial"/>
                <w:sz w:val="13"/>
                <w:szCs w:val="13"/>
                <w:color w:val="auto"/>
                <w:w w:val="98"/>
              </w:rPr>
              <w:t>Three months ended</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20" w:type="dxa"/>
            <w:vAlign w:val="bottom"/>
          </w:tcPr>
          <w:p>
            <w:pPr>
              <w:jc w:val="right"/>
              <w:ind w:right="383"/>
              <w:spacing w:after="0" w:line="141" w:lineRule="exact"/>
              <w:rPr>
                <w:sz w:val="20"/>
                <w:szCs w:val="20"/>
                <w:color w:val="auto"/>
              </w:rPr>
            </w:pPr>
            <w:r>
              <w:rPr>
                <w:rFonts w:ascii="Arial" w:cs="Arial" w:eastAsia="Arial" w:hAnsi="Arial"/>
                <w:sz w:val="13"/>
                <w:szCs w:val="13"/>
                <w:color w:val="auto"/>
              </w:rPr>
              <w:t>Nine months ended</w:t>
            </w: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spacing w:after="0" w:line="140" w:lineRule="exact"/>
              <w:rPr>
                <w:sz w:val="20"/>
                <w:szCs w:val="20"/>
                <w:color w:val="auto"/>
              </w:rPr>
            </w:pPr>
            <w:r>
              <w:rPr>
                <w:rFonts w:ascii="Arial" w:cs="Arial" w:eastAsia="Arial" w:hAnsi="Arial"/>
                <w:sz w:val="13"/>
                <w:szCs w:val="13"/>
                <w:color w:val="auto"/>
                <w:w w:val="98"/>
              </w:rPr>
              <w:t>September 30,</w:t>
            </w:r>
          </w:p>
        </w:tc>
        <w:tc>
          <w:tcPr>
            <w:tcW w:w="3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jc w:val="right"/>
              <w:ind w:right="523"/>
              <w:spacing w:after="0" w:line="140" w:lineRule="exact"/>
              <w:rPr>
                <w:sz w:val="20"/>
                <w:szCs w:val="20"/>
                <w:color w:val="auto"/>
              </w:rPr>
            </w:pPr>
            <w:r>
              <w:rPr>
                <w:rFonts w:ascii="Arial" w:cs="Arial" w:eastAsia="Arial" w:hAnsi="Arial"/>
                <w:sz w:val="13"/>
                <w:szCs w:val="13"/>
                <w:color w:val="auto"/>
              </w:rPr>
              <w:t>September 30,</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ind w:left="1540"/>
              <w:spacing w:after="0"/>
              <w:rPr>
                <w:sz w:val="20"/>
                <w:szCs w:val="20"/>
                <w:color w:val="auto"/>
              </w:rPr>
            </w:pPr>
            <w:r>
              <w:rPr>
                <w:rFonts w:ascii="Arial" w:cs="Arial" w:eastAsia="Arial" w:hAnsi="Arial"/>
                <w:sz w:val="13"/>
                <w:szCs w:val="13"/>
                <w:color w:val="auto"/>
              </w:rPr>
              <w:t>Location</w:t>
            </w:r>
          </w:p>
        </w:tc>
        <w:tc>
          <w:tcPr>
            <w:tcW w:w="920" w:type="dxa"/>
            <w:vAlign w:val="bottom"/>
            <w:tcBorders>
              <w:bottom w:val="single" w:sz="8" w:color="auto"/>
            </w:tcBorders>
            <w:gridSpan w:val="2"/>
          </w:tcPr>
          <w:p>
            <w:pPr>
              <w:jc w:val="right"/>
              <w:ind w:right="249"/>
              <w:spacing w:after="0"/>
              <w:rPr>
                <w:sz w:val="20"/>
                <w:szCs w:val="20"/>
                <w:color w:val="auto"/>
              </w:rPr>
            </w:pPr>
            <w:r>
              <w:rPr>
                <w:rFonts w:ascii="Arial" w:cs="Arial" w:eastAsia="Arial" w:hAnsi="Arial"/>
                <w:sz w:val="13"/>
                <w:szCs w:val="13"/>
                <w:color w:val="auto"/>
              </w:rPr>
              <w:t>2010</w:t>
            </w:r>
          </w:p>
        </w:tc>
        <w:tc>
          <w:tcPr>
            <w:tcW w:w="66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color w:val="auto"/>
                <w:w w:val="96"/>
              </w:rPr>
              <w:t>2009</w:t>
            </w: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jc w:val="right"/>
              <w:ind w:right="1243"/>
              <w:spacing w:after="0"/>
              <w:rPr>
                <w:sz w:val="20"/>
                <w:szCs w:val="20"/>
                <w:color w:val="auto"/>
              </w:rPr>
            </w:pPr>
            <w:r>
              <w:rPr>
                <w:rFonts w:ascii="Arial" w:cs="Arial" w:eastAsia="Arial" w:hAnsi="Arial"/>
                <w:sz w:val="13"/>
                <w:szCs w:val="13"/>
                <w:color w:val="auto"/>
              </w:rPr>
              <w:t>2010</w:t>
            </w:r>
          </w:p>
        </w:tc>
        <w:tc>
          <w:tcPr>
            <w:tcW w:w="82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74"/>
        </w:trPr>
        <w:tc>
          <w:tcPr>
            <w:tcW w:w="2360" w:type="dxa"/>
            <w:vAlign w:val="bottom"/>
          </w:tcPr>
          <w:p>
            <w:pPr>
              <w:ind w:left="80"/>
              <w:spacing w:after="0"/>
              <w:rPr>
                <w:sz w:val="20"/>
                <w:szCs w:val="20"/>
                <w:color w:val="auto"/>
              </w:rPr>
            </w:pPr>
            <w:r>
              <w:rPr>
                <w:rFonts w:ascii="Arial" w:cs="Arial" w:eastAsia="Arial" w:hAnsi="Arial"/>
                <w:sz w:val="14"/>
                <w:szCs w:val="14"/>
                <w:b w:val="1"/>
                <w:bCs w:val="1"/>
                <w:color w:val="auto"/>
              </w:rPr>
              <w:t>Sempra Energy Consolidated:</w:t>
            </w:r>
          </w:p>
        </w:tc>
        <w:tc>
          <w:tcPr>
            <w:tcW w:w="3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Interest rate</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instruments(1)</w:t>
            </w:r>
          </w:p>
        </w:tc>
        <w:tc>
          <w:tcPr>
            <w:tcW w:w="3480" w:type="dxa"/>
            <w:vAlign w:val="bottom"/>
          </w:tcPr>
          <w:p>
            <w:pPr>
              <w:ind w:left="160"/>
              <w:spacing w:after="0"/>
              <w:rPr>
                <w:sz w:val="20"/>
                <w:szCs w:val="20"/>
                <w:color w:val="auto"/>
              </w:rPr>
            </w:pPr>
            <w:r>
              <w:rPr>
                <w:rFonts w:ascii="Arial" w:cs="Arial" w:eastAsia="Arial" w:hAnsi="Arial"/>
                <w:sz w:val="14"/>
                <w:szCs w:val="14"/>
                <w:color w:val="auto"/>
              </w:rPr>
              <w:t>Other Income, Net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540" w:type="dxa"/>
            <w:vAlign w:val="bottom"/>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83"/>
              <w:spacing w:after="0"/>
              <w:rPr>
                <w:sz w:val="20"/>
                <w:szCs w:val="20"/>
                <w:color w:val="auto"/>
              </w:rPr>
            </w:pPr>
            <w:r>
              <w:rPr>
                <w:rFonts w:ascii="Arial" w:cs="Arial" w:eastAsia="Arial" w:hAnsi="Arial"/>
                <w:sz w:val="14"/>
                <w:szCs w:val="14"/>
                <w:color w:val="auto"/>
              </w:rPr>
              <w:t>(50)</w:t>
            </w: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65"/>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8"/>
        </w:trPr>
        <w:tc>
          <w:tcPr>
            <w:tcW w:w="2360" w:type="dxa"/>
            <w:vAlign w:val="bottom"/>
          </w:tcPr>
          <w:p>
            <w:pPr>
              <w:ind w:left="80"/>
              <w:spacing w:after="0"/>
              <w:rPr>
                <w:sz w:val="20"/>
                <w:szCs w:val="20"/>
                <w:color w:val="auto"/>
              </w:rPr>
            </w:pPr>
            <w:r>
              <w:rPr>
                <w:rFonts w:ascii="Arial" w:cs="Arial" w:eastAsia="Arial" w:hAnsi="Arial"/>
                <w:sz w:val="14"/>
                <w:szCs w:val="14"/>
                <w:color w:val="auto"/>
              </w:rPr>
              <w:t>Commodity</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80"/>
              <w:spacing w:after="0"/>
              <w:rPr>
                <w:sz w:val="20"/>
                <w:szCs w:val="20"/>
                <w:color w:val="auto"/>
              </w:rPr>
            </w:pPr>
            <w:r>
              <w:rPr>
                <w:rFonts w:ascii="Arial" w:cs="Arial" w:eastAsia="Arial" w:hAnsi="Arial"/>
                <w:sz w:val="14"/>
                <w:szCs w:val="14"/>
                <w:color w:val="auto"/>
              </w:rPr>
              <w:t>contracts not</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80"/>
              <w:spacing w:after="0"/>
              <w:rPr>
                <w:sz w:val="20"/>
                <w:szCs w:val="20"/>
                <w:color w:val="auto"/>
              </w:rPr>
            </w:pPr>
            <w:r>
              <w:rPr>
                <w:rFonts w:ascii="Arial" w:cs="Arial" w:eastAsia="Arial" w:hAnsi="Arial"/>
                <w:sz w:val="14"/>
                <w:szCs w:val="14"/>
                <w:color w:val="auto"/>
              </w:rPr>
              <w:t>subject</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vMerge w:val="restart"/>
          </w:tcPr>
          <w:p>
            <w:pPr>
              <w:ind w:left="80"/>
              <w:spacing w:after="0"/>
              <w:rPr>
                <w:sz w:val="20"/>
                <w:szCs w:val="20"/>
                <w:color w:val="auto"/>
              </w:rPr>
            </w:pPr>
            <w:r>
              <w:rPr>
                <w:rFonts w:ascii="Arial" w:cs="Arial" w:eastAsia="Arial" w:hAnsi="Arial"/>
                <w:sz w:val="19"/>
                <w:szCs w:val="19"/>
                <w:color w:val="auto"/>
              </w:rPr>
              <w:t>&lt; p style="MARGIN:0in</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tcPr>
          <w:p>
            <w:pPr>
              <w:ind w:left="80"/>
              <w:spacing w:after="0" w:line="216" w:lineRule="exact"/>
              <w:rPr>
                <w:sz w:val="20"/>
                <w:szCs w:val="20"/>
                <w:color w:val="auto"/>
              </w:rPr>
            </w:pPr>
            <w:r>
              <w:rPr>
                <w:rFonts w:ascii="Arial" w:cs="Arial" w:eastAsia="Arial" w:hAnsi="Arial"/>
                <w:sz w:val="19"/>
                <w:szCs w:val="19"/>
                <w:color w:val="auto"/>
              </w:rPr>
              <w:t>0in 0pt; TEXT-</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tcPr>
          <w:p>
            <w:pPr>
              <w:ind w:left="80"/>
              <w:spacing w:after="0" w:line="216" w:lineRule="exact"/>
              <w:rPr>
                <w:sz w:val="20"/>
                <w:szCs w:val="20"/>
                <w:color w:val="auto"/>
              </w:rPr>
            </w:pPr>
            <w:r>
              <w:rPr>
                <w:rFonts w:ascii="Arial" w:cs="Arial" w:eastAsia="Arial" w:hAnsi="Arial"/>
                <w:sz w:val="19"/>
                <w:szCs w:val="19"/>
                <w:color w:val="auto"/>
              </w:rPr>
              <w:t>ALIGN:right"</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360" w:type="dxa"/>
            <w:vAlign w:val="bottom"/>
          </w:tcPr>
          <w:p>
            <w:pPr>
              <w:ind w:left="1440"/>
              <w:spacing w:after="0"/>
              <w:rPr>
                <w:sz w:val="20"/>
                <w:szCs w:val="20"/>
                <w:color w:val="auto"/>
              </w:rPr>
            </w:pPr>
            <w:r>
              <w:rPr>
                <w:rFonts w:ascii="Arial" w:cs="Arial" w:eastAsia="Arial" w:hAnsi="Arial"/>
                <w:sz w:val="14"/>
                <w:szCs w:val="14"/>
                <w:color w:val="auto"/>
              </w:rPr>
              <w:t>to rate</w:t>
            </w:r>
          </w:p>
        </w:tc>
        <w:tc>
          <w:tcPr>
            <w:tcW w:w="3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20" w:type="dxa"/>
            <w:vAlign w:val="bottom"/>
          </w:tcPr>
          <w:p>
            <w:pPr>
              <w:ind w:left="80"/>
              <w:spacing w:after="0"/>
              <w:rPr>
                <w:sz w:val="20"/>
                <w:szCs w:val="20"/>
                <w:color w:val="auto"/>
              </w:rPr>
            </w:pPr>
            <w:r>
              <w:rPr>
                <w:rFonts w:ascii="Arial" w:cs="Arial" w:eastAsia="Arial" w:hAnsi="Arial"/>
                <w:sz w:val="19"/>
                <w:szCs w:val="19"/>
                <w:color w:val="auto"/>
              </w:rPr>
              <w:t xml:space="preserve">align=right&gt; </w:t>
            </w:r>
            <w:r>
              <w:rPr>
                <w:rFonts w:ascii="Arial" w:cs="Arial" w:eastAsia="Arial" w:hAnsi="Arial"/>
                <w:sz w:val="14"/>
                <w:szCs w:val="14"/>
                <w:color w:val="auto"/>
              </w:rPr>
              <w:t>45</w:t>
            </w: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recovery</w:t>
            </w:r>
          </w:p>
        </w:tc>
        <w:tc>
          <w:tcPr>
            <w:tcW w:w="3480" w:type="dxa"/>
            <w:vAlign w:val="bottom"/>
          </w:tcPr>
          <w:p>
            <w:pPr>
              <w:ind w:left="160"/>
              <w:spacing w:after="0"/>
              <w:rPr>
                <w:sz w:val="20"/>
                <w:szCs w:val="20"/>
                <w:color w:val="auto"/>
              </w:rPr>
            </w:pPr>
            <w:r>
              <w:rPr>
                <w:rFonts w:ascii="Arial" w:cs="Arial" w:eastAsia="Arial" w:hAnsi="Arial"/>
                <w:sz w:val="14"/>
                <w:szCs w:val="14"/>
                <w:color w:val="auto"/>
              </w:rPr>
              <w:t>Revenues: Sempra Global and Parent</w:t>
            </w:r>
          </w:p>
        </w:tc>
        <w:tc>
          <w:tcPr>
            <w:tcW w:w="360" w:type="dxa"/>
            <w:vAlign w:val="bottom"/>
          </w:tcPr>
          <w:p>
            <w:pPr>
              <w:spacing w:after="0"/>
              <w:rPr>
                <w:sz w:val="14"/>
                <w:szCs w:val="14"/>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15</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jc w:val="right"/>
              <w:ind w:right="65"/>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Commodity</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contracts not</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Arial" w:cs="Arial" w:eastAsia="Arial" w:hAnsi="Arial"/>
                <w:sz w:val="14"/>
                <w:szCs w:val="14"/>
                <w:color w:val="auto"/>
              </w:rPr>
              <w:t>&lt;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subject</w:t>
            </w:r>
          </w:p>
        </w:tc>
        <w:tc>
          <w:tcPr>
            <w:tcW w:w="3480" w:type="dxa"/>
            <w:vAlign w:val="bottom"/>
          </w:tcPr>
          <w:p>
            <w:pPr>
              <w:ind w:left="160"/>
              <w:spacing w:after="0"/>
              <w:rPr>
                <w:sz w:val="20"/>
                <w:szCs w:val="20"/>
                <w:color w:val="auto"/>
              </w:rPr>
            </w:pPr>
            <w:r>
              <w:rPr>
                <w:rFonts w:ascii="Arial" w:cs="Arial" w:eastAsia="Arial" w:hAnsi="Arial"/>
                <w:sz w:val="14"/>
                <w:szCs w:val="14"/>
                <w:color w:val="auto"/>
              </w:rPr>
              <w:t>Cost of Natural Gas, Electric</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/font&gt;</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440"/>
              <w:spacing w:after="0"/>
              <w:rPr>
                <w:sz w:val="20"/>
                <w:szCs w:val="20"/>
                <w:color w:val="auto"/>
              </w:rPr>
            </w:pPr>
            <w:r>
              <w:rPr>
                <w:rFonts w:ascii="Arial" w:cs="Arial" w:eastAsia="Arial" w:hAnsi="Arial"/>
                <w:sz w:val="14"/>
                <w:szCs w:val="14"/>
                <w:color w:val="auto"/>
              </w:rPr>
              <w:t>to rate</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recovery</w:t>
            </w:r>
          </w:p>
        </w:tc>
        <w:tc>
          <w:tcPr>
            <w:tcW w:w="3480" w:type="dxa"/>
            <w:vAlign w:val="bottom"/>
          </w:tcPr>
          <w:p>
            <w:pPr>
              <w:ind w:left="320"/>
              <w:spacing w:after="0"/>
              <w:rPr>
                <w:sz w:val="20"/>
                <w:szCs w:val="20"/>
                <w:color w:val="auto"/>
              </w:rPr>
            </w:pPr>
            <w:r>
              <w:rPr>
                <w:rFonts w:ascii="Arial" w:cs="Arial" w:eastAsia="Arial" w:hAnsi="Arial"/>
                <w:sz w:val="14"/>
                <w:szCs w:val="14"/>
                <w:color w:val="auto"/>
              </w:rPr>
              <w:t>Fuel and Purchased Power</w:t>
            </w:r>
          </w:p>
        </w:tc>
        <w:tc>
          <w:tcPr>
            <w:tcW w:w="360" w:type="dxa"/>
            <w:vAlign w:val="bottom"/>
          </w:tcPr>
          <w:p>
            <w:pPr>
              <w:spacing w:after="0"/>
              <w:rPr>
                <w:sz w:val="14"/>
                <w:szCs w:val="14"/>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400" w:type="dxa"/>
            <w:vAlign w:val="bottom"/>
          </w:tcPr>
          <w:p>
            <w:pPr>
              <w:spacing w:after="0"/>
              <w:rPr>
                <w:sz w:val="14"/>
                <w:szCs w:val="14"/>
                <w:color w:val="auto"/>
              </w:rPr>
            </w:pPr>
          </w:p>
        </w:tc>
        <w:tc>
          <w:tcPr>
            <w:tcW w:w="2420" w:type="dxa"/>
            <w:vAlign w:val="bottom"/>
          </w:tcPr>
          <w:p>
            <w:pPr>
              <w:jc w:val="right"/>
              <w:ind w:right="83"/>
              <w:spacing w:after="0"/>
              <w:rPr>
                <w:sz w:val="20"/>
                <w:szCs w:val="20"/>
                <w:color w:val="auto"/>
              </w:rPr>
            </w:pPr>
            <w:r>
              <w:rPr>
                <w:rFonts w:ascii="Arial" w:cs="Arial" w:eastAsia="Arial" w:hAnsi="Arial"/>
                <w:sz w:val="14"/>
                <w:szCs w:val="14"/>
                <w:color w:val="auto"/>
              </w:rPr>
              <w:t>&amp; nbsp;(22)</w:t>
            </w:r>
          </w:p>
        </w:tc>
        <w:tc>
          <w:tcPr>
            <w:tcW w:w="36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Commodity</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contracts</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subject</w:t>
            </w:r>
          </w:p>
        </w:tc>
        <w:tc>
          <w:tcPr>
            <w:tcW w:w="3480" w:type="dxa"/>
            <w:vAlign w:val="bottom"/>
          </w:tcPr>
          <w:p>
            <w:pPr>
              <w:ind w:left="160"/>
              <w:spacing w:after="0"/>
              <w:rPr>
                <w:sz w:val="20"/>
                <w:szCs w:val="20"/>
                <w:color w:val="auto"/>
              </w:rPr>
            </w:pPr>
            <w:r>
              <w:rPr>
                <w:rFonts w:ascii="Arial" w:cs="Arial" w:eastAsia="Arial" w:hAnsi="Arial"/>
                <w:sz w:val="14"/>
                <w:szCs w:val="14"/>
                <w:color w:val="auto"/>
              </w:rPr>
              <w:t>Cost of Electric Fuel</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440"/>
              <w:spacing w:after="0"/>
              <w:rPr>
                <w:sz w:val="20"/>
                <w:szCs w:val="20"/>
                <w:color w:val="auto"/>
              </w:rPr>
            </w:pPr>
            <w:r>
              <w:rPr>
                <w:rFonts w:ascii="Arial" w:cs="Arial" w:eastAsia="Arial" w:hAnsi="Arial"/>
                <w:sz w:val="14"/>
                <w:szCs w:val="14"/>
                <w:color w:val="auto"/>
              </w:rPr>
              <w:t>to rate</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recovery</w:t>
            </w:r>
          </w:p>
        </w:tc>
        <w:tc>
          <w:tcPr>
            <w:tcW w:w="3480" w:type="dxa"/>
            <w:vAlign w:val="bottom"/>
          </w:tcPr>
          <w:p>
            <w:pPr>
              <w:ind w:left="320"/>
              <w:spacing w:after="0"/>
              <w:rPr>
                <w:sz w:val="20"/>
                <w:szCs w:val="20"/>
                <w:color w:val="auto"/>
              </w:rPr>
            </w:pPr>
            <w:r>
              <w:rPr>
                <w:rFonts w:ascii="Arial" w:cs="Arial" w:eastAsia="Arial" w:hAnsi="Arial"/>
                <w:sz w:val="14"/>
                <w:szCs w:val="14"/>
                <w:color w:val="auto"/>
              </w:rPr>
              <w:t>and Purchased Power</w:t>
            </w:r>
          </w:p>
        </w:tc>
        <w:tc>
          <w:tcPr>
            <w:tcW w:w="360" w:type="dxa"/>
            <w:vAlign w:val="bottom"/>
          </w:tcPr>
          <w:p>
            <w:pPr>
              <w:spacing w:after="0"/>
              <w:rPr>
                <w:sz w:val="14"/>
                <w:szCs w:val="14"/>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(39)</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400" w:type="dxa"/>
            <w:vAlign w:val="bottom"/>
          </w:tcPr>
          <w:p>
            <w:pPr>
              <w:spacing w:after="0"/>
              <w:rPr>
                <w:sz w:val="14"/>
                <w:szCs w:val="14"/>
                <w:color w:val="auto"/>
              </w:rPr>
            </w:pPr>
          </w:p>
        </w:tc>
        <w:tc>
          <w:tcPr>
            <w:tcW w:w="2420" w:type="dxa"/>
            <w:vAlign w:val="bottom"/>
          </w:tcPr>
          <w:p>
            <w:pPr>
              <w:jc w:val="right"/>
              <w:ind w:right="83"/>
              <w:spacing w:after="0"/>
              <w:rPr>
                <w:sz w:val="20"/>
                <w:szCs w:val="20"/>
                <w:color w:val="auto"/>
              </w:rPr>
            </w:pPr>
            <w:r>
              <w:rPr>
                <w:rFonts w:ascii="Arial" w:cs="Arial" w:eastAsia="Arial" w:hAnsi="Arial"/>
                <w:sz w:val="14"/>
                <w:szCs w:val="14"/>
                <w:color w:val="auto"/>
              </w:rPr>
              <w:t>(100)</w:t>
            </w:r>
          </w:p>
        </w:tc>
        <w:tc>
          <w:tcPr>
            <w:tcW w:w="36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Commodity</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contracts</w:t>
            </w:r>
          </w:p>
        </w:tc>
        <w:tc>
          <w:tcPr>
            <w:tcW w:w="3480" w:type="dxa"/>
            <w:vAlign w:val="bottom"/>
          </w:tcPr>
          <w:p>
            <w:pPr>
              <w:spacing w:after="0"/>
              <w:rPr>
                <w:sz w:val="14"/>
                <w:szCs w:val="14"/>
                <w:color w:val="auto"/>
              </w:rPr>
            </w:pPr>
          </w:p>
        </w:tc>
        <w:tc>
          <w:tcPr>
            <w:tcW w:w="360" w:type="dxa"/>
            <w:vAlign w:val="bottom"/>
          </w:tcPr>
          <w:p>
            <w:pPr>
              <w:jc w:val="right"/>
              <w:ind w:right="51"/>
              <w:spacing w:after="0"/>
              <w:rPr>
                <w:sz w:val="20"/>
                <w:szCs w:val="20"/>
                <w:color w:val="auto"/>
              </w:rPr>
            </w:pPr>
            <w:r>
              <w:rPr>
                <w:rFonts w:ascii="Arial" w:cs="Arial" w:eastAsia="Arial" w:hAnsi="Arial"/>
                <w:sz w:val="13"/>
                <w:szCs w:val="13"/>
                <w:color w:val="auto"/>
              </w:rPr>
              <w:t>&amp;n</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subject</w:t>
            </w:r>
          </w:p>
        </w:tc>
        <w:tc>
          <w:tcPr>
            <w:tcW w:w="34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bsp;</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440"/>
              <w:spacing w:after="0"/>
              <w:rPr>
                <w:sz w:val="20"/>
                <w:szCs w:val="20"/>
                <w:color w:val="auto"/>
              </w:rPr>
            </w:pPr>
            <w:r>
              <w:rPr>
                <w:rFonts w:ascii="Arial" w:cs="Arial" w:eastAsia="Arial" w:hAnsi="Arial"/>
                <w:sz w:val="14"/>
                <w:szCs w:val="14"/>
                <w:color w:val="auto"/>
              </w:rPr>
              <w:t>to rate</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recovery</w:t>
            </w:r>
          </w:p>
        </w:tc>
        <w:tc>
          <w:tcPr>
            <w:tcW w:w="3480" w:type="dxa"/>
            <w:vAlign w:val="bottom"/>
          </w:tcPr>
          <w:p>
            <w:pPr>
              <w:ind w:left="160"/>
              <w:spacing w:after="0"/>
              <w:rPr>
                <w:sz w:val="20"/>
                <w:szCs w:val="20"/>
                <w:color w:val="auto"/>
              </w:rPr>
            </w:pPr>
            <w:r>
              <w:rPr>
                <w:rFonts w:ascii="Arial" w:cs="Arial" w:eastAsia="Arial" w:hAnsi="Arial"/>
                <w:sz w:val="14"/>
                <w:szCs w:val="14"/>
                <w:color w:val="auto"/>
              </w:rPr>
              <w:t>Cost of Natural Gas</w:t>
            </w:r>
          </w:p>
        </w:tc>
        <w:tc>
          <w:tcPr>
            <w:tcW w:w="360" w:type="dxa"/>
            <w:vAlign w:val="bottom"/>
          </w:tcPr>
          <w:p>
            <w:pPr>
              <w:spacing w:after="0"/>
              <w:rPr>
                <w:sz w:val="14"/>
                <w:szCs w:val="14"/>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2420" w:type="dxa"/>
            <w:vAlign w:val="bottom"/>
          </w:tcPr>
          <w:p>
            <w:pPr>
              <w:spacing w:after="0"/>
              <w:rPr>
                <w:sz w:val="14"/>
                <w:szCs w:val="14"/>
                <w:color w:val="auto"/>
              </w:rPr>
            </w:pP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Commodity</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contracts</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subject</w:t>
            </w:r>
          </w:p>
        </w:tc>
        <w:tc>
          <w:tcPr>
            <w:tcW w:w="3480" w:type="dxa"/>
            <w:vAlign w:val="bottom"/>
          </w:tcPr>
          <w:p>
            <w:pPr>
              <w:ind w:left="160"/>
              <w:spacing w:after="0"/>
              <w:rPr>
                <w:sz w:val="20"/>
                <w:szCs w:val="20"/>
                <w:color w:val="auto"/>
              </w:rPr>
            </w:pPr>
            <w:r>
              <w:rPr>
                <w:rFonts w:ascii="Arial" w:cs="Arial" w:eastAsia="Arial" w:hAnsi="Arial"/>
                <w:sz w:val="14"/>
                <w:szCs w:val="14"/>
                <w:color w:val="auto"/>
              </w:rPr>
              <w:t>Cost of Natural Gas, Electric</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440"/>
              <w:spacing w:after="0"/>
              <w:rPr>
                <w:sz w:val="20"/>
                <w:szCs w:val="20"/>
                <w:color w:val="auto"/>
              </w:rPr>
            </w:pPr>
            <w:r>
              <w:rPr>
                <w:rFonts w:ascii="Arial" w:cs="Arial" w:eastAsia="Arial" w:hAnsi="Arial"/>
                <w:sz w:val="14"/>
                <w:szCs w:val="14"/>
                <w:color w:val="auto"/>
              </w:rPr>
              <w:t>to rate</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60" w:type="dxa"/>
            <w:vAlign w:val="bottom"/>
          </w:tcPr>
          <w:p>
            <w:pPr>
              <w:ind w:left="1280"/>
              <w:spacing w:after="0"/>
              <w:rPr>
                <w:sz w:val="20"/>
                <w:szCs w:val="20"/>
                <w:color w:val="auto"/>
              </w:rPr>
            </w:pPr>
            <w:r>
              <w:rPr>
                <w:rFonts w:ascii="Arial" w:cs="Arial" w:eastAsia="Arial" w:hAnsi="Arial"/>
                <w:sz w:val="14"/>
                <w:szCs w:val="14"/>
                <w:color w:val="auto"/>
              </w:rPr>
              <w:t>recovery</w:t>
            </w:r>
          </w:p>
        </w:tc>
        <w:tc>
          <w:tcPr>
            <w:tcW w:w="3480" w:type="dxa"/>
            <w:vAlign w:val="bottom"/>
          </w:tcPr>
          <w:p>
            <w:pPr>
              <w:ind w:left="320"/>
              <w:spacing w:after="0"/>
              <w:rPr>
                <w:sz w:val="20"/>
                <w:szCs w:val="20"/>
                <w:color w:val="auto"/>
              </w:rPr>
            </w:pPr>
            <w:r>
              <w:rPr>
                <w:rFonts w:ascii="Arial" w:cs="Arial" w:eastAsia="Arial" w:hAnsi="Arial"/>
                <w:sz w:val="14"/>
                <w:szCs w:val="14"/>
                <w:color w:val="auto"/>
              </w:rPr>
              <w:t>Fuel and Purchased Power</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(4)</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36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Total</w:t>
            </w:r>
          </w:p>
        </w:tc>
        <w:tc>
          <w:tcPr>
            <w:tcW w:w="3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(53)</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(136)</w:t>
            </w:r>
          </w:p>
        </w:tc>
        <w:tc>
          <w:tcPr>
            <w:tcW w:w="3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b w:val="1"/>
                <w:bCs w:val="1"/>
                <w:color w:val="auto"/>
              </w:rPr>
              <w:t>SDG&amp;E:</w:t>
            </w:r>
          </w:p>
        </w:tc>
        <w:tc>
          <w:tcPr>
            <w:tcW w:w="3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Interest rate</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vMerge w:val="restart"/>
          </w:tcPr>
          <w:p>
            <w:pPr>
              <w:jc w:val="right"/>
              <w:ind w:right="65"/>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instruments(1)</w:t>
            </w:r>
          </w:p>
        </w:tc>
        <w:tc>
          <w:tcPr>
            <w:tcW w:w="3480" w:type="dxa"/>
            <w:vAlign w:val="bottom"/>
          </w:tcPr>
          <w:p>
            <w:pPr>
              <w:ind w:left="160"/>
              <w:spacing w:after="0"/>
              <w:rPr>
                <w:sz w:val="20"/>
                <w:szCs w:val="20"/>
                <w:color w:val="auto"/>
              </w:rPr>
            </w:pPr>
            <w:r>
              <w:rPr>
                <w:rFonts w:ascii="Arial" w:cs="Arial" w:eastAsia="Arial" w:hAnsi="Arial"/>
                <w:sz w:val="14"/>
                <w:szCs w:val="14"/>
                <w:color w:val="auto"/>
              </w:rPr>
              <w:t>Other Income (Expense), Net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6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83"/>
              <w:spacing w:after="0"/>
              <w:rPr>
                <w:sz w:val="20"/>
                <w:szCs w:val="20"/>
                <w:color w:val="auto"/>
              </w:rPr>
            </w:pPr>
            <w:r>
              <w:rPr>
                <w:rFonts w:ascii="Arial" w:cs="Arial" w:eastAsia="Arial" w:hAnsi="Arial"/>
                <w:sz w:val="14"/>
                <w:szCs w:val="14"/>
                <w:color w:val="auto"/>
              </w:rPr>
              <w:t>(51)</w:t>
            </w: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Commodity</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contracts</w:t>
            </w: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280"/>
              <w:spacing w:after="0"/>
              <w:rPr>
                <w:sz w:val="20"/>
                <w:szCs w:val="20"/>
                <w:color w:val="auto"/>
              </w:rPr>
            </w:pPr>
            <w:r>
              <w:rPr>
                <w:rFonts w:ascii="Arial" w:cs="Arial" w:eastAsia="Arial" w:hAnsi="Arial"/>
                <w:sz w:val="14"/>
                <w:szCs w:val="14"/>
                <w:color w:val="auto"/>
              </w:rPr>
              <w:t>subject</w:t>
            </w:r>
          </w:p>
        </w:tc>
        <w:tc>
          <w:tcPr>
            <w:tcW w:w="3480" w:type="dxa"/>
            <w:vAlign w:val="bottom"/>
          </w:tcPr>
          <w:p>
            <w:pPr>
              <w:ind w:left="160"/>
              <w:spacing w:after="0"/>
              <w:rPr>
                <w:sz w:val="20"/>
                <w:szCs w:val="20"/>
                <w:color w:val="auto"/>
              </w:rPr>
            </w:pPr>
            <w:r>
              <w:rPr>
                <w:rFonts w:ascii="Arial" w:cs="Arial" w:eastAsia="Arial" w:hAnsi="Arial"/>
                <w:sz w:val="14"/>
                <w:szCs w:val="14"/>
                <w:color w:val="auto"/>
              </w:rPr>
              <w:t>Cost of Electric Fuel</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1440"/>
              <w:spacing w:after="0"/>
              <w:rPr>
                <w:sz w:val="20"/>
                <w:szCs w:val="20"/>
                <w:color w:val="auto"/>
              </w:rPr>
            </w:pPr>
            <w:r>
              <w:rPr>
                <w:rFonts w:ascii="Arial" w:cs="Arial" w:eastAsia="Arial" w:hAnsi="Arial"/>
                <w:sz w:val="14"/>
                <w:szCs w:val="14"/>
                <w:color w:val="auto"/>
              </w:rPr>
              <w:t>to rate</w:t>
            </w:r>
          </w:p>
        </w:tc>
        <w:tc>
          <w:tcPr>
            <w:tcW w:w="3480" w:type="dxa"/>
            <w:vAlign w:val="bottom"/>
            <w:vMerge w:val="restart"/>
          </w:tcPr>
          <w:p>
            <w:pPr>
              <w:ind w:left="300"/>
              <w:spacing w:after="0"/>
              <w:rPr>
                <w:sz w:val="20"/>
                <w:szCs w:val="20"/>
                <w:color w:val="auto"/>
              </w:rPr>
            </w:pPr>
            <w:r>
              <w:rPr>
                <w:rFonts w:ascii="Arial" w:cs="Arial" w:eastAsia="Arial" w:hAnsi="Arial"/>
                <w:sz w:val="14"/>
                <w:szCs w:val="14"/>
                <w:color w:val="auto"/>
              </w:rPr>
              <w:t>and Purchased Power</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vMerge w:val="restart"/>
          </w:tcPr>
          <w:p>
            <w:pPr>
              <w:jc w:val="right"/>
              <w:ind w:right="25"/>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8"/>
        </w:trPr>
        <w:tc>
          <w:tcPr>
            <w:tcW w:w="2360" w:type="dxa"/>
            <w:vAlign w:val="bottom"/>
          </w:tcPr>
          <w:p>
            <w:pPr>
              <w:ind w:left="1280"/>
              <w:spacing w:after="0" w:line="147" w:lineRule="exact"/>
              <w:rPr>
                <w:sz w:val="20"/>
                <w:szCs w:val="20"/>
                <w:color w:val="auto"/>
              </w:rPr>
            </w:pPr>
            <w:r>
              <w:rPr>
                <w:rFonts w:ascii="Arial" w:cs="Arial" w:eastAsia="Arial" w:hAnsi="Arial"/>
                <w:sz w:val="14"/>
                <w:szCs w:val="14"/>
                <w:color w:val="auto"/>
              </w:rPr>
              <w:t>recovery</w:t>
            </w:r>
          </w:p>
        </w:tc>
        <w:tc>
          <w:tcPr>
            <w:tcW w:w="3480" w:type="dxa"/>
            <w:vAlign w:val="bottom"/>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9"/>
              <w:spacing w:after="0" w:line="147" w:lineRule="exact"/>
              <w:rPr>
                <w:sz w:val="20"/>
                <w:szCs w:val="20"/>
                <w:color w:val="auto"/>
              </w:rPr>
            </w:pPr>
            <w:r>
              <w:rPr>
                <w:rFonts w:ascii="Arial" w:cs="Arial" w:eastAsia="Arial" w:hAnsi="Arial"/>
                <w:sz w:val="14"/>
                <w:szCs w:val="14"/>
                <w:color w:val="auto"/>
              </w:rPr>
              <w:t>(39)</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8"/>
              <w:spacing w:after="0" w:line="147" w:lineRule="exact"/>
              <w:rPr>
                <w:sz w:val="20"/>
                <w:szCs w:val="20"/>
                <w:color w:val="auto"/>
              </w:rPr>
            </w:pPr>
            <w:r>
              <w:rPr>
                <w:rFonts w:ascii="Arial" w:cs="Arial" w:eastAsia="Arial" w:hAnsi="Arial"/>
                <w:sz w:val="14"/>
                <w:szCs w:val="14"/>
                <w:color w:val="auto"/>
              </w:rPr>
              <w:t>(18)</w:t>
            </w:r>
          </w:p>
        </w:tc>
        <w:tc>
          <w:tcPr>
            <w:tcW w:w="4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tcPr>
          <w:p>
            <w:pPr>
              <w:jc w:val="right"/>
              <w:ind w:right="83"/>
              <w:spacing w:after="0" w:line="147" w:lineRule="exact"/>
              <w:rPr>
                <w:sz w:val="20"/>
                <w:szCs w:val="20"/>
                <w:color w:val="auto"/>
              </w:rPr>
            </w:pPr>
            <w:r>
              <w:rPr>
                <w:rFonts w:ascii="Arial" w:cs="Arial" w:eastAsia="Arial" w:hAnsi="Arial"/>
                <w:sz w:val="14"/>
                <w:szCs w:val="14"/>
                <w:color w:val="auto"/>
              </w:rPr>
              <w:t>(100)</w:t>
            </w: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3480" w:type="dxa"/>
            <w:vAlign w:val="bottom"/>
          </w:tcPr>
          <w:p>
            <w:pPr>
              <w:ind w:left="160"/>
              <w:spacing w:after="0" w:line="185" w:lineRule="exact"/>
              <w:rPr>
                <w:sz w:val="20"/>
                <w:szCs w:val="20"/>
                <w:color w:val="auto"/>
              </w:rPr>
            </w:pPr>
            <w:r>
              <w:rPr>
                <w:rFonts w:ascii="Arial" w:cs="Arial" w:eastAsia="Arial" w:hAnsi="Arial"/>
                <w:sz w:val="19"/>
                <w:szCs w:val="19"/>
                <w:color w:val="auto"/>
              </w:rPr>
              <w:t>&lt; font style="FONT-SIZE:9pt;</w:t>
            </w: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480" w:type="dxa"/>
            <w:vAlign w:val="bottom"/>
          </w:tcPr>
          <w:p>
            <w:pPr>
              <w:ind w:left="160"/>
              <w:spacing w:after="0" w:line="216" w:lineRule="exact"/>
              <w:rPr>
                <w:sz w:val="20"/>
                <w:szCs w:val="20"/>
                <w:color w:val="auto"/>
              </w:rPr>
            </w:pPr>
            <w:r>
              <w:rPr>
                <w:rFonts w:ascii="Arial" w:cs="Arial" w:eastAsia="Arial" w:hAnsi="Arial"/>
                <w:sz w:val="19"/>
                <w:szCs w:val="19"/>
                <w:color w:val="auto"/>
              </w:rPr>
              <w:t>COLOR:black; FONT-</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36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Total</w:t>
            </w:r>
          </w:p>
        </w:tc>
        <w:tc>
          <w:tcPr>
            <w:tcW w:w="3480" w:type="dxa"/>
            <w:vAlign w:val="bottom"/>
            <w:tcBorders>
              <w:bottom w:val="single" w:sz="8" w:color="auto"/>
            </w:tcBorders>
          </w:tcPr>
          <w:p>
            <w:pPr>
              <w:ind w:left="160"/>
              <w:spacing w:after="0"/>
              <w:rPr>
                <w:sz w:val="20"/>
                <w:szCs w:val="20"/>
                <w:color w:val="auto"/>
              </w:rPr>
            </w:pPr>
            <w:r>
              <w:rPr>
                <w:rFonts w:ascii="Arial" w:cs="Arial" w:eastAsia="Arial" w:hAnsi="Arial"/>
                <w:sz w:val="19"/>
                <w:szCs w:val="19"/>
                <w:color w:val="auto"/>
              </w:rPr>
              <w:t>FAMILY:'Arial','sans-serif'"&gt;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(56)</w:t>
            </w:r>
          </w:p>
        </w:tc>
        <w:tc>
          <w:tcPr>
            <w:tcW w:w="540" w:type="dxa"/>
            <w:vAlign w:val="bottom"/>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(151)</w:t>
            </w:r>
          </w:p>
        </w:tc>
        <w:tc>
          <w:tcPr>
            <w:tcW w:w="3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SoCalGas:</w:t>
      </w:r>
    </w:p>
    <w:p>
      <w:pPr>
        <w:spacing w:after="0" w:line="25" w:lineRule="exact"/>
        <w:rPr>
          <w:sz w:val="20"/>
          <w:szCs w:val="20"/>
          <w:color w:val="auto"/>
        </w:rPr>
      </w:pPr>
    </w:p>
    <w:p>
      <w:pPr>
        <w:ind w:left="1284"/>
        <w:spacing w:after="0"/>
        <w:rPr>
          <w:sz w:val="20"/>
          <w:szCs w:val="20"/>
          <w:color w:val="auto"/>
        </w:rPr>
      </w:pPr>
      <w:r>
        <w:rPr>
          <w:rFonts w:ascii="Arial" w:cs="Arial" w:eastAsia="Arial" w:hAnsi="Arial"/>
          <w:sz w:val="14"/>
          <w:szCs w:val="14"/>
          <w:color w:val="auto"/>
        </w:rPr>
        <w:t>Commodity</w:t>
      </w:r>
    </w:p>
    <w:p>
      <w:pPr>
        <w:spacing w:after="0" w:line="7" w:lineRule="exact"/>
        <w:rPr>
          <w:sz w:val="20"/>
          <w:szCs w:val="20"/>
          <w:color w:val="auto"/>
        </w:rPr>
      </w:pPr>
    </w:p>
    <w:p>
      <w:pPr>
        <w:ind w:left="1284"/>
        <w:spacing w:after="0"/>
        <w:rPr>
          <w:sz w:val="20"/>
          <w:szCs w:val="20"/>
          <w:color w:val="auto"/>
        </w:rPr>
      </w:pPr>
      <w:r>
        <w:rPr>
          <w:rFonts w:ascii="Arial" w:cs="Arial" w:eastAsia="Arial" w:hAnsi="Arial"/>
          <w:sz w:val="14"/>
          <w:szCs w:val="14"/>
          <w:color w:val="auto"/>
        </w:rPr>
        <w:t>contracts</w:t>
      </w:r>
    </w:p>
    <w:p>
      <w:pPr>
        <w:sectPr>
          <w:pgSz w:w="11900" w:h="16847" w:orient="portrait"/>
          <w:cols w:equalWidth="0" w:num="1">
            <w:col w:w="11444"/>
          </w:cols>
          <w:pgMar w:left="236" w:top="141" w:right="219" w:bottom="0" w:gutter="0" w:footer="0" w:header="0"/>
        </w:sectPr>
      </w:pPr>
    </w:p>
    <w:bookmarkStart w:id="32" w:name="page33"/>
    <w:bookmarkEnd w:id="32"/>
    <w:p>
      <w:pPr>
        <w:spacing w:after="0" w:line="47" w:lineRule="exact"/>
        <w:rPr>
          <w:sz w:val="20"/>
          <w:szCs w:val="20"/>
          <w:color w:val="auto"/>
        </w:rPr>
      </w:pPr>
    </w:p>
    <w:tbl>
      <w:tblPr>
        <w:tblLayout w:type="fixed"/>
        <w:tblInd w:w="1280" w:type="dxa"/>
        <w:tblCellMar>
          <w:top w:w="0" w:type="dxa"/>
          <w:left w:w="0" w:type="dxa"/>
          <w:bottom w:w="0" w:type="dxa"/>
          <w:right w:w="0" w:type="dxa"/>
        </w:tblCellMar>
      </w:tblPr>
      <w:tr>
        <w:trPr>
          <w:trHeight w:val="168"/>
        </w:trPr>
        <w:tc>
          <w:tcPr>
            <w:tcW w:w="900" w:type="dxa"/>
            <w:vAlign w:val="bottom"/>
          </w:tcPr>
          <w:p>
            <w:pPr>
              <w:spacing w:after="0"/>
              <w:rPr>
                <w:sz w:val="20"/>
                <w:szCs w:val="20"/>
                <w:color w:val="auto"/>
              </w:rPr>
            </w:pPr>
            <w:r>
              <w:rPr>
                <w:rFonts w:ascii="Arial" w:cs="Arial" w:eastAsia="Arial" w:hAnsi="Arial"/>
                <w:sz w:val="14"/>
                <w:szCs w:val="14"/>
                <w:color w:val="auto"/>
              </w:rPr>
              <w:t>subject</w:t>
            </w:r>
          </w:p>
        </w:tc>
        <w:tc>
          <w:tcPr>
            <w:tcW w:w="2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8"/>
        </w:trPr>
        <w:tc>
          <w:tcPr>
            <w:tcW w:w="900" w:type="dxa"/>
            <w:vAlign w:val="bottom"/>
          </w:tcPr>
          <w:p>
            <w:pPr>
              <w:ind w:left="160"/>
              <w:spacing w:after="0"/>
              <w:rPr>
                <w:sz w:val="20"/>
                <w:szCs w:val="20"/>
                <w:color w:val="auto"/>
              </w:rPr>
            </w:pPr>
            <w:r>
              <w:rPr>
                <w:rFonts w:ascii="Arial" w:cs="Arial" w:eastAsia="Arial" w:hAnsi="Arial"/>
                <w:sz w:val="14"/>
                <w:szCs w:val="14"/>
                <w:color w:val="auto"/>
              </w:rPr>
              <w:t>to rate</w:t>
            </w:r>
          </w:p>
        </w:tc>
        <w:tc>
          <w:tcPr>
            <w:tcW w:w="2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84"/>
        </w:trPr>
        <w:tc>
          <w:tcPr>
            <w:tcW w:w="900" w:type="dxa"/>
            <w:vAlign w:val="bottom"/>
          </w:tcPr>
          <w:p>
            <w:pPr>
              <w:spacing w:after="0"/>
              <w:rPr>
                <w:sz w:val="20"/>
                <w:szCs w:val="20"/>
                <w:color w:val="auto"/>
              </w:rPr>
            </w:pPr>
            <w:r>
              <w:rPr>
                <w:rFonts w:ascii="Arial" w:cs="Arial" w:eastAsia="Arial" w:hAnsi="Arial"/>
                <w:sz w:val="14"/>
                <w:szCs w:val="14"/>
                <w:color w:val="auto"/>
              </w:rPr>
              <w:t>recovery</w:t>
            </w:r>
          </w:p>
        </w:tc>
        <w:tc>
          <w:tcPr>
            <w:tcW w:w="2760" w:type="dxa"/>
            <w:vAlign w:val="bottom"/>
          </w:tcPr>
          <w:p>
            <w:pPr>
              <w:ind w:left="340"/>
              <w:spacing w:after="0"/>
              <w:rPr>
                <w:sz w:val="20"/>
                <w:szCs w:val="20"/>
                <w:color w:val="auto"/>
              </w:rPr>
            </w:pPr>
            <w:r>
              <w:rPr>
                <w:rFonts w:ascii="Arial" w:cs="Arial" w:eastAsia="Arial" w:hAnsi="Arial"/>
                <w:sz w:val="14"/>
                <w:szCs w:val="14"/>
                <w:color w:val="auto"/>
              </w:rPr>
              <w:t>Cost of Natural Gas</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22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pacing w:after="0" w:line="38" w:lineRule="exact"/>
        <w:rPr>
          <w:sz w:val="20"/>
          <w:szCs w:val="20"/>
          <w:color w:val="auto"/>
        </w:rPr>
      </w:pPr>
    </w:p>
    <w:p>
      <w:pPr>
        <w:ind w:left="1280" w:hanging="344"/>
        <w:spacing w:after="0"/>
        <w:tabs>
          <w:tab w:leader="none" w:pos="1280" w:val="left"/>
        </w:tabs>
        <w:numPr>
          <w:ilvl w:val="0"/>
          <w:numId w:val="27"/>
        </w:numPr>
        <w:rPr>
          <w:rFonts w:ascii="Arial" w:cs="Arial" w:eastAsia="Arial" w:hAnsi="Arial"/>
          <w:sz w:val="13"/>
          <w:szCs w:val="13"/>
          <w:i w:val="1"/>
          <w:iCs w:val="1"/>
          <w:color w:val="auto"/>
        </w:rPr>
      </w:pPr>
      <w:r>
        <w:rPr>
          <w:rFonts w:ascii="Arial" w:cs="Arial" w:eastAsia="Arial" w:hAnsi="Arial"/>
          <w:sz w:val="13"/>
          <w:szCs w:val="13"/>
          <w:i w:val="1"/>
          <w:iCs w:val="1"/>
          <w:color w:val="auto"/>
        </w:rPr>
        <w:t>Related to Otay Mesa VIE. Sempra Energy Consolidated also includes additional instruments.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CONTINGENT FEATURES</w:t>
      </w:r>
    </w:p>
    <w:p>
      <w:pPr>
        <w:spacing w:after="0" w:line="94" w:lineRule="exact"/>
        <w:rPr>
          <w:sz w:val="20"/>
          <w:szCs w:val="20"/>
          <w:color w:val="auto"/>
        </w:rPr>
      </w:pPr>
    </w:p>
    <w:p>
      <w:pPr>
        <w:ind w:right="160"/>
        <w:spacing w:after="0" w:line="317" w:lineRule="auto"/>
        <w:rPr>
          <w:sz w:val="20"/>
          <w:szCs w:val="20"/>
          <w:color w:val="auto"/>
        </w:rPr>
      </w:pPr>
      <w:r>
        <w:rPr>
          <w:rFonts w:ascii="Arial" w:cs="Arial" w:eastAsia="Arial" w:hAnsi="Arial"/>
          <w:sz w:val="14"/>
          <w:szCs w:val="14"/>
          <w:b w:val="1"/>
          <w:bCs w:val="1"/>
          <w:color w:val="auto"/>
        </w:rPr>
        <w:t>For Sempra Energy and SDG&amp;E , certain of our derivative instruments contain credit limits which vary depending upon our credit ratings. Generally, these provisions, if applicable, may reduce our credit limit if a specified credit rating agency reduces our rating. In certain cases, if our credit ratings were to fall below investment grade, the counterparty to these derivative liability instruments could request immediate payment or demand immediate and ongoing full collateralization.</w:t>
      </w:r>
    </w:p>
    <w:p>
      <w:pPr>
        <w:spacing w:after="0" w:line="3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b w:val="1"/>
          <w:bCs w:val="1"/>
          <w:color w:val="auto"/>
        </w:rPr>
        <w:t>For Sempra Energy, the total fair value of this group of derivative instruments in a net liability position at September 30, 2010 is $5 million. As of September 30, 2010, if the credit ratings of Sempra Energy and SDG&amp;E were both reduced below investment grade, $5 million of additional assets could be required to be posted as collateral for these derivative contracts.</w:t>
      </w:r>
    </w:p>
    <w:p>
      <w:pPr>
        <w:spacing w:after="0" w:line="69" w:lineRule="exact"/>
        <w:rPr>
          <w:sz w:val="20"/>
          <w:szCs w:val="20"/>
          <w:color w:val="auto"/>
        </w:rPr>
      </w:pPr>
    </w:p>
    <w:p>
      <w:pPr>
        <w:ind w:right="100"/>
        <w:spacing w:after="0" w:line="348" w:lineRule="auto"/>
        <w:rPr>
          <w:sz w:val="20"/>
          <w:szCs w:val="20"/>
          <w:color w:val="auto"/>
        </w:rPr>
      </w:pPr>
      <w:r>
        <w:rPr>
          <w:rFonts w:ascii="Arial" w:cs="Arial" w:eastAsia="Arial" w:hAnsi="Arial"/>
          <w:sz w:val="14"/>
          <w:szCs w:val="14"/>
          <w:b w:val="1"/>
          <w:bCs w:val="1"/>
          <w:color w:val="auto"/>
        </w:rPr>
        <w:t>For SDG&amp;E, the total fair value of this group of derivative instruments in a net liability position at September 30, 2010 is $2 million. As of September 30, 2010, if the credit ratings of SDG&amp;E were reduced below investment grade, $2 million of additional assets could be required to be posted as collateral for these derivative contracts.</w:t>
      </w:r>
    </w:p>
    <w:p>
      <w:pPr>
        <w:spacing w:after="0" w:line="13" w:lineRule="exact"/>
        <w:rPr>
          <w:sz w:val="20"/>
          <w:szCs w:val="20"/>
          <w:color w:val="auto"/>
        </w:rPr>
      </w:pPr>
    </w:p>
    <w:p>
      <w:pPr>
        <w:ind w:right="400"/>
        <w:spacing w:after="0" w:line="348" w:lineRule="auto"/>
        <w:rPr>
          <w:sz w:val="20"/>
          <w:szCs w:val="20"/>
          <w:color w:val="auto"/>
        </w:rPr>
      </w:pPr>
      <w:r>
        <w:rPr>
          <w:rFonts w:ascii="Arial" w:cs="Arial" w:eastAsia="Arial" w:hAnsi="Arial"/>
          <w:sz w:val="14"/>
          <w:szCs w:val="14"/>
          <w:b w:val="1"/>
          <w:bCs w:val="1"/>
          <w:color w:val="auto"/>
        </w:rPr>
        <w:t>For Sempra Energy, SDG&amp;E, PE and SoCalGas, some of our derivative contracts contain a provision that would permit the counterparty, in certain circumstances, to request adequate assurance of our performance under the contract. Such additional assurance, if needed, is not material and is not included in the amounts above.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 BR CLEAR=ALL STYLE=PAGE-BREAK-BEFORE:ALWAYS&gt;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2618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 FAIR VALUE MEASUREMENTS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52"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b w:val="1"/>
          <w:bCs w:val="1"/>
          <w:color w:val="auto"/>
        </w:rPr>
        <w:t>The fair values of certain of our financial instruments (cash, temporary investments, accounts and notes receivable, dividends and accounts payable, short-term debt and customer deposits) approximate their carrying amounts. The following table provides the carrying amounts and fair values of the remaining financial instruments at September 30, 2010 and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261860" cy="289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spacing w:after="0" w:line="32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FAIR VALUE OF FINANCIAL INSTRUMENTS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2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3080" w:type="dxa"/>
            <w:vAlign w:val="bottom"/>
            <w:gridSpan w:val="3"/>
            <w:vMerge w:val="restart"/>
          </w:tcPr>
          <w:p>
            <w:pPr>
              <w:jc w:val="right"/>
              <w:ind w:right="290"/>
              <w:spacing w:after="0"/>
              <w:rPr>
                <w:sz w:val="20"/>
                <w:szCs w:val="20"/>
                <w:color w:val="auto"/>
              </w:rPr>
            </w:pPr>
            <w:r>
              <w:rPr>
                <w:rFonts w:ascii="Arial" w:cs="Arial" w:eastAsia="Arial" w:hAnsi="Arial"/>
                <w:sz w:val="19"/>
                <w:szCs w:val="19"/>
                <w:color w:val="auto"/>
              </w:rPr>
              <w:t>September 30, 2010</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3080" w:type="dxa"/>
            <w:vAlign w:val="bottom"/>
            <w:tcBorders>
              <w:bottom w:val="single" w:sz="8" w:color="auto"/>
            </w:tcBorders>
            <w:gridSpan w:val="3"/>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3"/>
                <w:szCs w:val="13"/>
                <w:color w:val="auto"/>
              </w:rPr>
              <w:t>December 31, 2009</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1260" w:type="dxa"/>
            <w:vAlign w:val="bottom"/>
          </w:tcPr>
          <w:p>
            <w:pPr>
              <w:jc w:val="right"/>
              <w:ind w:right="27"/>
              <w:spacing w:after="0"/>
              <w:rPr>
                <w:sz w:val="20"/>
                <w:szCs w:val="20"/>
                <w:color w:val="auto"/>
              </w:rPr>
            </w:pPr>
            <w:r>
              <w:rPr>
                <w:rFonts w:ascii="Arial" w:cs="Arial" w:eastAsia="Arial" w:hAnsi="Arial"/>
                <w:sz w:val="13"/>
                <w:szCs w:val="13"/>
                <w:color w:val="auto"/>
              </w:rPr>
              <w:t>Carrying</w:t>
            </w:r>
          </w:p>
        </w:tc>
        <w:tc>
          <w:tcPr>
            <w:tcW w:w="70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3"/>
                <w:szCs w:val="13"/>
                <w:color w:val="auto"/>
              </w:rPr>
              <w:t>Fair</w:t>
            </w: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Carrying</w:t>
            </w: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Fair</w:t>
            </w:r>
            <w:r>
              <w:rPr>
                <w:rFonts w:ascii="Arial" w:cs="Arial" w:eastAsia="Arial" w:hAnsi="Arial"/>
                <w:sz w:val="19"/>
                <w:szCs w:val="19"/>
                <w:color w:val="auto"/>
              </w:rPr>
              <w:t>&lt; /p&gt;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7"/>
              <w:spacing w:after="0" w:line="148" w:lineRule="exact"/>
              <w:rPr>
                <w:sz w:val="20"/>
                <w:szCs w:val="20"/>
                <w:color w:val="auto"/>
              </w:rPr>
            </w:pPr>
            <w:r>
              <w:rPr>
                <w:rFonts w:ascii="Arial" w:cs="Arial" w:eastAsia="Arial" w:hAnsi="Arial"/>
                <w:sz w:val="13"/>
                <w:szCs w:val="13"/>
                <w:color w:val="auto"/>
              </w:rPr>
              <w:t>Amount</w:t>
            </w: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0"/>
              <w:spacing w:after="0" w:line="148" w:lineRule="exact"/>
              <w:rPr>
                <w:sz w:val="20"/>
                <w:szCs w:val="20"/>
                <w:color w:val="auto"/>
              </w:rPr>
            </w:pPr>
            <w:r>
              <w:rPr>
                <w:rFonts w:ascii="Arial" w:cs="Arial" w:eastAsia="Arial" w:hAnsi="Arial"/>
                <w:sz w:val="13"/>
                <w:szCs w:val="13"/>
                <w:color w:val="auto"/>
              </w:rPr>
              <w:t>Value</w:t>
            </w:r>
          </w:p>
        </w:tc>
        <w:tc>
          <w:tcPr>
            <w:tcW w:w="7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0"/>
              <w:spacing w:after="0" w:line="148" w:lineRule="exact"/>
              <w:rPr>
                <w:sz w:val="20"/>
                <w:szCs w:val="20"/>
                <w:color w:val="auto"/>
              </w:rPr>
            </w:pPr>
            <w:r>
              <w:rPr>
                <w:rFonts w:ascii="Arial" w:cs="Arial" w:eastAsia="Arial" w:hAnsi="Arial"/>
                <w:sz w:val="13"/>
                <w:szCs w:val="13"/>
                <w:color w:val="auto"/>
              </w:rPr>
              <w:t>Amount</w:t>
            </w:r>
          </w:p>
        </w:tc>
        <w:tc>
          <w:tcPr>
            <w:tcW w:w="7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30"/>
              <w:spacing w:after="0" w:line="148" w:lineRule="exact"/>
              <w:rPr>
                <w:sz w:val="20"/>
                <w:szCs w:val="20"/>
                <w:color w:val="auto"/>
              </w:rPr>
            </w:pPr>
            <w:r>
              <w:rPr>
                <w:rFonts w:ascii="Arial" w:cs="Arial" w:eastAsia="Arial" w:hAnsi="Arial"/>
                <w:sz w:val="13"/>
                <w:szCs w:val="13"/>
                <w:color w:val="auto"/>
              </w:rPr>
              <w:t>Value</w:t>
            </w: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tcPr>
          <w:p>
            <w:pPr>
              <w:ind w:left="80"/>
              <w:spacing w:after="0"/>
              <w:rPr>
                <w:sz w:val="20"/>
                <w:szCs w:val="20"/>
                <w:color w:val="auto"/>
              </w:rPr>
            </w:pPr>
            <w:r>
              <w:rPr>
                <w:rFonts w:ascii="Arial" w:cs="Arial" w:eastAsia="Arial" w:hAnsi="Arial"/>
                <w:sz w:val="14"/>
                <w:szCs w:val="14"/>
                <w:b w:val="1"/>
                <w:bCs w:val="1"/>
                <w:color w:val="auto"/>
              </w:rPr>
              <w:t>Sempra Energy Consolidated:</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vMerge w:val="restart"/>
          </w:tcPr>
          <w:p>
            <w:pPr>
              <w:jc w:val="right"/>
              <w:ind w:right="209"/>
              <w:spacing w:after="0"/>
              <w:rPr>
                <w:sz w:val="20"/>
                <w:szCs w:val="20"/>
                <w:color w:val="auto"/>
              </w:rPr>
            </w:pPr>
            <w:r>
              <w:rPr>
                <w:rFonts w:ascii="Arial" w:cs="Arial" w:eastAsia="Arial" w:hAnsi="Arial"/>
                <w:sz w:val="14"/>
                <w:szCs w:val="14"/>
                <w:color w:val="auto"/>
              </w:rPr>
              <w:t>34</w:t>
            </w: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20" w:type="dxa"/>
            <w:vAlign w:val="bottom"/>
          </w:tcPr>
          <w:p>
            <w:pPr>
              <w:ind w:left="80"/>
              <w:spacing w:after="0"/>
              <w:rPr>
                <w:sz w:val="20"/>
                <w:szCs w:val="20"/>
                <w:color w:val="auto"/>
              </w:rPr>
            </w:pPr>
            <w:r>
              <w:rPr>
                <w:rFonts w:ascii="Arial" w:cs="Arial" w:eastAsia="Arial" w:hAnsi="Arial"/>
                <w:sz w:val="14"/>
                <w:szCs w:val="14"/>
                <w:color w:val="auto"/>
              </w:rPr>
              <w:t>Investments in affordable housing partnerships(1)</w:t>
            </w:r>
          </w:p>
        </w:tc>
        <w:tc>
          <w:tcPr>
            <w:tcW w:w="1260" w:type="dxa"/>
            <w:vAlign w:val="bottom"/>
          </w:tcPr>
          <w:p>
            <w:pPr>
              <w:jc w:val="right"/>
              <w:ind w:right="767"/>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86"/>
              <w:spacing w:after="0"/>
              <w:rPr>
                <w:sz w:val="20"/>
                <w:szCs w:val="20"/>
                <w:color w:val="auto"/>
              </w:rPr>
            </w:pPr>
            <w:r>
              <w:rPr>
                <w:rFonts w:ascii="Arial" w:cs="Arial" w:eastAsia="Arial" w:hAnsi="Arial"/>
                <w:sz w:val="14"/>
                <w:szCs w:val="14"/>
                <w:color w:val="auto"/>
              </w:rPr>
              <w:t>29</w:t>
            </w:r>
          </w:p>
        </w:tc>
        <w:tc>
          <w:tcPr>
            <w:tcW w:w="1120" w:type="dxa"/>
            <w:vAlign w:val="bottom"/>
          </w:tcPr>
          <w:p>
            <w:pPr>
              <w:jc w:val="right"/>
              <w:ind w:right="73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58</w:t>
            </w:r>
          </w:p>
        </w:tc>
        <w:tc>
          <w:tcPr>
            <w:tcW w:w="1080" w:type="dxa"/>
            <w:vAlign w:val="bottom"/>
          </w:tcPr>
          <w:p>
            <w:pPr>
              <w:jc w:val="right"/>
              <w:ind w:right="690"/>
              <w:spacing w:after="0"/>
              <w:rPr>
                <w:sz w:val="20"/>
                <w:szCs w:val="20"/>
                <w:color w:val="auto"/>
              </w:rPr>
            </w:pPr>
            <w:r>
              <w:rPr>
                <w:rFonts w:ascii="Arial" w:cs="Arial" w:eastAsia="Arial" w:hAnsi="Arial"/>
                <w:sz w:val="14"/>
                <w:szCs w:val="14"/>
                <w:color w:val="auto"/>
              </w:rPr>
              <w:t>$</w:t>
            </w:r>
          </w:p>
        </w:tc>
        <w:tc>
          <w:tcPr>
            <w:tcW w:w="720" w:type="dxa"/>
            <w:vAlign w:val="bottom"/>
            <w:vMerge w:val="continue"/>
          </w:tcPr>
          <w:p>
            <w:pPr>
              <w:spacing w:after="0"/>
              <w:rPr>
                <w:sz w:val="16"/>
                <w:szCs w:val="16"/>
                <w:color w:val="auto"/>
              </w:rPr>
            </w:pPr>
          </w:p>
        </w:tc>
        <w:tc>
          <w:tcPr>
            <w:tcW w:w="1140" w:type="dxa"/>
            <w:vAlign w:val="bottom"/>
          </w:tcPr>
          <w:p>
            <w:pPr>
              <w:jc w:val="right"/>
              <w:ind w:right="79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4"/>
        </w:trPr>
        <w:tc>
          <w:tcPr>
            <w:tcW w:w="4120" w:type="dxa"/>
            <w:vAlign w:val="bottom"/>
          </w:tcPr>
          <w:p>
            <w:pPr>
              <w:ind w:left="80"/>
              <w:spacing w:after="0"/>
              <w:rPr>
                <w:sz w:val="20"/>
                <w:szCs w:val="20"/>
                <w:color w:val="auto"/>
              </w:rPr>
            </w:pPr>
            <w:r>
              <w:rPr>
                <w:rFonts w:ascii="Arial" w:cs="Arial" w:eastAsia="Arial" w:hAnsi="Arial"/>
                <w:sz w:val="14"/>
                <w:szCs w:val="14"/>
                <w:color w:val="auto"/>
              </w:rPr>
              <w:t>Total long-term debt(2)</w:t>
            </w:r>
          </w:p>
        </w:tc>
        <w:tc>
          <w:tcPr>
            <w:tcW w:w="1260" w:type="dxa"/>
            <w:vAlign w:val="bottom"/>
          </w:tcPr>
          <w:p>
            <w:pPr>
              <w:spacing w:after="0"/>
              <w:rPr>
                <w:sz w:val="16"/>
                <w:szCs w:val="16"/>
                <w:color w:val="auto"/>
              </w:rPr>
            </w:pPr>
          </w:p>
        </w:tc>
        <w:tc>
          <w:tcPr>
            <w:tcW w:w="700" w:type="dxa"/>
            <w:vAlign w:val="bottom"/>
          </w:tcPr>
          <w:p>
            <w:pPr>
              <w:jc w:val="right"/>
              <w:ind w:right="186"/>
              <w:spacing w:after="0"/>
              <w:rPr>
                <w:sz w:val="20"/>
                <w:szCs w:val="20"/>
                <w:color w:val="auto"/>
              </w:rPr>
            </w:pPr>
            <w:r>
              <w:rPr>
                <w:rFonts w:ascii="Arial" w:cs="Arial" w:eastAsia="Arial" w:hAnsi="Arial"/>
                <w:sz w:val="14"/>
                <w:szCs w:val="14"/>
                <w:color w:val="auto"/>
              </w:rPr>
              <w:t>8,152</w:t>
            </w:r>
          </w:p>
        </w:tc>
        <w:tc>
          <w:tcPr>
            <w:tcW w:w="112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9,288</w:t>
            </w:r>
          </w:p>
        </w:tc>
        <w:tc>
          <w:tcPr>
            <w:tcW w:w="108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8,004</w:t>
            </w:r>
          </w:p>
        </w:tc>
        <w:tc>
          <w:tcPr>
            <w:tcW w:w="11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8,572</w:t>
            </w:r>
          </w:p>
        </w:tc>
        <w:tc>
          <w:tcPr>
            <w:tcW w:w="0" w:type="dxa"/>
            <w:vAlign w:val="bottom"/>
          </w:tcPr>
          <w:p>
            <w:pPr>
              <w:spacing w:after="0"/>
              <w:rPr>
                <w:sz w:val="1"/>
                <w:szCs w:val="1"/>
                <w:color w:val="auto"/>
              </w:rPr>
            </w:pPr>
          </w:p>
        </w:tc>
      </w:tr>
      <w:tr>
        <w:trPr>
          <w:trHeight w:val="192"/>
        </w:trPr>
        <w:tc>
          <w:tcPr>
            <w:tcW w:w="4120" w:type="dxa"/>
            <w:vAlign w:val="bottom"/>
          </w:tcPr>
          <w:p>
            <w:pPr>
              <w:ind w:left="80"/>
              <w:spacing w:after="0"/>
              <w:rPr>
                <w:sz w:val="20"/>
                <w:szCs w:val="20"/>
                <w:color w:val="auto"/>
              </w:rPr>
            </w:pPr>
            <w:r>
              <w:rPr>
                <w:rFonts w:ascii="Arial" w:cs="Arial" w:eastAsia="Arial" w:hAnsi="Arial"/>
                <w:sz w:val="14"/>
                <w:szCs w:val="14"/>
                <w:color w:val="auto"/>
              </w:rPr>
              <w:t>Due to unconsolidated affiliate</w:t>
            </w:r>
          </w:p>
        </w:tc>
        <w:tc>
          <w:tcPr>
            <w:tcW w:w="1260" w:type="dxa"/>
            <w:vAlign w:val="bottom"/>
          </w:tcPr>
          <w:p>
            <w:pPr>
              <w:spacing w:after="0"/>
              <w:rPr>
                <w:sz w:val="16"/>
                <w:szCs w:val="16"/>
                <w:color w:val="auto"/>
              </w:rPr>
            </w:pPr>
          </w:p>
        </w:tc>
        <w:tc>
          <w:tcPr>
            <w:tcW w:w="700" w:type="dxa"/>
            <w:vAlign w:val="bottom"/>
          </w:tcPr>
          <w:p>
            <w:pPr>
              <w:jc w:val="right"/>
              <w:ind w:right="186"/>
              <w:spacing w:after="0"/>
              <w:rPr>
                <w:sz w:val="20"/>
                <w:szCs w:val="20"/>
                <w:color w:val="auto"/>
              </w:rPr>
            </w:pPr>
            <w:r>
              <w:rPr>
                <w:rFonts w:ascii="Arial" w:cs="Arial" w:eastAsia="Arial" w:hAnsi="Arial"/>
                <w:sz w:val="14"/>
                <w:szCs w:val="14"/>
                <w:color w:val="auto"/>
              </w:rPr>
              <w:t>2</w:t>
            </w:r>
          </w:p>
        </w:tc>
        <w:tc>
          <w:tcPr>
            <w:tcW w:w="112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1080" w:type="dxa"/>
            <w:vAlign w:val="bottom"/>
          </w:tcPr>
          <w:p>
            <w:pPr>
              <w:spacing w:after="0"/>
              <w:rPr>
                <w:sz w:val="16"/>
                <w:szCs w:val="16"/>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2</w:t>
            </w:r>
          </w:p>
        </w:tc>
        <w:tc>
          <w:tcPr>
            <w:tcW w:w="1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Preferred stock of subsidiaries</w:t>
            </w:r>
          </w:p>
        </w:tc>
        <w:tc>
          <w:tcPr>
            <w:tcW w:w="1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color w:val="auto"/>
              </w:rPr>
              <w:t>179</w:t>
            </w:r>
          </w:p>
        </w:tc>
        <w:tc>
          <w:tcPr>
            <w:tcW w:w="1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171</w:t>
            </w:r>
          </w:p>
        </w:tc>
        <w:tc>
          <w:tcPr>
            <w:tcW w:w="10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179</w:t>
            </w: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90"/>
        </w:trPr>
        <w:tc>
          <w:tcPr>
            <w:tcW w:w="4120" w:type="dxa"/>
            <w:vAlign w:val="bottom"/>
          </w:tcPr>
          <w:p>
            <w:pPr>
              <w:ind w:left="80"/>
              <w:spacing w:after="0"/>
              <w:rPr>
                <w:sz w:val="20"/>
                <w:szCs w:val="20"/>
                <w:color w:val="auto"/>
              </w:rPr>
            </w:pPr>
            <w:r>
              <w:rPr>
                <w:rFonts w:ascii="Arial" w:cs="Arial" w:eastAsia="Arial" w:hAnsi="Arial"/>
                <w:sz w:val="14"/>
                <w:szCs w:val="14"/>
                <w:b w:val="1"/>
                <w:bCs w:val="1"/>
                <w:color w:val="auto"/>
              </w:rPr>
              <w:t>SDG&amp;E:</w:t>
            </w:r>
          </w:p>
        </w:tc>
        <w:tc>
          <w:tcPr>
            <w:tcW w:w="1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80"/>
              <w:spacing w:after="0"/>
              <w:rPr>
                <w:sz w:val="20"/>
                <w:szCs w:val="20"/>
                <w:color w:val="auto"/>
              </w:rPr>
            </w:pPr>
            <w:r>
              <w:rPr>
                <w:rFonts w:ascii="Arial" w:cs="Arial" w:eastAsia="Arial" w:hAnsi="Arial"/>
                <w:sz w:val="14"/>
                <w:szCs w:val="14"/>
                <w:color w:val="auto"/>
              </w:rPr>
              <w:t>Total long-term debt(3)</w:t>
            </w:r>
          </w:p>
        </w:tc>
        <w:tc>
          <w:tcPr>
            <w:tcW w:w="1260" w:type="dxa"/>
            <w:vAlign w:val="bottom"/>
          </w:tcPr>
          <w:p>
            <w:pPr>
              <w:jc w:val="right"/>
              <w:ind w:right="767"/>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86"/>
              <w:spacing w:after="0"/>
              <w:rPr>
                <w:sz w:val="20"/>
                <w:szCs w:val="20"/>
                <w:color w:val="auto"/>
              </w:rPr>
            </w:pPr>
            <w:r>
              <w:rPr>
                <w:rFonts w:ascii="Arial" w:cs="Arial" w:eastAsia="Arial" w:hAnsi="Arial"/>
                <w:sz w:val="14"/>
                <w:szCs w:val="14"/>
                <w:color w:val="auto"/>
              </w:rPr>
              <w:t>3,308</w:t>
            </w:r>
          </w:p>
        </w:tc>
        <w:tc>
          <w:tcPr>
            <w:tcW w:w="1120" w:type="dxa"/>
            <w:vAlign w:val="bottom"/>
          </w:tcPr>
          <w:p>
            <w:pPr>
              <w:jc w:val="right"/>
              <w:ind w:right="73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3,594</w:t>
            </w:r>
          </w:p>
        </w:tc>
        <w:tc>
          <w:tcPr>
            <w:tcW w:w="1080" w:type="dxa"/>
            <w:vAlign w:val="bottom"/>
          </w:tcPr>
          <w:p>
            <w:pPr>
              <w:jc w:val="right"/>
              <w:ind w:right="6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2,652</w:t>
            </w:r>
          </w:p>
        </w:tc>
        <w:tc>
          <w:tcPr>
            <w:tcW w:w="1140" w:type="dxa"/>
            <w:vAlign w:val="bottom"/>
          </w:tcPr>
          <w:p>
            <w:pPr>
              <w:jc w:val="right"/>
              <w:ind w:right="79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2,808</w:t>
            </w: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Contingently redeemable preferred stock</w:t>
            </w:r>
          </w:p>
        </w:tc>
        <w:tc>
          <w:tcPr>
            <w:tcW w:w="1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color w:val="auto"/>
              </w:rPr>
              <w:t>79</w:t>
            </w:r>
          </w:p>
        </w:tc>
        <w:tc>
          <w:tcPr>
            <w:tcW w:w="1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82</w:t>
            </w:r>
          </w:p>
        </w:tc>
        <w:tc>
          <w:tcPr>
            <w:tcW w:w="10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79 ;</w:t>
            </w: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2"/>
        </w:trPr>
        <w:tc>
          <w:tcPr>
            <w:tcW w:w="4120" w:type="dxa"/>
            <w:vAlign w:val="bottom"/>
          </w:tcPr>
          <w:p>
            <w:pPr>
              <w:ind w:left="80"/>
              <w:spacing w:after="0"/>
              <w:rPr>
                <w:sz w:val="20"/>
                <w:szCs w:val="20"/>
                <w:color w:val="auto"/>
              </w:rPr>
            </w:pPr>
            <w:r>
              <w:rPr>
                <w:rFonts w:ascii="Arial" w:cs="Arial" w:eastAsia="Arial" w:hAnsi="Arial"/>
                <w:sz w:val="14"/>
                <w:szCs w:val="14"/>
                <w:b w:val="1"/>
                <w:bCs w:val="1"/>
                <w:color w:val="auto"/>
              </w:rPr>
              <w:t>PE and SoCalGas:</w:t>
            </w: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20" w:type="dxa"/>
            <w:vAlign w:val="bottom"/>
          </w:tcPr>
          <w:p>
            <w:pPr>
              <w:ind w:left="80"/>
              <w:spacing w:after="0"/>
              <w:rPr>
                <w:sz w:val="20"/>
                <w:szCs w:val="20"/>
                <w:color w:val="auto"/>
              </w:rPr>
            </w:pPr>
            <w:r>
              <w:rPr>
                <w:rFonts w:ascii="Arial" w:cs="Arial" w:eastAsia="Arial" w:hAnsi="Arial"/>
                <w:sz w:val="14"/>
                <w:szCs w:val="14"/>
                <w:color w:val="auto"/>
              </w:rPr>
              <w:t>Total long-term debt(4)</w:t>
            </w:r>
          </w:p>
        </w:tc>
        <w:tc>
          <w:tcPr>
            <w:tcW w:w="1260" w:type="dxa"/>
            <w:vAlign w:val="bottom"/>
            <w:tcBorders>
              <w:bottom w:val="single" w:sz="8" w:color="auto"/>
            </w:tcBorders>
          </w:tcPr>
          <w:p>
            <w:pPr>
              <w:jc w:val="right"/>
              <w:ind w:right="767"/>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color w:val="auto"/>
              </w:rPr>
              <w:t>1,266</w:t>
            </w:r>
          </w:p>
        </w:tc>
        <w:tc>
          <w:tcPr>
            <w:tcW w:w="112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1,396</w:t>
            </w:r>
          </w:p>
        </w:tc>
        <w:tc>
          <w:tcPr>
            <w:tcW w:w="108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1,270</w:t>
            </w:r>
          </w:p>
        </w:tc>
        <w:tc>
          <w:tcPr>
            <w:tcW w:w="1140" w:type="dxa"/>
            <w:vAlign w:val="bottom"/>
            <w:tcBorders>
              <w:bottom w:val="single" w:sz="8" w:color="auto"/>
            </w:tcBorders>
          </w:tcPr>
          <w:p>
            <w:pPr>
              <w:jc w:val="right"/>
              <w:ind w:right="79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354"/>
        </w:trPr>
        <w:tc>
          <w:tcPr>
            <w:tcW w:w="4120" w:type="dxa"/>
            <w:vAlign w:val="bottom"/>
          </w:tcPr>
          <w:p>
            <w:pPr>
              <w:ind w:left="80"/>
              <w:spacing w:after="0"/>
              <w:rPr>
                <w:sz w:val="20"/>
                <w:szCs w:val="20"/>
                <w:color w:val="auto"/>
              </w:rPr>
            </w:pPr>
            <w:r>
              <w:rPr>
                <w:rFonts w:ascii="Arial" w:cs="Arial" w:eastAsia="Arial" w:hAnsi="Arial"/>
                <w:sz w:val="14"/>
                <w:szCs w:val="14"/>
                <w:color w:val="auto"/>
              </w:rPr>
              <w:t>PE:</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300"/>
              <w:spacing w:after="0" w:line="203" w:lineRule="exact"/>
              <w:rPr>
                <w:sz w:val="20"/>
                <w:szCs w:val="20"/>
                <w:color w:val="auto"/>
              </w:rPr>
            </w:pPr>
            <w:r>
              <w:rPr>
                <w:rFonts w:ascii="Arial" w:cs="Arial" w:eastAsia="Arial" w:hAnsi="Arial"/>
                <w:sz w:val="19"/>
                <w:szCs w:val="19"/>
                <w:color w:val="auto"/>
              </w:rPr>
              <w:t>Preferred stock</w:t>
            </w:r>
          </w:p>
        </w:tc>
        <w:tc>
          <w:tcPr>
            <w:tcW w:w="1260" w:type="dxa"/>
            <w:vAlign w:val="bottom"/>
          </w:tcPr>
          <w:p>
            <w:pPr>
              <w:jc w:val="right"/>
              <w:ind w:right="767"/>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86"/>
              <w:spacing w:after="0"/>
              <w:rPr>
                <w:sz w:val="20"/>
                <w:szCs w:val="20"/>
                <w:color w:val="auto"/>
              </w:rPr>
            </w:pPr>
            <w:r>
              <w:rPr>
                <w:rFonts w:ascii="Arial" w:cs="Arial" w:eastAsia="Arial" w:hAnsi="Arial"/>
                <w:sz w:val="14"/>
                <w:szCs w:val="14"/>
                <w:color w:val="auto"/>
              </w:rPr>
              <w:t>80</w:t>
            </w:r>
          </w:p>
        </w:tc>
        <w:tc>
          <w:tcPr>
            <w:tcW w:w="1120" w:type="dxa"/>
            <w:vAlign w:val="bottom"/>
          </w:tcPr>
          <w:p>
            <w:pPr>
              <w:jc w:val="right"/>
              <w:ind w:right="73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69</w:t>
            </w:r>
          </w:p>
        </w:tc>
        <w:tc>
          <w:tcPr>
            <w:tcW w:w="1080" w:type="dxa"/>
            <w:vAlign w:val="bottom"/>
          </w:tcPr>
          <w:p>
            <w:pPr>
              <w:jc w:val="right"/>
              <w:ind w:right="6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80</w:t>
            </w:r>
          </w:p>
        </w:tc>
        <w:tc>
          <w:tcPr>
            <w:tcW w:w="1140" w:type="dxa"/>
            <w:vAlign w:val="bottom"/>
          </w:tcPr>
          <w:p>
            <w:pPr>
              <w:jc w:val="right"/>
              <w:ind w:right="79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14"/>
                <w:szCs w:val="14"/>
                <w:color w:val="auto"/>
              </w:rPr>
              <w:t>Preferred stock of subsidiary</w:t>
            </w:r>
          </w:p>
        </w:tc>
        <w:tc>
          <w:tcPr>
            <w:tcW w:w="1260" w:type="dxa"/>
            <w:vAlign w:val="bottom"/>
          </w:tcPr>
          <w:p>
            <w:pPr>
              <w:spacing w:after="0"/>
              <w:rPr>
                <w:sz w:val="21"/>
                <w:szCs w:val="21"/>
                <w:color w:val="auto"/>
              </w:rPr>
            </w:pPr>
          </w:p>
        </w:tc>
        <w:tc>
          <w:tcPr>
            <w:tcW w:w="700" w:type="dxa"/>
            <w:vAlign w:val="bottom"/>
          </w:tcPr>
          <w:p>
            <w:pPr>
              <w:jc w:val="right"/>
              <w:ind w:right="186"/>
              <w:spacing w:after="0"/>
              <w:rPr>
                <w:sz w:val="20"/>
                <w:szCs w:val="20"/>
                <w:color w:val="auto"/>
              </w:rPr>
            </w:pPr>
            <w:r>
              <w:rPr>
                <w:rFonts w:ascii="Arial" w:cs="Arial" w:eastAsia="Arial" w:hAnsi="Arial"/>
                <w:sz w:val="19"/>
                <w:szCs w:val="19"/>
                <w:color w:val="auto"/>
              </w:rPr>
              <w:t>20</w:t>
            </w:r>
          </w:p>
        </w:tc>
        <w:tc>
          <w:tcPr>
            <w:tcW w:w="1120" w:type="dxa"/>
            <w:vAlign w:val="bottom"/>
          </w:tcPr>
          <w:p>
            <w:pPr>
              <w:spacing w:after="0"/>
              <w:rPr>
                <w:sz w:val="21"/>
                <w:szCs w:val="21"/>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20</w:t>
            </w:r>
          </w:p>
        </w:tc>
        <w:tc>
          <w:tcPr>
            <w:tcW w:w="1080" w:type="dxa"/>
            <w:vAlign w:val="bottom"/>
          </w:tcPr>
          <w:p>
            <w:pPr>
              <w:spacing w:after="0"/>
              <w:rPr>
                <w:sz w:val="21"/>
                <w:szCs w:val="21"/>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20</w:t>
            </w:r>
          </w:p>
        </w:tc>
        <w:tc>
          <w:tcPr>
            <w:tcW w:w="1140" w:type="dxa"/>
            <w:vAlign w:val="bottom"/>
          </w:tcPr>
          <w:p>
            <w:pPr>
              <w:spacing w:after="0"/>
              <w:rPr>
                <w:sz w:val="21"/>
                <w:szCs w:val="21"/>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406"/>
        </w:trPr>
        <w:tc>
          <w:tcPr>
            <w:tcW w:w="4120" w:type="dxa"/>
            <w:vAlign w:val="bottom"/>
          </w:tcPr>
          <w:p>
            <w:pPr>
              <w:ind w:left="80"/>
              <w:spacing w:after="0"/>
              <w:rPr>
                <w:sz w:val="20"/>
                <w:szCs w:val="20"/>
                <w:color w:val="auto"/>
              </w:rPr>
            </w:pPr>
            <w:r>
              <w:rPr>
                <w:rFonts w:ascii="Arial" w:cs="Arial" w:eastAsia="Arial" w:hAnsi="Arial"/>
                <w:sz w:val="14"/>
                <w:szCs w:val="14"/>
                <w:color w:val="auto"/>
              </w:rPr>
              <w:t>SoCalGas:</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240"/>
              <w:spacing w:after="0"/>
              <w:rPr>
                <w:sz w:val="20"/>
                <w:szCs w:val="20"/>
                <w:color w:val="auto"/>
              </w:rPr>
            </w:pPr>
            <w:r>
              <w:rPr>
                <w:rFonts w:ascii="Arial" w:cs="Arial" w:eastAsia="Arial" w:hAnsi="Arial"/>
                <w:sz w:val="14"/>
                <w:szCs w:val="14"/>
                <w:color w:val="auto"/>
              </w:rPr>
              <w:t>Preferred stock</w:t>
            </w:r>
          </w:p>
        </w:tc>
        <w:tc>
          <w:tcPr>
            <w:tcW w:w="1260" w:type="dxa"/>
            <w:vAlign w:val="bottom"/>
          </w:tcPr>
          <w:p>
            <w:pPr>
              <w:jc w:val="right"/>
              <w:ind w:right="767"/>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86"/>
              <w:spacing w:after="0"/>
              <w:rPr>
                <w:sz w:val="20"/>
                <w:szCs w:val="20"/>
                <w:color w:val="auto"/>
              </w:rPr>
            </w:pPr>
            <w:r>
              <w:rPr>
                <w:rFonts w:ascii="Arial" w:cs="Arial" w:eastAsia="Arial" w:hAnsi="Arial"/>
                <w:sz w:val="14"/>
                <w:szCs w:val="14"/>
                <w:color w:val="auto"/>
              </w:rPr>
              <w:t>22</w:t>
            </w:r>
          </w:p>
        </w:tc>
        <w:tc>
          <w:tcPr>
            <w:tcW w:w="1120" w:type="dxa"/>
            <w:vAlign w:val="bottom"/>
          </w:tcPr>
          <w:p>
            <w:pPr>
              <w:jc w:val="right"/>
              <w:ind w:right="73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21</w:t>
            </w:r>
          </w:p>
        </w:tc>
        <w:tc>
          <w:tcPr>
            <w:tcW w:w="1080" w:type="dxa"/>
            <w:vAlign w:val="bottom"/>
          </w:tcPr>
          <w:p>
            <w:pPr>
              <w:jc w:val="right"/>
              <w:ind w:right="6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22</w:t>
            </w:r>
          </w:p>
        </w:tc>
        <w:tc>
          <w:tcPr>
            <w:tcW w:w="1140" w:type="dxa"/>
            <w:vAlign w:val="bottom"/>
          </w:tcPr>
          <w:p>
            <w:pPr>
              <w:jc w:val="right"/>
              <w:ind w:right="79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-9525</wp:posOffset>
            </wp:positionV>
            <wp:extent cx="4648200" cy="22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648200" cy="22860"/>
                    </a:xfrm>
                    <a:prstGeom prst="rect">
                      <a:avLst/>
                    </a:prstGeom>
                    <a:noFill/>
                  </pic:spPr>
                </pic:pic>
              </a:graphicData>
            </a:graphic>
          </wp:anchor>
        </w:drawing>
      </w:r>
    </w:p>
    <w:p>
      <w:pPr>
        <w:ind w:left="1600" w:hanging="926"/>
        <w:spacing w:after="0"/>
        <w:tabs>
          <w:tab w:leader="none" w:pos="160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We discuss our investments in affordable housing partnerships in Note 4 of the Notes to Consolidated Financial Statements in the Annual Report.</w:t>
      </w:r>
    </w:p>
    <w:p>
      <w:pPr>
        <w:spacing w:after="0" w:line="54" w:lineRule="exact"/>
        <w:rPr>
          <w:rFonts w:ascii="Arial" w:cs="Arial" w:eastAsia="Arial" w:hAnsi="Arial"/>
          <w:sz w:val="13"/>
          <w:szCs w:val="13"/>
          <w:i w:val="1"/>
          <w:iCs w:val="1"/>
          <w:color w:val="auto"/>
        </w:rPr>
      </w:pPr>
    </w:p>
    <w:p>
      <w:pPr>
        <w:ind w:left="1600" w:right="380" w:hanging="926"/>
        <w:spacing w:after="0"/>
        <w:tabs>
          <w:tab w:leader="none" w:pos="160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Before reductions for unamortized discount of $21 million at September 30, 2010 and $17 million at December 31, 2009, and excluding capital leases of $214 mill ion at September 30, 2010 and $46 million at December 31, 2009.</w:t>
      </w:r>
    </w:p>
    <w:p>
      <w:pPr>
        <w:spacing w:after="0" w:line="1" w:lineRule="exact"/>
        <w:rPr>
          <w:rFonts w:ascii="Arial" w:cs="Arial" w:eastAsia="Arial" w:hAnsi="Arial"/>
          <w:sz w:val="13"/>
          <w:szCs w:val="13"/>
          <w:i w:val="1"/>
          <w:iCs w:val="1"/>
          <w:color w:val="auto"/>
        </w:rPr>
      </w:pPr>
    </w:p>
    <w:p>
      <w:pPr>
        <w:ind w:left="1600" w:right="480" w:hanging="926"/>
        <w:spacing w:after="0" w:line="231" w:lineRule="auto"/>
        <w:tabs>
          <w:tab w:leader="none" w:pos="160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Before reductions for unamortized discount of $10 million at September 30, 2010 and $4 million at December 31, 2009, and excluding capital leases of $197 million at September 30, 2010 and $20 million at Decemb er 31, 2009.</w:t>
      </w:r>
    </w:p>
    <w:p>
      <w:pPr>
        <w:ind w:left="1600" w:right="620" w:hanging="926"/>
        <w:spacing w:after="0" w:line="239" w:lineRule="auto"/>
        <w:tabs>
          <w:tab w:leader="none" w:pos="160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Before reductions for unamortized discount of $2 million at September 30, 2010 and $2 million at December 31, 2009, and excluding capital leases of $17 million at September 30, 2010 and $26 million at December 31, 2009.</w:t>
      </w:r>
    </w:p>
    <w:p>
      <w:pPr>
        <w:spacing w:after="0" w:line="200" w:lineRule="exact"/>
        <w:rPr>
          <w:sz w:val="20"/>
          <w:szCs w:val="20"/>
          <w:color w:val="auto"/>
        </w:rPr>
      </w:pPr>
    </w:p>
    <w:p>
      <w:pPr>
        <w:spacing w:after="0" w:line="373" w:lineRule="exact"/>
        <w:rPr>
          <w:sz w:val="20"/>
          <w:szCs w:val="20"/>
          <w:color w:val="auto"/>
        </w:rPr>
      </w:pPr>
    </w:p>
    <w:p>
      <w:pPr>
        <w:ind w:right="40"/>
        <w:spacing w:after="0" w:line="348" w:lineRule="auto"/>
        <w:rPr>
          <w:sz w:val="20"/>
          <w:szCs w:val="20"/>
          <w:color w:val="auto"/>
        </w:rPr>
      </w:pPr>
      <w:r>
        <w:rPr>
          <w:rFonts w:ascii="Arial" w:cs="Arial" w:eastAsia="Arial" w:hAnsi="Arial"/>
          <w:sz w:val="14"/>
          <w:szCs w:val="14"/>
          <w:b w:val="1"/>
          <w:bCs w:val="1"/>
          <w:color w:val="auto"/>
        </w:rPr>
        <w:t>Sempra Energy based the fair values of investments in affordable housing partnerships on the present value of estimated future cash flows, discounted at rates available for similar investments. All entities based the fair values of long-term debt and preferred stock on their quoted market prices or quoted market prices for similar securities.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Nuclear Decommissioning Trusts</w:t>
      </w:r>
    </w:p>
    <w:p>
      <w:pPr>
        <w:spacing w:after="0" w:line="5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color w:val="auto"/>
        </w:rPr>
        <w:t>We discuss SDG&amp;E's investments in nuclear decommissioning trust funds in Note 7 of the Notes to Consolidated Financial Statements in the Annual Report. The following table shows the fair values and gross unrealized gains and losses for the securities held in the trust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7261860" cy="289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sectPr>
          <w:pgSz w:w="11900" w:h="16886" w:orient="portrait"/>
          <w:cols w:equalWidth="0" w:num="1">
            <w:col w:w="11440"/>
          </w:cols>
          <w:pgMar w:left="240" w:top="141"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NUCLEAR DECOMMISSIONING TRUSTS</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(Dollars in millions)</w:t>
      </w:r>
    </w:p>
    <w:p>
      <w:pPr>
        <w:spacing w:after="0" w:line="30"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Gross</w:t>
      </w:r>
    </w:p>
    <w:p>
      <w:pPr>
        <w:jc w:val="right"/>
        <w:spacing w:after="0" w:line="237" w:lineRule="auto"/>
        <w:rPr>
          <w:sz w:val="20"/>
          <w:szCs w:val="20"/>
          <w:color w:val="auto"/>
        </w:rPr>
      </w:pPr>
      <w:r>
        <w:rPr>
          <w:rFonts w:ascii="Arial" w:cs="Arial" w:eastAsia="Arial" w:hAnsi="Arial"/>
          <w:sz w:val="19"/>
          <w:szCs w:val="19"/>
          <w:color w:val="auto"/>
        </w:rPr>
        <w:t>&lt; font style="FONT-</w:t>
      </w:r>
    </w:p>
    <w:p>
      <w:pPr>
        <w:jc w:val="right"/>
        <w:spacing w:after="0" w:line="237" w:lineRule="auto"/>
        <w:rPr>
          <w:sz w:val="20"/>
          <w:szCs w:val="20"/>
          <w:color w:val="auto"/>
        </w:rPr>
      </w:pPr>
      <w:r>
        <w:rPr>
          <w:rFonts w:ascii="Arial" w:cs="Arial" w:eastAsia="Arial" w:hAnsi="Arial"/>
          <w:sz w:val="19"/>
          <w:szCs w:val="19"/>
          <w:color w:val="auto"/>
        </w:rPr>
        <w:t>SIZE:8pt;</w:t>
      </w:r>
    </w:p>
    <w:p>
      <w:pPr>
        <w:jc w:val="right"/>
        <w:spacing w:after="0" w:line="237" w:lineRule="auto"/>
        <w:rPr>
          <w:sz w:val="20"/>
          <w:szCs w:val="20"/>
          <w:color w:val="auto"/>
        </w:rPr>
      </w:pPr>
      <w:r>
        <w:rPr>
          <w:rFonts w:ascii="Arial" w:cs="Arial" w:eastAsia="Arial" w:hAnsi="Arial"/>
          <w:sz w:val="19"/>
          <w:szCs w:val="19"/>
          <w:color w:val="auto"/>
        </w:rPr>
        <w:t>COLOR:black; FONT-</w:t>
      </w:r>
    </w:p>
    <w:p>
      <w:pPr>
        <w:jc w:val="right"/>
        <w:spacing w:after="0" w:line="238" w:lineRule="auto"/>
        <w:rPr>
          <w:sz w:val="20"/>
          <w:szCs w:val="20"/>
          <w:color w:val="auto"/>
        </w:rPr>
      </w:pPr>
      <w:r>
        <w:rPr>
          <w:rFonts w:ascii="Arial" w:cs="Arial" w:eastAsia="Arial" w:hAnsi="Arial"/>
          <w:sz w:val="19"/>
          <w:szCs w:val="19"/>
          <w:color w:val="auto"/>
        </w:rPr>
        <w:t>FAMILY:'Arial','sans-</w:t>
      </w:r>
    </w:p>
    <w:p>
      <w:pPr>
        <w:jc w:val="both"/>
        <w:ind w:left="5000"/>
        <w:spacing w:after="0"/>
        <w:tabs>
          <w:tab w:leader="none" w:pos="7880" w:val="left"/>
        </w:tabs>
        <w:rPr>
          <w:sz w:val="20"/>
          <w:szCs w:val="20"/>
          <w:color w:val="auto"/>
        </w:rPr>
      </w:pPr>
      <w:r>
        <w:rPr>
          <w:rFonts w:ascii="Arial" w:cs="Arial" w:eastAsia="Arial" w:hAnsi="Arial"/>
          <w:sz w:val="13"/>
          <w:szCs w:val="13"/>
          <w:color w:val="auto"/>
        </w:rPr>
        <w:t>Unrealized</w:t>
      </w:r>
      <w:r>
        <w:rPr>
          <w:sz w:val="20"/>
          <w:szCs w:val="20"/>
          <w:color w:val="auto"/>
        </w:rPr>
        <w:tab/>
      </w:r>
      <w:r>
        <w:rPr>
          <w:rFonts w:ascii="Arial" w:cs="Arial" w:eastAsia="Arial" w:hAnsi="Arial"/>
          <w:sz w:val="19"/>
          <w:szCs w:val="19"/>
          <w:color w:val="auto"/>
        </w:rPr>
        <w:t>serif'"&gt;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
        <w:spacing w:after="0"/>
        <w:tabs>
          <w:tab w:leader="none" w:pos="1580" w:val="left"/>
        </w:tabs>
        <w:rPr>
          <w:sz w:val="20"/>
          <w:szCs w:val="20"/>
          <w:color w:val="auto"/>
        </w:rPr>
      </w:pPr>
      <w:r>
        <w:rPr>
          <w:rFonts w:ascii="Arial" w:cs="Arial" w:eastAsia="Arial" w:hAnsi="Arial"/>
          <w:sz w:val="13"/>
          <w:szCs w:val="13"/>
          <w:color w:val="auto"/>
        </w:rPr>
        <w:t>Gross</w:t>
      </w:r>
      <w:r>
        <w:rPr>
          <w:sz w:val="20"/>
          <w:szCs w:val="20"/>
          <w:color w:val="auto"/>
        </w:rPr>
        <w:tab/>
      </w:r>
      <w:r>
        <w:rPr>
          <w:rFonts w:ascii="Arial" w:cs="Arial" w:eastAsia="Arial" w:hAnsi="Arial"/>
          <w:sz w:val="13"/>
          <w:szCs w:val="13"/>
          <w:color w:val="auto"/>
        </w:rPr>
        <w:t>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1760" w:val="left"/>
        </w:tabs>
        <w:rPr>
          <w:sz w:val="20"/>
          <w:szCs w:val="20"/>
          <w:color w:val="auto"/>
        </w:rPr>
      </w:pPr>
      <w:r>
        <w:rPr>
          <w:rFonts w:ascii="Arial" w:cs="Arial" w:eastAsia="Arial" w:hAnsi="Arial"/>
          <w:sz w:val="13"/>
          <w:szCs w:val="13"/>
          <w:color w:val="auto"/>
        </w:rPr>
        <w:t>Unrealized</w:t>
      </w:r>
      <w:r>
        <w:rPr>
          <w:sz w:val="20"/>
          <w:szCs w:val="20"/>
          <w:color w:val="auto"/>
        </w:rPr>
        <w:tab/>
      </w:r>
      <w:r>
        <w:rPr>
          <w:rFonts w:ascii="Arial" w:cs="Arial" w:eastAsia="Arial" w:hAnsi="Arial"/>
          <w:sz w:val="13"/>
          <w:szCs w:val="13"/>
          <w:color w:val="auto"/>
        </w:rPr>
        <w:t>Fair</w:t>
      </w:r>
    </w:p>
    <w:p>
      <w:pPr>
        <w:sectPr>
          <w:pgSz w:w="11900" w:h="16886" w:orient="portrait"/>
          <w:cols w:equalWidth="0" w:num="2">
            <w:col w:w="8460" w:space="180"/>
            <w:col w:w="2800"/>
          </w:cols>
          <w:pgMar w:left="240" w:top="141" w:right="219"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74"/>
        </w:trPr>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tcPr>
          <w:p>
            <w:pPr>
              <w:jc w:val="right"/>
              <w:ind w:right="902"/>
              <w:spacing w:after="0"/>
              <w:rPr>
                <w:sz w:val="20"/>
                <w:szCs w:val="20"/>
                <w:color w:val="auto"/>
              </w:rPr>
            </w:pPr>
            <w:r>
              <w:rPr>
                <w:rFonts w:ascii="Arial" w:cs="Arial" w:eastAsia="Arial" w:hAnsi="Arial"/>
                <w:sz w:val="13"/>
                <w:szCs w:val="13"/>
                <w:color w:val="auto"/>
              </w:rPr>
              <w:t>Cost</w:t>
            </w:r>
          </w:p>
        </w:tc>
        <w:tc>
          <w:tcPr>
            <w:tcW w:w="280" w:type="dxa"/>
            <w:vAlign w:val="bottom"/>
          </w:tcPr>
          <w:p>
            <w:pPr>
              <w:spacing w:after="0"/>
              <w:rPr>
                <w:sz w:val="15"/>
                <w:szCs w:val="15"/>
                <w:color w:val="auto"/>
              </w:rPr>
            </w:pPr>
          </w:p>
        </w:tc>
        <w:tc>
          <w:tcPr>
            <w:tcW w:w="3120" w:type="dxa"/>
            <w:vAlign w:val="bottom"/>
          </w:tcPr>
          <w:p>
            <w:pPr>
              <w:jc w:val="right"/>
              <w:ind w:right="1782"/>
              <w:spacing w:after="0"/>
              <w:rPr>
                <w:sz w:val="20"/>
                <w:szCs w:val="20"/>
                <w:color w:val="auto"/>
              </w:rPr>
            </w:pPr>
            <w:r>
              <w:rPr>
                <w:rFonts w:ascii="Arial" w:cs="Arial" w:eastAsia="Arial" w:hAnsi="Arial"/>
                <w:sz w:val="13"/>
                <w:szCs w:val="13"/>
                <w:color w:val="auto"/>
              </w:rPr>
              <w:t>Gains</w:t>
            </w:r>
          </w:p>
        </w:tc>
        <w:tc>
          <w:tcPr>
            <w:tcW w:w="1220" w:type="dxa"/>
            <w:vAlign w:val="bottom"/>
          </w:tcPr>
          <w:p>
            <w:pPr>
              <w:spacing w:after="0"/>
              <w:rPr>
                <w:sz w:val="15"/>
                <w:szCs w:val="15"/>
                <w:color w:val="auto"/>
              </w:rPr>
            </w:pPr>
          </w:p>
        </w:tc>
        <w:tc>
          <w:tcPr>
            <w:tcW w:w="800" w:type="dxa"/>
            <w:vAlign w:val="bottom"/>
          </w:tcPr>
          <w:p>
            <w:pPr>
              <w:jc w:val="right"/>
              <w:ind w:right="127"/>
              <w:spacing w:after="0"/>
              <w:rPr>
                <w:sz w:val="20"/>
                <w:szCs w:val="20"/>
                <w:color w:val="auto"/>
              </w:rPr>
            </w:pPr>
            <w:r>
              <w:rPr>
                <w:rFonts w:ascii="Arial" w:cs="Arial" w:eastAsia="Arial" w:hAnsi="Arial"/>
                <w:sz w:val="13"/>
                <w:szCs w:val="13"/>
                <w:color w:val="auto"/>
              </w:rPr>
              <w:t>Losses</w:t>
            </w:r>
          </w:p>
        </w:tc>
        <w:tc>
          <w:tcPr>
            <w:tcW w:w="260" w:type="dxa"/>
            <w:vAlign w:val="bottom"/>
          </w:tcPr>
          <w:p>
            <w:pPr>
              <w:spacing w:after="0"/>
              <w:rPr>
                <w:sz w:val="15"/>
                <w:szCs w:val="15"/>
                <w:color w:val="auto"/>
              </w:rPr>
            </w:pPr>
          </w:p>
        </w:tc>
        <w:tc>
          <w:tcPr>
            <w:tcW w:w="1820" w:type="dxa"/>
            <w:vAlign w:val="bottom"/>
          </w:tcPr>
          <w:p>
            <w:pPr>
              <w:jc w:val="right"/>
              <w:ind w:right="682"/>
              <w:spacing w:after="0"/>
              <w:rPr>
                <w:sz w:val="20"/>
                <w:szCs w:val="20"/>
                <w:color w:val="auto"/>
              </w:rPr>
            </w:pPr>
            <w:r>
              <w:rPr>
                <w:rFonts w:ascii="Arial" w:cs="Arial" w:eastAsia="Arial" w:hAnsi="Arial"/>
                <w:sz w:val="13"/>
                <w:szCs w:val="13"/>
                <w:color w:val="auto"/>
              </w:rPr>
              <w:t>Value</w:t>
            </w:r>
          </w:p>
        </w:tc>
        <w:tc>
          <w:tcPr>
            <w:tcW w:w="0" w:type="dxa"/>
            <w:vAlign w:val="bottom"/>
          </w:tcPr>
          <w:p>
            <w:pPr>
              <w:spacing w:after="0"/>
              <w:rPr>
                <w:sz w:val="1"/>
                <w:szCs w:val="1"/>
                <w:color w:val="auto"/>
              </w:rPr>
            </w:pPr>
          </w:p>
        </w:tc>
      </w:tr>
      <w:tr>
        <w:trPr>
          <w:trHeight w:val="22"/>
        </w:trPr>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ind w:left="80"/>
              <w:spacing w:after="0" w:line="144" w:lineRule="exact"/>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2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0" w:type="dxa"/>
            <w:vAlign w:val="bottom"/>
          </w:tcPr>
          <w:p>
            <w:pPr>
              <w:ind w:left="80"/>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6"/>
                <w:szCs w:val="16"/>
                <w:color w:val="auto"/>
              </w:rPr>
            </w:pPr>
          </w:p>
        </w:tc>
        <w:tc>
          <w:tcPr>
            <w:tcW w:w="2180" w:type="dxa"/>
            <w:vAlign w:val="bottom"/>
            <w:vMerge w:val="restart"/>
          </w:tcPr>
          <w:p>
            <w:pPr>
              <w:ind w:left="100"/>
              <w:spacing w:after="0"/>
              <w:rPr>
                <w:sz w:val="20"/>
                <w:szCs w:val="20"/>
                <w:color w:val="auto"/>
              </w:rPr>
            </w:pPr>
            <w:r>
              <w:rPr>
                <w:rFonts w:ascii="Arial" w:cs="Arial" w:eastAsia="Arial" w:hAnsi="Arial"/>
                <w:sz w:val="19"/>
                <w:szCs w:val="19"/>
                <w:color w:val="auto"/>
              </w:rPr>
              <w:t>&lt; font style="FONT-</w:t>
            </w:r>
          </w:p>
        </w:tc>
        <w:tc>
          <w:tcPr>
            <w:tcW w:w="2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ind w:left="100"/>
              <w:spacing w:after="0" w:line="216" w:lineRule="exact"/>
              <w:rPr>
                <w:sz w:val="20"/>
                <w:szCs w:val="20"/>
                <w:color w:val="auto"/>
              </w:rPr>
            </w:pPr>
            <w:r>
              <w:rPr>
                <w:rFonts w:ascii="Arial" w:cs="Arial" w:eastAsia="Arial" w:hAnsi="Arial"/>
                <w:sz w:val="19"/>
                <w:szCs w:val="19"/>
                <w:color w:val="auto"/>
                <w:w w:val="99"/>
              </w:rPr>
              <w:t>SIZE:9pt; COLOR:black;</w:t>
            </w:r>
          </w:p>
        </w:tc>
        <w:tc>
          <w:tcPr>
            <w:tcW w:w="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ind w:left="100"/>
              <w:spacing w:after="0" w:line="216" w:lineRule="exact"/>
              <w:rPr>
                <w:sz w:val="20"/>
                <w:szCs w:val="20"/>
                <w:color w:val="auto"/>
              </w:rPr>
            </w:pPr>
            <w:r>
              <w:rPr>
                <w:rFonts w:ascii="Arial" w:cs="Arial" w:eastAsia="Arial" w:hAnsi="Arial"/>
                <w:sz w:val="19"/>
                <w:szCs w:val="19"/>
                <w:color w:val="auto"/>
              </w:rPr>
              <w:t>FONT-</w:t>
            </w:r>
          </w:p>
        </w:tc>
        <w:tc>
          <w:tcPr>
            <w:tcW w:w="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ind w:left="100"/>
              <w:spacing w:after="0" w:line="216" w:lineRule="exact"/>
              <w:rPr>
                <w:sz w:val="20"/>
                <w:szCs w:val="20"/>
                <w:color w:val="auto"/>
              </w:rPr>
            </w:pPr>
            <w:r>
              <w:rPr>
                <w:rFonts w:ascii="Arial" w:cs="Arial" w:eastAsia="Arial" w:hAnsi="Arial"/>
                <w:sz w:val="19"/>
                <w:szCs w:val="19"/>
                <w:color w:val="auto"/>
              </w:rPr>
              <w:t>FAMILY:'Arial','sans-</w:t>
            </w:r>
          </w:p>
        </w:tc>
        <w:tc>
          <w:tcPr>
            <w:tcW w:w="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0" w:type="dxa"/>
            <w:vAlign w:val="bottom"/>
          </w:tcPr>
          <w:p>
            <w:pPr>
              <w:ind w:left="80"/>
              <w:spacing w:after="0"/>
              <w:rPr>
                <w:sz w:val="20"/>
                <w:szCs w:val="20"/>
                <w:color w:val="auto"/>
              </w:rPr>
            </w:pPr>
            <w:r>
              <w:rPr>
                <w:rFonts w:ascii="Arial" w:cs="Arial" w:eastAsia="Arial" w:hAnsi="Arial"/>
                <w:sz w:val="14"/>
                <w:szCs w:val="14"/>
                <w:color w:val="auto"/>
              </w:rPr>
              <w:t>Debt securities</w:t>
            </w:r>
          </w:p>
        </w:tc>
        <w:tc>
          <w:tcPr>
            <w:tcW w:w="560" w:type="dxa"/>
            <w:vAlign w:val="bottom"/>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9"/>
                <w:szCs w:val="19"/>
                <w:color w:val="auto"/>
              </w:rPr>
              <w:t>serif'"&gt;</w:t>
            </w:r>
          </w:p>
        </w:tc>
        <w:tc>
          <w:tcPr>
            <w:tcW w:w="2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240"/>
              <w:spacing w:after="0"/>
              <w:rPr>
                <w:sz w:val="20"/>
                <w:szCs w:val="20"/>
                <w:color w:val="auto"/>
              </w:rPr>
            </w:pPr>
            <w:r>
              <w:rPr>
                <w:rFonts w:ascii="Arial" w:cs="Arial" w:eastAsia="Arial" w:hAnsi="Arial"/>
                <w:sz w:val="14"/>
                <w:szCs w:val="14"/>
                <w:color w:val="auto"/>
              </w:rPr>
              <w:t>Debt</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securities</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issued by the</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U.S. Treasury</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and other</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440"/>
              <w:spacing w:after="0"/>
              <w:rPr>
                <w:sz w:val="20"/>
                <w:szCs w:val="20"/>
                <w:color w:val="auto"/>
              </w:rPr>
            </w:pPr>
            <w:r>
              <w:rPr>
                <w:rFonts w:ascii="Arial" w:cs="Arial" w:eastAsia="Arial" w:hAnsi="Arial"/>
                <w:sz w:val="14"/>
                <w:szCs w:val="14"/>
                <w:color w:val="auto"/>
              </w:rPr>
              <w:t>U.S.</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government</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corporations</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and</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agencies(1)</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42"/>
              <w:spacing w:after="0"/>
              <w:rPr>
                <w:sz w:val="20"/>
                <w:szCs w:val="20"/>
                <w:color w:val="auto"/>
              </w:rPr>
            </w:pPr>
            <w:r>
              <w:rPr>
                <w:rFonts w:ascii="Arial" w:cs="Arial" w:eastAsia="Arial" w:hAnsi="Arial"/>
                <w:sz w:val="14"/>
                <w:szCs w:val="14"/>
                <w:color w:val="auto"/>
              </w:rPr>
              <w:t>141</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120" w:type="dxa"/>
            <w:vAlign w:val="bottom"/>
          </w:tcPr>
          <w:p>
            <w:pPr>
              <w:jc w:val="right"/>
              <w:ind w:right="982"/>
              <w:spacing w:after="0"/>
              <w:rPr>
                <w:sz w:val="20"/>
                <w:szCs w:val="20"/>
                <w:color w:val="auto"/>
              </w:rPr>
            </w:pPr>
            <w:r>
              <w:rPr>
                <w:rFonts w:ascii="Arial" w:cs="Arial" w:eastAsia="Arial" w:hAnsi="Arial"/>
                <w:sz w:val="14"/>
                <w:szCs w:val="14"/>
                <w:color w:val="auto"/>
              </w:rPr>
              <w:t>24</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62"/>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68"/>
        </w:trPr>
        <w:tc>
          <w:tcPr>
            <w:tcW w:w="1200" w:type="dxa"/>
            <w:vAlign w:val="bottom"/>
          </w:tcPr>
          <w:p>
            <w:pPr>
              <w:ind w:left="240"/>
              <w:spacing w:after="0"/>
              <w:rPr>
                <w:sz w:val="20"/>
                <w:szCs w:val="20"/>
                <w:color w:val="auto"/>
              </w:rPr>
            </w:pPr>
            <w:r>
              <w:rPr>
                <w:rFonts w:ascii="Arial" w:cs="Arial" w:eastAsia="Arial" w:hAnsi="Arial"/>
                <w:sz w:val="14"/>
                <w:szCs w:val="14"/>
                <w:color w:val="auto"/>
              </w:rPr>
              <w:t>Municipa l</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bonds(2)</w:t>
            </w:r>
          </w:p>
        </w:tc>
        <w:tc>
          <w:tcPr>
            <w:tcW w:w="560" w:type="dxa"/>
            <w:vAlign w:val="bottom"/>
          </w:tcPr>
          <w:p>
            <w:pPr>
              <w:spacing w:after="0"/>
              <w:rPr>
                <w:sz w:val="14"/>
                <w:szCs w:val="14"/>
                <w:color w:val="auto"/>
              </w:rPr>
            </w:pPr>
          </w:p>
        </w:tc>
        <w:tc>
          <w:tcPr>
            <w:tcW w:w="2180" w:type="dxa"/>
            <w:vAlign w:val="bottom"/>
          </w:tcPr>
          <w:p>
            <w:pPr>
              <w:jc w:val="right"/>
              <w:ind w:right="42"/>
              <w:spacing w:after="0"/>
              <w:rPr>
                <w:sz w:val="20"/>
                <w:szCs w:val="20"/>
                <w:color w:val="auto"/>
              </w:rPr>
            </w:pPr>
            <w:r>
              <w:rPr>
                <w:rFonts w:ascii="Arial" w:cs="Arial" w:eastAsia="Arial" w:hAnsi="Arial"/>
                <w:sz w:val="14"/>
                <w:szCs w:val="14"/>
                <w:color w:val="auto"/>
              </w:rPr>
              <w:t>85</w:t>
            </w:r>
          </w:p>
        </w:tc>
        <w:tc>
          <w:tcPr>
            <w:tcW w:w="280" w:type="dxa"/>
            <w:vAlign w:val="bottom"/>
          </w:tcPr>
          <w:p>
            <w:pPr>
              <w:spacing w:after="0"/>
              <w:rPr>
                <w:sz w:val="14"/>
                <w:szCs w:val="14"/>
                <w:color w:val="auto"/>
              </w:rPr>
            </w:pPr>
          </w:p>
        </w:tc>
        <w:tc>
          <w:tcPr>
            <w:tcW w:w="3120" w:type="dxa"/>
            <w:vAlign w:val="bottom"/>
          </w:tcPr>
          <w:p>
            <w:pPr>
              <w:jc w:val="right"/>
              <w:ind w:right="982"/>
              <w:spacing w:after="0"/>
              <w:rPr>
                <w:sz w:val="20"/>
                <w:szCs w:val="20"/>
                <w:color w:val="auto"/>
              </w:rPr>
            </w:pPr>
            <w:r>
              <w:rPr>
                <w:rFonts w:ascii="Arial" w:cs="Arial" w:eastAsia="Arial" w:hAnsi="Arial"/>
                <w:sz w:val="14"/>
                <w:szCs w:val="14"/>
                <w:color w:val="auto"/>
              </w:rPr>
              <w:t>5</w:t>
            </w:r>
          </w:p>
        </w:tc>
        <w:tc>
          <w:tcPr>
            <w:tcW w:w="1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820" w:type="dxa"/>
            <w:vAlign w:val="bottom"/>
          </w:tcPr>
          <w:p>
            <w:pPr>
              <w:jc w:val="right"/>
              <w:ind w:right="62"/>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68"/>
        </w:trPr>
        <w:tc>
          <w:tcPr>
            <w:tcW w:w="1200" w:type="dxa"/>
            <w:vAlign w:val="bottom"/>
          </w:tcPr>
          <w:p>
            <w:pPr>
              <w:ind w:left="240"/>
              <w:spacing w:after="0"/>
              <w:rPr>
                <w:sz w:val="20"/>
                <w:szCs w:val="20"/>
                <w:color w:val="auto"/>
              </w:rPr>
            </w:pPr>
            <w:r>
              <w:rPr>
                <w:rFonts w:ascii="Arial" w:cs="Arial" w:eastAsia="Arial" w:hAnsi="Arial"/>
                <w:sz w:val="14"/>
                <w:szCs w:val="14"/>
                <w:color w:val="auto"/>
              </w:rPr>
              <w:t>Other</w:t>
            </w:r>
          </w:p>
        </w:tc>
        <w:tc>
          <w:tcPr>
            <w:tcW w:w="560" w:type="dxa"/>
            <w:vAlign w:val="bottom"/>
          </w:tcPr>
          <w:p>
            <w:pPr>
              <w:spacing w:after="0"/>
              <w:rPr>
                <w:sz w:val="14"/>
                <w:szCs w:val="14"/>
                <w:color w:val="auto"/>
              </w:rPr>
            </w:pPr>
          </w:p>
        </w:tc>
        <w:tc>
          <w:tcPr>
            <w:tcW w:w="2180" w:type="dxa"/>
            <w:vAlign w:val="bottom"/>
            <w:vMerge w:val="restart"/>
          </w:tcPr>
          <w:p>
            <w:pPr>
              <w:jc w:val="right"/>
              <w:ind w:right="42"/>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00" w:type="dxa"/>
            <w:vAlign w:val="bottom"/>
          </w:tcPr>
          <w:p>
            <w:pPr>
              <w:ind w:left="80"/>
              <w:spacing w:after="0"/>
              <w:rPr>
                <w:sz w:val="20"/>
                <w:szCs w:val="20"/>
                <w:color w:val="auto"/>
              </w:rPr>
            </w:pPr>
            <w:r>
              <w:rPr>
                <w:rFonts w:ascii="Arial" w:cs="Arial" w:eastAsia="Arial" w:hAnsi="Arial"/>
                <w:sz w:val="14"/>
                <w:szCs w:val="14"/>
                <w:color w:val="auto"/>
              </w:rPr>
              <w:t>securities(3)</w:t>
            </w:r>
          </w:p>
        </w:tc>
        <w:tc>
          <w:tcPr>
            <w:tcW w:w="5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jc w:val="right"/>
              <w:ind w:right="982"/>
              <w:spacing w:after="0"/>
              <w:rPr>
                <w:sz w:val="20"/>
                <w:szCs w:val="20"/>
                <w:color w:val="auto"/>
              </w:rPr>
            </w:pPr>
            <w:r>
              <w:rPr>
                <w:rFonts w:ascii="Arial" w:cs="Arial" w:eastAsia="Arial" w:hAnsi="Arial"/>
                <w:sz w:val="14"/>
                <w:szCs w:val="14"/>
                <w:color w:val="auto"/>
              </w:rPr>
              <w:t>4</w:t>
            </w:r>
          </w:p>
        </w:tc>
        <w:tc>
          <w:tcPr>
            <w:tcW w:w="1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tcPr>
          <w:p>
            <w:pPr>
              <w:jc w:val="right"/>
              <w:ind w:right="942"/>
              <w:spacing w:after="0" w:line="189" w:lineRule="exact"/>
              <w:rPr>
                <w:sz w:val="20"/>
                <w:szCs w:val="20"/>
                <w:color w:val="auto"/>
              </w:rPr>
            </w:pPr>
            <w:r>
              <w:rPr>
                <w:rFonts w:ascii="Arial" w:cs="Arial" w:eastAsia="Arial" w:hAnsi="Arial"/>
                <w:sz w:val="19"/>
                <w:szCs w:val="19"/>
                <w:color w:val="auto"/>
              </w:rPr>
              <w:t>&lt; font style="FONT-</w:t>
            </w: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tcPr>
          <w:p>
            <w:pPr>
              <w:jc w:val="right"/>
              <w:ind w:right="942"/>
              <w:spacing w:after="0" w:line="216" w:lineRule="exact"/>
              <w:rPr>
                <w:sz w:val="20"/>
                <w:szCs w:val="20"/>
                <w:color w:val="auto"/>
              </w:rPr>
            </w:pPr>
            <w:r>
              <w:rPr>
                <w:rFonts w:ascii="Arial" w:cs="Arial" w:eastAsia="Arial" w:hAnsi="Arial"/>
                <w:sz w:val="19"/>
                <w:szCs w:val="19"/>
                <w:color w:val="auto"/>
              </w:rPr>
              <w:t>SIZE:9pt; COLOR:black;</w:t>
            </w: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tcPr>
          <w:p>
            <w:pPr>
              <w:jc w:val="right"/>
              <w:ind w:right="942"/>
              <w:spacing w:after="0" w:line="216" w:lineRule="exact"/>
              <w:rPr>
                <w:sz w:val="20"/>
                <w:szCs w:val="20"/>
                <w:color w:val="auto"/>
              </w:rPr>
            </w:pPr>
            <w:r>
              <w:rPr>
                <w:rFonts w:ascii="Arial" w:cs="Arial" w:eastAsia="Arial" w:hAnsi="Arial"/>
                <w:sz w:val="19"/>
                <w:szCs w:val="19"/>
                <w:color w:val="auto"/>
              </w:rPr>
              <w:t>FONT-</w:t>
            </w: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ind w:left="80"/>
              <w:spacing w:after="0"/>
              <w:rPr>
                <w:sz w:val="20"/>
                <w:szCs w:val="20"/>
                <w:color w:val="auto"/>
              </w:rPr>
            </w:pPr>
            <w:r>
              <w:rPr>
                <w:rFonts w:ascii="Arial" w:cs="Arial" w:eastAsia="Arial" w:hAnsi="Arial"/>
                <w:sz w:val="14"/>
                <w:szCs w:val="14"/>
                <w:color w:val="auto"/>
              </w:rPr>
              <w:t>Total debt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&lt;</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tcPr>
          <w:p>
            <w:pPr>
              <w:jc w:val="right"/>
              <w:ind w:right="942"/>
              <w:spacing w:after="0" w:line="216" w:lineRule="exact"/>
              <w:rPr>
                <w:sz w:val="20"/>
                <w:szCs w:val="20"/>
                <w:color w:val="auto"/>
              </w:rPr>
            </w:pPr>
            <w:r>
              <w:rPr>
                <w:rFonts w:ascii="Arial" w:cs="Arial" w:eastAsia="Arial" w:hAnsi="Arial"/>
                <w:sz w:val="19"/>
                <w:szCs w:val="19"/>
                <w:color w:val="auto"/>
              </w:rPr>
              <w:t>FAMILY:'Arial','sans-</w:t>
            </w: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120" w:type="dxa"/>
            <w:vAlign w:val="bottom"/>
            <w:vMerge w:val="restart"/>
          </w:tcPr>
          <w:p>
            <w:pPr>
              <w:jc w:val="right"/>
              <w:ind w:right="1002"/>
              <w:spacing w:after="0"/>
              <w:rPr>
                <w:sz w:val="20"/>
                <w:szCs w:val="20"/>
                <w:color w:val="auto"/>
              </w:rPr>
            </w:pPr>
            <w:r>
              <w:rPr>
                <w:rFonts w:ascii="Arial" w:cs="Arial" w:eastAsia="Arial" w:hAnsi="Arial"/>
                <w:sz w:val="19"/>
                <w:szCs w:val="19"/>
                <w:color w:val="auto"/>
              </w:rPr>
              <w:t>serif'"&gt; 33</w:t>
            </w: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securities</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/font&gt;</w:t>
            </w:r>
          </w:p>
        </w:tc>
        <w:tc>
          <w:tcPr>
            <w:tcW w:w="2180" w:type="dxa"/>
            <w:vAlign w:val="bottom"/>
          </w:tcPr>
          <w:p>
            <w:pPr>
              <w:jc w:val="right"/>
              <w:ind w:right="42"/>
              <w:spacing w:after="0"/>
              <w:rPr>
                <w:sz w:val="20"/>
                <w:szCs w:val="20"/>
                <w:color w:val="auto"/>
              </w:rPr>
            </w:pPr>
            <w:r>
              <w:rPr>
                <w:rFonts w:ascii="Arial" w:cs="Arial" w:eastAsia="Arial" w:hAnsi="Arial"/>
                <w:sz w:val="14"/>
                <w:szCs w:val="14"/>
                <w:color w:val="auto"/>
              </w:rPr>
              <w:t>248</w:t>
            </w:r>
          </w:p>
        </w:tc>
        <w:tc>
          <w:tcPr>
            <w:tcW w:w="28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820" w:type="dxa"/>
            <w:vAlign w:val="bottom"/>
          </w:tcPr>
          <w:p>
            <w:pPr>
              <w:jc w:val="right"/>
              <w:ind w:right="62"/>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Equity</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Arial" w:cs="Arial" w:eastAsia="Arial" w:hAnsi="Arial"/>
                <w:sz w:val="19"/>
                <w:szCs w:val="19"/>
                <w:color w:val="auto"/>
              </w:rPr>
              <w:t>(2)</w:t>
            </w: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200" w:type="dxa"/>
            <w:vAlign w:val="bottom"/>
          </w:tcPr>
          <w:p>
            <w:pPr>
              <w:ind w:left="80"/>
              <w:spacing w:after="0" w:line="147" w:lineRule="exact"/>
              <w:rPr>
                <w:sz w:val="20"/>
                <w:szCs w:val="20"/>
                <w:color w:val="auto"/>
              </w:rPr>
            </w:pPr>
            <w:r>
              <w:rPr>
                <w:rFonts w:ascii="Arial" w:cs="Arial" w:eastAsia="Arial" w:hAnsi="Arial"/>
                <w:sz w:val="14"/>
                <w:szCs w:val="14"/>
                <w:color w:val="auto"/>
              </w:rPr>
              <w:t>securities</w:t>
            </w:r>
          </w:p>
        </w:tc>
        <w:tc>
          <w:tcPr>
            <w:tcW w:w="560" w:type="dxa"/>
            <w:vAlign w:val="bottom"/>
          </w:tcPr>
          <w:p>
            <w:pPr>
              <w:spacing w:after="0"/>
              <w:rPr>
                <w:sz w:val="12"/>
                <w:szCs w:val="12"/>
                <w:color w:val="auto"/>
              </w:rPr>
            </w:pPr>
          </w:p>
        </w:tc>
        <w:tc>
          <w:tcPr>
            <w:tcW w:w="2180" w:type="dxa"/>
            <w:vAlign w:val="bottom"/>
          </w:tcPr>
          <w:p>
            <w:pPr>
              <w:jc w:val="right"/>
              <w:ind w:right="42"/>
              <w:spacing w:after="0" w:line="147" w:lineRule="exact"/>
              <w:rPr>
                <w:sz w:val="20"/>
                <w:szCs w:val="20"/>
                <w:color w:val="auto"/>
              </w:rPr>
            </w:pPr>
            <w:r>
              <w:rPr>
                <w:rFonts w:ascii="Arial" w:cs="Arial" w:eastAsia="Arial" w:hAnsi="Arial"/>
                <w:sz w:val="14"/>
                <w:szCs w:val="14"/>
                <w:color w:val="auto"/>
              </w:rPr>
              <w:t>240</w:t>
            </w:r>
          </w:p>
        </w:tc>
        <w:tc>
          <w:tcPr>
            <w:tcW w:w="280" w:type="dxa"/>
            <w:vAlign w:val="bottom"/>
          </w:tcPr>
          <w:p>
            <w:pPr>
              <w:spacing w:after="0"/>
              <w:rPr>
                <w:sz w:val="12"/>
                <w:szCs w:val="12"/>
                <w:color w:val="auto"/>
              </w:rPr>
            </w:pPr>
          </w:p>
        </w:tc>
        <w:tc>
          <w:tcPr>
            <w:tcW w:w="3120" w:type="dxa"/>
            <w:vAlign w:val="bottom"/>
          </w:tcPr>
          <w:p>
            <w:pPr>
              <w:jc w:val="right"/>
              <w:ind w:right="982"/>
              <w:spacing w:after="0" w:line="147" w:lineRule="exact"/>
              <w:rPr>
                <w:sz w:val="20"/>
                <w:szCs w:val="20"/>
                <w:color w:val="auto"/>
              </w:rPr>
            </w:pPr>
            <w:r>
              <w:rPr>
                <w:rFonts w:ascii="Arial" w:cs="Arial" w:eastAsia="Arial" w:hAnsi="Arial"/>
                <w:sz w:val="14"/>
                <w:szCs w:val="14"/>
                <w:color w:val="auto"/>
              </w:rPr>
              <w:t>201</w:t>
            </w:r>
          </w:p>
        </w:tc>
        <w:tc>
          <w:tcPr>
            <w:tcW w:w="1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jc w:val="right"/>
              <w:ind w:right="62"/>
              <w:spacing w:after="0" w:line="147"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ind w:left="100"/>
              <w:spacing w:after="0" w:line="216" w:lineRule="exact"/>
              <w:rPr>
                <w:sz w:val="20"/>
                <w:szCs w:val="20"/>
                <w:color w:val="auto"/>
              </w:rPr>
            </w:pPr>
            <w:r>
              <w:rPr>
                <w:rFonts w:ascii="Arial" w:cs="Arial" w:eastAsia="Arial" w:hAnsi="Arial"/>
                <w:sz w:val="19"/>
                <w:szCs w:val="19"/>
                <w:color w:val="auto"/>
              </w:rPr>
              <w:t>&lt; p</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ind w:left="100"/>
              <w:spacing w:after="0" w:line="216" w:lineRule="exact"/>
              <w:rPr>
                <w:sz w:val="20"/>
                <w:szCs w:val="20"/>
                <w:color w:val="auto"/>
              </w:rPr>
            </w:pPr>
            <w:r>
              <w:rPr>
                <w:rFonts w:ascii="Arial" w:cs="Arial" w:eastAsia="Arial" w:hAnsi="Arial"/>
                <w:sz w:val="19"/>
                <w:szCs w:val="19"/>
                <w:color w:val="auto"/>
              </w:rPr>
              <w:t>style="MARGIN:0in</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ind w:left="100"/>
              <w:spacing w:after="0" w:line="216" w:lineRule="exact"/>
              <w:rPr>
                <w:sz w:val="20"/>
                <w:szCs w:val="20"/>
                <w:color w:val="auto"/>
              </w:rPr>
            </w:pPr>
            <w:r>
              <w:rPr>
                <w:rFonts w:ascii="Arial" w:cs="Arial" w:eastAsia="Arial" w:hAnsi="Arial"/>
                <w:sz w:val="19"/>
                <w:szCs w:val="19"/>
                <w:color w:val="auto"/>
              </w:rPr>
              <w:t>0in 0pt; TEXT-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ind w:left="100"/>
              <w:spacing w:after="0" w:line="216" w:lineRule="exact"/>
              <w:rPr>
                <w:sz w:val="20"/>
                <w:szCs w:val="20"/>
                <w:color w:val="auto"/>
              </w:rPr>
            </w:pPr>
            <w:r>
              <w:rPr>
                <w:rFonts w:ascii="Arial" w:cs="Arial" w:eastAsia="Arial" w:hAnsi="Arial"/>
                <w:sz w:val="19"/>
                <w:szCs w:val="19"/>
                <w:color w:val="auto"/>
              </w:rPr>
              <w:t>ALIGN:right"</w:t>
            </w:r>
          </w:p>
        </w:tc>
        <w:tc>
          <w:tcPr>
            <w:tcW w:w="0" w:type="dxa"/>
            <w:vAlign w:val="bottom"/>
          </w:tcPr>
          <w:p>
            <w:pPr>
              <w:spacing w:after="0"/>
              <w:rPr>
                <w:sz w:val="1"/>
                <w:szCs w:val="1"/>
                <w:color w:val="auto"/>
              </w:rPr>
            </w:pPr>
          </w:p>
        </w:tc>
      </w:tr>
      <w:tr>
        <w:trPr>
          <w:trHeight w:val="261"/>
        </w:trPr>
        <w:tc>
          <w:tcPr>
            <w:tcW w:w="1200" w:type="dxa"/>
            <w:vAlign w:val="bottom"/>
          </w:tcPr>
          <w:p>
            <w:pPr>
              <w:ind w:left="80"/>
              <w:spacing w:after="0"/>
              <w:rPr>
                <w:sz w:val="20"/>
                <w:szCs w:val="20"/>
                <w:color w:val="auto"/>
              </w:rPr>
            </w:pPr>
            <w:r>
              <w:rPr>
                <w:rFonts w:ascii="Arial" w:cs="Arial" w:eastAsia="Arial" w:hAnsi="Arial"/>
                <w:sz w:val="14"/>
                <w:szCs w:val="14"/>
                <w:color w:val="auto"/>
              </w:rPr>
              <w:t>Cash and cash</w:t>
            </w:r>
          </w:p>
        </w:tc>
        <w:tc>
          <w:tcPr>
            <w:tcW w:w="5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tcPr>
          <w:p>
            <w:pPr>
              <w:ind w:left="100"/>
              <w:spacing w:after="0"/>
              <w:rPr>
                <w:sz w:val="20"/>
                <w:szCs w:val="20"/>
                <w:color w:val="auto"/>
              </w:rPr>
            </w:pPr>
            <w:r>
              <w:rPr>
                <w:rFonts w:ascii="Arial" w:cs="Arial" w:eastAsia="Arial" w:hAnsi="Arial"/>
                <w:sz w:val="19"/>
                <w:szCs w:val="19"/>
                <w:color w:val="auto"/>
              </w:rPr>
              <w:t xml:space="preserve">align=right&gt; </w:t>
            </w: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6"/>
        </w:trPr>
        <w:tc>
          <w:tcPr>
            <w:tcW w:w="1200" w:type="dxa"/>
            <w:vAlign w:val="bottom"/>
          </w:tcPr>
          <w:p>
            <w:pPr>
              <w:ind w:left="80"/>
              <w:spacing w:after="0"/>
              <w:rPr>
                <w:sz w:val="20"/>
                <w:szCs w:val="20"/>
                <w:color w:val="auto"/>
              </w:rPr>
            </w:pPr>
            <w:r>
              <w:rPr>
                <w:rFonts w:ascii="Arial" w:cs="Arial" w:eastAsia="Arial" w:hAnsi="Arial"/>
                <w:sz w:val="14"/>
                <w:szCs w:val="14"/>
                <w:color w:val="auto"/>
              </w:rPr>
              <w:t>equivalents</w:t>
            </w:r>
          </w:p>
        </w:tc>
        <w:tc>
          <w:tcPr>
            <w:tcW w:w="5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18</w:t>
            </w:r>
          </w:p>
        </w:tc>
        <w:tc>
          <w:tcPr>
            <w:tcW w:w="2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jc w:val="right"/>
              <w:ind w:right="98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200" w:type="dxa"/>
            <w:vAlign w:val="bottom"/>
          </w:tcPr>
          <w:p>
            <w:pPr>
              <w:ind w:left="80"/>
              <w:spacing w:after="0" w:line="150" w:lineRule="exact"/>
              <w:rPr>
                <w:sz w:val="20"/>
                <w:szCs w:val="20"/>
                <w:color w:val="auto"/>
              </w:rPr>
            </w:pPr>
            <w:r>
              <w:rPr>
                <w:rFonts w:ascii="Arial" w:cs="Arial" w:eastAsia="Arial" w:hAnsi="Arial"/>
                <w:sz w:val="14"/>
                <w:szCs w:val="14"/>
                <w:color w:val="auto"/>
              </w:rPr>
              <w:t>Total available-</w:t>
            </w:r>
          </w:p>
        </w:tc>
        <w:tc>
          <w:tcPr>
            <w:tcW w:w="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for-sale</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vMerge w:val="restart"/>
          </w:tcPr>
          <w:p>
            <w:pPr>
              <w:jc w:val="right"/>
              <w:ind w:right="982"/>
              <w:spacing w:after="0"/>
              <w:rPr>
                <w:sz w:val="20"/>
                <w:szCs w:val="20"/>
                <w:color w:val="auto"/>
              </w:rPr>
            </w:pPr>
            <w:r>
              <w:rPr>
                <w:rFonts w:ascii="Arial" w:cs="Arial" w:eastAsia="Arial" w:hAnsi="Arial"/>
                <w:sz w:val="14"/>
                <w:szCs w:val="14"/>
                <w:color w:val="auto"/>
              </w:rPr>
              <w:t>234</w:t>
            </w: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securities</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506</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12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52"/>
        </w:trPr>
        <w:tc>
          <w:tcPr>
            <w:tcW w:w="1200" w:type="dxa"/>
            <w:vAlign w:val="bottom"/>
          </w:tcPr>
          <w:p>
            <w:pPr>
              <w:ind w:left="80"/>
              <w:spacing w:after="0" w:line="152" w:lineRule="exact"/>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0" w:type="dxa"/>
            <w:vAlign w:val="bottom"/>
          </w:tcPr>
          <w:p>
            <w:pPr>
              <w:ind w:left="80"/>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00" w:type="dxa"/>
            <w:vAlign w:val="bottom"/>
          </w:tcPr>
          <w:p>
            <w:pPr>
              <w:ind w:left="80"/>
              <w:spacing w:after="0"/>
              <w:rPr>
                <w:sz w:val="20"/>
                <w:szCs w:val="20"/>
                <w:color w:val="auto"/>
              </w:rPr>
            </w:pPr>
            <w:r>
              <w:rPr>
                <w:rFonts w:ascii="Arial" w:cs="Arial" w:eastAsia="Arial" w:hAnsi="Arial"/>
                <w:sz w:val="14"/>
                <w:szCs w:val="14"/>
                <w:color w:val="auto"/>
              </w:rPr>
              <w:t>Debt securities</w:t>
            </w:r>
          </w:p>
        </w:tc>
        <w:tc>
          <w:tcPr>
            <w:tcW w:w="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0" w:type="dxa"/>
            <w:vAlign w:val="bottom"/>
          </w:tcPr>
          <w:p>
            <w:pPr>
              <w:ind w:left="240"/>
              <w:spacing w:after="0"/>
              <w:rPr>
                <w:sz w:val="20"/>
                <w:szCs w:val="20"/>
                <w:color w:val="auto"/>
              </w:rPr>
            </w:pPr>
            <w:r>
              <w:rPr>
                <w:rFonts w:ascii="Arial" w:cs="Arial" w:eastAsia="Arial" w:hAnsi="Arial"/>
                <w:sz w:val="14"/>
                <w:szCs w:val="14"/>
                <w:color w:val="auto"/>
              </w:rPr>
              <w:t>Debt</w:t>
            </w:r>
          </w:p>
        </w:tc>
        <w:tc>
          <w:tcPr>
            <w:tcW w:w="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securities</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issued by the</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U.S. Treasury</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and other</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440"/>
              <w:spacing w:after="0"/>
              <w:rPr>
                <w:sz w:val="20"/>
                <w:szCs w:val="20"/>
                <w:color w:val="auto"/>
              </w:rPr>
            </w:pPr>
            <w:r>
              <w:rPr>
                <w:rFonts w:ascii="Arial" w:cs="Arial" w:eastAsia="Arial" w:hAnsi="Arial"/>
                <w:sz w:val="14"/>
                <w:szCs w:val="14"/>
                <w:color w:val="auto"/>
              </w:rPr>
              <w:t>U.S.</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government</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corporations</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and agencies</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42"/>
              <w:spacing w:after="0"/>
              <w:rPr>
                <w:sz w:val="20"/>
                <w:szCs w:val="20"/>
                <w:color w:val="auto"/>
              </w:rPr>
            </w:pPr>
            <w:r>
              <w:rPr>
                <w:rFonts w:ascii="Arial" w:cs="Arial" w:eastAsia="Arial" w:hAnsi="Arial"/>
                <w:sz w:val="14"/>
                <w:szCs w:val="14"/>
                <w:color w:val="auto"/>
              </w:rPr>
              <w:t>141</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120" w:type="dxa"/>
            <w:vAlign w:val="bottom"/>
          </w:tcPr>
          <w:p>
            <w:pPr>
              <w:jc w:val="right"/>
              <w:ind w:right="982"/>
              <w:spacing w:after="0"/>
              <w:rPr>
                <w:sz w:val="20"/>
                <w:szCs w:val="20"/>
                <w:color w:val="auto"/>
              </w:rPr>
            </w:pPr>
            <w:r>
              <w:rPr>
                <w:rFonts w:ascii="Arial" w:cs="Arial" w:eastAsia="Arial" w:hAnsi="Arial"/>
                <w:sz w:val="14"/>
                <w:szCs w:val="14"/>
                <w:color w:val="auto"/>
              </w:rPr>
              <w:t>12</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(3)</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62"/>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8"/>
        </w:trPr>
        <w:tc>
          <w:tcPr>
            <w:tcW w:w="1200" w:type="dxa"/>
            <w:vAlign w:val="bottom"/>
          </w:tcPr>
          <w:p>
            <w:pPr>
              <w:ind w:left="240"/>
              <w:spacing w:after="0"/>
              <w:rPr>
                <w:sz w:val="20"/>
                <w:szCs w:val="20"/>
                <w:color w:val="auto"/>
              </w:rPr>
            </w:pPr>
            <w:r>
              <w:rPr>
                <w:rFonts w:ascii="Arial" w:cs="Arial" w:eastAsia="Arial" w:hAnsi="Arial"/>
                <w:sz w:val="14"/>
                <w:szCs w:val="14"/>
                <w:color w:val="auto"/>
              </w:rPr>
              <w:t>Municipal</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bonds</w:t>
            </w:r>
          </w:p>
        </w:tc>
        <w:tc>
          <w:tcPr>
            <w:tcW w:w="560" w:type="dxa"/>
            <w:vAlign w:val="bottom"/>
          </w:tcPr>
          <w:p>
            <w:pPr>
              <w:spacing w:after="0"/>
              <w:rPr>
                <w:sz w:val="14"/>
                <w:szCs w:val="14"/>
                <w:color w:val="auto"/>
              </w:rPr>
            </w:pPr>
          </w:p>
        </w:tc>
        <w:tc>
          <w:tcPr>
            <w:tcW w:w="2180" w:type="dxa"/>
            <w:vAlign w:val="bottom"/>
          </w:tcPr>
          <w:p>
            <w:pPr>
              <w:jc w:val="right"/>
              <w:ind w:right="42"/>
              <w:spacing w:after="0"/>
              <w:rPr>
                <w:sz w:val="20"/>
                <w:szCs w:val="20"/>
                <w:color w:val="auto"/>
              </w:rPr>
            </w:pPr>
            <w:r>
              <w:rPr>
                <w:rFonts w:ascii="Arial" w:cs="Arial" w:eastAsia="Arial" w:hAnsi="Arial"/>
                <w:sz w:val="14"/>
                <w:szCs w:val="14"/>
                <w:color w:val="auto"/>
              </w:rPr>
              <w:t>85</w:t>
            </w:r>
          </w:p>
        </w:tc>
        <w:tc>
          <w:tcPr>
            <w:tcW w:w="280" w:type="dxa"/>
            <w:vAlign w:val="bottom"/>
          </w:tcPr>
          <w:p>
            <w:pPr>
              <w:spacing w:after="0"/>
              <w:rPr>
                <w:sz w:val="14"/>
                <w:szCs w:val="14"/>
                <w:color w:val="auto"/>
              </w:rPr>
            </w:pPr>
          </w:p>
        </w:tc>
        <w:tc>
          <w:tcPr>
            <w:tcW w:w="3120" w:type="dxa"/>
            <w:vAlign w:val="bottom"/>
          </w:tcPr>
          <w:p>
            <w:pPr>
              <w:jc w:val="right"/>
              <w:ind w:right="982"/>
              <w:spacing w:after="0"/>
              <w:rPr>
                <w:sz w:val="20"/>
                <w:szCs w:val="20"/>
                <w:color w:val="auto"/>
              </w:rPr>
            </w:pPr>
            <w:r>
              <w:rPr>
                <w:rFonts w:ascii="Arial" w:cs="Arial" w:eastAsia="Arial" w:hAnsi="Arial"/>
                <w:sz w:val="14"/>
                <w:szCs w:val="14"/>
                <w:color w:val="auto"/>
              </w:rPr>
              <w:t>3</w:t>
            </w:r>
          </w:p>
        </w:tc>
        <w:tc>
          <w:tcPr>
            <w:tcW w:w="1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4"/>
                <w:szCs w:val="14"/>
                <w:color w:val="auto"/>
              </w:rPr>
            </w:pPr>
          </w:p>
        </w:tc>
        <w:tc>
          <w:tcPr>
            <w:tcW w:w="1820" w:type="dxa"/>
            <w:vAlign w:val="bottom"/>
          </w:tcPr>
          <w:p>
            <w:pPr>
              <w:jc w:val="right"/>
              <w:ind w:right="62"/>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8"/>
        </w:trPr>
        <w:tc>
          <w:tcPr>
            <w:tcW w:w="1200" w:type="dxa"/>
            <w:vAlign w:val="bottom"/>
          </w:tcPr>
          <w:p>
            <w:pPr>
              <w:ind w:left="240"/>
              <w:spacing w:after="0"/>
              <w:rPr>
                <w:sz w:val="20"/>
                <w:szCs w:val="20"/>
                <w:color w:val="auto"/>
              </w:rPr>
            </w:pPr>
            <w:r>
              <w:rPr>
                <w:rFonts w:ascii="Arial" w:cs="Arial" w:eastAsia="Arial" w:hAnsi="Arial"/>
                <w:sz w:val="14"/>
                <w:szCs w:val="14"/>
                <w:color w:val="auto"/>
              </w:rPr>
              <w:t>Other</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securities&lt;</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vMerge w:val="restart"/>
          </w:tcPr>
          <w:p>
            <w:pPr>
              <w:jc w:val="right"/>
              <w:ind w:right="62"/>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6"/>
        </w:trPr>
        <w:tc>
          <w:tcPr>
            <w:tcW w:w="1200" w:type="dxa"/>
            <w:vAlign w:val="bottom"/>
          </w:tcPr>
          <w:p>
            <w:pPr>
              <w:ind w:left="80"/>
              <w:spacing w:after="0"/>
              <w:rPr>
                <w:sz w:val="20"/>
                <w:szCs w:val="20"/>
                <w:color w:val="auto"/>
              </w:rPr>
            </w:pPr>
            <w:r>
              <w:rPr>
                <w:rFonts w:ascii="Arial" w:cs="Arial" w:eastAsia="Arial" w:hAnsi="Arial"/>
                <w:sz w:val="14"/>
                <w:szCs w:val="14"/>
                <w:color w:val="auto"/>
              </w:rPr>
              <w:t>/font&gt;</w:t>
            </w:r>
          </w:p>
        </w:tc>
        <w:tc>
          <w:tcPr>
            <w:tcW w:w="5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12</w:t>
            </w:r>
          </w:p>
        </w:tc>
        <w:tc>
          <w:tcPr>
            <w:tcW w:w="2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jc w:val="right"/>
              <w:ind w:right="982"/>
              <w:spacing w:after="0"/>
              <w:rPr>
                <w:sz w:val="20"/>
                <w:szCs w:val="20"/>
                <w:color w:val="auto"/>
              </w:rPr>
            </w:pPr>
            <w:r>
              <w:rPr>
                <w:rFonts w:ascii="Arial" w:cs="Arial" w:eastAsia="Arial" w:hAnsi="Arial"/>
                <w:sz w:val="14"/>
                <w:szCs w:val="14"/>
                <w:color w:val="auto"/>
              </w:rPr>
              <w:t>1</w:t>
            </w:r>
          </w:p>
        </w:tc>
        <w:tc>
          <w:tcPr>
            <w:tcW w:w="1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200" w:type="dxa"/>
            <w:vAlign w:val="bottom"/>
          </w:tcPr>
          <w:p>
            <w:pPr>
              <w:ind w:left="80"/>
              <w:spacing w:after="0" w:line="150" w:lineRule="exact"/>
              <w:rPr>
                <w:sz w:val="20"/>
                <w:szCs w:val="20"/>
                <w:color w:val="auto"/>
              </w:rPr>
            </w:pPr>
            <w:r>
              <w:rPr>
                <w:rFonts w:ascii="Arial" w:cs="Arial" w:eastAsia="Arial" w:hAnsi="Arial"/>
                <w:sz w:val="14"/>
                <w:szCs w:val="14"/>
                <w:color w:val="auto"/>
              </w:rPr>
              <w:t>Total debt</w:t>
            </w:r>
          </w:p>
        </w:tc>
        <w:tc>
          <w:tcPr>
            <w:tcW w:w="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securities</w:t>
            </w:r>
          </w:p>
        </w:tc>
        <w:tc>
          <w:tcPr>
            <w:tcW w:w="560" w:type="dxa"/>
            <w:vAlign w:val="bottom"/>
          </w:tcPr>
          <w:p>
            <w:pPr>
              <w:spacing w:after="0"/>
              <w:rPr>
                <w:sz w:val="14"/>
                <w:szCs w:val="14"/>
                <w:color w:val="auto"/>
              </w:rPr>
            </w:pPr>
          </w:p>
        </w:tc>
        <w:tc>
          <w:tcPr>
            <w:tcW w:w="2180" w:type="dxa"/>
            <w:vAlign w:val="bottom"/>
          </w:tcPr>
          <w:p>
            <w:pPr>
              <w:jc w:val="right"/>
              <w:ind w:right="42"/>
              <w:spacing w:after="0"/>
              <w:rPr>
                <w:sz w:val="20"/>
                <w:szCs w:val="20"/>
                <w:color w:val="auto"/>
              </w:rPr>
            </w:pPr>
            <w:r>
              <w:rPr>
                <w:rFonts w:ascii="Arial" w:cs="Arial" w:eastAsia="Arial" w:hAnsi="Arial"/>
                <w:sz w:val="14"/>
                <w:szCs w:val="14"/>
                <w:color w:val="auto"/>
              </w:rPr>
              <w:t>238</w:t>
            </w:r>
          </w:p>
        </w:tc>
        <w:tc>
          <w:tcPr>
            <w:tcW w:w="280" w:type="dxa"/>
            <w:vAlign w:val="bottom"/>
          </w:tcPr>
          <w:p>
            <w:pPr>
              <w:spacing w:after="0"/>
              <w:rPr>
                <w:sz w:val="14"/>
                <w:szCs w:val="14"/>
                <w:color w:val="auto"/>
              </w:rPr>
            </w:pPr>
          </w:p>
        </w:tc>
        <w:tc>
          <w:tcPr>
            <w:tcW w:w="3120" w:type="dxa"/>
            <w:vAlign w:val="bottom"/>
          </w:tcPr>
          <w:p>
            <w:pPr>
              <w:jc w:val="right"/>
              <w:ind w:right="982"/>
              <w:spacing w:after="0"/>
              <w:rPr>
                <w:sz w:val="20"/>
                <w:szCs w:val="20"/>
                <w:color w:val="auto"/>
              </w:rPr>
            </w:pPr>
            <w:r>
              <w:rPr>
                <w:rFonts w:ascii="Arial" w:cs="Arial" w:eastAsia="Arial" w:hAnsi="Arial"/>
                <w:sz w:val="14"/>
                <w:szCs w:val="14"/>
                <w:color w:val="auto"/>
              </w:rPr>
              <w:t>16</w:t>
            </w:r>
          </w:p>
        </w:tc>
        <w:tc>
          <w:tcPr>
            <w:tcW w:w="1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4"/>
                <w:szCs w:val="14"/>
                <w:color w:val="auto"/>
              </w:rPr>
            </w:pPr>
          </w:p>
        </w:tc>
        <w:tc>
          <w:tcPr>
            <w:tcW w:w="1820" w:type="dxa"/>
            <w:vAlign w:val="bottom"/>
          </w:tcPr>
          <w:p>
            <w:pPr>
              <w:jc w:val="right"/>
              <w:ind w:right="62"/>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Equity</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securities</w:t>
            </w:r>
          </w:p>
        </w:tc>
        <w:tc>
          <w:tcPr>
            <w:tcW w:w="560" w:type="dxa"/>
            <w:vAlign w:val="bottom"/>
          </w:tcPr>
          <w:p>
            <w:pPr>
              <w:spacing w:after="0"/>
              <w:rPr>
                <w:sz w:val="14"/>
                <w:szCs w:val="14"/>
                <w:color w:val="auto"/>
              </w:rPr>
            </w:pPr>
          </w:p>
        </w:tc>
        <w:tc>
          <w:tcPr>
            <w:tcW w:w="2180" w:type="dxa"/>
            <w:vAlign w:val="bottom"/>
          </w:tcPr>
          <w:p>
            <w:pPr>
              <w:jc w:val="right"/>
              <w:ind w:right="42"/>
              <w:spacing w:after="0"/>
              <w:rPr>
                <w:sz w:val="20"/>
                <w:szCs w:val="20"/>
                <w:color w:val="auto"/>
              </w:rPr>
            </w:pPr>
            <w:r>
              <w:rPr>
                <w:rFonts w:ascii="Arial" w:cs="Arial" w:eastAsia="Arial" w:hAnsi="Arial"/>
                <w:sz w:val="14"/>
                <w:szCs w:val="14"/>
                <w:color w:val="auto"/>
              </w:rPr>
              <w:t>238</w:t>
            </w:r>
          </w:p>
        </w:tc>
        <w:tc>
          <w:tcPr>
            <w:tcW w:w="280" w:type="dxa"/>
            <w:vAlign w:val="bottom"/>
          </w:tcPr>
          <w:p>
            <w:pPr>
              <w:spacing w:after="0"/>
              <w:rPr>
                <w:sz w:val="14"/>
                <w:szCs w:val="14"/>
                <w:color w:val="auto"/>
              </w:rPr>
            </w:pPr>
          </w:p>
        </w:tc>
        <w:tc>
          <w:tcPr>
            <w:tcW w:w="3120" w:type="dxa"/>
            <w:vAlign w:val="bottom"/>
          </w:tcPr>
          <w:p>
            <w:pPr>
              <w:jc w:val="right"/>
              <w:ind w:right="982"/>
              <w:spacing w:after="0"/>
              <w:rPr>
                <w:sz w:val="20"/>
                <w:szCs w:val="20"/>
                <w:color w:val="auto"/>
              </w:rPr>
            </w:pPr>
            <w:r>
              <w:rPr>
                <w:rFonts w:ascii="Arial" w:cs="Arial" w:eastAsia="Arial" w:hAnsi="Arial"/>
                <w:sz w:val="14"/>
                <w:szCs w:val="14"/>
                <w:color w:val="auto"/>
              </w:rPr>
              <w:t>188</w:t>
            </w:r>
          </w:p>
        </w:tc>
        <w:tc>
          <w:tcPr>
            <w:tcW w:w="1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4"/>
                <w:szCs w:val="14"/>
                <w:color w:val="auto"/>
              </w:rPr>
            </w:pPr>
          </w:p>
        </w:tc>
        <w:tc>
          <w:tcPr>
            <w:tcW w:w="1820" w:type="dxa"/>
            <w:vAlign w:val="bottom"/>
          </w:tcPr>
          <w:p>
            <w:pPr>
              <w:jc w:val="right"/>
              <w:ind w:right="62"/>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Cash and cash</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vMerge w:val="restart"/>
          </w:tcPr>
          <w:p>
            <w:pPr>
              <w:ind w:left="80"/>
              <w:spacing w:after="0"/>
              <w:rPr>
                <w:sz w:val="20"/>
                <w:szCs w:val="20"/>
                <w:color w:val="auto"/>
              </w:rPr>
            </w:pPr>
            <w:r>
              <w:rPr>
                <w:rFonts w:ascii="Arial" w:cs="Arial" w:eastAsia="Arial" w:hAnsi="Arial"/>
                <w:sz w:val="14"/>
                <w:szCs w:val="14"/>
                <w:color w:val="auto"/>
              </w:rPr>
              <w:t>equivalents</w:t>
            </w:r>
          </w:p>
        </w:tc>
        <w:tc>
          <w:tcPr>
            <w:tcW w:w="560" w:type="dxa"/>
            <w:vAlign w:val="bottom"/>
          </w:tcPr>
          <w:p>
            <w:pPr>
              <w:spacing w:after="0"/>
              <w:rPr>
                <w:sz w:val="7"/>
                <w:szCs w:val="7"/>
                <w:color w:val="auto"/>
              </w:rPr>
            </w:pPr>
          </w:p>
        </w:tc>
        <w:tc>
          <w:tcPr>
            <w:tcW w:w="2180" w:type="dxa"/>
            <w:vAlign w:val="bottom"/>
            <w:vMerge w:val="restart"/>
          </w:tcPr>
          <w:p>
            <w:pPr>
              <w:jc w:val="right"/>
              <w:ind w:right="42"/>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7"/>
                <w:szCs w:val="7"/>
                <w:color w:val="auto"/>
              </w:rPr>
            </w:pPr>
          </w:p>
        </w:tc>
        <w:tc>
          <w:tcPr>
            <w:tcW w:w="3120" w:type="dxa"/>
            <w:vAlign w:val="bottom"/>
            <w:vMerge w:val="restart"/>
          </w:tcPr>
          <w:p>
            <w:pPr>
              <w:jc w:val="right"/>
              <w:ind w:right="982"/>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820" w:type="dxa"/>
            <w:vAlign w:val="bottom"/>
            <w:vMerge w:val="restart"/>
          </w:tcPr>
          <w:p>
            <w:pPr>
              <w:jc w:val="right"/>
              <w:ind w:right="62"/>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78"/>
        </w:trPr>
        <w:tc>
          <w:tcPr>
            <w:tcW w:w="1200" w:type="dxa"/>
            <w:vAlign w:val="bottom"/>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vMerge w:val="continue"/>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Pr>
          <w:p>
            <w:pPr>
              <w:ind w:left="80"/>
              <w:spacing w:after="0" w:line="150" w:lineRule="exact"/>
              <w:rPr>
                <w:sz w:val="20"/>
                <w:szCs w:val="20"/>
                <w:color w:val="auto"/>
              </w:rPr>
            </w:pPr>
            <w:r>
              <w:rPr>
                <w:rFonts w:ascii="Arial" w:cs="Arial" w:eastAsia="Arial" w:hAnsi="Arial"/>
                <w:sz w:val="14"/>
                <w:szCs w:val="14"/>
                <w:color w:val="auto"/>
              </w:rPr>
              <w:t>Total available-</w:t>
            </w:r>
          </w:p>
        </w:tc>
        <w:tc>
          <w:tcPr>
            <w:tcW w:w="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for-sale</w:t>
            </w: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00" w:type="dxa"/>
            <w:vAlign w:val="bottom"/>
          </w:tcPr>
          <w:p>
            <w:pPr>
              <w:ind w:left="80"/>
              <w:spacing w:after="0"/>
              <w:rPr>
                <w:sz w:val="20"/>
                <w:szCs w:val="20"/>
                <w:color w:val="auto"/>
              </w:rPr>
            </w:pPr>
            <w:r>
              <w:rPr>
                <w:rFonts w:ascii="Arial" w:cs="Arial" w:eastAsia="Arial" w:hAnsi="Arial"/>
                <w:sz w:val="14"/>
                <w:szCs w:val="14"/>
                <w:color w:val="auto"/>
              </w:rPr>
              <w:t>securities</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42"/>
              <w:spacing w:after="0"/>
              <w:rPr>
                <w:sz w:val="20"/>
                <w:szCs w:val="20"/>
                <w:color w:val="auto"/>
              </w:rPr>
            </w:pPr>
            <w:r>
              <w:rPr>
                <w:rFonts w:ascii="Arial" w:cs="Arial" w:eastAsia="Arial" w:hAnsi="Arial"/>
                <w:sz w:val="14"/>
                <w:szCs w:val="14"/>
                <w:color w:val="auto"/>
              </w:rPr>
              <w:t>485</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120" w:type="dxa"/>
            <w:vAlign w:val="bottom"/>
          </w:tcPr>
          <w:p>
            <w:pPr>
              <w:jc w:val="right"/>
              <w:ind w:right="982"/>
              <w:spacing w:after="0"/>
              <w:rPr>
                <w:sz w:val="20"/>
                <w:szCs w:val="20"/>
                <w:color w:val="auto"/>
              </w:rPr>
            </w:pPr>
            <w:r>
              <w:rPr>
                <w:rFonts w:ascii="Arial" w:cs="Arial" w:eastAsia="Arial" w:hAnsi="Arial"/>
                <w:sz w:val="14"/>
                <w:szCs w:val="14"/>
                <w:color w:val="auto"/>
              </w:rPr>
              <w:t>204</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(11)</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62"/>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228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ind w:left="800" w:hanging="712"/>
        <w:spacing w:after="0"/>
        <w:tabs>
          <w:tab w:leader="none" w:pos="800" w:val="left"/>
        </w:tabs>
        <w:numPr>
          <w:ilvl w:val="0"/>
          <w:numId w:val="29"/>
        </w:numPr>
        <w:rPr>
          <w:rFonts w:ascii="Arial" w:cs="Arial" w:eastAsia="Arial" w:hAnsi="Arial"/>
          <w:sz w:val="13"/>
          <w:szCs w:val="13"/>
          <w:i w:val="1"/>
          <w:iCs w:val="1"/>
          <w:color w:val="auto"/>
        </w:rPr>
      </w:pPr>
      <w:r>
        <w:rPr>
          <w:rFonts w:ascii="Arial" w:cs="Arial" w:eastAsia="Arial" w:hAnsi="Arial"/>
          <w:sz w:val="19"/>
          <w:szCs w:val="19"/>
          <w:i w:val="1"/>
          <w:iCs w:val="1"/>
          <w:color w:val="auto"/>
        </w:rPr>
        <w:t>Maturity dates are 2011-2040.</w:t>
      </w:r>
    </w:p>
    <w:p>
      <w:pPr>
        <w:spacing w:after="0" w:line="19" w:lineRule="exact"/>
        <w:rPr>
          <w:rFonts w:ascii="Arial" w:cs="Arial" w:eastAsia="Arial" w:hAnsi="Arial"/>
          <w:sz w:val="13"/>
          <w:szCs w:val="13"/>
          <w:i w:val="1"/>
          <w:iCs w:val="1"/>
          <w:color w:val="auto"/>
        </w:rPr>
      </w:pPr>
    </w:p>
    <w:p>
      <w:pPr>
        <w:ind w:left="800" w:hanging="712"/>
        <w:spacing w:after="0"/>
        <w:tabs>
          <w:tab w:leader="none" w:pos="800" w:val="left"/>
        </w:tabs>
        <w:numPr>
          <w:ilvl w:val="0"/>
          <w:numId w:val="29"/>
        </w:numPr>
        <w:rPr>
          <w:rFonts w:ascii="Arial" w:cs="Arial" w:eastAsia="Arial" w:hAnsi="Arial"/>
          <w:sz w:val="13"/>
          <w:szCs w:val="13"/>
          <w:i w:val="1"/>
          <w:iCs w:val="1"/>
          <w:color w:val="auto"/>
        </w:rPr>
      </w:pPr>
      <w:r>
        <w:rPr>
          <w:rFonts w:ascii="Arial" w:cs="Arial" w:eastAsia="Arial" w:hAnsi="Arial"/>
          <w:sz w:val="13"/>
          <w:szCs w:val="13"/>
          <w:i w:val="1"/>
          <w:iCs w:val="1"/>
          <w:color w:val="auto"/>
        </w:rPr>
        <w:t>Maturity dates are 2012-2057.</w:t>
      </w:r>
    </w:p>
    <w:p>
      <w:pPr>
        <w:spacing w:after="0" w:line="30" w:lineRule="exact"/>
        <w:rPr>
          <w:rFonts w:ascii="Arial" w:cs="Arial" w:eastAsia="Arial" w:hAnsi="Arial"/>
          <w:sz w:val="13"/>
          <w:szCs w:val="13"/>
          <w:i w:val="1"/>
          <w:iCs w:val="1"/>
          <w:color w:val="auto"/>
        </w:rPr>
      </w:pPr>
    </w:p>
    <w:p>
      <w:pPr>
        <w:ind w:left="800" w:hanging="712"/>
        <w:spacing w:after="0"/>
        <w:tabs>
          <w:tab w:leader="none" w:pos="800" w:val="left"/>
        </w:tabs>
        <w:numPr>
          <w:ilvl w:val="0"/>
          <w:numId w:val="29"/>
        </w:numPr>
        <w:rPr>
          <w:rFonts w:ascii="Arial" w:cs="Arial" w:eastAsia="Arial" w:hAnsi="Arial"/>
          <w:sz w:val="13"/>
          <w:szCs w:val="13"/>
          <w:i w:val="1"/>
          <w:iCs w:val="1"/>
          <w:color w:val="auto"/>
        </w:rPr>
      </w:pPr>
      <w:r>
        <w:rPr>
          <w:rFonts w:ascii="Arial" w:cs="Arial" w:eastAsia="Arial" w:hAnsi="Arial"/>
          <w:sz w:val="13"/>
          <w:szCs w:val="13"/>
          <w:i w:val="1"/>
          <w:iCs w:val="1"/>
          <w:color w:val="auto"/>
        </w:rPr>
        <w:t>Maturity dates are 2011-2049.</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following table shows the proceeds from sales of securities in the trusts and gross realized gains and losses on those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3802380" cy="289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02380" cy="289560"/>
                    </a:xfrm>
                    <a:prstGeom prst="rect">
                      <a:avLst/>
                    </a:prstGeom>
                    <a:noFill/>
                  </pic:spPr>
                </pic:pic>
              </a:graphicData>
            </a:graphic>
          </wp:anchor>
        </w:drawing>
      </w:r>
    </w:p>
    <w:p>
      <w:pPr>
        <w:spacing w:after="0" w:line="35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SALES OF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6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4"/>
        </w:trPr>
        <w:tc>
          <w:tcPr>
            <w:tcW w:w="1560" w:type="dxa"/>
            <w:vAlign w:val="bottom"/>
          </w:tcPr>
          <w:p>
            <w:pPr>
              <w:spacing w:after="0"/>
              <w:rPr>
                <w:sz w:val="13"/>
                <w:szCs w:val="13"/>
                <w:color w:val="auto"/>
              </w:rPr>
            </w:pPr>
          </w:p>
        </w:tc>
        <w:tc>
          <w:tcPr>
            <w:tcW w:w="22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3"/>
                <w:szCs w:val="13"/>
                <w:color w:val="auto"/>
              </w:rPr>
              <w:t>Three months ended September 30,</w:t>
            </w:r>
          </w:p>
        </w:tc>
        <w:tc>
          <w:tcPr>
            <w:tcW w:w="21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3"/>
                <w:szCs w:val="13"/>
                <w:color w:val="auto"/>
              </w:rPr>
              <w:t>Nine months ended September 30,</w:t>
            </w:r>
          </w:p>
        </w:tc>
      </w:tr>
      <w:tr>
        <w:trPr>
          <w:trHeight w:val="148"/>
        </w:trPr>
        <w:tc>
          <w:tcPr>
            <w:tcW w:w="15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0"/>
              <w:spacing w:after="0" w:line="148" w:lineRule="exact"/>
              <w:rPr>
                <w:sz w:val="20"/>
                <w:szCs w:val="20"/>
                <w:color w:val="auto"/>
              </w:rPr>
            </w:pPr>
            <w:r>
              <w:rPr>
                <w:rFonts w:ascii="Arial" w:cs="Arial" w:eastAsia="Arial" w:hAnsi="Arial"/>
                <w:sz w:val="13"/>
                <w:szCs w:val="13"/>
                <w:color w:val="auto"/>
              </w:rPr>
              <w:t>2010</w:t>
            </w: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0"/>
              <w:spacing w:after="0" w:line="148" w:lineRule="exact"/>
              <w:rPr>
                <w:sz w:val="20"/>
                <w:szCs w:val="20"/>
                <w:color w:val="auto"/>
              </w:rPr>
            </w:pPr>
            <w:r>
              <w:rPr>
                <w:rFonts w:ascii="Arial" w:cs="Arial" w:eastAsia="Arial" w:hAnsi="Arial"/>
                <w:sz w:val="13"/>
                <w:szCs w:val="13"/>
                <w:color w:val="auto"/>
              </w:rPr>
              <w:t>2009</w:t>
            </w: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0"/>
              <w:spacing w:after="0" w:line="148" w:lineRule="exact"/>
              <w:rPr>
                <w:sz w:val="20"/>
                <w:szCs w:val="20"/>
                <w:color w:val="auto"/>
              </w:rPr>
            </w:pPr>
            <w:r>
              <w:rPr>
                <w:rFonts w:ascii="Arial" w:cs="Arial" w:eastAsia="Arial" w:hAnsi="Arial"/>
                <w:sz w:val="13"/>
                <w:szCs w:val="13"/>
                <w:color w:val="auto"/>
              </w:rPr>
              <w:t>2010</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0"/>
              <w:spacing w:after="0" w:line="148" w:lineRule="exact"/>
              <w:rPr>
                <w:sz w:val="20"/>
                <w:szCs w:val="20"/>
                <w:color w:val="auto"/>
              </w:rPr>
            </w:pPr>
            <w:r>
              <w:rPr>
                <w:rFonts w:ascii="Arial" w:cs="Arial" w:eastAsia="Arial" w:hAnsi="Arial"/>
                <w:sz w:val="13"/>
                <w:szCs w:val="13"/>
                <w:color w:val="auto"/>
              </w:rPr>
              <w:t>2009</w:t>
            </w:r>
          </w:p>
        </w:tc>
      </w:tr>
      <w:tr>
        <w:trPr>
          <w:trHeight w:val="178"/>
        </w:trPr>
        <w:tc>
          <w:tcPr>
            <w:tcW w:w="1560" w:type="dxa"/>
            <w:vAlign w:val="bottom"/>
          </w:tcPr>
          <w:p>
            <w:pPr>
              <w:ind w:left="80"/>
              <w:spacing w:after="0"/>
              <w:rPr>
                <w:sz w:val="20"/>
                <w:szCs w:val="20"/>
                <w:color w:val="auto"/>
              </w:rPr>
            </w:pPr>
            <w:r>
              <w:rPr>
                <w:rFonts w:ascii="Arial" w:cs="Arial" w:eastAsia="Arial" w:hAnsi="Arial"/>
                <w:sz w:val="14"/>
                <w:szCs w:val="14"/>
                <w:color w:val="auto"/>
              </w:rPr>
              <w:t>Proceeds from sales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97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62</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0"/>
              <w:spacing w:after="0"/>
              <w:rPr>
                <w:sz w:val="20"/>
                <w:szCs w:val="20"/>
                <w:color w:val="auto"/>
              </w:rPr>
            </w:pPr>
            <w:r>
              <w:rPr>
                <w:rFonts w:ascii="Arial" w:cs="Arial" w:eastAsia="Arial" w:hAnsi="Arial"/>
                <w:sz w:val="14"/>
                <w:szCs w:val="14"/>
                <w:color w:val="auto"/>
              </w:rPr>
              <w:t>247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150</w:t>
            </w:r>
          </w:p>
        </w:tc>
      </w:tr>
      <w:tr>
        <w:trPr>
          <w:trHeight w:val="192"/>
        </w:trPr>
        <w:tc>
          <w:tcPr>
            <w:tcW w:w="1560" w:type="dxa"/>
            <w:vAlign w:val="bottom"/>
          </w:tcPr>
          <w:p>
            <w:pPr>
              <w:ind w:left="80"/>
              <w:spacing w:after="0"/>
              <w:rPr>
                <w:sz w:val="20"/>
                <w:szCs w:val="20"/>
                <w:color w:val="auto"/>
              </w:rPr>
            </w:pPr>
            <w:r>
              <w:rPr>
                <w:rFonts w:ascii="Arial" w:cs="Arial" w:eastAsia="Arial" w:hAnsi="Arial"/>
                <w:sz w:val="14"/>
                <w:szCs w:val="14"/>
                <w:color w:val="auto"/>
              </w:rPr>
              <w:t>Gross realized gains</w:t>
            </w:r>
          </w:p>
        </w:tc>
        <w:tc>
          <w:tcPr>
            <w:tcW w:w="380" w:type="dxa"/>
            <w:vAlign w:val="bottom"/>
          </w:tcPr>
          <w:p>
            <w:pPr>
              <w:spacing w:after="0"/>
              <w:rPr>
                <w:sz w:val="16"/>
                <w:szCs w:val="16"/>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6"/>
                <w:szCs w:val="16"/>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ind w:right="110"/>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w:t>
            </w:r>
          </w:p>
        </w:tc>
      </w:tr>
      <w:tr>
        <w:trPr>
          <w:trHeight w:val="190"/>
        </w:trPr>
        <w:tc>
          <w:tcPr>
            <w:tcW w:w="156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Gross realized losses</w:t>
            </w:r>
          </w:p>
        </w:tc>
        <w:tc>
          <w:tcPr>
            <w:tcW w:w="380" w:type="dxa"/>
            <w:vAlign w:val="bottom"/>
            <w:tcBorders>
              <w:bottom w:val="single" w:sz="8" w:color="C0C0C0"/>
            </w:tcBorders>
          </w:tcPr>
          <w:p>
            <w:pPr>
              <w:spacing w:after="0"/>
              <w:rPr>
                <w:sz w:val="16"/>
                <w:szCs w:val="16"/>
                <w:color w:val="auto"/>
              </w:rPr>
            </w:pPr>
          </w:p>
        </w:tc>
        <w:tc>
          <w:tcPr>
            <w:tcW w:w="820" w:type="dxa"/>
            <w:vAlign w:val="bottom"/>
            <w:tcBorders>
              <w:bottom w:val="single" w:sz="8" w:color="C0C0C0"/>
            </w:tcBorders>
          </w:tcPr>
          <w:p>
            <w:pPr>
              <w:jc w:val="right"/>
              <w:ind w:right="90"/>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C0C0C0"/>
            </w:tcBorders>
          </w:tcPr>
          <w:p>
            <w:pPr>
              <w:spacing w:after="0"/>
              <w:rPr>
                <w:sz w:val="16"/>
                <w:szCs w:val="16"/>
                <w:color w:val="auto"/>
              </w:rPr>
            </w:pPr>
          </w:p>
        </w:tc>
        <w:tc>
          <w:tcPr>
            <w:tcW w:w="760" w:type="dxa"/>
            <w:vAlign w:val="bottom"/>
            <w:tcBorders>
              <w:bottom w:val="single" w:sz="8" w:color="C0C0C0"/>
            </w:tcBorders>
          </w:tcPr>
          <w:p>
            <w:pPr>
              <w:jc w:val="right"/>
              <w:ind w:right="30"/>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C0C0C0"/>
            </w:tcBorders>
          </w:tcPr>
          <w:p>
            <w:pPr>
              <w:spacing w:after="0"/>
              <w:rPr>
                <w:sz w:val="16"/>
                <w:szCs w:val="16"/>
                <w:color w:val="auto"/>
              </w:rPr>
            </w:pPr>
          </w:p>
        </w:tc>
        <w:tc>
          <w:tcPr>
            <w:tcW w:w="800" w:type="dxa"/>
            <w:vAlign w:val="bottom"/>
            <w:tcBorders>
              <w:bottom w:val="single" w:sz="8" w:color="C0C0C0"/>
            </w:tcBorders>
          </w:tcPr>
          <w:p>
            <w:pPr>
              <w:jc w:val="right"/>
              <w:ind w:right="70"/>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C0C0C0"/>
            </w:tcBorders>
          </w:tcPr>
          <w:p>
            <w:pPr>
              <w:spacing w:after="0"/>
              <w:rPr>
                <w:sz w:val="16"/>
                <w:szCs w:val="16"/>
                <w:color w:val="auto"/>
              </w:rPr>
            </w:pPr>
          </w:p>
        </w:tc>
        <w:tc>
          <w:tcPr>
            <w:tcW w:w="760" w:type="dxa"/>
            <w:vAlign w:val="bottom"/>
            <w:tcBorders>
              <w:bottom w:val="single" w:sz="8" w:color="C0C0C0"/>
            </w:tcBorders>
          </w:tcPr>
          <w:p>
            <w:pPr>
              <w:jc w:val="right"/>
              <w:ind w:right="10"/>
              <w:spacing w:after="0"/>
              <w:rPr>
                <w:sz w:val="20"/>
                <w:szCs w:val="20"/>
                <w:color w:val="auto"/>
              </w:rPr>
            </w:pPr>
            <w:r>
              <w:rPr>
                <w:rFonts w:ascii="Arial" w:cs="Arial" w:eastAsia="Arial" w:hAnsi="Arial"/>
                <w:sz w:val="14"/>
                <w:szCs w:val="14"/>
                <w:color w:val="auto"/>
              </w:rPr>
              <w:t>(30)</w:t>
            </w:r>
          </w:p>
        </w:tc>
      </w:tr>
    </w:tbl>
    <w:p>
      <w:pPr>
        <w:spacing w:after="0" w:line="203"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b w:val="1"/>
          <w:bCs w:val="1"/>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Derivative Positions Net of Cash Collateral</w:t>
      </w:r>
    </w:p>
    <w:p>
      <w:pPr>
        <w:sectPr>
          <w:pgSz w:w="11900" w:h="16838" w:orient="portrait"/>
          <w:cols w:equalWidth="0" w:num="1">
            <w:col w:w="11440"/>
          </w:cols>
          <w:pgMar w:left="240" w:top="124" w:right="219" w:bottom="0" w:gutter="0" w:footer="0" w:header="0"/>
        </w:sectPr>
      </w:pPr>
    </w:p>
    <w:p>
      <w:pPr>
        <w:spacing w:after="0" w:line="5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b w:val="1"/>
          <w:bCs w:val="1"/>
          <w:color w:val="auto"/>
        </w:rPr>
        <w:t>Each Condensed Consolidated Balance Sheet reflects the offsetting of net derivative positions with fair value amounts for cash collateral with the same counterparty when management believes a legal right of offset exists.</w:t>
      </w:r>
    </w:p>
    <w:p>
      <w:pPr>
        <w:sectPr>
          <w:pgSz w:w="11900" w:h="16838" w:orient="portrait"/>
          <w:cols w:equalWidth="0" w:num="1">
            <w:col w:w="11440"/>
          </w:cols>
          <w:pgMar w:left="240" w:top="124" w:right="219" w:bottom="0" w:gutter="0" w:footer="0" w:header="0"/>
          <w:type w:val="continuous"/>
        </w:sectPr>
      </w:pPr>
    </w:p>
    <w:bookmarkStart w:id="34" w:name="page35"/>
    <w:bookmarkEnd w:id="34"/>
    <w:p>
      <w:pPr>
        <w:ind w:right="160"/>
        <w:spacing w:after="0" w:line="275" w:lineRule="auto"/>
        <w:rPr>
          <w:sz w:val="20"/>
          <w:szCs w:val="20"/>
          <w:color w:val="auto"/>
        </w:rPr>
      </w:pPr>
      <w:r>
        <w:rPr>
          <w:rFonts w:ascii="Arial" w:cs="Arial" w:eastAsia="Arial" w:hAnsi="Arial"/>
          <w:sz w:val="16"/>
          <w:szCs w:val="16"/>
          <w:b w:val="1"/>
          <w:bCs w:val="1"/>
          <w:color w:val="auto"/>
        </w:rPr>
        <w:t>The following table provides the amount of fair value of cash collateral receivables that were not offset in the Condensed Consolidated Balance Sheets as of September 30, 2010 and December 31, 2009:</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60" w:type="dxa"/>
            <w:vAlign w:val="bottom"/>
            <w:vMerge w:val="restart"/>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1040" w:type="dxa"/>
            <w:vAlign w:val="bottom"/>
            <w:gridSpan w:val="3"/>
          </w:tcPr>
          <w:p>
            <w:pPr>
              <w:jc w:val="right"/>
              <w:ind w:right="28"/>
              <w:spacing w:after="0"/>
              <w:rPr>
                <w:sz w:val="20"/>
                <w:szCs w:val="20"/>
                <w:color w:val="auto"/>
              </w:rPr>
            </w:pPr>
            <w:r>
              <w:rPr>
                <w:rFonts w:ascii="Arial" w:cs="Arial" w:eastAsia="Arial" w:hAnsi="Arial"/>
                <w:sz w:val="13"/>
                <w:szCs w:val="13"/>
                <w:color w:val="auto"/>
              </w:rPr>
              <w:t>September 30,</w:t>
            </w:r>
          </w:p>
        </w:tc>
        <w:tc>
          <w:tcPr>
            <w:tcW w:w="1000" w:type="dxa"/>
            <w:vAlign w:val="bottom"/>
            <w:gridSpan w:val="2"/>
          </w:tcPr>
          <w:p>
            <w:pPr>
              <w:jc w:val="right"/>
              <w:ind w:right="30"/>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42"/>
        </w:trPr>
        <w:tc>
          <w:tcPr>
            <w:tcW w:w="206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308"/>
              <w:spacing w:after="0" w:line="142" w:lineRule="exact"/>
              <w:rPr>
                <w:sz w:val="20"/>
                <w:szCs w:val="20"/>
                <w:color w:val="auto"/>
              </w:rPr>
            </w:pPr>
            <w:r>
              <w:rPr>
                <w:rFonts w:ascii="Arial" w:cs="Arial" w:eastAsia="Arial" w:hAnsi="Arial"/>
                <w:sz w:val="13"/>
                <w:szCs w:val="13"/>
                <w:color w:val="auto"/>
              </w:rPr>
              <w:t>2010</w:t>
            </w: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0"/>
              <w:spacing w:after="0" w:line="142" w:lineRule="exact"/>
              <w:rPr>
                <w:sz w:val="20"/>
                <w:szCs w:val="20"/>
                <w:color w:val="auto"/>
              </w:rPr>
            </w:pPr>
            <w:r>
              <w:rPr>
                <w:rFonts w:ascii="Arial" w:cs="Arial" w:eastAsia="Arial" w:hAnsi="Arial"/>
                <w:sz w:val="13"/>
                <w:szCs w:val="13"/>
                <w:color w:val="auto"/>
                <w:w w:val="96"/>
              </w:rPr>
              <w:t>2009</w:t>
            </w:r>
          </w:p>
        </w:tc>
        <w:tc>
          <w:tcPr>
            <w:tcW w:w="0" w:type="dxa"/>
            <w:vAlign w:val="bottom"/>
          </w:tcPr>
          <w:p>
            <w:pPr>
              <w:spacing w:after="0"/>
              <w:rPr>
                <w:sz w:val="1"/>
                <w:szCs w:val="1"/>
                <w:color w:val="auto"/>
              </w:rPr>
            </w:pPr>
          </w:p>
        </w:tc>
      </w:tr>
      <w:tr>
        <w:trPr>
          <w:trHeight w:val="190"/>
        </w:trPr>
        <w:tc>
          <w:tcPr>
            <w:tcW w:w="2060" w:type="dxa"/>
            <w:vAlign w:val="bottom"/>
          </w:tcPr>
          <w:p>
            <w:pPr>
              <w:ind w:left="80"/>
              <w:spacing w:after="0"/>
              <w:rPr>
                <w:sz w:val="20"/>
                <w:szCs w:val="20"/>
                <w:color w:val="auto"/>
              </w:rPr>
            </w:pPr>
            <w:r>
              <w:rPr>
                <w:rFonts w:ascii="Arial" w:cs="Arial" w:eastAsia="Arial" w:hAnsi="Arial"/>
                <w:sz w:val="14"/>
                <w:szCs w:val="14"/>
                <w:color w:val="auto"/>
              </w:rPr>
              <w:t>Sempra Energy Consolidated</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24</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8"/>
        </w:trPr>
        <w:tc>
          <w:tcPr>
            <w:tcW w:w="2060" w:type="dxa"/>
            <w:vAlign w:val="bottom"/>
          </w:tcPr>
          <w:p>
            <w:pPr>
              <w:ind w:left="80"/>
              <w:spacing w:after="0"/>
              <w:rPr>
                <w:sz w:val="20"/>
                <w:szCs w:val="20"/>
                <w:color w:val="auto"/>
              </w:rPr>
            </w:pPr>
            <w:r>
              <w:rPr>
                <w:rFonts w:ascii="Arial" w:cs="Arial" w:eastAsia="Arial" w:hAnsi="Arial"/>
                <w:sz w:val="14"/>
                <w:szCs w:val="14"/>
                <w:color w:val="auto"/>
              </w:rPr>
              <w:t>SDG&amp;E</w:t>
            </w:r>
          </w:p>
        </w:tc>
        <w:tc>
          <w:tcPr>
            <w:tcW w:w="340" w:type="dxa"/>
            <w:vAlign w:val="bottom"/>
          </w:tcPr>
          <w:p>
            <w:pPr>
              <w:spacing w:after="0"/>
              <w:rPr>
                <w:sz w:val="16"/>
                <w:szCs w:val="16"/>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21</w:t>
            </w:r>
          </w:p>
        </w:tc>
        <w:tc>
          <w:tcPr>
            <w:tcW w:w="32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2"/>
        </w:trPr>
        <w:tc>
          <w:tcPr>
            <w:tcW w:w="2060" w:type="dxa"/>
            <w:vAlign w:val="bottom"/>
            <w:tcBorders>
              <w:bottom w:val="single" w:sz="8" w:color="C0C0C0"/>
            </w:tcBorders>
          </w:tcPr>
          <w:p>
            <w:pPr>
              <w:ind w:left="80"/>
              <w:spacing w:after="0" w:line="147" w:lineRule="exact"/>
              <w:rPr>
                <w:sz w:val="20"/>
                <w:szCs w:val="20"/>
                <w:color w:val="auto"/>
              </w:rPr>
            </w:pPr>
            <w:r>
              <w:rPr>
                <w:rFonts w:ascii="Arial" w:cs="Arial" w:eastAsia="Arial" w:hAnsi="Arial"/>
                <w:sz w:val="14"/>
                <w:szCs w:val="14"/>
                <w:color w:val="auto"/>
              </w:rPr>
              <w:t>SoCalGas</w:t>
            </w:r>
          </w:p>
        </w:tc>
        <w:tc>
          <w:tcPr>
            <w:tcW w:w="340" w:type="dxa"/>
            <w:vAlign w:val="bottom"/>
            <w:tcBorders>
              <w:bottom w:val="single" w:sz="8" w:color="C0C0C0"/>
            </w:tcBorders>
          </w:tcPr>
          <w:p>
            <w:pPr>
              <w:spacing w:after="0"/>
              <w:rPr>
                <w:sz w:val="15"/>
                <w:szCs w:val="15"/>
                <w:color w:val="auto"/>
              </w:rPr>
            </w:pPr>
          </w:p>
        </w:tc>
        <w:tc>
          <w:tcPr>
            <w:tcW w:w="60" w:type="dxa"/>
            <w:vAlign w:val="bottom"/>
            <w:tcBorders>
              <w:bottom w:val="single" w:sz="8" w:color="C0C0C0"/>
            </w:tcBorders>
          </w:tcPr>
          <w:p>
            <w:pPr>
              <w:spacing w:after="0"/>
              <w:rPr>
                <w:sz w:val="15"/>
                <w:szCs w:val="15"/>
                <w:color w:val="auto"/>
              </w:rPr>
            </w:pPr>
          </w:p>
        </w:tc>
        <w:tc>
          <w:tcPr>
            <w:tcW w:w="640" w:type="dxa"/>
            <w:vAlign w:val="bottom"/>
          </w:tcPr>
          <w:p>
            <w:pPr>
              <w:jc w:val="right"/>
              <w:ind w:right="48"/>
              <w:spacing w:after="0" w:line="147" w:lineRule="exact"/>
              <w:rPr>
                <w:sz w:val="20"/>
                <w:szCs w:val="20"/>
                <w:color w:val="auto"/>
              </w:rPr>
            </w:pPr>
            <w:r>
              <w:rPr>
                <w:rFonts w:ascii="Arial" w:cs="Arial" w:eastAsia="Arial" w:hAnsi="Arial"/>
                <w:sz w:val="14"/>
                <w:szCs w:val="14"/>
                <w:color w:val="auto"/>
              </w:rPr>
              <w:t>3</w:t>
            </w:r>
          </w:p>
        </w:tc>
        <w:tc>
          <w:tcPr>
            <w:tcW w:w="320" w:type="dxa"/>
            <w:vAlign w:val="bottom"/>
            <w:tcBorders>
              <w:bottom w:val="single" w:sz="8" w:color="C0C0C0"/>
            </w:tcBorders>
          </w:tcPr>
          <w:p>
            <w:pPr>
              <w:spacing w:after="0"/>
              <w:rPr>
                <w:sz w:val="15"/>
                <w:szCs w:val="15"/>
                <w:color w:val="auto"/>
              </w:rPr>
            </w:pPr>
          </w:p>
        </w:tc>
        <w:tc>
          <w:tcPr>
            <w:tcW w:w="680" w:type="dxa"/>
            <w:vAlign w:val="bottom"/>
            <w:tcBorders>
              <w:bottom w:val="single" w:sz="8" w:color="C0C0C0"/>
            </w:tcBorders>
          </w:tcPr>
          <w:p>
            <w:pPr>
              <w:jc w:val="right"/>
              <w:ind w:right="70"/>
              <w:spacing w:after="0" w:line="147"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bl>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Hierarchy</w:t>
      </w:r>
    </w:p>
    <w:p>
      <w:pPr>
        <w:spacing w:after="0" w:line="5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b w:val="1"/>
          <w:bCs w:val="1"/>
          <w:color w:val="auto"/>
        </w:rPr>
        <w:t>We discuss the valuation techniques and inputs we use to measure fair value and the definition of the three levels of the fair value hierarchy in Notes 1 and 2 of the Notes to Consolidated Financial Statements in the Annual Report. We have not changed the valuation techniques or inputs we use to measure fair value during the nine months ended September 30, 2010.</w:t>
      </w:r>
    </w:p>
    <w:p>
      <w:pPr>
        <w:spacing w:after="0" w:line="69" w:lineRule="exact"/>
        <w:rPr>
          <w:sz w:val="20"/>
          <w:szCs w:val="20"/>
          <w:color w:val="auto"/>
        </w:rPr>
      </w:pPr>
    </w:p>
    <w:p>
      <w:pPr>
        <w:ind w:right="40"/>
        <w:spacing w:after="0" w:line="336" w:lineRule="auto"/>
        <w:rPr>
          <w:sz w:val="20"/>
          <w:szCs w:val="20"/>
          <w:color w:val="auto"/>
        </w:rPr>
      </w:pPr>
      <w:r>
        <w:rPr>
          <w:rFonts w:ascii="Arial" w:cs="Arial" w:eastAsia="Arial" w:hAnsi="Arial"/>
          <w:sz w:val="13"/>
          <w:szCs w:val="13"/>
          <w:b w:val="1"/>
          <w:bCs w:val="1"/>
          <w:color w:val="auto"/>
        </w:rPr>
        <w:t>The three tables below, by level within the fair value hierarchy, set forth our financial assets and liabilities that were accounted for at fair value on a recurring basis as of September 30, 2010 and December 31, 2009. We also discuss our financial assets and liabilities recorded at fair value on a non-recurring basis. We classify financial assets and liabilities in their entirety based on the lowest level of input that is significant to the fair value measurement. Our asses sment of the significance of a particular input to the fair value measurement requires judgment, and may affect the valuation of fair value assets and liabilities, and their placement within the fair value hierarchy levels.</w:t>
      </w:r>
    </w:p>
    <w:p>
      <w:pPr>
        <w:spacing w:after="0" w:line="27"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color w:val="auto"/>
        </w:rPr>
        <w:t>The fair value of commodity derivative assets and liabilities is determined in accordance with our netting policy, as discussed above under "Derivative Positions Net of Cash Collateral."</w:t>
      </w:r>
    </w:p>
    <w:p>
      <w:pPr>
        <w:spacing w:after="0" w:line="5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58"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color w:val="auto"/>
        </w:rPr>
        <w:t>We discuss our financial assets and liabilities that were accounted for at fair value on a recurring basis further in Note 12 of the Notes to Consolida 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456565</wp:posOffset>
            </wp:positionV>
            <wp:extent cx="5783580" cy="289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8358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RECURRING FAIR VALUE MEASURES -- SEMPRA ENERGY CONSOLIDATED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0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3"/>
                <w:szCs w:val="13"/>
                <w:color w:val="auto"/>
              </w:rPr>
              <w:t>At fair value as of September 30, 2010</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auto"/>
                <w:w w:val="96"/>
              </w:rPr>
              <w:t>Level</w:t>
            </w:r>
          </w:p>
        </w:tc>
        <w:tc>
          <w:tcPr>
            <w:tcW w:w="28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96"/>
              </w:rPr>
              <w:t>Level</w:t>
            </w: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auto"/>
                <w:w w:val="96"/>
              </w:rPr>
              <w:t>Level</w:t>
            </w:r>
          </w:p>
        </w:tc>
        <w:tc>
          <w:tcPr>
            <w:tcW w:w="28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3"/>
                <w:szCs w:val="13"/>
                <w:color w:val="auto"/>
              </w:rPr>
              <w:t>Collateral</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3"/>
                <w:szCs w:val="13"/>
                <w:color w:val="auto"/>
                <w:w w:val="82"/>
              </w:rPr>
              <w:t>1</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3"/>
                <w:szCs w:val="13"/>
                <w:color w:val="auto"/>
                <w:w w:val="82"/>
              </w:rPr>
              <w:t>2</w:t>
            </w:r>
          </w:p>
        </w:tc>
        <w:tc>
          <w:tcPr>
            <w:tcW w:w="2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3"/>
                <w:szCs w:val="13"/>
                <w:color w:val="auto"/>
                <w:w w:val="82"/>
              </w:rPr>
              <w:t>3</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49"/>
              <w:spacing w:after="0" w:line="140" w:lineRule="exact"/>
              <w:rPr>
                <w:sz w:val="20"/>
                <w:szCs w:val="20"/>
                <w:color w:val="auto"/>
              </w:rPr>
            </w:pPr>
            <w:r>
              <w:rPr>
                <w:rFonts w:ascii="Arial" w:cs="Arial" w:eastAsia="Arial" w:hAnsi="Arial"/>
                <w:sz w:val="13"/>
                <w:szCs w:val="13"/>
                <w:color w:val="auto"/>
              </w:rPr>
              <w:t>netted</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89"/>
              <w:spacing w:after="0" w:line="140"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4"/>
        </w:trPr>
        <w:tc>
          <w:tcPr>
            <w:tcW w:w="2300" w:type="dxa"/>
            <w:vAlign w:val="bottom"/>
          </w:tcPr>
          <w:p>
            <w:pPr>
              <w:ind w:left="80"/>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120"/>
              <w:spacing w:after="0"/>
              <w:rPr>
                <w:sz w:val="20"/>
                <w:szCs w:val="20"/>
                <w:color w:val="auto"/>
              </w:rPr>
            </w:pPr>
            <w:r>
              <w:rPr>
                <w:rFonts w:ascii="Arial" w:cs="Arial" w:eastAsia="Arial" w:hAnsi="Arial"/>
                <w:sz w:val="14"/>
                <w:szCs w:val="14"/>
                <w:color w:val="auto"/>
              </w:rPr>
              <w:t>&amp;n bsp; Nuclear</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80"/>
              <w:spacing w:after="0"/>
              <w:rPr>
                <w:sz w:val="20"/>
                <w:szCs w:val="20"/>
                <w:color w:val="auto"/>
              </w:rPr>
            </w:pPr>
            <w:r>
              <w:rPr>
                <w:rFonts w:ascii="Arial" w:cs="Arial" w:eastAsia="Arial" w:hAnsi="Arial"/>
                <w:sz w:val="14"/>
                <w:szCs w:val="14"/>
                <w:color w:val="auto"/>
              </w:rPr>
              <w:t>decommissioning trusts(1)</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restart"/>
          </w:tcPr>
          <w:p>
            <w:pPr>
              <w:jc w:val="right"/>
              <w:ind w:right="29"/>
              <w:spacing w:after="0"/>
              <w:rPr>
                <w:sz w:val="20"/>
                <w:szCs w:val="20"/>
                <w:color w:val="auto"/>
              </w:rPr>
            </w:pPr>
            <w:r>
              <w:rPr>
                <w:rFonts w:ascii="Arial" w:cs="Arial" w:eastAsia="Arial" w:hAnsi="Arial"/>
                <w:sz w:val="14"/>
                <w:szCs w:val="14"/>
                <w:color w:val="auto"/>
              </w:rPr>
              <w:t>-&amp;n</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480"/>
              <w:spacing w:after="0"/>
              <w:rPr>
                <w:sz w:val="20"/>
                <w:szCs w:val="20"/>
                <w:color w:val="auto"/>
              </w:rPr>
            </w:pPr>
            <w:r>
              <w:rPr>
                <w:rFonts w:ascii="Arial" w:cs="Arial" w:eastAsia="Arial" w:hAnsi="Arial"/>
                <w:sz w:val="14"/>
                <w:szCs w:val="14"/>
                <w:color w:val="auto"/>
              </w:rPr>
              <w:t>Equity securities</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bsp;</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74"/>
        </w:trPr>
        <w:tc>
          <w:tcPr>
            <w:tcW w:w="2300" w:type="dxa"/>
            <w:vAlign w:val="bottom"/>
          </w:tcPr>
          <w:p>
            <w:pPr>
              <w:ind w:left="480"/>
              <w:spacing w:after="0"/>
              <w:rPr>
                <w:sz w:val="20"/>
                <w:szCs w:val="20"/>
                <w:color w:val="auto"/>
              </w:rPr>
            </w:pPr>
            <w:r>
              <w:rPr>
                <w:rFonts w:ascii="Arial" w:cs="Arial" w:eastAsia="Arial" w:hAnsi="Arial"/>
                <w:sz w:val="14"/>
                <w:szCs w:val="14"/>
                <w:color w:val="auto"/>
              </w:rPr>
              <w:t>Debt securities:</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640"/>
              <w:spacing w:after="0"/>
              <w:rPr>
                <w:sz w:val="20"/>
                <w:szCs w:val="20"/>
                <w:color w:val="auto"/>
              </w:rPr>
            </w:pPr>
            <w:r>
              <w:rPr>
                <w:rFonts w:ascii="Arial" w:cs="Arial" w:eastAsia="Arial" w:hAnsi="Arial"/>
                <w:sz w:val="14"/>
                <w:szCs w:val="14"/>
                <w:color w:val="auto"/>
              </w:rPr>
              <w:t>Debt securities issued</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80"/>
              <w:spacing w:after="0"/>
              <w:rPr>
                <w:sz w:val="20"/>
                <w:szCs w:val="20"/>
                <w:color w:val="auto"/>
              </w:rPr>
            </w:pPr>
            <w:r>
              <w:rPr>
                <w:rFonts w:ascii="Arial" w:cs="Arial" w:eastAsia="Arial" w:hAnsi="Arial"/>
                <w:sz w:val="14"/>
                <w:szCs w:val="14"/>
                <w:color w:val="auto"/>
              </w:rPr>
              <w:t>by the U.S. Treasury and other</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840"/>
              <w:spacing w:after="0"/>
              <w:rPr>
                <w:sz w:val="20"/>
                <w:szCs w:val="20"/>
                <w:color w:val="auto"/>
              </w:rPr>
            </w:pPr>
            <w:r>
              <w:rPr>
                <w:rFonts w:ascii="Arial" w:cs="Arial" w:eastAsia="Arial" w:hAnsi="Arial"/>
                <w:sz w:val="14"/>
                <w:szCs w:val="14"/>
                <w:color w:val="auto"/>
              </w:rPr>
              <w:t>U.S. government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80"/>
              <w:spacing w:after="0"/>
              <w:rPr>
                <w:sz w:val="20"/>
                <w:szCs w:val="20"/>
                <w:color w:val="auto"/>
              </w:rPr>
            </w:pPr>
            <w:r>
              <w:rPr>
                <w:rFonts w:ascii="Arial" w:cs="Arial" w:eastAsia="Arial" w:hAnsi="Arial"/>
                <w:sz w:val="14"/>
                <w:szCs w:val="14"/>
                <w:color w:val="auto"/>
              </w:rPr>
              <w:t>corporations and agencies</w:t>
            </w:r>
          </w:p>
        </w:tc>
        <w:tc>
          <w:tcPr>
            <w:tcW w:w="26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28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33</w:t>
            </w: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92"/>
        </w:trPr>
        <w:tc>
          <w:tcPr>
            <w:tcW w:w="2300" w:type="dxa"/>
            <w:vAlign w:val="bottom"/>
          </w:tcPr>
          <w:p>
            <w:pPr>
              <w:ind w:left="640"/>
              <w:spacing w:after="0"/>
              <w:rPr>
                <w:sz w:val="20"/>
                <w:szCs w:val="20"/>
                <w:color w:val="auto"/>
              </w:rPr>
            </w:pPr>
            <w:r>
              <w:rPr>
                <w:rFonts w:ascii="Arial" w:cs="Arial" w:eastAsia="Arial" w:hAnsi="Arial"/>
                <w:sz w:val="14"/>
                <w:szCs w:val="14"/>
                <w:color w:val="auto"/>
              </w:rPr>
              <w:t>Municipal bonds</w:t>
            </w:r>
          </w:p>
        </w:tc>
        <w:tc>
          <w:tcPr>
            <w:tcW w:w="26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89</w:t>
            </w:r>
          </w:p>
        </w:tc>
        <w:tc>
          <w:tcPr>
            <w:tcW w:w="2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6"/>
        </w:trPr>
        <w:tc>
          <w:tcPr>
            <w:tcW w:w="2300" w:type="dxa"/>
            <w:vAlign w:val="bottom"/>
          </w:tcPr>
          <w:p>
            <w:pPr>
              <w:ind w:left="640"/>
              <w:spacing w:after="0"/>
              <w:rPr>
                <w:sz w:val="20"/>
                <w:szCs w:val="20"/>
                <w:color w:val="auto"/>
              </w:rPr>
            </w:pPr>
            <w:r>
              <w:rPr>
                <w:rFonts w:ascii="Arial" w:cs="Arial" w:eastAsia="Arial" w:hAnsi="Arial"/>
                <w:sz w:val="14"/>
                <w:szCs w:val="14"/>
                <w:color w:val="auto"/>
              </w:rPr>
              <w:t>Other securities</w:t>
            </w: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w:t>
            </w:r>
          </w:p>
        </w:tc>
        <w:tc>
          <w:tcPr>
            <w:tcW w:w="2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2"/>
        </w:trPr>
        <w:tc>
          <w:tcPr>
            <w:tcW w:w="2300" w:type="dxa"/>
            <w:vAlign w:val="bottom"/>
          </w:tcPr>
          <w:p>
            <w:pPr>
              <w:ind w:left="480"/>
              <w:spacing w:after="0"/>
              <w:rPr>
                <w:sz w:val="20"/>
                <w:szCs w:val="20"/>
                <w:color w:val="auto"/>
              </w:rPr>
            </w:pPr>
            <w:r>
              <w:rPr>
                <w:rFonts w:ascii="Arial" w:cs="Arial" w:eastAsia="Arial" w:hAnsi="Arial"/>
                <w:sz w:val="14"/>
                <w:szCs w:val="14"/>
                <w:color w:val="auto"/>
              </w:rPr>
              <w:t>Tota l debt securities</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148</w:t>
            </w:r>
          </w:p>
        </w:tc>
        <w:tc>
          <w:tcPr>
            <w:tcW w:w="2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50"/>
        </w:trPr>
        <w:tc>
          <w:tcPr>
            <w:tcW w:w="2300" w:type="dxa"/>
            <w:vAlign w:val="bottom"/>
          </w:tcPr>
          <w:p>
            <w:pPr>
              <w:ind w:left="240"/>
              <w:spacing w:after="0" w:line="150" w:lineRule="exact"/>
              <w:rPr>
                <w:sz w:val="20"/>
                <w:szCs w:val="20"/>
                <w:color w:val="auto"/>
              </w:rPr>
            </w:pPr>
            <w:r>
              <w:rPr>
                <w:rFonts w:ascii="Arial" w:cs="Arial" w:eastAsia="Arial" w:hAnsi="Arial"/>
                <w:sz w:val="14"/>
                <w:szCs w:val="14"/>
                <w:color w:val="auto"/>
              </w:rPr>
              <w:t>Total nuclear</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80"/>
              <w:spacing w:after="0"/>
              <w:rPr>
                <w:sz w:val="20"/>
                <w:szCs w:val="20"/>
                <w:color w:val="auto"/>
              </w:rPr>
            </w:pPr>
            <w:r>
              <w:rPr>
                <w:rFonts w:ascii="Arial" w:cs="Arial" w:eastAsia="Arial" w:hAnsi="Arial"/>
                <w:sz w:val="14"/>
                <w:szCs w:val="14"/>
                <w:color w:val="auto"/>
              </w:rPr>
              <w:t>decommissioning trusts(1)</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571</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148</w:t>
            </w:r>
          </w:p>
        </w:tc>
        <w:tc>
          <w:tcPr>
            <w:tcW w:w="2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-&amp;</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40"/>
              <w:spacing w:after="0"/>
              <w:rPr>
                <w:sz w:val="20"/>
                <w:szCs w:val="20"/>
                <w:color w:val="auto"/>
              </w:rPr>
            </w:pPr>
            <w:r>
              <w:rPr>
                <w:rFonts w:ascii="Arial" w:cs="Arial" w:eastAsia="Arial" w:hAnsi="Arial"/>
                <w:sz w:val="14"/>
                <w:szCs w:val="14"/>
                <w:color w:val="auto"/>
              </w:rPr>
              <w:t>Interest rate instruments</w:t>
            </w:r>
          </w:p>
        </w:tc>
        <w:tc>
          <w:tcPr>
            <w:tcW w:w="2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nbsp;</w:t>
            </w:r>
          </w:p>
        </w:tc>
        <w:tc>
          <w:tcPr>
            <w:tcW w:w="28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49</w:t>
            </w: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8"/>
        </w:trPr>
        <w:tc>
          <w:tcPr>
            <w:tcW w:w="2300" w:type="dxa"/>
            <w:vAlign w:val="bottom"/>
          </w:tcPr>
          <w:p>
            <w:pPr>
              <w:ind w:left="240"/>
              <w:spacing w:after="0"/>
              <w:rPr>
                <w:sz w:val="20"/>
                <w:szCs w:val="20"/>
                <w:color w:val="auto"/>
              </w:rPr>
            </w:pPr>
            <w:r>
              <w:rPr>
                <w:rFonts w:ascii="Arial" w:cs="Arial" w:eastAsia="Arial" w:hAnsi="Arial"/>
                <w:sz w:val="14"/>
                <w:szCs w:val="14"/>
                <w:color w:val="auto"/>
              </w:rPr>
              <w:t>Commodity contracts subject</w:t>
            </w:r>
          </w:p>
        </w:tc>
        <w:tc>
          <w:tcPr>
            <w:tcW w:w="260" w:type="dxa"/>
            <w:vAlign w:val="bottom"/>
          </w:tcPr>
          <w:p>
            <w:pPr>
              <w:spacing w:after="0"/>
              <w:rPr>
                <w:sz w:val="14"/>
                <w:szCs w:val="14"/>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21</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80"/>
              <w:spacing w:after="0"/>
              <w:rPr>
                <w:sz w:val="20"/>
                <w:szCs w:val="20"/>
                <w:color w:val="auto"/>
              </w:rPr>
            </w:pPr>
            <w:r>
              <w:rPr>
                <w:rFonts w:ascii="Arial" w:cs="Arial" w:eastAsia="Arial" w:hAnsi="Arial"/>
                <w:sz w:val="14"/>
                <w:szCs w:val="14"/>
                <w:color w:val="auto"/>
              </w:rPr>
              <w:t>to rate recovery</w:t>
            </w:r>
          </w:p>
        </w:tc>
        <w:tc>
          <w:tcPr>
            <w:tcW w:w="2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700" w:type="dxa"/>
            <w:vAlign w:val="bottom"/>
            <w:gridSpan w:val="2"/>
            <w:vMerge w:val="restart"/>
          </w:tcPr>
          <w:p>
            <w:pPr>
              <w:ind w:left="100"/>
              <w:spacing w:after="0"/>
              <w:rPr>
                <w:sz w:val="20"/>
                <w:szCs w:val="20"/>
                <w:color w:val="auto"/>
              </w:rPr>
            </w:pPr>
            <w:r>
              <w:rPr>
                <w:rFonts w:ascii="Arial" w:cs="Arial" w:eastAsia="Arial" w:hAnsi="Arial"/>
                <w:sz w:val="19"/>
                <w:szCs w:val="19"/>
                <w:color w:val="auto"/>
              </w:rPr>
              <w:t>&lt; p style="MARGIN:0in 0in</w:t>
            </w:r>
          </w:p>
        </w:tc>
        <w:tc>
          <w:tcPr>
            <w:tcW w:w="44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00" w:type="dxa"/>
            <w:vAlign w:val="bottom"/>
            <w:gridSpan w:val="2"/>
          </w:tcPr>
          <w:p>
            <w:pPr>
              <w:ind w:left="100"/>
              <w:spacing w:after="0" w:line="216" w:lineRule="exact"/>
              <w:rPr>
                <w:sz w:val="20"/>
                <w:szCs w:val="20"/>
                <w:color w:val="auto"/>
              </w:rPr>
            </w:pPr>
            <w:r>
              <w:rPr>
                <w:rFonts w:ascii="Arial" w:cs="Arial" w:eastAsia="Arial" w:hAnsi="Arial"/>
                <w:sz w:val="19"/>
                <w:szCs w:val="19"/>
                <w:color w:val="auto"/>
              </w:rPr>
              <w:t>0pt; TEXT-ALIGN:right"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300" w:type="dxa"/>
            <w:vAlign w:val="bottom"/>
          </w:tcPr>
          <w:p>
            <w:pPr>
              <w:ind w:left="240"/>
              <w:spacing w:after="0"/>
              <w:rPr>
                <w:sz w:val="20"/>
                <w:szCs w:val="20"/>
                <w:color w:val="auto"/>
              </w:rPr>
            </w:pPr>
            <w:r>
              <w:rPr>
                <w:rFonts w:ascii="Arial" w:cs="Arial" w:eastAsia="Arial" w:hAnsi="Arial"/>
                <w:sz w:val="14"/>
                <w:szCs w:val="14"/>
                <w:color w:val="auto"/>
              </w:rPr>
              <w:t>Commodity contracts not</w:t>
            </w: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700" w:type="dxa"/>
            <w:vAlign w:val="bottom"/>
            <w:gridSpan w:val="2"/>
          </w:tcPr>
          <w:p>
            <w:pPr>
              <w:ind w:left="100"/>
              <w:spacing w:after="0"/>
              <w:rPr>
                <w:sz w:val="20"/>
                <w:szCs w:val="20"/>
                <w:color w:val="auto"/>
              </w:rPr>
            </w:pPr>
            <w:r>
              <w:rPr>
                <w:rFonts w:ascii="Arial" w:cs="Arial" w:eastAsia="Arial" w:hAnsi="Arial"/>
                <w:sz w:val="19"/>
                <w:szCs w:val="19"/>
                <w:color w:val="auto"/>
              </w:rPr>
              <w:t>align=right&gt;</w:t>
            </w: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300" w:type="dxa"/>
            <w:vAlign w:val="bottom"/>
          </w:tcPr>
          <w:p>
            <w:pPr>
              <w:ind w:left="80"/>
              <w:spacing w:after="0"/>
              <w:rPr>
                <w:sz w:val="20"/>
                <w:szCs w:val="20"/>
                <w:color w:val="auto"/>
              </w:rPr>
            </w:pPr>
            <w:r>
              <w:rPr>
                <w:rFonts w:ascii="Arial" w:cs="Arial" w:eastAsia="Arial" w:hAnsi="Arial"/>
                <w:sz w:val="14"/>
                <w:szCs w:val="14"/>
                <w:color w:val="auto"/>
              </w:rPr>
              <w:t>subject to rate recovery</w:t>
            </w:r>
          </w:p>
        </w:tc>
        <w:tc>
          <w:tcPr>
            <w:tcW w:w="260" w:type="dxa"/>
            <w:vAlign w:val="bottom"/>
          </w:tcPr>
          <w:p>
            <w:pPr>
              <w:spacing w:after="0"/>
              <w:rPr>
                <w:sz w:val="13"/>
                <w:szCs w:val="1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3"/>
                <w:szCs w:val="13"/>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79</w:t>
            </w:r>
          </w:p>
        </w:tc>
        <w:tc>
          <w:tcPr>
            <w:tcW w:w="2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3"/>
                <w:szCs w:val="1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22"/>
        </w:trPr>
        <w:tc>
          <w:tcPr>
            <w:tcW w:w="2300" w:type="dxa"/>
            <w:vAlign w:val="bottom"/>
          </w:tcPr>
          <w:p>
            <w:pPr>
              <w:ind w:left="160"/>
              <w:spacing w:after="0"/>
              <w:rPr>
                <w:sz w:val="20"/>
                <w:szCs w:val="20"/>
                <w:color w:val="auto"/>
              </w:rPr>
            </w:pPr>
            <w:r>
              <w:rPr>
                <w:rFonts w:ascii="Arial" w:cs="Arial" w:eastAsia="Arial" w:hAnsi="Arial"/>
                <w:sz w:val="14"/>
                <w:szCs w:val="14"/>
                <w:color w:val="auto"/>
              </w:rPr>
              <w:t>Investments</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9"/>
                <w:szCs w:val="19"/>
                <w:color w:val="auto"/>
              </w:rPr>
              <w:t>9</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6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8"/>
        </w:trPr>
        <w:tc>
          <w:tcPr>
            <w:tcW w:w="2300" w:type="dxa"/>
            <w:vAlign w:val="bottom"/>
          </w:tcPr>
          <w:p>
            <w:pPr>
              <w:ind w:left="8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606</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276</w:t>
            </w:r>
          </w:p>
        </w:tc>
        <w:tc>
          <w:tcPr>
            <w:tcW w:w="26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174"/>
        </w:trPr>
        <w:tc>
          <w:tcPr>
            <w:tcW w:w="2300" w:type="dxa"/>
            <w:vAlign w:val="bottom"/>
          </w:tcPr>
          <w:p>
            <w:pPr>
              <w:ind w:left="80"/>
              <w:spacing w:after="0"/>
              <w:rPr>
                <w:sz w:val="20"/>
                <w:szCs w:val="20"/>
                <w:color w:val="auto"/>
              </w:rPr>
            </w:pPr>
            <w:r>
              <w:rPr>
                <w:rFonts w:ascii="Arial" w:cs="Arial" w:eastAsia="Arial" w:hAnsi="Arial"/>
                <w:sz w:val="14"/>
                <w:szCs w:val="14"/>
                <w:color w:val="auto"/>
              </w:rPr>
              <w:t>Liabilities:</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240"/>
              <w:spacing w:after="0"/>
              <w:rPr>
                <w:sz w:val="20"/>
                <w:szCs w:val="20"/>
                <w:color w:val="auto"/>
              </w:rPr>
            </w:pPr>
            <w:r>
              <w:rPr>
                <w:rFonts w:ascii="Arial" w:cs="Arial" w:eastAsia="Arial" w:hAnsi="Arial"/>
                <w:sz w:val="14"/>
                <w:szCs w:val="14"/>
                <w:color w:val="auto"/>
              </w:rPr>
              <w:t>Interest rate instruments</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117</w:t>
            </w:r>
          </w:p>
        </w:tc>
        <w:tc>
          <w:tcPr>
            <w:tcW w:w="2640" w:type="dxa"/>
            <w:vAlign w:val="bottom"/>
          </w:tcPr>
          <w:p>
            <w:pPr>
              <w:jc w:val="right"/>
              <w:ind w:right="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8"/>
        </w:trPr>
        <w:tc>
          <w:tcPr>
            <w:tcW w:w="2300" w:type="dxa"/>
            <w:vAlign w:val="bottom"/>
          </w:tcPr>
          <w:p>
            <w:pPr>
              <w:ind w:left="240"/>
              <w:spacing w:after="0"/>
              <w:rPr>
                <w:sz w:val="20"/>
                <w:szCs w:val="20"/>
                <w:color w:val="auto"/>
              </w:rPr>
            </w:pPr>
            <w:r>
              <w:rPr>
                <w:rFonts w:ascii="Arial" w:cs="Arial" w:eastAsia="Arial" w:hAnsi="Arial"/>
                <w:sz w:val="14"/>
                <w:szCs w:val="14"/>
                <w:color w:val="auto"/>
              </w:rPr>
              <w:t>Commodity contracts subject to</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80"/>
              <w:spacing w:after="0"/>
              <w:rPr>
                <w:sz w:val="20"/>
                <w:szCs w:val="20"/>
                <w:color w:val="auto"/>
              </w:rPr>
            </w:pPr>
            <w:r>
              <w:rPr>
                <w:rFonts w:ascii="Arial" w:cs="Arial" w:eastAsia="Arial" w:hAnsi="Arial"/>
                <w:sz w:val="14"/>
                <w:szCs w:val="14"/>
                <w:color w:val="auto"/>
              </w:rPr>
              <w:t>rate recovery</w:t>
            </w:r>
          </w:p>
        </w:tc>
        <w:tc>
          <w:tcPr>
            <w:tcW w:w="26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28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(79)</w:t>
            </w:r>
          </w:p>
        </w:tc>
        <w:tc>
          <w:tcPr>
            <w:tcW w:w="2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8"/>
        </w:trPr>
        <w:tc>
          <w:tcPr>
            <w:tcW w:w="2300" w:type="dxa"/>
            <w:vAlign w:val="bottom"/>
          </w:tcPr>
          <w:p>
            <w:pPr>
              <w:ind w:left="240"/>
              <w:spacing w:after="0"/>
              <w:rPr>
                <w:sz w:val="20"/>
                <w:szCs w:val="20"/>
                <w:color w:val="auto"/>
              </w:rPr>
            </w:pPr>
            <w:r>
              <w:rPr>
                <w:rFonts w:ascii="Arial" w:cs="Arial" w:eastAsia="Arial" w:hAnsi="Arial"/>
                <w:sz w:val="14"/>
                <w:szCs w:val="14"/>
                <w:color w:val="auto"/>
              </w:rPr>
              <w:t>Commodity contracts not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80"/>
              <w:spacing w:after="0"/>
              <w:rPr>
                <w:sz w:val="20"/>
                <w:szCs w:val="20"/>
                <w:color w:val="auto"/>
              </w:rPr>
            </w:pPr>
            <w:r>
              <w:rPr>
                <w:rFonts w:ascii="Arial" w:cs="Arial" w:eastAsia="Arial" w:hAnsi="Arial"/>
                <w:sz w:val="14"/>
                <w:szCs w:val="14"/>
                <w:color w:val="auto"/>
              </w:rPr>
              <w:t>subject to rate recovery</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69</w:t>
            </w:r>
          </w:p>
        </w:tc>
        <w:tc>
          <w:tcPr>
            <w:tcW w:w="2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24"/>
        </w:trPr>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196</w:t>
            </w:r>
          </w:p>
        </w:tc>
        <w:tc>
          <w:tcPr>
            <w:tcW w:w="2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3"/>
              <w:spacing w:after="0" w:line="208" w:lineRule="exact"/>
              <w:rPr>
                <w:sz w:val="20"/>
                <w:szCs w:val="20"/>
                <w:color w:val="auto"/>
              </w:rPr>
            </w:pPr>
            <w:r>
              <w:rPr>
                <w:rFonts w:ascii="Arial" w:cs="Arial" w:eastAsia="Arial" w:hAnsi="Arial"/>
                <w:sz w:val="19"/>
                <w:szCs w:val="19"/>
                <w:color w:val="auto"/>
              </w:rPr>
              <w: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(79)</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360"/>
        </w:trPr>
        <w:tc>
          <w:tcPr>
            <w:tcW w:w="2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3"/>
                <w:szCs w:val="13"/>
                <w:color w:val="auto"/>
              </w:rPr>
              <w:t>At fair value as of December 31, 2009</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auto"/>
                <w:w w:val="96"/>
              </w:rPr>
              <w:t>Level</w:t>
            </w:r>
          </w:p>
        </w:tc>
        <w:tc>
          <w:tcPr>
            <w:tcW w:w="2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96"/>
              </w:rPr>
              <w:t>Level</w:t>
            </w:r>
          </w:p>
        </w:tc>
        <w:tc>
          <w:tcPr>
            <w:tcW w:w="2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auto"/>
                <w:w w:val="96"/>
              </w:rPr>
              <w:t>Level</w:t>
            </w:r>
          </w:p>
        </w:tc>
        <w:tc>
          <w:tcPr>
            <w:tcW w:w="28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3"/>
                <w:szCs w:val="13"/>
                <w:color w:val="auto"/>
              </w:rPr>
              <w:t>Collateral</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3"/>
                <w:szCs w:val="13"/>
                <w:color w:val="auto"/>
                <w:w w:val="82"/>
              </w:rPr>
              <w:t>1</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3"/>
                <w:szCs w:val="13"/>
                <w:color w:val="auto"/>
                <w:w w:val="82"/>
              </w:rPr>
              <w:t>2</w:t>
            </w:r>
          </w:p>
        </w:tc>
        <w:tc>
          <w:tcPr>
            <w:tcW w:w="2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3"/>
                <w:szCs w:val="13"/>
                <w:color w:val="auto"/>
                <w:w w:val="82"/>
              </w:rPr>
              <w:t>3</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49"/>
              <w:spacing w:after="0" w:line="140" w:lineRule="exact"/>
              <w:rPr>
                <w:sz w:val="20"/>
                <w:szCs w:val="20"/>
                <w:color w:val="auto"/>
              </w:rPr>
            </w:pPr>
            <w:r>
              <w:rPr>
                <w:rFonts w:ascii="Arial" w:cs="Arial" w:eastAsia="Arial" w:hAnsi="Arial"/>
                <w:sz w:val="13"/>
                <w:szCs w:val="13"/>
                <w:color w:val="auto"/>
              </w:rPr>
              <w:t>netted</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89"/>
              <w:spacing w:after="0" w:line="140"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10"/>
        </w:trPr>
        <w:tc>
          <w:tcPr>
            <w:tcW w:w="2300" w:type="dxa"/>
            <w:vAlign w:val="bottom"/>
          </w:tcPr>
          <w:p>
            <w:pPr>
              <w:ind w:left="80"/>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40"/>
              <w:spacing w:after="0"/>
              <w:rPr>
                <w:sz w:val="20"/>
                <w:szCs w:val="20"/>
                <w:color w:val="auto"/>
              </w:rPr>
            </w:pPr>
            <w:r>
              <w:rPr>
                <w:rFonts w:ascii="Arial" w:cs="Arial" w:eastAsia="Arial" w:hAnsi="Arial"/>
                <w:sz w:val="14"/>
                <w:szCs w:val="14"/>
                <w:color w:val="auto"/>
              </w:rPr>
              <w:t>Nuclear decommissioning</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80"/>
              <w:spacing w:after="0"/>
              <w:rPr>
                <w:sz w:val="20"/>
                <w:szCs w:val="20"/>
                <w:color w:val="auto"/>
              </w:rPr>
            </w:pPr>
            <w:r>
              <w:rPr>
                <w:rFonts w:ascii="Arial" w:cs="Arial" w:eastAsia="Arial" w:hAnsi="Arial"/>
                <w:sz w:val="14"/>
                <w:szCs w:val="14"/>
                <w:color w:val="auto"/>
              </w:rPr>
              <w:t>trusts(1)</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Arial" w:cs="Arial" w:eastAsia="Arial" w:hAnsi="Arial"/>
                <w:sz w:val="14"/>
                <w:szCs w:val="14"/>
                <w:color w:val="auto"/>
              </w:rPr>
              <w:t>&amp; nbsp;</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00" w:type="dxa"/>
            <w:vAlign w:val="bottom"/>
          </w:tcPr>
          <w:p>
            <w:pPr>
              <w:ind w:left="480"/>
              <w:spacing w:after="0"/>
              <w:rPr>
                <w:sz w:val="20"/>
                <w:szCs w:val="20"/>
                <w:color w:val="auto"/>
              </w:rPr>
            </w:pPr>
            <w:r>
              <w:rPr>
                <w:rFonts w:ascii="Arial" w:cs="Arial" w:eastAsia="Arial" w:hAnsi="Arial"/>
                <w:sz w:val="14"/>
                <w:szCs w:val="14"/>
                <w:color w:val="auto"/>
              </w:rPr>
              <w:t>Equity securities</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74"/>
        </w:trPr>
        <w:tc>
          <w:tcPr>
            <w:tcW w:w="2300" w:type="dxa"/>
            <w:vAlign w:val="bottom"/>
          </w:tcPr>
          <w:p>
            <w:pPr>
              <w:ind w:left="480"/>
              <w:spacing w:after="0"/>
              <w:rPr>
                <w:sz w:val="20"/>
                <w:szCs w:val="20"/>
                <w:color w:val="auto"/>
              </w:rPr>
            </w:pPr>
            <w:r>
              <w:rPr>
                <w:rFonts w:ascii="Arial" w:cs="Arial" w:eastAsia="Arial" w:hAnsi="Arial"/>
                <w:sz w:val="14"/>
                <w:szCs w:val="14"/>
                <w:color w:val="auto"/>
              </w:rPr>
              <w:t>Debt securities:</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640"/>
              <w:spacing w:after="0"/>
              <w:rPr>
                <w:sz w:val="20"/>
                <w:szCs w:val="20"/>
                <w:color w:val="auto"/>
              </w:rPr>
            </w:pPr>
            <w:r>
              <w:rPr>
                <w:rFonts w:ascii="Arial" w:cs="Arial" w:eastAsia="Arial" w:hAnsi="Arial"/>
                <w:sz w:val="14"/>
                <w:szCs w:val="14"/>
                <w:color w:val="auto"/>
              </w:rPr>
              <w:t>Debt securities issued by</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80"/>
              <w:spacing w:after="0"/>
              <w:rPr>
                <w:sz w:val="20"/>
                <w:szCs w:val="20"/>
                <w:color w:val="auto"/>
              </w:rPr>
            </w:pPr>
            <w:r>
              <w:rPr>
                <w:rFonts w:ascii="Arial" w:cs="Arial" w:eastAsia="Arial" w:hAnsi="Arial"/>
                <w:sz w:val="14"/>
                <w:szCs w:val="14"/>
                <w:color w:val="auto"/>
              </w:rPr>
              <w:t>the U.S. Treasury and other</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840"/>
              <w:spacing w:after="0"/>
              <w:rPr>
                <w:sz w:val="20"/>
                <w:szCs w:val="20"/>
                <w:color w:val="auto"/>
              </w:rPr>
            </w:pPr>
            <w:r>
              <w:rPr>
                <w:rFonts w:ascii="Arial" w:cs="Arial" w:eastAsia="Arial" w:hAnsi="Arial"/>
                <w:sz w:val="14"/>
                <w:szCs w:val="14"/>
                <w:color w:val="auto"/>
              </w:rPr>
              <w:t>U.S. government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80"/>
              <w:spacing w:after="0"/>
              <w:rPr>
                <w:sz w:val="20"/>
                <w:szCs w:val="20"/>
                <w:color w:val="auto"/>
              </w:rPr>
            </w:pPr>
            <w:r>
              <w:rPr>
                <w:rFonts w:ascii="Arial" w:cs="Arial" w:eastAsia="Arial" w:hAnsi="Arial"/>
                <w:sz w:val="14"/>
                <w:szCs w:val="14"/>
                <w:color w:val="auto"/>
              </w:rPr>
              <w:t>corporations and agencies</w:t>
            </w:r>
          </w:p>
        </w:tc>
        <w:tc>
          <w:tcPr>
            <w:tcW w:w="26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28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39</w:t>
            </w: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92"/>
        </w:trPr>
        <w:tc>
          <w:tcPr>
            <w:tcW w:w="2300" w:type="dxa"/>
            <w:vAlign w:val="bottom"/>
          </w:tcPr>
          <w:p>
            <w:pPr>
              <w:ind w:left="640"/>
              <w:spacing w:after="0"/>
              <w:rPr>
                <w:sz w:val="20"/>
                <w:szCs w:val="20"/>
                <w:color w:val="auto"/>
              </w:rPr>
            </w:pPr>
            <w:r>
              <w:rPr>
                <w:rFonts w:ascii="Arial" w:cs="Arial" w:eastAsia="Arial" w:hAnsi="Arial"/>
                <w:sz w:val="14"/>
                <w:szCs w:val="14"/>
                <w:color w:val="auto"/>
              </w:rPr>
              <w:t>Municipal bonds</w:t>
            </w:r>
          </w:p>
        </w:tc>
        <w:tc>
          <w:tcPr>
            <w:tcW w:w="26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85</w:t>
            </w:r>
          </w:p>
        </w:tc>
        <w:tc>
          <w:tcPr>
            <w:tcW w:w="2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6"/>
        </w:trPr>
        <w:tc>
          <w:tcPr>
            <w:tcW w:w="2300" w:type="dxa"/>
            <w:vAlign w:val="bottom"/>
          </w:tcPr>
          <w:p>
            <w:pPr>
              <w:ind w:left="640"/>
              <w:spacing w:after="0"/>
              <w:rPr>
                <w:sz w:val="20"/>
                <w:szCs w:val="20"/>
                <w:color w:val="auto"/>
              </w:rPr>
            </w:pPr>
            <w:r>
              <w:rPr>
                <w:rFonts w:ascii="Arial" w:cs="Arial" w:eastAsia="Arial" w:hAnsi="Arial"/>
                <w:sz w:val="14"/>
                <w:szCs w:val="14"/>
                <w:color w:val="auto"/>
              </w:rPr>
              <w:t>Other securities</w:t>
            </w: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w:t>
            </w:r>
          </w:p>
        </w:tc>
        <w:tc>
          <w:tcPr>
            <w:tcW w:w="2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2300" w:type="dxa"/>
            <w:vAlign w:val="bottom"/>
          </w:tcPr>
          <w:p>
            <w:pPr>
              <w:ind w:left="480"/>
              <w:spacing w:after="0"/>
              <w:rPr>
                <w:sz w:val="20"/>
                <w:szCs w:val="20"/>
                <w:color w:val="auto"/>
              </w:rPr>
            </w:pPr>
            <w:r>
              <w:rPr>
                <w:rFonts w:ascii="Arial" w:cs="Arial" w:eastAsia="Arial" w:hAnsi="Arial"/>
                <w:sz w:val="14"/>
                <w:szCs w:val="14"/>
                <w:color w:val="auto"/>
              </w:rPr>
              <w:t>Total debt securities</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137</w:t>
            </w:r>
          </w:p>
        </w:tc>
        <w:tc>
          <w:tcPr>
            <w:tcW w:w="2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50"/>
        </w:trPr>
        <w:tc>
          <w:tcPr>
            <w:tcW w:w="2300" w:type="dxa"/>
            <w:vAlign w:val="bottom"/>
          </w:tcPr>
          <w:p>
            <w:pPr>
              <w:ind w:left="240"/>
              <w:spacing w:after="0" w:line="150" w:lineRule="exact"/>
              <w:rPr>
                <w:sz w:val="20"/>
                <w:szCs w:val="20"/>
                <w:color w:val="auto"/>
              </w:rPr>
            </w:pPr>
            <w:r>
              <w:rPr>
                <w:rFonts w:ascii="Arial" w:cs="Arial" w:eastAsia="Arial" w:hAnsi="Arial"/>
                <w:sz w:val="14"/>
                <w:szCs w:val="14"/>
                <w:color w:val="auto"/>
              </w:rPr>
              <w:t>Total nuclear</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80"/>
              <w:spacing w:after="0"/>
              <w:rPr>
                <w:sz w:val="20"/>
                <w:szCs w:val="20"/>
                <w:color w:val="auto"/>
              </w:rPr>
            </w:pPr>
            <w:r>
              <w:rPr>
                <w:rFonts w:ascii="Arial" w:cs="Arial" w:eastAsia="Arial" w:hAnsi="Arial"/>
                <w:sz w:val="14"/>
                <w:szCs w:val="14"/>
                <w:color w:val="auto"/>
              </w:rPr>
              <w:t>decommissioning trusts(1)</w:t>
            </w:r>
          </w:p>
        </w:tc>
        <w:tc>
          <w:tcPr>
            <w:tcW w:w="26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532</w:t>
            </w:r>
          </w:p>
        </w:tc>
        <w:tc>
          <w:tcPr>
            <w:tcW w:w="28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137</w:t>
            </w: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1460500</wp:posOffset>
            </wp:positionH>
            <wp:positionV relativeFrom="paragraph">
              <wp:posOffset>-3175</wp:posOffset>
            </wp:positionV>
            <wp:extent cx="432054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20540" cy="7620"/>
                    </a:xfrm>
                    <a:prstGeom prst="rect">
                      <a:avLst/>
                    </a:prstGeom>
                    <a:noFill/>
                  </pic:spPr>
                </pic:pic>
              </a:graphicData>
            </a:graphic>
          </wp:anchor>
        </w:drawing>
      </w:r>
    </w:p>
    <w:p>
      <w:pPr>
        <w:sectPr>
          <w:pgSz w:w="11900" w:h="16838" w:orient="portrait"/>
          <w:cols w:equalWidth="0" w:num="1">
            <w:col w:w="11420"/>
          </w:cols>
          <w:pgMar w:left="240" w:top="126" w:right="239" w:bottom="0" w:gutter="0" w:footer="0" w:header="0"/>
        </w:sectPr>
      </w:pPr>
    </w:p>
    <w:p>
      <w:pPr>
        <w:ind w:left="240"/>
        <w:spacing w:after="0"/>
        <w:tabs>
          <w:tab w:leader="none" w:pos="2900" w:val="left"/>
          <w:tab w:leader="none" w:pos="3660" w:val="left"/>
          <w:tab w:leader="none" w:pos="6820" w:val="left"/>
          <w:tab w:leader="none" w:pos="7840" w:val="left"/>
          <w:tab w:leader="none" w:pos="8800" w:val="left"/>
        </w:tabs>
        <w:rPr>
          <w:sz w:val="20"/>
          <w:szCs w:val="20"/>
          <w:color w:val="auto"/>
        </w:rPr>
      </w:pPr>
      <w:r>
        <w:rPr>
          <w:rFonts w:ascii="Arial" w:cs="Arial" w:eastAsia="Arial" w:hAnsi="Arial"/>
          <w:sz w:val="14"/>
          <w:szCs w:val="14"/>
          <w:color w:val="auto"/>
        </w:rPr>
        <w:t>Interest rate instruments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38</w:t>
      </w:r>
    </w:p>
    <w:p>
      <w:pPr>
        <w:sectPr>
          <w:pgSz w:w="11900" w:h="16838" w:orient="portrait"/>
          <w:cols w:equalWidth="0" w:num="1">
            <w:col w:w="11420"/>
          </w:cols>
          <w:pgMar w:left="240" w:top="126" w:right="239"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68"/>
        </w:trPr>
        <w:tc>
          <w:tcPr>
            <w:tcW w:w="2300" w:type="dxa"/>
            <w:vAlign w:val="bottom"/>
          </w:tcPr>
          <w:p>
            <w:pPr>
              <w:ind w:left="240"/>
              <w:spacing w:after="0"/>
              <w:rPr>
                <w:sz w:val="20"/>
                <w:szCs w:val="20"/>
                <w:color w:val="auto"/>
              </w:rPr>
            </w:pPr>
            <w:r>
              <w:rPr>
                <w:rFonts w:ascii="Arial" w:cs="Arial" w:eastAsia="Arial" w:hAnsi="Arial"/>
                <w:sz w:val="14"/>
                <w:szCs w:val="14"/>
                <w:color w:val="auto"/>
              </w:rPr>
              <w:t>Commodity contracts subject</w:t>
            </w:r>
          </w:p>
        </w:tc>
        <w:tc>
          <w:tcPr>
            <w:tcW w:w="30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14"/>
                <w:szCs w:val="14"/>
                <w:color w:val="auto"/>
              </w:rPr>
            </w:pPr>
          </w:p>
        </w:tc>
        <w:tc>
          <w:tcPr>
            <w:tcW w:w="1700" w:type="dxa"/>
            <w:vAlign w:val="bottom"/>
          </w:tcPr>
          <w:p>
            <w:pPr>
              <w:jc w:val="right"/>
              <w:ind w:right="1228"/>
              <w:spacing w:after="0"/>
              <w:rPr>
                <w:sz w:val="20"/>
                <w:szCs w:val="20"/>
                <w:color w:val="auto"/>
              </w:rPr>
            </w:pPr>
            <w:r>
              <w:rPr>
                <w:rFonts w:ascii="Arial" w:cs="Arial" w:eastAsia="Arial" w:hAnsi="Arial"/>
                <w:sz w:val="14"/>
                <w:szCs w:val="14"/>
                <w:color w:val="auto"/>
              </w:rPr>
              <w:t>3</w:t>
            </w:r>
          </w:p>
        </w:tc>
        <w:tc>
          <w:tcPr>
            <w:tcW w:w="146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14"/>
                <w:szCs w:val="14"/>
                <w:color w:val="auto"/>
              </w:rPr>
            </w:pPr>
          </w:p>
        </w:tc>
        <w:tc>
          <w:tcPr>
            <w:tcW w:w="64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45</w:t>
            </w:r>
          </w:p>
        </w:tc>
      </w:tr>
      <w:tr>
        <w:trPr>
          <w:trHeight w:val="168"/>
        </w:trPr>
        <w:tc>
          <w:tcPr>
            <w:tcW w:w="2300" w:type="dxa"/>
            <w:vAlign w:val="bottom"/>
          </w:tcPr>
          <w:p>
            <w:pPr>
              <w:ind w:left="80"/>
              <w:spacing w:after="0"/>
              <w:rPr>
                <w:sz w:val="20"/>
                <w:szCs w:val="20"/>
                <w:color w:val="auto"/>
              </w:rPr>
            </w:pPr>
            <w:r>
              <w:rPr>
                <w:rFonts w:ascii="Arial" w:cs="Arial" w:eastAsia="Arial" w:hAnsi="Arial"/>
                <w:sz w:val="14"/>
                <w:szCs w:val="14"/>
                <w:color w:val="auto"/>
              </w:rPr>
              <w:t>to rate recovery</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00" w:type="dxa"/>
            <w:vAlign w:val="bottom"/>
          </w:tcPr>
          <w:p>
            <w:pPr>
              <w:ind w:left="240"/>
              <w:spacing w:after="0"/>
              <w:rPr>
                <w:sz w:val="20"/>
                <w:szCs w:val="20"/>
                <w:color w:val="auto"/>
              </w:rPr>
            </w:pPr>
            <w:r>
              <w:rPr>
                <w:rFonts w:ascii="Arial" w:cs="Arial" w:eastAsia="Arial" w:hAnsi="Arial"/>
                <w:sz w:val="14"/>
                <w:szCs w:val="14"/>
                <w:color w:val="auto"/>
              </w:rPr>
              <w:t>Commodity contracts not</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2"/>
        </w:trPr>
        <w:tc>
          <w:tcPr>
            <w:tcW w:w="2300" w:type="dxa"/>
            <w:vAlign w:val="bottom"/>
          </w:tcPr>
          <w:p>
            <w:pPr>
              <w:ind w:left="80"/>
              <w:spacing w:after="0"/>
              <w:rPr>
                <w:sz w:val="20"/>
                <w:szCs w:val="20"/>
                <w:color w:val="auto"/>
              </w:rPr>
            </w:pPr>
            <w:r>
              <w:rPr>
                <w:rFonts w:ascii="Arial" w:cs="Arial" w:eastAsia="Arial" w:hAnsi="Arial"/>
                <w:sz w:val="14"/>
                <w:szCs w:val="14"/>
                <w:color w:val="auto"/>
              </w:rPr>
              <w:t>subject to rate recovery</w:t>
            </w:r>
          </w:p>
        </w:tc>
        <w:tc>
          <w:tcPr>
            <w:tcW w:w="30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1700" w:type="dxa"/>
            <w:vAlign w:val="bottom"/>
          </w:tcPr>
          <w:p>
            <w:pPr>
              <w:jc w:val="right"/>
              <w:ind w:right="1228"/>
              <w:spacing w:after="0"/>
              <w:rPr>
                <w:sz w:val="20"/>
                <w:szCs w:val="20"/>
                <w:color w:val="auto"/>
              </w:rPr>
            </w:pPr>
            <w:r>
              <w:rPr>
                <w:rFonts w:ascii="Arial" w:cs="Arial" w:eastAsia="Arial" w:hAnsi="Arial"/>
                <w:sz w:val="14"/>
                <w:szCs w:val="14"/>
                <w:color w:val="auto"/>
              </w:rPr>
              <w:t>62</w:t>
            </w:r>
          </w:p>
        </w:tc>
        <w:tc>
          <w:tcPr>
            <w:tcW w:w="146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(40)</w:t>
            </w:r>
          </w:p>
        </w:tc>
        <w:tc>
          <w:tcPr>
            <w:tcW w:w="2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w:t>
            </w:r>
          </w:p>
        </w:tc>
      </w:tr>
      <w:tr>
        <w:trPr>
          <w:trHeight w:val="198"/>
        </w:trPr>
        <w:tc>
          <w:tcPr>
            <w:tcW w:w="2300" w:type="dxa"/>
            <w:vAlign w:val="bottom"/>
          </w:tcPr>
          <w:p>
            <w:pPr>
              <w:ind w:left="240"/>
              <w:spacing w:after="0"/>
              <w:rPr>
                <w:sz w:val="20"/>
                <w:szCs w:val="20"/>
                <w:color w:val="auto"/>
              </w:rPr>
            </w:pPr>
            <w:r>
              <w:rPr>
                <w:rFonts w:ascii="Arial" w:cs="Arial" w:eastAsia="Arial" w:hAnsi="Arial"/>
                <w:sz w:val="14"/>
                <w:szCs w:val="14"/>
                <w:color w:val="auto"/>
              </w:rPr>
              <w:t>Investments</w:t>
            </w: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spacing w:after="0"/>
              <w:rPr>
                <w:sz w:val="17"/>
                <w:szCs w:val="17"/>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r>
      <w:tr>
        <w:trPr>
          <w:trHeight w:val="224"/>
        </w:trPr>
        <w:tc>
          <w:tcPr>
            <w:tcW w:w="2300" w:type="dxa"/>
            <w:vAlign w:val="bottom"/>
          </w:tcPr>
          <w:p>
            <w:pPr>
              <w:ind w:left="80"/>
              <w:spacing w:after="0" w:line="208" w:lineRule="exact"/>
              <w:rPr>
                <w:sz w:val="20"/>
                <w:szCs w:val="20"/>
                <w:color w:val="auto"/>
              </w:rPr>
            </w:pPr>
            <w:r>
              <w:rPr>
                <w:rFonts w:ascii="Arial" w:cs="Arial" w:eastAsia="Arial" w:hAnsi="Arial"/>
                <w:sz w:val="19"/>
                <w:szCs w:val="19"/>
                <w:color w:val="auto"/>
              </w:rPr>
              <w:t>Total</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rPr>
              <w:t>240</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5"/>
              <w:spacing w:after="0" w:line="208" w:lineRule="exact"/>
              <w:rPr>
                <w:sz w:val="20"/>
                <w:szCs w:val="20"/>
                <w:color w:val="auto"/>
              </w:rPr>
            </w:pPr>
            <w:r>
              <w:rPr>
                <w:rFonts w:ascii="Arial" w:cs="Arial" w:eastAsia="Arial" w:hAnsi="Arial"/>
                <w:sz w:val="19"/>
                <w:szCs w:val="19"/>
                <w:color w:val="auto"/>
              </w:rPr>
              <w:t>(40)</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782</w:t>
            </w:r>
          </w:p>
        </w:tc>
      </w:tr>
      <w:tr>
        <w:trPr>
          <w:trHeight w:val="198"/>
        </w:trPr>
        <w:tc>
          <w:tcPr>
            <w:tcW w:w="2300" w:type="dxa"/>
            <w:vAlign w:val="bottom"/>
          </w:tcPr>
          <w:p>
            <w:pPr>
              <w:ind w:left="80"/>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0"/>
        </w:trPr>
        <w:tc>
          <w:tcPr>
            <w:tcW w:w="2300" w:type="dxa"/>
            <w:vAlign w:val="bottom"/>
          </w:tcPr>
          <w:p>
            <w:pPr>
              <w:ind w:left="200"/>
              <w:spacing w:after="0"/>
              <w:rPr>
                <w:sz w:val="20"/>
                <w:szCs w:val="20"/>
                <w:color w:val="auto"/>
              </w:rPr>
            </w:pPr>
            <w:r>
              <w:rPr>
                <w:rFonts w:ascii="Arial" w:cs="Arial" w:eastAsia="Arial" w:hAnsi="Arial"/>
                <w:sz w:val="14"/>
                <w:szCs w:val="14"/>
                <w:color w:val="auto"/>
              </w:rPr>
              <w:t>; Interest rate instruments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228"/>
              <w:spacing w:after="0"/>
              <w:rPr>
                <w:sz w:val="20"/>
                <w:szCs w:val="20"/>
                <w:color w:val="auto"/>
              </w:rPr>
            </w:pPr>
            <w:r>
              <w:rPr>
                <w:rFonts w:ascii="Arial" w:cs="Arial" w:eastAsia="Arial" w:hAnsi="Arial"/>
                <w:sz w:val="14"/>
                <w:szCs w:val="14"/>
                <w:color w:val="auto"/>
              </w:rPr>
              <w:t>59</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59</w:t>
            </w:r>
          </w:p>
        </w:tc>
      </w:tr>
      <w:tr>
        <w:trPr>
          <w:trHeight w:val="180"/>
        </w:trPr>
        <w:tc>
          <w:tcPr>
            <w:tcW w:w="2300" w:type="dxa"/>
            <w:vAlign w:val="bottom"/>
          </w:tcPr>
          <w:p>
            <w:pPr>
              <w:ind w:left="240"/>
              <w:spacing w:after="0"/>
              <w:rPr>
                <w:sz w:val="20"/>
                <w:szCs w:val="20"/>
                <w:color w:val="auto"/>
              </w:rPr>
            </w:pPr>
            <w:r>
              <w:rPr>
                <w:rFonts w:ascii="Arial" w:cs="Arial" w:eastAsia="Arial" w:hAnsi="Arial"/>
                <w:sz w:val="14"/>
                <w:szCs w:val="14"/>
                <w:color w:val="auto"/>
              </w:rPr>
              <w:t>Commodity contracts subject to</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2300" w:type="dxa"/>
            <w:vAlign w:val="bottom"/>
          </w:tcPr>
          <w:p>
            <w:pPr>
              <w:ind w:left="80"/>
              <w:spacing w:after="0"/>
              <w:rPr>
                <w:sz w:val="20"/>
                <w:szCs w:val="20"/>
                <w:color w:val="auto"/>
              </w:rPr>
            </w:pPr>
            <w:r>
              <w:rPr>
                <w:rFonts w:ascii="Arial" w:cs="Arial" w:eastAsia="Arial" w:hAnsi="Arial"/>
                <w:sz w:val="14"/>
                <w:szCs w:val="14"/>
                <w:color w:val="auto"/>
              </w:rPr>
              <w:t>rate recovery</w:t>
            </w:r>
          </w:p>
        </w:tc>
        <w:tc>
          <w:tcPr>
            <w:tcW w:w="300" w:type="dxa"/>
            <w:vAlign w:val="bottom"/>
          </w:tcPr>
          <w:p>
            <w:pPr>
              <w:spacing w:after="0"/>
              <w:rPr>
                <w:sz w:val="15"/>
                <w:szCs w:val="15"/>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5"/>
                <w:szCs w:val="15"/>
                <w:color w:val="auto"/>
              </w:rPr>
            </w:pPr>
          </w:p>
        </w:tc>
        <w:tc>
          <w:tcPr>
            <w:tcW w:w="1700" w:type="dxa"/>
            <w:vAlign w:val="bottom"/>
          </w:tcPr>
          <w:p>
            <w:pPr>
              <w:jc w:val="right"/>
              <w:ind w:right="1228"/>
              <w:spacing w:after="0"/>
              <w:rPr>
                <w:sz w:val="20"/>
                <w:szCs w:val="20"/>
                <w:color w:val="auto"/>
              </w:rPr>
            </w:pPr>
            <w:r>
              <w:rPr>
                <w:rFonts w:ascii="Arial" w:cs="Arial" w:eastAsia="Arial" w:hAnsi="Arial"/>
                <w:sz w:val="14"/>
                <w:szCs w:val="14"/>
                <w:color w:val="auto"/>
              </w:rPr>
              <w:t>9</w:t>
            </w:r>
          </w:p>
        </w:tc>
        <w:tc>
          <w:tcPr>
            <w:tcW w:w="1460" w:type="dxa"/>
            <w:vAlign w:val="bottom"/>
          </w:tcPr>
          <w:p>
            <w:pPr>
              <w:spacing w:after="0"/>
              <w:rPr>
                <w:sz w:val="15"/>
                <w:szCs w:val="15"/>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w:t>
            </w:r>
          </w:p>
        </w:tc>
      </w:tr>
      <w:tr>
        <w:trPr>
          <w:trHeight w:val="216"/>
        </w:trPr>
        <w:tc>
          <w:tcPr>
            <w:tcW w:w="2300" w:type="dxa"/>
            <w:vAlign w:val="bottom"/>
          </w:tcPr>
          <w:p>
            <w:pPr>
              <w:ind w:left="300"/>
              <w:spacing w:after="0" w:line="216" w:lineRule="exact"/>
              <w:rPr>
                <w:sz w:val="20"/>
                <w:szCs w:val="20"/>
                <w:color w:val="auto"/>
              </w:rPr>
            </w:pPr>
            <w:r>
              <w:rPr>
                <w:rFonts w:ascii="Arial" w:cs="Arial" w:eastAsia="Arial" w:hAnsi="Arial"/>
                <w:sz w:val="19"/>
                <w:szCs w:val="19"/>
                <w:color w:val="auto"/>
              </w:rPr>
              <w:t>Commodity contracts</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300" w:type="dxa"/>
            <w:vAlign w:val="bottom"/>
          </w:tcPr>
          <w:p>
            <w:pPr>
              <w:ind w:left="80"/>
              <w:spacing w:after="0" w:line="216" w:lineRule="exact"/>
              <w:rPr>
                <w:sz w:val="20"/>
                <w:szCs w:val="20"/>
                <w:color w:val="auto"/>
              </w:rPr>
            </w:pPr>
            <w:r>
              <w:rPr>
                <w:rFonts w:ascii="Arial" w:cs="Arial" w:eastAsia="Arial" w:hAnsi="Arial"/>
                <w:sz w:val="19"/>
                <w:szCs w:val="19"/>
                <w:color w:val="auto"/>
              </w:rPr>
              <w:t>not subject to rate</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2300" w:type="dxa"/>
            <w:vAlign w:val="bottom"/>
          </w:tcPr>
          <w:p>
            <w:pPr>
              <w:ind w:left="80"/>
              <w:spacing w:after="0"/>
              <w:rPr>
                <w:sz w:val="20"/>
                <w:szCs w:val="20"/>
                <w:color w:val="auto"/>
              </w:rPr>
            </w:pPr>
            <w:r>
              <w:rPr>
                <w:rFonts w:ascii="Arial" w:cs="Arial" w:eastAsia="Arial" w:hAnsi="Arial"/>
                <w:sz w:val="19"/>
                <w:szCs w:val="19"/>
                <w:color w:val="auto"/>
              </w:rPr>
              <w:t>recovery</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rPr>
              <w:t>65</w:t>
            </w:r>
          </w:p>
        </w:tc>
        <w:tc>
          <w:tcPr>
            <w:tcW w:w="1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r>
      <w:tr>
        <w:trPr>
          <w:trHeight w:val="162"/>
        </w:trPr>
        <w:tc>
          <w:tcPr>
            <w:tcW w:w="2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133&amp;nbs</w:t>
            </w:r>
          </w:p>
        </w:tc>
      </w:tr>
      <w:tr>
        <w:trPr>
          <w:trHeight w:val="182"/>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rPr>
              <w:t>133</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p;</w:t>
            </w:r>
          </w:p>
        </w:tc>
      </w:tr>
    </w:tbl>
    <w:p>
      <w:pPr>
        <w:ind w:left="440"/>
        <w:spacing w:after="0" w:line="237" w:lineRule="auto"/>
        <w:rPr>
          <w:sz w:val="20"/>
          <w:szCs w:val="20"/>
          <w:color w:val="auto"/>
        </w:rPr>
      </w:pPr>
      <w:r>
        <w:rPr>
          <w:rFonts w:ascii="Arial" w:cs="Arial" w:eastAsia="Arial" w:hAnsi="Arial"/>
          <w:sz w:val="13"/>
          <w:szCs w:val="13"/>
          <w:i w:val="1"/>
          <w:iCs w:val="1"/>
          <w:color w:val="auto"/>
        </w:rPr>
        <w:t>Excludes cash balances and</w:t>
      </w:r>
    </w:p>
    <w:p>
      <w:pPr>
        <w:spacing w:after="0" w:line="1" w:lineRule="exact"/>
        <w:rPr>
          <w:sz w:val="20"/>
          <w:szCs w:val="20"/>
          <w:color w:val="auto"/>
        </w:rPr>
      </w:pPr>
    </w:p>
    <w:p>
      <w:pPr>
        <w:ind w:left="440" w:hanging="352"/>
        <w:spacing w:after="0"/>
        <w:tabs>
          <w:tab w:leader="none" w:pos="440" w:val="left"/>
        </w:tabs>
        <w:numPr>
          <w:ilvl w:val="0"/>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405130</wp:posOffset>
            </wp:positionV>
            <wp:extent cx="5760720" cy="289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6072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RECURRING FAIR VALUE MEASURES -- SDG&amp;E</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(Dollars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5020" w:type="dxa"/>
            <w:vAlign w:val="bottom"/>
            <w:tcBorders>
              <w:bottom w:val="single" w:sz="8" w:color="auto"/>
            </w:tcBorders>
            <w:gridSpan w:val="6"/>
          </w:tcPr>
          <w:p>
            <w:pPr>
              <w:jc w:val="right"/>
              <w:ind w:right="307"/>
              <w:spacing w:after="0"/>
              <w:rPr>
                <w:sz w:val="20"/>
                <w:szCs w:val="20"/>
                <w:color w:val="auto"/>
              </w:rPr>
            </w:pPr>
            <w:r>
              <w:rPr>
                <w:rFonts w:ascii="Arial" w:cs="Arial" w:eastAsia="Arial" w:hAnsi="Arial"/>
                <w:sz w:val="13"/>
                <w:szCs w:val="13"/>
                <w:color w:val="auto"/>
              </w:rPr>
              <w:t>At fair value as of September 30, 2010</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auto"/>
              </w:rPr>
              <w:t>Level</w:t>
            </w:r>
          </w:p>
        </w:tc>
        <w:tc>
          <w:tcPr>
            <w:tcW w:w="280" w:type="dxa"/>
            <w:vAlign w:val="bottom"/>
          </w:tcPr>
          <w:p>
            <w:pPr>
              <w:spacing w:after="0"/>
              <w:rPr>
                <w:sz w:val="14"/>
                <w:szCs w:val="14"/>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Level</w:t>
            </w:r>
          </w:p>
        </w:tc>
        <w:tc>
          <w:tcPr>
            <w:tcW w:w="240" w:type="dxa"/>
            <w:vAlign w:val="bottom"/>
          </w:tcPr>
          <w:p>
            <w:pPr>
              <w:spacing w:after="0"/>
              <w:rPr>
                <w:sz w:val="14"/>
                <w:szCs w:val="14"/>
                <w:color w:val="auto"/>
              </w:rPr>
            </w:pPr>
          </w:p>
        </w:tc>
        <w:tc>
          <w:tcPr>
            <w:tcW w:w="500" w:type="dxa"/>
            <w:vAlign w:val="bottom"/>
            <w:vMerge w:val="restart"/>
          </w:tcPr>
          <w:p>
            <w:pPr>
              <w:jc w:val="right"/>
              <w:ind w:right="27"/>
              <w:spacing w:after="0"/>
              <w:rPr>
                <w:sz w:val="20"/>
                <w:szCs w:val="20"/>
                <w:color w:val="auto"/>
              </w:rPr>
            </w:pPr>
            <w:r>
              <w:rPr>
                <w:rFonts w:ascii="Arial" w:cs="Arial" w:eastAsia="Arial" w:hAnsi="Arial"/>
                <w:sz w:val="13"/>
                <w:szCs w:val="13"/>
                <w:color w:val="auto"/>
              </w:rPr>
              <w:t>Level</w:t>
            </w:r>
          </w:p>
        </w:tc>
        <w:tc>
          <w:tcPr>
            <w:tcW w:w="260" w:type="dxa"/>
            <w:vAlign w:val="bottom"/>
          </w:tcPr>
          <w:p>
            <w:pPr>
              <w:spacing w:after="0"/>
              <w:rPr>
                <w:sz w:val="14"/>
                <w:szCs w:val="14"/>
                <w:color w:val="auto"/>
              </w:rPr>
            </w:pPr>
          </w:p>
        </w:tc>
        <w:tc>
          <w:tcPr>
            <w:tcW w:w="740" w:type="dxa"/>
            <w:vAlign w:val="bottom"/>
          </w:tcPr>
          <w:p>
            <w:pPr>
              <w:jc w:val="right"/>
              <w:ind w:right="29"/>
              <w:spacing w:after="0"/>
              <w:rPr>
                <w:sz w:val="20"/>
                <w:szCs w:val="20"/>
                <w:color w:val="auto"/>
              </w:rPr>
            </w:pPr>
            <w:r>
              <w:rPr>
                <w:rFonts w:ascii="Arial" w:cs="Arial" w:eastAsia="Arial" w:hAnsi="Arial"/>
                <w:sz w:val="13"/>
                <w:szCs w:val="13"/>
                <w:color w:val="auto"/>
              </w:rPr>
              <w:t>Collateral</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rPr>
                <w:sz w:val="12"/>
                <w:szCs w:val="12"/>
                <w:color w:val="auto"/>
              </w:rPr>
            </w:pPr>
          </w:p>
        </w:tc>
        <w:tc>
          <w:tcPr>
            <w:tcW w:w="2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9"/>
              <w:spacing w:after="0" w:line="140" w:lineRule="exact"/>
              <w:rPr>
                <w:sz w:val="20"/>
                <w:szCs w:val="20"/>
                <w:color w:val="auto"/>
              </w:rPr>
            </w:pPr>
            <w:r>
              <w:rPr>
                <w:rFonts w:ascii="Arial" w:cs="Arial" w:eastAsia="Arial" w:hAnsi="Arial"/>
                <w:sz w:val="13"/>
                <w:szCs w:val="13"/>
                <w:color w:val="auto"/>
              </w:rPr>
              <w:t>1</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86"/>
              <w:spacing w:after="0" w:line="140" w:lineRule="exact"/>
              <w:rPr>
                <w:sz w:val="20"/>
                <w:szCs w:val="20"/>
                <w:color w:val="auto"/>
              </w:rPr>
            </w:pPr>
            <w:r>
              <w:rPr>
                <w:rFonts w:ascii="Arial" w:cs="Arial" w:eastAsia="Arial" w:hAnsi="Arial"/>
                <w:sz w:val="13"/>
                <w:szCs w:val="13"/>
                <w:color w:val="auto"/>
              </w:rPr>
              <w:t>2</w:t>
            </w: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7"/>
              <w:spacing w:after="0" w:line="140" w:lineRule="exact"/>
              <w:rPr>
                <w:sz w:val="20"/>
                <w:szCs w:val="20"/>
                <w:color w:val="auto"/>
              </w:rPr>
            </w:pPr>
            <w:r>
              <w:rPr>
                <w:rFonts w:ascii="Arial" w:cs="Arial" w:eastAsia="Arial" w:hAnsi="Arial"/>
                <w:sz w:val="13"/>
                <w:szCs w:val="13"/>
                <w:color w:val="auto"/>
              </w:rPr>
              <w:t>3</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9"/>
              <w:spacing w:after="0" w:line="140" w:lineRule="exact"/>
              <w:rPr>
                <w:sz w:val="20"/>
                <w:szCs w:val="20"/>
                <w:color w:val="auto"/>
              </w:rPr>
            </w:pPr>
            <w:r>
              <w:rPr>
                <w:rFonts w:ascii="Arial" w:cs="Arial" w:eastAsia="Arial" w:hAnsi="Arial"/>
                <w:sz w:val="13"/>
                <w:szCs w:val="13"/>
                <w:color w:val="auto"/>
              </w:rPr>
              <w:t>netted</w:t>
            </w: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7"/>
              <w:spacing w:after="0" w:line="140"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333"/>
        </w:trPr>
        <w:tc>
          <w:tcPr>
            <w:tcW w:w="19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9"/>
                <w:szCs w:val="19"/>
                <w:color w:val="auto"/>
              </w:rPr>
              <w:t>&lt;</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80"/>
              <w:spacing w:after="0"/>
              <w:rPr>
                <w:sz w:val="20"/>
                <w:szCs w:val="20"/>
                <w:color w:val="auto"/>
              </w:rPr>
            </w:pPr>
            <w:r>
              <w:rPr>
                <w:rFonts w:ascii="Arial" w:cs="Arial" w:eastAsia="Arial" w:hAnsi="Arial"/>
                <w:sz w:val="14"/>
                <w:szCs w:val="14"/>
                <w:color w:val="auto"/>
              </w:rPr>
              <w:t>Assets:</w:t>
            </w:r>
          </w:p>
        </w:tc>
        <w:tc>
          <w:tcPr>
            <w:tcW w:w="2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Arial" w:cs="Arial" w:eastAsia="Arial" w:hAnsi="Arial"/>
                <w:sz w:val="19"/>
                <w:szCs w:val="19"/>
                <w:color w:val="auto"/>
              </w:rPr>
              <w:t>/td&gt;</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240"/>
              <w:spacing w:after="0"/>
              <w:rPr>
                <w:sz w:val="20"/>
                <w:szCs w:val="20"/>
                <w:color w:val="auto"/>
              </w:rPr>
            </w:pPr>
            <w:r>
              <w:rPr>
                <w:rFonts w:ascii="Arial" w:cs="Arial" w:eastAsia="Arial" w:hAnsi="Arial"/>
                <w:sz w:val="14"/>
                <w:szCs w:val="14"/>
                <w:color w:val="auto"/>
              </w:rPr>
              <w:t>Nuclear</w:t>
            </w: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60" w:type="dxa"/>
            <w:vAlign w:val="bottom"/>
          </w:tcPr>
          <w:p>
            <w:pPr>
              <w:ind w:left="80"/>
              <w:spacing w:after="0"/>
              <w:rPr>
                <w:sz w:val="20"/>
                <w:szCs w:val="20"/>
                <w:color w:val="auto"/>
              </w:rPr>
            </w:pPr>
            <w:r>
              <w:rPr>
                <w:rFonts w:ascii="Arial" w:cs="Arial" w:eastAsia="Arial" w:hAnsi="Arial"/>
                <w:sz w:val="14"/>
                <w:szCs w:val="14"/>
                <w:color w:val="auto"/>
              </w:rPr>
              <w:t>decommissioning trusts(1)</w:t>
            </w: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960" w:type="dxa"/>
            <w:vAlign w:val="bottom"/>
          </w:tcPr>
          <w:p>
            <w:pPr>
              <w:ind w:left="480"/>
              <w:spacing w:after="0"/>
              <w:rPr>
                <w:sz w:val="20"/>
                <w:szCs w:val="20"/>
                <w:color w:val="auto"/>
              </w:rPr>
            </w:pPr>
            <w:r>
              <w:rPr>
                <w:rFonts w:ascii="Arial" w:cs="Arial" w:eastAsia="Arial" w:hAnsi="Arial"/>
                <w:sz w:val="14"/>
                <w:szCs w:val="14"/>
                <w:color w:val="auto"/>
              </w:rPr>
              <w:t>Equity securities</w:t>
            </w:r>
          </w:p>
        </w:tc>
        <w:tc>
          <w:tcPr>
            <w:tcW w:w="2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&amp;n</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480"/>
              <w:spacing w:after="0"/>
              <w:rPr>
                <w:sz w:val="20"/>
                <w:szCs w:val="20"/>
                <w:color w:val="auto"/>
              </w:rPr>
            </w:pPr>
            <w:r>
              <w:rPr>
                <w:rFonts w:ascii="Arial" w:cs="Arial" w:eastAsia="Arial" w:hAnsi="Arial"/>
                <w:sz w:val="14"/>
                <w:szCs w:val="14"/>
                <w:color w:val="auto"/>
              </w:rPr>
              <w:t>Debt securities:</w:t>
            </w:r>
          </w:p>
        </w:tc>
        <w:tc>
          <w:tcPr>
            <w:tcW w:w="29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bsp;</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640"/>
              <w:spacing w:after="0"/>
              <w:rPr>
                <w:sz w:val="20"/>
                <w:szCs w:val="20"/>
                <w:color w:val="auto"/>
              </w:rPr>
            </w:pPr>
            <w:r>
              <w:rPr>
                <w:rFonts w:ascii="Arial" w:cs="Arial" w:eastAsia="Arial" w:hAnsi="Arial"/>
                <w:sz w:val="14"/>
                <w:szCs w:val="14"/>
                <w:color w:val="auto"/>
              </w:rPr>
              <w:t>Debt securities</w:t>
            </w: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80"/>
              <w:spacing w:after="0"/>
              <w:rPr>
                <w:sz w:val="20"/>
                <w:szCs w:val="20"/>
                <w:color w:val="auto"/>
              </w:rPr>
            </w:pPr>
            <w:r>
              <w:rPr>
                <w:rFonts w:ascii="Arial" w:cs="Arial" w:eastAsia="Arial" w:hAnsi="Arial"/>
                <w:sz w:val="14"/>
                <w:szCs w:val="14"/>
                <w:color w:val="auto"/>
              </w:rPr>
              <w:t>issued by the U.S. Treasury</w:t>
            </w: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60" w:type="dxa"/>
            <w:vAlign w:val="bottom"/>
          </w:tcPr>
          <w:p>
            <w:pPr>
              <w:ind w:left="80"/>
              <w:spacing w:after="0" w:line="158" w:lineRule="exact"/>
              <w:rPr>
                <w:sz w:val="20"/>
                <w:szCs w:val="20"/>
                <w:color w:val="auto"/>
              </w:rPr>
            </w:pPr>
            <w:r>
              <w:rPr>
                <w:rFonts w:ascii="Arial" w:cs="Arial" w:eastAsia="Arial" w:hAnsi="Arial"/>
                <w:sz w:val="14"/>
                <w:szCs w:val="14"/>
                <w:color w:val="auto"/>
              </w:rPr>
              <w:t>and other</w:t>
            </w:r>
          </w:p>
        </w:tc>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780"/>
              <w:spacing w:after="0"/>
              <w:rPr>
                <w:sz w:val="20"/>
                <w:szCs w:val="20"/>
                <w:color w:val="auto"/>
              </w:rPr>
            </w:pPr>
            <w:r>
              <w:rPr>
                <w:rFonts w:ascii="Arial" w:cs="Arial" w:eastAsia="Arial" w:hAnsi="Arial"/>
                <w:sz w:val="14"/>
                <w:szCs w:val="14"/>
                <w:color w:val="auto"/>
              </w:rPr>
              <w:t>U.S. government</w:t>
            </w:r>
          </w:p>
        </w:tc>
        <w:tc>
          <w:tcPr>
            <w:tcW w:w="2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60" w:type="dxa"/>
            <w:vAlign w:val="bottom"/>
          </w:tcPr>
          <w:p>
            <w:pPr>
              <w:ind w:left="80"/>
              <w:spacing w:after="0"/>
              <w:rPr>
                <w:sz w:val="20"/>
                <w:szCs w:val="20"/>
                <w:color w:val="auto"/>
              </w:rPr>
            </w:pPr>
            <w:r>
              <w:rPr>
                <w:rFonts w:ascii="Arial" w:cs="Arial" w:eastAsia="Arial" w:hAnsi="Arial"/>
                <w:sz w:val="14"/>
                <w:szCs w:val="14"/>
                <w:color w:val="auto"/>
              </w:rPr>
              <w:t>corporations and agencies</w:t>
            </w:r>
          </w:p>
        </w:tc>
        <w:tc>
          <w:tcPr>
            <w:tcW w:w="2960" w:type="dxa"/>
            <w:vAlign w:val="bottom"/>
          </w:tcPr>
          <w:p>
            <w:pPr>
              <w:spacing w:after="0"/>
              <w:rPr>
                <w:sz w:val="16"/>
                <w:szCs w:val="16"/>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132</w:t>
            </w:r>
          </w:p>
        </w:tc>
        <w:tc>
          <w:tcPr>
            <w:tcW w:w="280" w:type="dxa"/>
            <w:vAlign w:val="bottom"/>
          </w:tcPr>
          <w:p>
            <w:pPr>
              <w:spacing w:after="0"/>
              <w:rPr>
                <w:sz w:val="16"/>
                <w:szCs w:val="16"/>
                <w:color w:val="auto"/>
              </w:rPr>
            </w:pPr>
          </w:p>
        </w:tc>
        <w:tc>
          <w:tcPr>
            <w:tcW w:w="540" w:type="dxa"/>
            <w:vAlign w:val="bottom"/>
          </w:tcPr>
          <w:p>
            <w:pPr>
              <w:jc w:val="right"/>
              <w:ind w:right="86"/>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6"/>
                <w:szCs w:val="16"/>
                <w:color w:val="auto"/>
              </w:rPr>
            </w:pPr>
          </w:p>
        </w:tc>
        <w:tc>
          <w:tcPr>
            <w:tcW w:w="5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540" w:type="dxa"/>
            <w:vAlign w:val="bottom"/>
          </w:tcPr>
          <w:p>
            <w:pPr>
              <w:jc w:val="right"/>
              <w:ind w:right="47"/>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67"/>
        </w:trPr>
        <w:tc>
          <w:tcPr>
            <w:tcW w:w="1960" w:type="dxa"/>
            <w:vAlign w:val="bottom"/>
          </w:tcPr>
          <w:p>
            <w:pPr>
              <w:ind w:left="640"/>
              <w:spacing w:after="0"/>
              <w:rPr>
                <w:sz w:val="20"/>
                <w:szCs w:val="20"/>
                <w:color w:val="auto"/>
              </w:rPr>
            </w:pPr>
            <w:r>
              <w:rPr>
                <w:rFonts w:ascii="Arial" w:cs="Arial" w:eastAsia="Arial" w:hAnsi="Arial"/>
                <w:sz w:val="14"/>
                <w:szCs w:val="14"/>
                <w:color w:val="auto"/>
              </w:rPr>
              <w:t>Municipal bonds</w:t>
            </w:r>
          </w:p>
        </w:tc>
        <w:tc>
          <w:tcPr>
            <w:tcW w:w="296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4"/>
                <w:szCs w:val="14"/>
                <w:color w:val="auto"/>
              </w:rPr>
              <w:t>89</w:t>
            </w:r>
          </w:p>
        </w:tc>
        <w:tc>
          <w:tcPr>
            <w:tcW w:w="24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540" w:type="dxa"/>
            <w:vAlign w:val="bottom"/>
          </w:tcPr>
          <w:p>
            <w:pPr>
              <w:jc w:val="right"/>
              <w:ind w:right="47"/>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ind w:right="7"/>
              <w:spacing w:after="0" w:line="216" w:lineRule="exact"/>
              <w:rPr>
                <w:sz w:val="20"/>
                <w:szCs w:val="20"/>
                <w:color w:val="auto"/>
              </w:rPr>
            </w:pPr>
            <w:r>
              <w:rPr>
                <w:rFonts w:ascii="Arial" w:cs="Arial" w:eastAsia="Arial" w:hAnsi="Arial"/>
                <w:sz w:val="14"/>
                <w:szCs w:val="14"/>
                <w:color w:val="auto"/>
              </w:rPr>
              <w:t xml:space="preserve">26 </w:t>
            </w:r>
            <w:r>
              <w:rPr>
                <w:rFonts w:ascii="Arial" w:cs="Arial" w:eastAsia="Arial" w:hAnsi="Arial"/>
                <w:sz w:val="19"/>
                <w:szCs w:val="19"/>
                <w:color w:val="auto"/>
              </w:rPr>
              <w:t>&lt;</w:t>
            </w:r>
          </w:p>
        </w:tc>
        <w:tc>
          <w:tcPr>
            <w:tcW w:w="0" w:type="dxa"/>
            <w:vAlign w:val="bottom"/>
          </w:tcPr>
          <w:p>
            <w:pPr>
              <w:spacing w:after="0"/>
              <w:rPr>
                <w:sz w:val="1"/>
                <w:szCs w:val="1"/>
                <w:color w:val="auto"/>
              </w:rPr>
            </w:pPr>
          </w:p>
        </w:tc>
      </w:tr>
      <w:tr>
        <w:trPr>
          <w:trHeight w:val="235"/>
        </w:trPr>
        <w:tc>
          <w:tcPr>
            <w:tcW w:w="1960" w:type="dxa"/>
            <w:vAlign w:val="bottom"/>
          </w:tcPr>
          <w:p>
            <w:pPr>
              <w:ind w:left="640"/>
              <w:spacing w:after="0"/>
              <w:rPr>
                <w:sz w:val="20"/>
                <w:szCs w:val="20"/>
                <w:color w:val="auto"/>
              </w:rPr>
            </w:pPr>
            <w:r>
              <w:rPr>
                <w:rFonts w:ascii="Arial" w:cs="Arial" w:eastAsia="Arial" w:hAnsi="Arial"/>
                <w:sz w:val="14"/>
                <w:szCs w:val="14"/>
                <w:color w:val="auto"/>
              </w:rPr>
              <w:t>Other securities</w:t>
            </w:r>
          </w:p>
        </w:tc>
        <w:tc>
          <w:tcPr>
            <w:tcW w:w="2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26</w:t>
            </w: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/p&gt;</w:t>
            </w:r>
          </w:p>
        </w:tc>
        <w:tc>
          <w:tcPr>
            <w:tcW w:w="0" w:type="dxa"/>
            <w:vAlign w:val="bottom"/>
          </w:tcPr>
          <w:p>
            <w:pPr>
              <w:spacing w:after="0"/>
              <w:rPr>
                <w:sz w:val="1"/>
                <w:szCs w:val="1"/>
                <w:color w:val="auto"/>
              </w:rPr>
            </w:pPr>
          </w:p>
        </w:tc>
      </w:tr>
      <w:tr>
        <w:trPr>
          <w:trHeight w:val="172"/>
        </w:trPr>
        <w:tc>
          <w:tcPr>
            <w:tcW w:w="1960" w:type="dxa"/>
            <w:vAlign w:val="bottom"/>
          </w:tcPr>
          <w:p>
            <w:pPr>
              <w:ind w:left="480"/>
              <w:spacing w:after="0"/>
              <w:rPr>
                <w:sz w:val="20"/>
                <w:szCs w:val="20"/>
                <w:color w:val="auto"/>
              </w:rPr>
            </w:pPr>
            <w:r>
              <w:rPr>
                <w:rFonts w:ascii="Arial" w:cs="Arial" w:eastAsia="Arial" w:hAnsi="Arial"/>
                <w:sz w:val="14"/>
                <w:szCs w:val="14"/>
                <w:color w:val="auto"/>
              </w:rPr>
              <w:t>Total debt securities</w:t>
            </w:r>
          </w:p>
        </w:tc>
        <w:tc>
          <w:tcPr>
            <w:tcW w:w="2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132</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148</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50"/>
        </w:trPr>
        <w:tc>
          <w:tcPr>
            <w:tcW w:w="1960" w:type="dxa"/>
            <w:vAlign w:val="bottom"/>
          </w:tcPr>
          <w:p>
            <w:pPr>
              <w:ind w:left="240"/>
              <w:spacing w:after="0" w:line="150" w:lineRule="exact"/>
              <w:rPr>
                <w:sz w:val="20"/>
                <w:szCs w:val="20"/>
                <w:color w:val="auto"/>
              </w:rPr>
            </w:pPr>
            <w:r>
              <w:rPr>
                <w:rFonts w:ascii="Arial" w:cs="Arial" w:eastAsia="Arial" w:hAnsi="Arial"/>
                <w:sz w:val="14"/>
                <w:szCs w:val="14"/>
                <w:color w:val="auto"/>
              </w:rPr>
              <w:t>Total nuclear</w:t>
            </w:r>
          </w:p>
        </w:tc>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Arial" w:cs="Arial" w:eastAsia="Arial" w:hAnsi="Arial"/>
                <w:sz w:val="14"/>
                <w:szCs w:val="14"/>
                <w:color w:val="auto"/>
              </w:rPr>
              <w:t>decommissioning trusts(1)</w:t>
            </w:r>
          </w:p>
        </w:tc>
        <w:tc>
          <w:tcPr>
            <w:tcW w:w="2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571</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148</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50"/>
        </w:trPr>
        <w:tc>
          <w:tcPr>
            <w:tcW w:w="1960" w:type="dxa"/>
            <w:vAlign w:val="bottom"/>
          </w:tcPr>
          <w:p>
            <w:pPr>
              <w:ind w:left="240"/>
              <w:spacing w:after="0" w:line="150" w:lineRule="exact"/>
              <w:rPr>
                <w:sz w:val="20"/>
                <w:szCs w:val="20"/>
                <w:color w:val="auto"/>
              </w:rPr>
            </w:pPr>
            <w:r>
              <w:rPr>
                <w:rFonts w:ascii="Arial" w:cs="Arial" w:eastAsia="Arial" w:hAnsi="Arial"/>
                <w:sz w:val="14"/>
                <w:szCs w:val="14"/>
                <w:color w:val="auto"/>
              </w:rPr>
              <w:t>Commodity contracts</w:t>
            </w:r>
          </w:p>
        </w:tc>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80"/>
              <w:spacing w:after="0"/>
              <w:rPr>
                <w:sz w:val="20"/>
                <w:szCs w:val="20"/>
                <w:color w:val="auto"/>
              </w:rPr>
            </w:pPr>
            <w:r>
              <w:rPr>
                <w:rFonts w:ascii="Arial" w:cs="Arial" w:eastAsia="Arial" w:hAnsi="Arial"/>
                <w:sz w:val="14"/>
                <w:szCs w:val="14"/>
                <w:color w:val="auto"/>
              </w:rPr>
              <w:t>subject to rate recovery</w:t>
            </w:r>
          </w:p>
        </w:tc>
        <w:tc>
          <w:tcPr>
            <w:tcW w:w="296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8"/>
        </w:trPr>
        <w:tc>
          <w:tcPr>
            <w:tcW w:w="1960" w:type="dxa"/>
            <w:vAlign w:val="bottom"/>
          </w:tcPr>
          <w:p>
            <w:pPr>
              <w:ind w:left="240"/>
              <w:spacing w:after="0"/>
              <w:rPr>
                <w:sz w:val="20"/>
                <w:szCs w:val="20"/>
                <w:color w:val="auto"/>
              </w:rPr>
            </w:pPr>
            <w:r>
              <w:rPr>
                <w:rFonts w:ascii="Arial" w:cs="Arial" w:eastAsia="Arial" w:hAnsi="Arial"/>
                <w:sz w:val="14"/>
                <w:szCs w:val="14"/>
                <w:color w:val="auto"/>
              </w:rPr>
              <w:t>Commodity contracts not</w:t>
            </w: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Arial" w:cs="Arial" w:eastAsia="Arial" w:hAnsi="Arial"/>
                <w:sz w:val="14"/>
                <w:szCs w:val="14"/>
                <w:color w:val="auto"/>
              </w:rPr>
              <w:t>subject to rate recovery</w:t>
            </w:r>
          </w:p>
        </w:tc>
        <w:tc>
          <w:tcPr>
            <w:tcW w:w="2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4"/>
        </w:trPr>
        <w:tc>
          <w:tcPr>
            <w:tcW w:w="1960" w:type="dxa"/>
            <w:vAlign w:val="bottom"/>
          </w:tcPr>
          <w:p>
            <w:pPr>
              <w:ind w:left="80"/>
              <w:spacing w:after="0"/>
              <w:rPr>
                <w:sz w:val="20"/>
                <w:szCs w:val="20"/>
                <w:color w:val="auto"/>
              </w:rPr>
            </w:pPr>
            <w:r>
              <w:rPr>
                <w:rFonts w:ascii="Arial" w:cs="Arial" w:eastAsia="Arial" w:hAnsi="Arial"/>
                <w:sz w:val="14"/>
                <w:szCs w:val="14"/>
                <w:color w:val="auto"/>
              </w:rPr>
              <w:t>Total</w:t>
            </w:r>
          </w:p>
        </w:tc>
        <w:tc>
          <w:tcPr>
            <w:tcW w:w="29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592</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67"/>
              <w:spacing w:after="0" w:line="208" w:lineRule="exact"/>
              <w:rPr>
                <w:sz w:val="20"/>
                <w:szCs w:val="20"/>
                <w:color w:val="auto"/>
              </w:rPr>
            </w:pPr>
            <w:r>
              <w:rPr>
                <w:rFonts w:ascii="Arial" w:cs="Arial" w:eastAsia="Arial" w:hAnsi="Arial"/>
                <w:sz w:val="19"/>
                <w:szCs w:val="19"/>
                <w:color w:val="auto"/>
              </w:rPr>
              <w:t>12</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338"/>
        </w:trPr>
        <w:tc>
          <w:tcPr>
            <w:tcW w:w="19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&lt;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960" w:type="dxa"/>
            <w:vAlign w:val="bottom"/>
          </w:tcPr>
          <w:p>
            <w:pPr>
              <w:ind w:left="80"/>
              <w:spacing w:after="0"/>
              <w:rPr>
                <w:sz w:val="20"/>
                <w:szCs w:val="20"/>
                <w:color w:val="auto"/>
              </w:rPr>
            </w:pPr>
            <w:r>
              <w:rPr>
                <w:rFonts w:ascii="Arial" w:cs="Arial" w:eastAsia="Arial" w:hAnsi="Arial"/>
                <w:sz w:val="14"/>
                <w:szCs w:val="14"/>
                <w:color w:val="auto"/>
              </w:rPr>
              <w:t>Liabilities:</w:t>
            </w: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/font&gt;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40"/>
              <w:spacing w:after="0"/>
              <w:rPr>
                <w:sz w:val="20"/>
                <w:szCs w:val="20"/>
                <w:color w:val="auto"/>
              </w:rPr>
            </w:pPr>
            <w:r>
              <w:rPr>
                <w:rFonts w:ascii="Arial" w:cs="Arial" w:eastAsia="Arial" w:hAnsi="Arial"/>
                <w:sz w:val="14"/>
                <w:szCs w:val="14"/>
                <w:color w:val="auto"/>
              </w:rPr>
              <w:t>Interest rate instruments</w:t>
            </w:r>
          </w:p>
        </w:tc>
        <w:tc>
          <w:tcPr>
            <w:tcW w:w="29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6"/>
              <w:spacing w:after="0"/>
              <w:rPr>
                <w:sz w:val="20"/>
                <w:szCs w:val="20"/>
                <w:color w:val="auto"/>
              </w:rPr>
            </w:pPr>
            <w:r>
              <w:rPr>
                <w:rFonts w:ascii="Arial" w:cs="Arial" w:eastAsia="Arial" w:hAnsi="Arial"/>
                <w:sz w:val="14"/>
                <w:szCs w:val="14"/>
                <w:color w:val="auto"/>
              </w:rPr>
              <w:t>79</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68"/>
        </w:trPr>
        <w:tc>
          <w:tcPr>
            <w:tcW w:w="1960" w:type="dxa"/>
            <w:vAlign w:val="bottom"/>
          </w:tcPr>
          <w:p>
            <w:pPr>
              <w:ind w:left="240"/>
              <w:spacing w:after="0"/>
              <w:rPr>
                <w:sz w:val="20"/>
                <w:szCs w:val="20"/>
                <w:color w:val="auto"/>
              </w:rPr>
            </w:pPr>
            <w:r>
              <w:rPr>
                <w:rFonts w:ascii="Arial" w:cs="Arial" w:eastAsia="Arial" w:hAnsi="Arial"/>
                <w:sz w:val="14"/>
                <w:szCs w:val="14"/>
                <w:color w:val="auto"/>
              </w:rPr>
              <w:t>Commodity contracts</w:t>
            </w: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Arial" w:cs="Arial" w:eastAsia="Arial" w:hAnsi="Arial"/>
                <w:sz w:val="14"/>
                <w:szCs w:val="14"/>
                <w:color w:val="auto"/>
              </w:rPr>
              <w:t>subject to rate recovery</w:t>
            </w:r>
          </w:p>
        </w:tc>
        <w:tc>
          <w:tcPr>
            <w:tcW w:w="2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78</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(78)</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19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w:t>
            </w:r>
          </w:p>
        </w:tc>
        <w:tc>
          <w:tcPr>
            <w:tcW w:w="29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78</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(78)</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At fair value 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-5080</wp:posOffset>
            </wp:positionV>
            <wp:extent cx="451104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11040" cy="7620"/>
                    </a:xfrm>
                    <a:prstGeom prst="rect">
                      <a:avLst/>
                    </a:prstGeom>
                    <a:noFill/>
                  </pic:spPr>
                </pic:pic>
              </a:graphicData>
            </a:graphic>
          </wp:anchor>
        </w:drawing>
      </w:r>
    </w:p>
    <w:p>
      <w:pPr>
        <w:sectPr>
          <w:pgSz w:w="11900" w:h="16838" w:orient="portrait"/>
          <w:cols w:equalWidth="0" w:num="1">
            <w:col w:w="10219"/>
          </w:cols>
          <w:pgMar w:left="240" w:top="141" w:right="1440" w:bottom="0" w:gutter="0" w:footer="0" w:header="0"/>
        </w:sectPr>
      </w:pPr>
    </w:p>
    <w:p>
      <w:pPr>
        <w:jc w:val="right"/>
        <w:spacing w:after="0"/>
        <w:rPr>
          <w:sz w:val="20"/>
          <w:szCs w:val="20"/>
          <w:color w:val="auto"/>
        </w:rPr>
      </w:pPr>
      <w:r>
        <w:rPr>
          <w:rFonts w:ascii="Arial" w:cs="Arial" w:eastAsia="Arial" w:hAnsi="Arial"/>
          <w:sz w:val="18"/>
          <w:szCs w:val="18"/>
          <w:color w:val="auto"/>
        </w:rPr>
        <w:t>&lt; font style="FONT-SIZE:9pt;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COLOR:black; FONT-</w:t>
      </w:r>
    </w:p>
    <w:p>
      <w:pPr>
        <w:jc w:val="right"/>
        <w:spacing w:after="0"/>
        <w:rPr>
          <w:sz w:val="20"/>
          <w:szCs w:val="20"/>
          <w:color w:val="auto"/>
        </w:rPr>
      </w:pPr>
      <w:r>
        <w:rPr>
          <w:rFonts w:ascii="Arial" w:cs="Arial" w:eastAsia="Arial" w:hAnsi="Arial"/>
          <w:sz w:val="19"/>
          <w:szCs w:val="19"/>
          <w:color w:val="auto"/>
        </w:rPr>
        <w:t>FAMILY:'Arial','sans-serif'"&gt;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540" w:type="dxa"/>
            <w:vAlign w:val="bottom"/>
            <w:vMerge w:val="restart"/>
          </w:tcPr>
          <w:p>
            <w:pPr>
              <w:jc w:val="center"/>
              <w:ind w:right="176"/>
              <w:spacing w:after="0"/>
              <w:rPr>
                <w:sz w:val="20"/>
                <w:szCs w:val="20"/>
                <w:color w:val="auto"/>
              </w:rPr>
            </w:pPr>
            <w:r>
              <w:rPr>
                <w:rFonts w:ascii="Arial" w:cs="Arial" w:eastAsia="Arial" w:hAnsi="Arial"/>
                <w:sz w:val="13"/>
                <w:szCs w:val="13"/>
                <w:color w:val="auto"/>
                <w:w w:val="96"/>
              </w:rPr>
              <w:t>Level</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6"/>
              </w:rPr>
              <w:t>Level</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6"/>
              </w:rPr>
              <w:t>Level</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w w:val="98"/>
              </w:rPr>
              <w:t>Collateral</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540" w:type="dxa"/>
            <w:vAlign w:val="bottom"/>
          </w:tcPr>
          <w:p>
            <w:pPr>
              <w:jc w:val="right"/>
              <w:ind w:right="296"/>
              <w:spacing w:after="0"/>
              <w:rPr>
                <w:sz w:val="20"/>
                <w:szCs w:val="20"/>
                <w:color w:val="auto"/>
              </w:rPr>
            </w:pPr>
            <w:r>
              <w:rPr>
                <w:rFonts w:ascii="Arial" w:cs="Arial" w:eastAsia="Arial" w:hAnsi="Arial"/>
                <w:sz w:val="13"/>
                <w:szCs w:val="13"/>
                <w:color w:val="auto"/>
              </w:rPr>
              <w:t>1</w:t>
            </w:r>
          </w:p>
        </w:tc>
        <w:tc>
          <w:tcPr>
            <w:tcW w:w="780" w:type="dxa"/>
            <w:vAlign w:val="bottom"/>
          </w:tcPr>
          <w:p>
            <w:pPr>
              <w:jc w:val="right"/>
              <w:ind w:right="296"/>
              <w:spacing w:after="0"/>
              <w:rPr>
                <w:sz w:val="20"/>
                <w:szCs w:val="20"/>
                <w:color w:val="auto"/>
              </w:rPr>
            </w:pPr>
            <w:r>
              <w:rPr>
                <w:rFonts w:ascii="Arial" w:cs="Arial" w:eastAsia="Arial" w:hAnsi="Arial"/>
                <w:sz w:val="13"/>
                <w:szCs w:val="13"/>
                <w:color w:val="auto"/>
              </w:rPr>
              <w:t>2</w:t>
            </w:r>
          </w:p>
        </w:tc>
        <w:tc>
          <w:tcPr>
            <w:tcW w:w="780" w:type="dxa"/>
            <w:vAlign w:val="bottom"/>
          </w:tcPr>
          <w:p>
            <w:pPr>
              <w:jc w:val="right"/>
              <w:ind w:right="296"/>
              <w:spacing w:after="0"/>
              <w:rPr>
                <w:sz w:val="20"/>
                <w:szCs w:val="20"/>
                <w:color w:val="auto"/>
              </w:rPr>
            </w:pPr>
            <w:r>
              <w:rPr>
                <w:rFonts w:ascii="Arial" w:cs="Arial" w:eastAsia="Arial" w:hAnsi="Arial"/>
                <w:sz w:val="13"/>
                <w:szCs w:val="13"/>
                <w:color w:val="auto"/>
              </w:rPr>
              <w:t>3</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w w:val="93"/>
              </w:rPr>
              <w:t>netted</w:t>
            </w:r>
          </w:p>
        </w:tc>
        <w:tc>
          <w:tcPr>
            <w:tcW w:w="660" w:type="dxa"/>
            <w:vAlign w:val="bottom"/>
          </w:tcPr>
          <w:p>
            <w:pPr>
              <w:ind w:left="380"/>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-8255</wp:posOffset>
            </wp:positionV>
            <wp:extent cx="451104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11040" cy="7620"/>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4820" w:space="200"/>
            <w:col w:w="5199"/>
          </w:cols>
          <w:pgMar w:left="240" w:top="141" w:right="1440" w:bottom="0" w:gutter="0" w:footer="0" w:header="0"/>
          <w:type w:val="continuous"/>
        </w:sectPr>
      </w:pPr>
    </w:p>
    <w:p>
      <w:pPr>
        <w:ind w:left="80"/>
        <w:spacing w:after="0"/>
        <w:rPr>
          <w:sz w:val="20"/>
          <w:szCs w:val="20"/>
          <w:color w:val="auto"/>
        </w:rPr>
      </w:pPr>
      <w:r>
        <w:rPr>
          <w:rFonts w:ascii="Arial" w:cs="Arial" w:eastAsia="Arial" w:hAnsi="Arial"/>
          <w:sz w:val="14"/>
          <w:szCs w:val="14"/>
          <w:color w:val="auto"/>
        </w:rPr>
        <w:t>Assets:</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Nuclear</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880" w:type="dxa"/>
            <w:vAlign w:val="bottom"/>
          </w:tcPr>
          <w:p>
            <w:pPr>
              <w:spacing w:after="0"/>
              <w:rPr>
                <w:sz w:val="20"/>
                <w:szCs w:val="20"/>
                <w:color w:val="auto"/>
              </w:rPr>
            </w:pPr>
            <w:r>
              <w:rPr>
                <w:rFonts w:ascii="Arial" w:cs="Arial" w:eastAsia="Arial" w:hAnsi="Arial"/>
                <w:sz w:val="14"/>
                <w:szCs w:val="14"/>
                <w:color w:val="auto"/>
              </w:rPr>
              <w:t>decommissioning trusts(1)</w:t>
            </w: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400"/>
              <w:spacing w:after="0"/>
              <w:rPr>
                <w:sz w:val="20"/>
                <w:szCs w:val="20"/>
                <w:color w:val="auto"/>
              </w:rPr>
            </w:pPr>
            <w:r>
              <w:rPr>
                <w:rFonts w:ascii="Arial" w:cs="Arial" w:eastAsia="Arial" w:hAnsi="Arial"/>
                <w:sz w:val="14"/>
                <w:szCs w:val="14"/>
                <w:color w:val="auto"/>
              </w:rPr>
              <w:t>Equity securities</w:t>
            </w:r>
          </w:p>
        </w:tc>
        <w:tc>
          <w:tcPr>
            <w:tcW w:w="2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74"/>
        </w:trPr>
        <w:tc>
          <w:tcPr>
            <w:tcW w:w="18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2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880" w:type="dxa"/>
            <w:vAlign w:val="bottom"/>
          </w:tcPr>
          <w:p>
            <w:pPr>
              <w:ind w:left="560"/>
              <w:spacing w:after="0"/>
              <w:rPr>
                <w:sz w:val="20"/>
                <w:szCs w:val="20"/>
                <w:color w:val="auto"/>
              </w:rPr>
            </w:pPr>
            <w:r>
              <w:rPr>
                <w:rFonts w:ascii="Arial" w:cs="Arial" w:eastAsia="Arial" w:hAnsi="Arial"/>
                <w:sz w:val="14"/>
                <w:szCs w:val="14"/>
                <w:color w:val="auto"/>
              </w:rPr>
              <w:t>Debt securities</w:t>
            </w: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80" w:type="dxa"/>
            <w:vAlign w:val="bottom"/>
          </w:tcPr>
          <w:p>
            <w:pPr>
              <w:spacing w:after="0"/>
              <w:rPr>
                <w:sz w:val="20"/>
                <w:szCs w:val="20"/>
                <w:color w:val="auto"/>
              </w:rPr>
            </w:pPr>
            <w:r>
              <w:rPr>
                <w:rFonts w:ascii="Arial" w:cs="Arial" w:eastAsia="Arial" w:hAnsi="Arial"/>
                <w:sz w:val="14"/>
                <w:szCs w:val="14"/>
                <w:color w:val="auto"/>
              </w:rPr>
              <w:t>issued by the U.S. Treasury</w:t>
            </w: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80" w:type="dxa"/>
            <w:vAlign w:val="bottom"/>
          </w:tcPr>
          <w:p>
            <w:pPr>
              <w:spacing w:after="0"/>
              <w:rPr>
                <w:sz w:val="20"/>
                <w:szCs w:val="20"/>
                <w:color w:val="auto"/>
              </w:rPr>
            </w:pPr>
            <w:r>
              <w:rPr>
                <w:rFonts w:ascii="Arial" w:cs="Arial" w:eastAsia="Arial" w:hAnsi="Arial"/>
                <w:sz w:val="14"/>
                <w:szCs w:val="14"/>
                <w:color w:val="auto"/>
              </w:rPr>
              <w:t>and other</w:t>
            </w: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80" w:type="dxa"/>
            <w:vAlign w:val="bottom"/>
          </w:tcPr>
          <w:p>
            <w:pPr>
              <w:ind w:left="760"/>
              <w:spacing w:after="0"/>
              <w:rPr>
                <w:sz w:val="20"/>
                <w:szCs w:val="20"/>
                <w:color w:val="auto"/>
              </w:rPr>
            </w:pPr>
            <w:r>
              <w:rPr>
                <w:rFonts w:ascii="Arial" w:cs="Arial" w:eastAsia="Arial" w:hAnsi="Arial"/>
                <w:sz w:val="14"/>
                <w:szCs w:val="14"/>
                <w:color w:val="auto"/>
              </w:rPr>
              <w:t>U.S.</w:t>
            </w: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80" w:type="dxa"/>
            <w:vAlign w:val="bottom"/>
          </w:tcPr>
          <w:p>
            <w:pPr>
              <w:spacing w:after="0"/>
              <w:rPr>
                <w:sz w:val="20"/>
                <w:szCs w:val="20"/>
                <w:color w:val="auto"/>
              </w:rPr>
            </w:pPr>
            <w:r>
              <w:rPr>
                <w:rFonts w:ascii="Arial" w:cs="Arial" w:eastAsia="Arial" w:hAnsi="Arial"/>
                <w:sz w:val="14"/>
                <w:szCs w:val="14"/>
                <w:color w:val="auto"/>
              </w:rPr>
              <w:t>government corporations</w:t>
            </w: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Arial" w:cs="Arial" w:eastAsia="Arial" w:hAnsi="Arial"/>
                <w:sz w:val="14"/>
                <w:szCs w:val="14"/>
                <w:color w:val="auto"/>
              </w:rPr>
              <w:t>and agencies</w:t>
            </w:r>
          </w:p>
        </w:tc>
        <w:tc>
          <w:tcPr>
            <w:tcW w:w="296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30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28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680" w:type="dxa"/>
            <w:vAlign w:val="bottom"/>
          </w:tcPr>
          <w:p>
            <w:pPr>
              <w:jc w:val="right"/>
              <w:ind w:right="206"/>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92"/>
        </w:trPr>
        <w:tc>
          <w:tcPr>
            <w:tcW w:w="18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296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28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680" w:type="dxa"/>
            <w:vAlign w:val="bottom"/>
          </w:tcPr>
          <w:p>
            <w:pPr>
              <w:jc w:val="right"/>
              <w:ind w:right="206"/>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6"/>
        </w:trPr>
        <w:tc>
          <w:tcPr>
            <w:tcW w:w="188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2960" w:type="dxa"/>
            <w:vAlign w:val="bottom"/>
          </w:tcPr>
          <w:p>
            <w:pPr>
              <w:spacing w:after="0"/>
              <w:rPr>
                <w:sz w:val="16"/>
                <w:szCs w:val="16"/>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8"/>
        </w:trPr>
        <w:tc>
          <w:tcPr>
            <w:tcW w:w="188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2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w:t>
            </w:r>
          </w:p>
        </w:tc>
        <w:tc>
          <w:tcPr>
            <w:tcW w:w="280" w:type="dxa"/>
            <w:vAlign w:val="bottom"/>
            <w:tcBorders>
              <w:bottom w:val="single" w:sz="8" w:color="auto"/>
            </w:tcBorders>
          </w:tcPr>
          <w:p>
            <w:pPr>
              <w:spacing w:after="0"/>
              <w:rPr>
                <w:sz w:val="18"/>
                <w:szCs w:val="18"/>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50"/>
        </w:trPr>
        <w:tc>
          <w:tcPr>
            <w:tcW w:w="1880" w:type="dxa"/>
            <w:vAlign w:val="bottom"/>
          </w:tcPr>
          <w:p>
            <w:pPr>
              <w:ind w:left="160"/>
              <w:spacing w:after="0" w:line="150" w:lineRule="exact"/>
              <w:rPr>
                <w:sz w:val="20"/>
                <w:szCs w:val="20"/>
                <w:color w:val="auto"/>
              </w:rPr>
            </w:pPr>
            <w:r>
              <w:rPr>
                <w:rFonts w:ascii="Arial" w:cs="Arial" w:eastAsia="Arial" w:hAnsi="Arial"/>
                <w:sz w:val="14"/>
                <w:szCs w:val="14"/>
                <w:color w:val="auto"/>
              </w:rPr>
              <w:t>Total nuclear</w:t>
            </w:r>
          </w:p>
        </w:tc>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vMerge w:val="restart"/>
          </w:tcPr>
          <w:p>
            <w:pPr>
              <w:jc w:val="right"/>
              <w:ind w:right="206"/>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880" w:type="dxa"/>
            <w:vAlign w:val="bottom"/>
          </w:tcPr>
          <w:p>
            <w:pPr>
              <w:spacing w:after="0"/>
              <w:rPr>
                <w:sz w:val="20"/>
                <w:szCs w:val="20"/>
                <w:color w:val="auto"/>
              </w:rPr>
            </w:pPr>
            <w:r>
              <w:rPr>
                <w:rFonts w:ascii="Arial" w:cs="Arial" w:eastAsia="Arial" w:hAnsi="Arial"/>
                <w:sz w:val="14"/>
                <w:szCs w:val="14"/>
                <w:color w:val="auto"/>
              </w:rPr>
              <w:t>decommissioning trusts(1)</w:t>
            </w:r>
          </w:p>
        </w:tc>
        <w:tc>
          <w:tcPr>
            <w:tcW w:w="2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532</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150"/>
        </w:trPr>
        <w:tc>
          <w:tcPr>
            <w:tcW w:w="1880" w:type="dxa"/>
            <w:vAlign w:val="bottom"/>
          </w:tcPr>
          <w:p>
            <w:pPr>
              <w:ind w:left="160"/>
              <w:spacing w:after="0" w:line="150" w:lineRule="exact"/>
              <w:rPr>
                <w:sz w:val="20"/>
                <w:szCs w:val="20"/>
                <w:color w:val="auto"/>
              </w:rPr>
            </w:pPr>
            <w:r>
              <w:rPr>
                <w:rFonts w:ascii="Arial" w:cs="Arial" w:eastAsia="Arial" w:hAnsi="Arial"/>
                <w:sz w:val="14"/>
                <w:szCs w:val="14"/>
                <w:color w:val="auto"/>
              </w:rPr>
              <w:t>Commodity contracts</w:t>
            </w:r>
          </w:p>
        </w:tc>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80" w:type="dxa"/>
            <w:vAlign w:val="bottom"/>
          </w:tcPr>
          <w:p>
            <w:pPr>
              <w:spacing w:after="0"/>
              <w:rPr>
                <w:sz w:val="20"/>
                <w:szCs w:val="20"/>
                <w:color w:val="auto"/>
              </w:rPr>
            </w:pPr>
            <w:r>
              <w:rPr>
                <w:rFonts w:ascii="Arial" w:cs="Arial" w:eastAsia="Arial" w:hAnsi="Arial"/>
                <w:sz w:val="14"/>
                <w:szCs w:val="14"/>
                <w:color w:val="auto"/>
              </w:rPr>
              <w:t>subject to rate recovery</w:t>
            </w:r>
          </w:p>
        </w:tc>
        <w:tc>
          <w:tcPr>
            <w:tcW w:w="296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30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460" w:type="dxa"/>
            <w:vAlign w:val="bottom"/>
          </w:tcPr>
          <w:p>
            <w:pPr>
              <w:spacing w:after="0"/>
              <w:rPr>
                <w:sz w:val="14"/>
                <w:szCs w:val="14"/>
                <w:color w:val="auto"/>
              </w:rPr>
            </w:pPr>
          </w:p>
        </w:tc>
        <w:tc>
          <w:tcPr>
            <w:tcW w:w="680" w:type="dxa"/>
            <w:vAlign w:val="bottom"/>
          </w:tcPr>
          <w:p>
            <w:pPr>
              <w:jc w:val="right"/>
              <w:ind w:right="206"/>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8"/>
        </w:trPr>
        <w:tc>
          <w:tcPr>
            <w:tcW w:w="1880" w:type="dxa"/>
            <w:vAlign w:val="bottom"/>
          </w:tcPr>
          <w:p>
            <w:pPr>
              <w:ind w:left="160"/>
              <w:spacing w:after="0"/>
              <w:rPr>
                <w:sz w:val="20"/>
                <w:szCs w:val="20"/>
                <w:color w:val="auto"/>
              </w:rPr>
            </w:pPr>
            <w:r>
              <w:rPr>
                <w:rFonts w:ascii="Arial" w:cs="Arial" w:eastAsia="Arial" w:hAnsi="Arial"/>
                <w:sz w:val="14"/>
                <w:szCs w:val="14"/>
                <w:color w:val="auto"/>
              </w:rPr>
              <w:t>Commodity contracts not</w:t>
            </w:r>
          </w:p>
        </w:tc>
        <w:tc>
          <w:tcPr>
            <w:tcW w:w="2960" w:type="dxa"/>
            <w:vAlign w:val="bottom"/>
          </w:tcPr>
          <w:p>
            <w:pPr>
              <w:spacing w:after="0"/>
              <w:rPr>
                <w:sz w:val="14"/>
                <w:szCs w:val="14"/>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80" w:type="dxa"/>
            <w:vAlign w:val="bottom"/>
          </w:tcPr>
          <w:p>
            <w:pPr>
              <w:spacing w:after="0"/>
              <w:rPr>
                <w:sz w:val="20"/>
                <w:szCs w:val="20"/>
                <w:color w:val="auto"/>
              </w:rPr>
            </w:pPr>
            <w:r>
              <w:rPr>
                <w:rFonts w:ascii="Arial" w:cs="Arial" w:eastAsia="Arial" w:hAnsi="Arial"/>
                <w:sz w:val="14"/>
                <w:szCs w:val="14"/>
                <w:color w:val="auto"/>
              </w:rPr>
              <w:t>subject to rate recovery</w:t>
            </w:r>
          </w:p>
        </w:tc>
        <w:tc>
          <w:tcPr>
            <w:tcW w:w="2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20"/>
                <w:szCs w:val="20"/>
                <w:color w:val="auto"/>
              </w:rPr>
            </w:pPr>
            <w:r>
              <w:rPr>
                <w:rFonts w:ascii="Arial" w:cs="Arial" w:eastAsia="Arial" w:hAnsi="Arial"/>
                <w:sz w:val="14"/>
                <w:szCs w:val="14"/>
                <w:color w:val="auto"/>
              </w:rPr>
              <w:t>Total</w:t>
            </w:r>
          </w:p>
        </w:tc>
        <w:tc>
          <w:tcPr>
            <w:tcW w:w="2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562</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402"/>
        </w:trPr>
        <w:tc>
          <w:tcPr>
            <w:tcW w:w="1880" w:type="dxa"/>
            <w:vAlign w:val="bottom"/>
          </w:tcPr>
          <w:p>
            <w:pPr>
              <w:spacing w:after="0"/>
              <w:rPr>
                <w:sz w:val="20"/>
                <w:szCs w:val="20"/>
                <w:color w:val="auto"/>
              </w:rPr>
            </w:pPr>
            <w:r>
              <w:rPr>
                <w:rFonts w:ascii="Arial" w:cs="Arial" w:eastAsia="Arial" w:hAnsi="Arial"/>
                <w:sz w:val="14"/>
                <w:szCs w:val="14"/>
                <w:color w:val="auto"/>
              </w:rPr>
              <w:t>Liabilities:</w:t>
            </w:r>
          </w:p>
        </w:tc>
        <w:tc>
          <w:tcPr>
            <w:tcW w:w="2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2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06"/>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2"/>
        </w:trPr>
        <w:tc>
          <w:tcPr>
            <w:tcW w:w="1880" w:type="dxa"/>
            <w:vAlign w:val="bottom"/>
          </w:tcPr>
          <w:p>
            <w:pPr>
              <w:ind w:left="160"/>
              <w:spacing w:after="0"/>
              <w:rPr>
                <w:sz w:val="20"/>
                <w:szCs w:val="20"/>
                <w:color w:val="auto"/>
              </w:rPr>
            </w:pPr>
            <w:r>
              <w:rPr>
                <w:rFonts w:ascii="Arial" w:cs="Arial" w:eastAsia="Arial" w:hAnsi="Arial"/>
                <w:sz w:val="14"/>
                <w:szCs w:val="14"/>
                <w:color w:val="auto"/>
              </w:rPr>
              <w:t>Commodity contracts</w:t>
            </w:r>
          </w:p>
        </w:tc>
        <w:tc>
          <w:tcPr>
            <w:tcW w:w="296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680" w:type="dxa"/>
            <w:vAlign w:val="bottom"/>
          </w:tcPr>
          <w:p>
            <w:pPr>
              <w:jc w:val="right"/>
              <w:ind w:right="166"/>
              <w:spacing w:after="0"/>
              <w:rPr>
                <w:sz w:val="20"/>
                <w:szCs w:val="20"/>
                <w:color w:val="auto"/>
              </w:rPr>
            </w:pPr>
            <w:r>
              <w:rPr>
                <w:rFonts w:ascii="Arial" w:cs="Arial" w:eastAsia="Arial" w:hAnsi="Arial"/>
                <w:sz w:val="14"/>
                <w:szCs w:val="14"/>
                <w:color w:val="auto"/>
              </w:rPr>
              <w:t>(9)</w:t>
            </w:r>
          </w:p>
        </w:tc>
        <w:tc>
          <w:tcPr>
            <w:tcW w:w="44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41" w:right="1440" w:bottom="0" w:gutter="0" w:footer="0" w:header="0"/>
          <w:type w:val="continuous"/>
        </w:sectPr>
      </w:pPr>
    </w:p>
    <w:bookmarkStart w:id="36" w:name="page37"/>
    <w:bookmarkEnd w:id="36"/>
    <w:p>
      <w:pPr>
        <w:ind w:left="80"/>
        <w:spacing w:after="0"/>
        <w:rPr>
          <w:sz w:val="20"/>
          <w:szCs w:val="20"/>
          <w:color w:val="auto"/>
        </w:rPr>
      </w:pPr>
      <w:r>
        <w:rPr>
          <w:rFonts w:ascii="Arial" w:cs="Arial" w:eastAsia="Arial" w:hAnsi="Arial"/>
          <w:sz w:val="14"/>
          <w:szCs w:val="14"/>
          <w:color w:val="auto"/>
        </w:rPr>
        <w:t>subject to rate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-80010</wp:posOffset>
            </wp:positionV>
            <wp:extent cx="451104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11040" cy="7620"/>
                    </a:xfrm>
                    <a:prstGeom prst="rect">
                      <a:avLst/>
                    </a:prstGeom>
                    <a:noFill/>
                  </pic:spPr>
                </pic:pic>
              </a:graphicData>
            </a:graphic>
          </wp:anchor>
        </w:drawing>
      </w:r>
    </w:p>
    <w:p>
      <w:pPr>
        <w:spacing w:after="0" w:line="23" w:lineRule="exact"/>
        <w:rPr>
          <w:sz w:val="20"/>
          <w:szCs w:val="20"/>
          <w:color w:val="auto"/>
        </w:rPr>
      </w:pPr>
    </w:p>
    <w:p>
      <w:pPr>
        <w:ind w:left="80"/>
        <w:spacing w:after="0"/>
        <w:tabs>
          <w:tab w:leader="none" w:pos="4720" w:val="left"/>
          <w:tab w:leader="none" w:pos="5200" w:val="left"/>
          <w:tab w:leader="none" w:pos="5500" w:val="left"/>
          <w:tab w:leader="none" w:pos="5900" w:val="left"/>
          <w:tab w:leader="none" w:pos="6280" w:val="left"/>
          <w:tab w:leader="none" w:pos="6780" w:val="left"/>
          <w:tab w:leader="none" w:pos="7060" w:val="left"/>
          <w:tab w:leader="none" w:pos="7680" w:val="left"/>
          <w:tab w:leader="none" w:pos="8340" w:val="left"/>
          <w:tab w:leader="none" w:pos="8760" w:val="left"/>
        </w:tabs>
        <w:rPr>
          <w:sz w:val="20"/>
          <w:szCs w:val="20"/>
          <w:color w:val="auto"/>
        </w:rPr>
      </w:pPr>
      <w:r>
        <w:rPr>
          <w:rFonts w:ascii="Arial" w:cs="Arial" w:eastAsia="Arial" w:hAnsi="Arial"/>
          <w:sz w:val="14"/>
          <w:szCs w:val="14"/>
          <w:color w:val="auto"/>
        </w:rPr>
        <w:t>Total</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w:t>
        <w:tab/>
        <w:t>$</w:t>
      </w:r>
      <w:r>
        <w:rPr>
          <w:sz w:val="20"/>
          <w:szCs w:val="20"/>
          <w:color w:val="auto"/>
        </w:rPr>
        <w:tab/>
      </w:r>
      <w:r>
        <w:rPr>
          <w:rFonts w:ascii="Arial" w:cs="Arial" w:eastAsia="Arial" w:hAnsi="Arial"/>
          <w:sz w:val="14"/>
          <w:szCs w:val="14"/>
          <w:color w:val="auto"/>
        </w:rPr>
        <w:t>43</w:t>
        <w:tab/>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60720" cy="228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60720" cy="22860"/>
                    </a:xfrm>
                    <a:prstGeom prst="rect">
                      <a:avLst/>
                    </a:prstGeom>
                    <a:noFill/>
                  </pic:spPr>
                </pic:pic>
              </a:graphicData>
            </a:graphic>
          </wp:anchor>
        </w:drawing>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Excludes cash balances</w:t>
      </w:r>
    </w:p>
    <w:p>
      <w:pPr>
        <w:spacing w:after="0" w:line="7" w:lineRule="exact"/>
        <w:rPr>
          <w:sz w:val="20"/>
          <w:szCs w:val="20"/>
          <w:color w:val="auto"/>
        </w:rPr>
      </w:pPr>
    </w:p>
    <w:p>
      <w:pPr>
        <w:ind w:left="440" w:hanging="352"/>
        <w:spacing w:after="0"/>
        <w:tabs>
          <w:tab w:leader="none" w:pos="440" w:val="left"/>
        </w:tabs>
        <w:numPr>
          <w:ilvl w:val="0"/>
          <w:numId w:val="31"/>
        </w:numPr>
        <w:rPr>
          <w:rFonts w:ascii="Arial" w:cs="Arial" w:eastAsia="Arial" w:hAnsi="Arial"/>
          <w:sz w:val="13"/>
          <w:szCs w:val="13"/>
          <w:i w:val="1"/>
          <w:iCs w:val="1"/>
          <w:color w:val="auto"/>
        </w:rPr>
      </w:pPr>
      <w:r>
        <w:rPr>
          <w:rFonts w:ascii="Arial" w:cs="Arial" w:eastAsia="Arial" w:hAnsi="Arial"/>
          <w:sz w:val="13"/>
          <w:szCs w:val="13"/>
          <w:i w:val="1"/>
          <w:iCs w:val="1"/>
          <w:color w:val="auto"/>
        </w:rPr>
        <w:t>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405130</wp:posOffset>
            </wp:positionV>
            <wp:extent cx="5074920" cy="289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7492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RECURRING FAIR VALUE MEASURES -- SOCALGAS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8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3"/>
                <w:szCs w:val="13"/>
                <w:color w:val="auto"/>
                <w:w w:val="98"/>
              </w:rPr>
              <w:t>At fair value as of September 30, 2010</w:t>
            </w: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Collateral</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80" w:type="dxa"/>
            <w:vAlign w:val="bottom"/>
            <w:vMerge w:val="restart"/>
          </w:tcPr>
          <w:p>
            <w:pPr>
              <w:ind w:left="80"/>
              <w:spacing w:after="0"/>
              <w:rPr>
                <w:sz w:val="20"/>
                <w:szCs w:val="20"/>
                <w:color w:val="auto"/>
              </w:rPr>
            </w:pPr>
            <w:r>
              <w:rPr>
                <w:rFonts w:ascii="Arial" w:cs="Arial" w:eastAsia="Arial" w:hAnsi="Arial"/>
                <w:sz w:val="14"/>
                <w:szCs w:val="14"/>
                <w:color w:val="auto"/>
              </w:rPr>
              <w:t>Assets:</w:t>
            </w: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Level 1</w:t>
            </w:r>
          </w:p>
        </w:tc>
        <w:tc>
          <w:tcPr>
            <w:tcW w:w="2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Level 2</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Level 3</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netted</w:t>
            </w: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0"/>
        </w:trPr>
        <w:tc>
          <w:tcPr>
            <w:tcW w:w="34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80" w:type="dxa"/>
            <w:vAlign w:val="bottom"/>
          </w:tcPr>
          <w:p>
            <w:pPr>
              <w:ind w:left="240"/>
              <w:spacing w:after="0"/>
              <w:rPr>
                <w:sz w:val="20"/>
                <w:szCs w:val="20"/>
                <w:color w:val="auto"/>
              </w:rPr>
            </w:pPr>
            <w:r>
              <w:rPr>
                <w:rFonts w:ascii="Arial" w:cs="Arial" w:eastAsia="Arial" w:hAnsi="Arial"/>
                <w:sz w:val="14"/>
                <w:szCs w:val="14"/>
                <w:color w:val="auto"/>
              </w:rPr>
              <w:t>Interest rate instruments</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2"/>
        </w:trPr>
        <w:tc>
          <w:tcPr>
            <w:tcW w:w="3480" w:type="dxa"/>
            <w:vAlign w:val="bottom"/>
          </w:tcPr>
          <w:p>
            <w:pPr>
              <w:ind w:left="240"/>
              <w:spacing w:after="0"/>
              <w:rPr>
                <w:sz w:val="20"/>
                <w:szCs w:val="20"/>
                <w:color w:val="auto"/>
              </w:rPr>
            </w:pPr>
            <w:r>
              <w:rPr>
                <w:rFonts w:ascii="Arial" w:cs="Arial" w:eastAsia="Arial" w:hAnsi="Arial"/>
                <w:sz w:val="14"/>
                <w:szCs w:val="14"/>
                <w:color w:val="auto"/>
              </w:rPr>
              <w:t>Commodity contracts subject to rate recovery</w:t>
            </w:r>
          </w:p>
        </w:tc>
        <w:tc>
          <w:tcPr>
            <w:tcW w:w="260" w:type="dxa"/>
            <w:vAlign w:val="bottom"/>
          </w:tcPr>
          <w:p>
            <w:pPr>
              <w:spacing w:after="0"/>
              <w:rPr>
                <w:sz w:val="14"/>
                <w:szCs w:val="14"/>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8"/>
                <w:szCs w:val="8"/>
                <w:color w:val="auto"/>
                <w:w w:val="73"/>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4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480" w:type="dxa"/>
            <w:vAlign w:val="bottom"/>
          </w:tcPr>
          <w:p>
            <w:pPr>
              <w:ind w:left="240"/>
              <w:spacing w:after="0"/>
              <w:rPr>
                <w:sz w:val="20"/>
                <w:szCs w:val="20"/>
                <w:color w:val="auto"/>
              </w:rPr>
            </w:pPr>
            <w:r>
              <w:rPr>
                <w:rFonts w:ascii="Arial" w:cs="Arial" w:eastAsia="Arial" w:hAnsi="Arial"/>
                <w:sz w:val="14"/>
                <w:szCs w:val="14"/>
                <w:color w:val="auto"/>
              </w:rPr>
              <w:t>Commodity contracts not subject to rate recovery</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&amp; nbsp;-</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4"/>
        </w:trPr>
        <w:tc>
          <w:tcPr>
            <w:tcW w:w="3480" w:type="dxa"/>
            <w:vAlign w:val="bottom"/>
          </w:tcPr>
          <w:p>
            <w:pPr>
              <w:ind w:left="8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jc w:val="right"/>
              <w:ind w:right="9"/>
              <w:spacing w:after="0" w:line="208" w:lineRule="exact"/>
              <w:rPr>
                <w:sz w:val="20"/>
                <w:szCs w:val="20"/>
                <w:color w:val="auto"/>
              </w:rPr>
            </w:pPr>
            <w:r>
              <w:rPr>
                <w:rFonts w:ascii="Arial" w:cs="Arial" w:eastAsia="Arial" w:hAnsi="Arial"/>
                <w:sz w:val="19"/>
                <w:szCs w:val="19"/>
                <w:color w:val="auto"/>
              </w:rPr>
              <w: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3480" w:type="dxa"/>
            <w:vAlign w:val="bottom"/>
          </w:tcPr>
          <w:p>
            <w:pPr>
              <w:ind w:left="80"/>
              <w:spacing w:after="0"/>
              <w:rPr>
                <w:sz w:val="20"/>
                <w:szCs w:val="20"/>
                <w:color w:val="auto"/>
              </w:rPr>
            </w:pPr>
            <w:r>
              <w:rPr>
                <w:rFonts w:ascii="Arial" w:cs="Arial" w:eastAsia="Arial" w:hAnsi="Arial"/>
                <w:sz w:val="14"/>
                <w:szCs w:val="14"/>
                <w:color w:val="auto"/>
              </w:rPr>
              <w:t>Liabilities:</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80" w:type="dxa"/>
            <w:vAlign w:val="bottom"/>
            <w:tcBorders>
              <w:bottom w:val="single" w:sz="8" w:color="C0C0C0"/>
            </w:tcBorders>
          </w:tcPr>
          <w:p>
            <w:pPr>
              <w:ind w:left="240"/>
              <w:spacing w:after="0"/>
              <w:rPr>
                <w:sz w:val="20"/>
                <w:szCs w:val="20"/>
                <w:color w:val="auto"/>
              </w:rPr>
            </w:pPr>
            <w:r>
              <w:rPr>
                <w:rFonts w:ascii="Arial" w:cs="Arial" w:eastAsia="Arial" w:hAnsi="Arial"/>
                <w:sz w:val="14"/>
                <w:szCs w:val="14"/>
                <w:color w:val="auto"/>
              </w:rPr>
              <w:t>Commodity contracts subject to rate recovery</w:t>
            </w:r>
          </w:p>
        </w:tc>
        <w:tc>
          <w:tcPr>
            <w:tcW w:w="260" w:type="dxa"/>
            <w:vAlign w:val="bottom"/>
            <w:tcBorders>
              <w:bottom w:val="single" w:sz="8" w:color="C0C0C0"/>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0C0C0"/>
            </w:tcBorders>
          </w:tcPr>
          <w:p>
            <w:pPr>
              <w:jc w:val="right"/>
              <w:ind w:right="69"/>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C0C0C0"/>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0C0C0"/>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0C0C0"/>
            </w:tcBorders>
          </w:tcPr>
          <w:p>
            <w:pPr>
              <w:jc w:val="right"/>
              <w:ind w:right="10"/>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C0C0C0"/>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0C0C0"/>
            </w:tcBorders>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0"/>
        </w:trPr>
        <w:tc>
          <w:tcPr>
            <w:tcW w:w="3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3"/>
                <w:szCs w:val="13"/>
                <w:color w:val="auto"/>
                <w:w w:val="98"/>
              </w:rPr>
              <w:t>At fair value as of December 31, 2009</w:t>
            </w: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8"/>
              </w:rPr>
              <w:t>Collateral</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Level 1</w:t>
            </w: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Level 2</w:t>
            </w: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Level 3</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netted</w:t>
            </w: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8"/>
        </w:trPr>
        <w:tc>
          <w:tcPr>
            <w:tcW w:w="3480" w:type="dxa"/>
            <w:vAlign w:val="bottom"/>
          </w:tcPr>
          <w:p>
            <w:pPr>
              <w:ind w:left="80"/>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vMerge w:val="restart"/>
          </w:tcPr>
          <w:p>
            <w:pPr>
              <w:jc w:val="right"/>
              <w:ind w:right="4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3480" w:type="dxa"/>
            <w:vAlign w:val="bottom"/>
          </w:tcPr>
          <w:p>
            <w:pPr>
              <w:ind w:left="240"/>
              <w:spacing w:after="0"/>
              <w:rPr>
                <w:sz w:val="20"/>
                <w:szCs w:val="20"/>
                <w:color w:val="auto"/>
              </w:rPr>
            </w:pPr>
            <w:r>
              <w:rPr>
                <w:rFonts w:ascii="Arial" w:cs="Arial" w:eastAsia="Arial" w:hAnsi="Arial"/>
                <w:sz w:val="14"/>
                <w:szCs w:val="14"/>
                <w:color w:val="auto"/>
              </w:rPr>
              <w:t>Interest rate instruments</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3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80" w:type="dxa"/>
            <w:vAlign w:val="bottom"/>
          </w:tcPr>
          <w:p>
            <w:pPr>
              <w:ind w:left="240"/>
              <w:spacing w:after="0"/>
              <w:rPr>
                <w:sz w:val="20"/>
                <w:szCs w:val="20"/>
                <w:color w:val="auto"/>
              </w:rPr>
            </w:pPr>
            <w:r>
              <w:rPr>
                <w:rFonts w:ascii="Arial" w:cs="Arial" w:eastAsia="Arial" w:hAnsi="Arial"/>
                <w:sz w:val="14"/>
                <w:szCs w:val="14"/>
                <w:color w:val="auto"/>
              </w:rPr>
              <w:t>Commodity contracts subject to rate recovery</w:t>
            </w:r>
          </w:p>
        </w:tc>
        <w:tc>
          <w:tcPr>
            <w:tcW w:w="26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4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0"/>
        </w:trPr>
        <w:tc>
          <w:tcPr>
            <w:tcW w:w="3480" w:type="dxa"/>
            <w:vAlign w:val="bottom"/>
          </w:tcPr>
          <w:p>
            <w:pPr>
              <w:ind w:left="240"/>
              <w:spacing w:after="0"/>
              <w:rPr>
                <w:sz w:val="20"/>
                <w:szCs w:val="20"/>
                <w:color w:val="auto"/>
              </w:rPr>
            </w:pPr>
            <w:r>
              <w:rPr>
                <w:rFonts w:ascii="Arial" w:cs="Arial" w:eastAsia="Arial" w:hAnsi="Arial"/>
                <w:sz w:val="14"/>
                <w:szCs w:val="14"/>
                <w:color w:val="auto"/>
              </w:rPr>
              <w:t>Commodity contracts not subject to rate recovery</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44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34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3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were no transfers into or out of Level 1 or Level 2 for Sempra Energy Consolidated, SDG&amp;E or SoCalGas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Level 3 Information</w:t>
      </w:r>
    </w:p>
    <w:p>
      <w:pPr>
        <w:spacing w:after="0" w:line="52"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b w:val="1"/>
          <w:bCs w:val="1"/>
          <w:color w:val="auto"/>
        </w:rPr>
        <w:t>The following table sets forth reconciliations of changes in the fair value of net trading and other derivatives classified as Level 3 in the fair value hierarchy for Sempra Energy Consolidated and SDG&amp;E: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2240" w:type="dxa"/>
            <w:vAlign w:val="bottom"/>
            <w:tcBorders>
              <w:bottom w:val="single" w:sz="8" w:color="auto"/>
            </w:tcBorders>
            <w:gridSpan w:val="7"/>
          </w:tcPr>
          <w:p>
            <w:pPr>
              <w:jc w:val="right"/>
              <w:ind w:right="28"/>
              <w:spacing w:after="0"/>
              <w:rPr>
                <w:sz w:val="20"/>
                <w:szCs w:val="20"/>
                <w:color w:val="auto"/>
              </w:rPr>
            </w:pPr>
            <w:r>
              <w:rPr>
                <w:rFonts w:ascii="Arial" w:cs="Arial" w:eastAsia="Arial" w:hAnsi="Arial"/>
                <w:sz w:val="13"/>
                <w:szCs w:val="13"/>
                <w:color w:val="auto"/>
              </w:rPr>
              <w:t>Three months ended September 30,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i w:val="1"/>
                <w:iCs w:val="1"/>
                <w:color w:val="auto"/>
              </w:rPr>
              <w:t>(Dollars in millions)</w:t>
            </w:r>
          </w:p>
        </w:tc>
        <w:tc>
          <w:tcPr>
            <w:tcW w:w="720" w:type="dxa"/>
            <w:vAlign w:val="bottom"/>
            <w:tcBorders>
              <w:bottom w:val="single" w:sz="8" w:color="auto"/>
            </w:tcBorders>
            <w:gridSpan w:val="3"/>
          </w:tcPr>
          <w:p>
            <w:pPr>
              <w:jc w:val="right"/>
              <w:spacing w:after="0" w:line="148" w:lineRule="exact"/>
              <w:rPr>
                <w:sz w:val="20"/>
                <w:szCs w:val="20"/>
                <w:color w:val="auto"/>
              </w:rPr>
            </w:pPr>
            <w:r>
              <w:rPr>
                <w:rFonts w:ascii="Arial" w:cs="Arial" w:eastAsia="Arial" w:hAnsi="Arial"/>
                <w:sz w:val="13"/>
                <w:szCs w:val="13"/>
                <w:color w:val="auto"/>
              </w:rPr>
              <w:t>2010</w:t>
            </w: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388"/>
              <w:spacing w:after="0" w:line="148" w:lineRule="exact"/>
              <w:rPr>
                <w:sz w:val="20"/>
                <w:szCs w:val="20"/>
                <w:color w:val="auto"/>
              </w:rPr>
            </w:pPr>
            <w:r>
              <w:rPr>
                <w:rFonts w:ascii="Arial" w:cs="Arial" w:eastAsia="Arial" w:hAnsi="Arial"/>
                <w:sz w:val="13"/>
                <w:szCs w:val="13"/>
                <w:color w:val="auto"/>
                <w:w w:val="96"/>
              </w:rPr>
              <w:t>2009</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60" w:type="dxa"/>
            <w:vAlign w:val="bottom"/>
          </w:tcPr>
          <w:p>
            <w:pPr>
              <w:ind w:left="80"/>
              <w:spacing w:after="0"/>
              <w:rPr>
                <w:sz w:val="20"/>
                <w:szCs w:val="20"/>
                <w:color w:val="auto"/>
              </w:rPr>
            </w:pPr>
            <w:r>
              <w:rPr>
                <w:rFonts w:ascii="Arial" w:cs="Arial" w:eastAsia="Arial" w:hAnsi="Arial"/>
                <w:sz w:val="14"/>
                <w:szCs w:val="14"/>
                <w:color w:val="auto"/>
              </w:rPr>
              <w:t>Balance as of July 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25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760" w:type="dxa"/>
            <w:vAlign w:val="bottom"/>
          </w:tcPr>
          <w:p>
            <w:pPr>
              <w:ind w:left="240"/>
              <w:spacing w:after="0"/>
              <w:rPr>
                <w:sz w:val="20"/>
                <w:szCs w:val="20"/>
                <w:color w:val="auto"/>
              </w:rPr>
            </w:pPr>
            <w:r>
              <w:rPr>
                <w:rFonts w:ascii="Arial" w:cs="Arial" w:eastAsia="Arial" w:hAnsi="Arial"/>
                <w:sz w:val="14"/>
                <w:szCs w:val="14"/>
                <w:color w:val="auto"/>
              </w:rPr>
              <w:t>Realized and unrealized losses</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6"/>
                <w:szCs w:val="16"/>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240"/>
              <w:spacing w:after="0"/>
              <w:rPr>
                <w:sz w:val="20"/>
                <w:szCs w:val="20"/>
                <w:color w:val="auto"/>
              </w:rPr>
            </w:pPr>
            <w:r>
              <w:rPr>
                <w:rFonts w:ascii="Arial" w:cs="Arial" w:eastAsia="Arial" w:hAnsi="Arial"/>
                <w:sz w:val="14"/>
                <w:szCs w:val="14"/>
                <w:color w:val="auto"/>
              </w:rPr>
              <w:t>Allocated transmission instruments</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jc w:val="right"/>
              <w:ind w:right="69"/>
              <w:spacing w:after="0"/>
              <w:rPr>
                <w:sz w:val="20"/>
                <w:szCs w:val="20"/>
                <w:color w:val="auto"/>
              </w:rPr>
            </w:pPr>
            <w:r>
              <w:rPr>
                <w:rFonts w:ascii="Arial" w:cs="Arial" w:eastAsia="Arial" w:hAnsi="Arial"/>
                <w:sz w:val="14"/>
                <w:szCs w:val="14"/>
                <w:color w:val="auto"/>
              </w:rPr>
              <w:t>7</w:t>
            </w:r>
          </w:p>
        </w:tc>
        <w:tc>
          <w:tcPr>
            <w:tcW w:w="400" w:type="dxa"/>
            <w:vAlign w:val="bottom"/>
          </w:tcPr>
          <w:p>
            <w:pPr>
              <w:spacing w:after="0"/>
              <w:rPr>
                <w:sz w:val="15"/>
                <w:szCs w:val="15"/>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760" w:type="dxa"/>
            <w:vAlign w:val="bottom"/>
          </w:tcPr>
          <w:p>
            <w:pPr>
              <w:ind w:left="300"/>
              <w:spacing w:after="0"/>
              <w:rPr>
                <w:sz w:val="20"/>
                <w:szCs w:val="20"/>
                <w:color w:val="auto"/>
              </w:rPr>
            </w:pPr>
            <w:r>
              <w:rPr>
                <w:rFonts w:ascii="Arial" w:cs="Arial" w:eastAsia="Arial" w:hAnsi="Arial"/>
                <w:sz w:val="19"/>
                <w:szCs w:val="19"/>
                <w:color w:val="auto"/>
              </w:rPr>
              <w:t>Settlements</w:t>
            </w:r>
          </w:p>
        </w:tc>
        <w:tc>
          <w:tcPr>
            <w:tcW w:w="3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4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760" w:type="dxa"/>
            <w:vAlign w:val="bottom"/>
          </w:tcPr>
          <w:p>
            <w:pPr>
              <w:ind w:left="80"/>
              <w:spacing w:after="0"/>
              <w:rPr>
                <w:sz w:val="20"/>
                <w:szCs w:val="20"/>
                <w:color w:val="auto"/>
              </w:rPr>
            </w:pPr>
            <w:r>
              <w:rPr>
                <w:rFonts w:ascii="Arial" w:cs="Arial" w:eastAsia="Arial" w:hAnsi="Arial"/>
                <w:sz w:val="14"/>
                <w:szCs w:val="14"/>
                <w:color w:val="auto"/>
              </w:rPr>
              <w:t>Balance as of September 30</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w:t>
            </w:r>
          </w:p>
        </w:tc>
        <w:tc>
          <w:tcPr>
            <w:tcW w:w="4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760" w:type="dxa"/>
            <w:vAlign w:val="bottom"/>
          </w:tcPr>
          <w:p>
            <w:pPr>
              <w:ind w:left="80"/>
              <w:spacing w:after="0"/>
              <w:rPr>
                <w:sz w:val="20"/>
                <w:szCs w:val="20"/>
                <w:color w:val="auto"/>
              </w:rPr>
            </w:pPr>
            <w:r>
              <w:rPr>
                <w:rFonts w:ascii="Arial" w:cs="Arial" w:eastAsia="Arial" w:hAnsi="Arial"/>
                <w:sz w:val="14"/>
                <w:szCs w:val="14"/>
                <w:color w:val="auto"/>
              </w:rPr>
              <w:t>Change in unrealized gains relating to</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760" w:type="dxa"/>
            <w:vAlign w:val="bottom"/>
            <w:tcBorders>
              <w:bottom w:val="single" w:sz="8" w:color="C0C0C0"/>
            </w:tcBorders>
          </w:tcPr>
          <w:p>
            <w:pPr>
              <w:ind w:left="240"/>
              <w:spacing w:after="0"/>
              <w:rPr>
                <w:sz w:val="20"/>
                <w:szCs w:val="20"/>
                <w:color w:val="auto"/>
              </w:rPr>
            </w:pPr>
            <w:r>
              <w:rPr>
                <w:rFonts w:ascii="Arial" w:cs="Arial" w:eastAsia="Arial" w:hAnsi="Arial"/>
                <w:sz w:val="14"/>
                <w:szCs w:val="14"/>
                <w:color w:val="auto"/>
              </w:rPr>
              <w:t>instruments still held at September 30</w:t>
            </w:r>
          </w:p>
        </w:tc>
        <w:tc>
          <w:tcPr>
            <w:tcW w:w="36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0C0C0"/>
            </w:tcBorders>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0C0C0"/>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3"/>
                <w:szCs w:val="13"/>
                <w:color w:val="auto"/>
              </w:rPr>
              <w:t>Nine months ended September 30,</w:t>
            </w:r>
          </w:p>
        </w:tc>
        <w:tc>
          <w:tcPr>
            <w:tcW w:w="0" w:type="dxa"/>
            <w:vAlign w:val="bottom"/>
          </w:tcPr>
          <w:p>
            <w:pPr>
              <w:spacing w:after="0"/>
              <w:rPr>
                <w:sz w:val="1"/>
                <w:szCs w:val="1"/>
                <w:color w:val="auto"/>
              </w:rPr>
            </w:pPr>
          </w:p>
        </w:tc>
      </w:tr>
      <w:tr>
        <w:trPr>
          <w:trHeight w:val="148"/>
        </w:trPr>
        <w:tc>
          <w:tcPr>
            <w:tcW w:w="276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i w:val="1"/>
                <w:iCs w:val="1"/>
                <w:color w:val="auto"/>
              </w:rPr>
              <w:t>(Dollars in millions)</w:t>
            </w: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2010</w:t>
            </w: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8"/>
              <w:spacing w:after="0" w:line="148" w:lineRule="exact"/>
              <w:rPr>
                <w:sz w:val="20"/>
                <w:szCs w:val="20"/>
                <w:color w:val="auto"/>
              </w:rPr>
            </w:pPr>
            <w:r>
              <w:rPr>
                <w:rFonts w:ascii="Arial" w:cs="Arial" w:eastAsia="Arial" w:hAnsi="Arial"/>
                <w:sz w:val="13"/>
                <w:szCs w:val="13"/>
                <w:color w:val="auto"/>
              </w:rPr>
              <w:t>2009</w:t>
            </w: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80"/>
              <w:spacing w:after="0"/>
              <w:rPr>
                <w:sz w:val="20"/>
                <w:szCs w:val="20"/>
                <w:color w:val="auto"/>
              </w:rPr>
            </w:pPr>
            <w:r>
              <w:rPr>
                <w:rFonts w:ascii="Arial" w:cs="Arial" w:eastAsia="Arial" w:hAnsi="Arial"/>
                <w:sz w:val="14"/>
                <w:szCs w:val="14"/>
                <w:color w:val="auto"/>
              </w:rPr>
              <w:t>Balance as of January 1</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00" w:type="dxa"/>
            <w:vAlign w:val="bottom"/>
          </w:tcPr>
          <w:p>
            <w:pPr>
              <w:jc w:val="right"/>
              <w:ind w:right="85"/>
              <w:spacing w:after="0"/>
              <w:rPr>
                <w:sz w:val="20"/>
                <w:szCs w:val="20"/>
                <w:color w:val="auto"/>
              </w:rPr>
            </w:pPr>
            <w:r>
              <w:rPr>
                <w:rFonts w:ascii="Arial" w:cs="Arial" w:eastAsia="Arial" w:hAnsi="Arial"/>
                <w:sz w:val="14"/>
                <w:szCs w:val="14"/>
                <w:color w:val="auto"/>
              </w:rPr>
              <w:t>10</w:t>
            </w:r>
          </w:p>
        </w:tc>
        <w:tc>
          <w:tcPr>
            <w:tcW w:w="760" w:type="dxa"/>
            <w:vAlign w:val="bottom"/>
            <w:gridSpan w:val="2"/>
          </w:tcPr>
          <w:p>
            <w:pPr>
              <w:jc w:val="right"/>
              <w:ind w:right="40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w w:val="89"/>
              </w:rPr>
              <w:t>27</w:t>
            </w:r>
          </w:p>
        </w:tc>
        <w:tc>
          <w:tcPr>
            <w:tcW w:w="0" w:type="dxa"/>
            <w:vAlign w:val="bottom"/>
          </w:tcPr>
          <w:p>
            <w:pPr>
              <w:spacing w:after="0"/>
              <w:rPr>
                <w:sz w:val="1"/>
                <w:szCs w:val="1"/>
                <w:color w:val="auto"/>
              </w:rPr>
            </w:pPr>
          </w:p>
        </w:tc>
      </w:tr>
      <w:tr>
        <w:trPr>
          <w:trHeight w:val="194"/>
        </w:trPr>
        <w:tc>
          <w:tcPr>
            <w:tcW w:w="2760" w:type="dxa"/>
            <w:vAlign w:val="bottom"/>
          </w:tcPr>
          <w:p>
            <w:pPr>
              <w:ind w:left="240"/>
              <w:spacing w:after="0"/>
              <w:rPr>
                <w:sz w:val="20"/>
                <w:szCs w:val="20"/>
                <w:color w:val="auto"/>
              </w:rPr>
            </w:pPr>
            <w:r>
              <w:rPr>
                <w:rFonts w:ascii="Arial" w:cs="Arial" w:eastAsia="Arial" w:hAnsi="Arial"/>
                <w:sz w:val="14"/>
                <w:szCs w:val="14"/>
                <w:color w:val="auto"/>
              </w:rPr>
              <w:t>Realized and unrealized losses</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jc w:val="right"/>
              <w:ind w:right="45"/>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2760" w:type="dxa"/>
            <w:vAlign w:val="bottom"/>
          </w:tcPr>
          <w:p>
            <w:pPr>
              <w:ind w:left="240"/>
              <w:spacing w:after="0"/>
              <w:rPr>
                <w:sz w:val="20"/>
                <w:szCs w:val="20"/>
                <w:color w:val="auto"/>
              </w:rPr>
            </w:pPr>
            <w:r>
              <w:rPr>
                <w:rFonts w:ascii="Arial" w:cs="Arial" w:eastAsia="Arial" w:hAnsi="Arial"/>
                <w:sz w:val="14"/>
                <w:szCs w:val="14"/>
                <w:color w:val="auto"/>
              </w:rPr>
              <w:t>Allocated transmission instruments</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jc w:val="right"/>
              <w:ind w:right="85"/>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186"/>
        </w:trPr>
        <w:tc>
          <w:tcPr>
            <w:tcW w:w="2760" w:type="dxa"/>
            <w:vAlign w:val="bottom"/>
          </w:tcPr>
          <w:p>
            <w:pPr>
              <w:ind w:left="160"/>
              <w:spacing w:after="0"/>
              <w:rPr>
                <w:sz w:val="20"/>
                <w:szCs w:val="20"/>
                <w:color w:val="auto"/>
              </w:rPr>
            </w:pPr>
            <w:r>
              <w:rPr>
                <w:rFonts w:ascii="Arial" w:cs="Arial" w:eastAsia="Arial" w:hAnsi="Arial"/>
                <w:sz w:val="14"/>
                <w:szCs w:val="14"/>
                <w:color w:val="auto"/>
              </w:rPr>
              <w:t>Settlements</w:t>
            </w:r>
          </w:p>
        </w:tc>
        <w:tc>
          <w:tcPr>
            <w:tcW w:w="3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2760" w:type="dxa"/>
            <w:vAlign w:val="bottom"/>
          </w:tcPr>
          <w:p>
            <w:pPr>
              <w:ind w:left="80"/>
              <w:spacing w:after="0"/>
              <w:rPr>
                <w:sz w:val="20"/>
                <w:szCs w:val="20"/>
                <w:color w:val="auto"/>
              </w:rPr>
            </w:pPr>
            <w:r>
              <w:rPr>
                <w:rFonts w:ascii="Arial" w:cs="Arial" w:eastAsia="Arial" w:hAnsi="Arial"/>
                <w:sz w:val="14"/>
                <w:szCs w:val="14"/>
                <w:color w:val="auto"/>
              </w:rPr>
              <w:t>Balance as of September 30</w:t>
            </w:r>
          </w:p>
        </w:tc>
        <w:tc>
          <w:tcPr>
            <w:tcW w:w="360" w:type="dxa"/>
            <w:vAlign w:val="bottom"/>
          </w:tcPr>
          <w:p>
            <w:pPr>
              <w:spacing w:after="0"/>
              <w:rPr>
                <w:sz w:val="15"/>
                <w:szCs w:val="15"/>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12</w:t>
            </w:r>
          </w:p>
        </w:tc>
        <w:tc>
          <w:tcPr>
            <w:tcW w:w="76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9"/>
              </w:rPr>
              <w:t>32</w:t>
            </w:r>
          </w:p>
        </w:tc>
        <w:tc>
          <w:tcPr>
            <w:tcW w:w="0" w:type="dxa"/>
            <w:vAlign w:val="bottom"/>
          </w:tcPr>
          <w:p>
            <w:pPr>
              <w:spacing w:after="0"/>
              <w:rPr>
                <w:sz w:val="1"/>
                <w:szCs w:val="1"/>
                <w:color w:val="auto"/>
              </w:rPr>
            </w:pPr>
          </w:p>
        </w:tc>
      </w:tr>
      <w:tr>
        <w:trPr>
          <w:trHeight w:val="174"/>
        </w:trPr>
        <w:tc>
          <w:tcPr>
            <w:tcW w:w="3480" w:type="dxa"/>
            <w:vAlign w:val="bottom"/>
            <w:gridSpan w:val="4"/>
          </w:tcPr>
          <w:p>
            <w:pPr>
              <w:ind w:left="80"/>
              <w:spacing w:after="0"/>
              <w:rPr>
                <w:sz w:val="20"/>
                <w:szCs w:val="20"/>
                <w:color w:val="auto"/>
              </w:rPr>
            </w:pPr>
            <w:r>
              <w:rPr>
                <w:rFonts w:ascii="Arial" w:cs="Arial" w:eastAsia="Arial" w:hAnsi="Arial"/>
                <w:sz w:val="14"/>
                <w:szCs w:val="14"/>
                <w:color w:val="auto"/>
              </w:rPr>
              <w:t>Change in unrealized gains relating to &lt; /font&gt;</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760" w:type="dxa"/>
            <w:vAlign w:val="bottom"/>
            <w:tcBorders>
              <w:bottom w:val="single" w:sz="8" w:color="C0C0C0"/>
            </w:tcBorders>
          </w:tcPr>
          <w:p>
            <w:pPr>
              <w:ind w:left="240"/>
              <w:spacing w:after="0"/>
              <w:rPr>
                <w:sz w:val="20"/>
                <w:szCs w:val="20"/>
                <w:color w:val="auto"/>
              </w:rPr>
            </w:pPr>
            <w:r>
              <w:rPr>
                <w:rFonts w:ascii="Arial" w:cs="Arial" w:eastAsia="Arial" w:hAnsi="Arial"/>
                <w:sz w:val="14"/>
                <w:szCs w:val="14"/>
                <w:color w:val="auto"/>
              </w:rPr>
              <w:t>instruments still held at September 30</w:t>
            </w:r>
          </w:p>
        </w:tc>
        <w:tc>
          <w:tcPr>
            <w:tcW w:w="720" w:type="dxa"/>
            <w:vAlign w:val="bottom"/>
            <w:tcBorders>
              <w:bottom w:val="single" w:sz="8" w:color="C0C0C0"/>
            </w:tcBorders>
            <w:gridSpan w:val="3"/>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0C0C0"/>
            </w:tcBorders>
          </w:tcPr>
          <w:p>
            <w:pPr>
              <w:spacing w:after="0"/>
              <w:rPr>
                <w:sz w:val="18"/>
                <w:szCs w:val="18"/>
                <w:color w:val="auto"/>
              </w:rPr>
            </w:pPr>
          </w:p>
        </w:tc>
        <w:tc>
          <w:tcPr>
            <w:tcW w:w="400" w:type="dxa"/>
            <w:vAlign w:val="bottom"/>
            <w:tcBorders>
              <w:bottom w:val="single" w:sz="8" w:color="C0C0C0"/>
            </w:tcBorders>
          </w:tcPr>
          <w:p>
            <w:pPr>
              <w:jc w:val="right"/>
              <w:ind w:right="85"/>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0C0C0"/>
            </w:tcBorders>
            <w:gridSpan w:val="2"/>
          </w:tcPr>
          <w:p>
            <w:pPr>
              <w:jc w:val="right"/>
              <w:ind w:right="4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0C0C0"/>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were no transfers into or out of Level 3 during the periods presented.</w:t>
      </w:r>
    </w:p>
    <w:p>
      <w:pPr>
        <w:spacing w:after="0" w:line="104" w:lineRule="exact"/>
        <w:rPr>
          <w:sz w:val="20"/>
          <w:szCs w:val="20"/>
          <w:color w:val="auto"/>
        </w:rPr>
      </w:pPr>
    </w:p>
    <w:p>
      <w:pPr>
        <w:ind w:right="240"/>
        <w:spacing w:after="0" w:line="348" w:lineRule="auto"/>
        <w:rPr>
          <w:sz w:val="20"/>
          <w:szCs w:val="20"/>
          <w:color w:val="auto"/>
        </w:rPr>
      </w:pPr>
      <w:r>
        <w:rPr>
          <w:rFonts w:ascii="Arial" w:cs="Arial" w:eastAsia="Arial" w:hAnsi="Arial"/>
          <w:sz w:val="14"/>
          <w:szCs w:val="14"/>
          <w:b w:val="1"/>
          <w:bCs w:val="1"/>
          <w:color w:val="auto"/>
        </w:rPr>
        <w:t>Gains and losses (realized and unrealized) for Level 3 recurring items are primarily related to SDG&amp;E's congestion revenue rights and were included in Cost of Electric Fuel and Purchased Power on the Condensed Consolidated Statements of Operations for the three months and nine months ended September 30, 2010 and 2009.</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Non-Recurring Fair Value Measures – Sempra Energy Consolidated</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discuss non-recurring fair value measures and the associated accounting impact in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531495</wp:posOffset>
            </wp:positionV>
            <wp:extent cx="726186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SEMPRA UTILITIES' REGULATORY MATTERS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PROCUREMENT AND RESOURCE PLANNING</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Sunrise Powerlink Electric Transmission Line</w:t>
      </w:r>
    </w:p>
    <w:p>
      <w:pPr>
        <w:spacing w:after="0" w:line="52" w:lineRule="exact"/>
        <w:rPr>
          <w:sz w:val="20"/>
          <w:szCs w:val="20"/>
          <w:color w:val="auto"/>
        </w:rPr>
      </w:pPr>
    </w:p>
    <w:p>
      <w:pPr>
        <w:spacing w:after="0" w:line="301" w:lineRule="auto"/>
        <w:rPr>
          <w:sz w:val="20"/>
          <w:szCs w:val="20"/>
          <w:color w:val="auto"/>
        </w:rPr>
      </w:pPr>
      <w:r>
        <w:rPr>
          <w:rFonts w:ascii="Arial" w:cs="Arial" w:eastAsia="Arial" w:hAnsi="Arial"/>
          <w:sz w:val="14"/>
          <w:szCs w:val="14"/>
          <w:b w:val="1"/>
          <w:bCs w:val="1"/>
          <w:color w:val="auto"/>
        </w:rPr>
        <w:t>In December 2008, the CPUC issued a final decision authorizing SDG&amp;E to construct a 500-kilovolt (kV) electric transmission line between the Imperial Valley and the San Die go region (Sunrise Powerlink). This line is designed to provide 1,000 MW of increased import capability into the San Diego area. This CPUC decision approved SDG&amp;E’s request to construct the Sunrise Powerlink along a route that would generally run south of the Anza-Borrego Desert State Park. The decision also approves the environmental impact review conducted jointly by the CPUC and the Bureau of Land Management (BLM) and establishes a total project cost cap of $1.9 billion, including approximately $190 million for environmental mitigation costs. In January 2009, the BLM issued its decision approving the project, route and environmental review.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CPUC decision requires SDG&amp;E to adhere to certain commitments it made during the application process, as follows:</w:t>
      </w:r>
    </w:p>
    <w:p>
      <w:pPr>
        <w:sectPr>
          <w:pgSz w:w="11900" w:h="16838" w:orient="portrait"/>
          <w:cols w:equalWidth="0" w:num="1">
            <w:col w:w="11400"/>
          </w:cols>
          <w:pgMar w:left="240" w:top="141" w:right="259" w:bottom="0" w:gutter="0" w:footer="0" w:header="0"/>
        </w:sectPr>
      </w:pPr>
    </w:p>
    <w:bookmarkStart w:id="37" w:name="page38"/>
    <w:bookmarkEnd w:id="37"/>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§not to contract, for any length of term, with conventional coal g enerators to deliver power via the Sunrise Powerlink;</w:t>
      </w:r>
    </w:p>
    <w:p>
      <w:pPr>
        <w:spacing w:after="0" w:line="56" w:lineRule="exact"/>
        <w:rPr>
          <w:sz w:val="20"/>
          <w:szCs w:val="20"/>
          <w:color w:val="auto"/>
        </w:rPr>
      </w:pPr>
    </w:p>
    <w:p>
      <w:pPr>
        <w:ind w:left="140" w:right="1580"/>
        <w:spacing w:after="0" w:line="275" w:lineRule="auto"/>
        <w:rPr>
          <w:sz w:val="20"/>
          <w:szCs w:val="20"/>
          <w:color w:val="auto"/>
        </w:rPr>
      </w:pPr>
      <w:r>
        <w:rPr>
          <w:rFonts w:ascii="Arial" w:cs="Arial" w:eastAsia="Arial" w:hAnsi="Arial"/>
          <w:sz w:val="16"/>
          <w:szCs w:val="16"/>
          <w:b w:val="1"/>
          <w:bCs w:val="1"/>
          <w:color w:val="auto"/>
        </w:rPr>
        <w:t>§if any currently approved renewable energy contract that is deliverable via the Sunrise Powerlink fails, to replace it with a viable contract with a renewable generator located in the Imperial Valley region; and</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§voluntarily raise SDG&amp;E's Renewables Portfolio Standard Program goal (discussed below under "Renewable Energy") to 33 percent by 2020.</w:t>
      </w:r>
    </w:p>
    <w:p>
      <w:pPr>
        <w:spacing w:after="0" w:line="152" w:lineRule="exact"/>
        <w:rPr>
          <w:sz w:val="20"/>
          <w:szCs w:val="20"/>
          <w:color w:val="auto"/>
        </w:rPr>
      </w:pPr>
    </w:p>
    <w:p>
      <w:pPr>
        <w:ind w:right="80"/>
        <w:spacing w:after="0" w:line="301" w:lineRule="auto"/>
        <w:rPr>
          <w:sz w:val="20"/>
          <w:szCs w:val="20"/>
          <w:color w:val="auto"/>
        </w:rPr>
      </w:pPr>
      <w:r>
        <w:rPr>
          <w:rFonts w:ascii="Arial" w:cs="Arial" w:eastAsia="Arial" w:hAnsi="Arial"/>
          <w:sz w:val="14"/>
          <w:szCs w:val="14"/>
          <w:b w:val="1"/>
          <w:bCs w:val="1"/>
          <w:color w:val="auto"/>
        </w:rPr>
        <w:t>After the issuance by the CPUC of its final decision, the Utility Consumers Action Network (UCAN) and the Center for Biological Diversity/Sierra Club (CBD) applied for rehearing of the final decision. After the CPUC denied t hese rehearing applications, in August 2009, UCAN and the CBD jointly filed a petition with the California Supreme Court challenging the CPUC's decision with regard to implementation of the California Environmental Quality Act (CEQA). UCAN also filed a petition with the California Court of Appeal (Court of Appeal) challenging the decision on other legal grounds, which the Court of Appeal denied in August 2010. The UCAN/CBD appeal will be addressed by the California Supreme Court now that the Court of Appeal has dismissed UCAN's first petition.</w:t>
      </w:r>
    </w:p>
    <w:p>
      <w:pPr>
        <w:spacing w:after="0" w:line="4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color w:val="auto"/>
        </w:rPr>
        <w:t>In addition, three appeals of the BLM decision were filed with the Interior Board of Land Appeals (IBLA) by individuals, a community organization, and the Viejas Indian tribe. The Viejas Indian tribe withdrew its appeal and the IBLA denied the other two appeals.</w:t>
      </w:r>
    </w:p>
    <w:p>
      <w:pPr>
        <w:spacing w:after="0" w:line="5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b w:val="1"/>
          <w:bCs w:val="1"/>
          <w:color w:val="auto"/>
        </w:rPr>
        <w:t>Opponents who filed the BLM appeals also filed a lawsuit in Federal District Court for declarato ry and injunctive relief regarding Sunrise Powerlink. The complaint alleges that the BLM failed to properly assess the environmental impacts of the approved Sunrise Powerlink route and the related potential development of renewable resources in east San Diego County and Imperial County. The complaint requests a declaration that the BLM violated federal law in approving Sunrise Powerlink and an injunction against any construction activities. On October 25, 2010, the court granted SDG&amp;E's motion to dismiss the complaint in its entirety for want of standing; the plaintiffs filed an amended complaint on November 5, 2010.</w:t>
      </w:r>
    </w:p>
    <w:p>
      <w:pPr>
        <w:spacing w:after="0" w:line="75"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b w:val="1"/>
          <w:bCs w:val="1"/>
          <w:color w:val="auto"/>
        </w:rPr>
        <w:t>In September 2010, the CPUC and BLM jointly approved the final Project Modification Report, accepting all of the proposed modifications to the approved route and finding that no additional environmental studies are required. In October 2010, the United States Forest Service (USFS) issued a decision rejecting all pending appeals and rea ffirming its July 2010 decision approving the segment of Sunrise Powerlink's route within its jurisdiction. The USFS is expected to issue a special use permit to SDG&amp;E by year-end, which will allow SDG&amp;E to begin construction on USFS land. On October 22, 2010, the CBD and the plaintiffs in the Federal District Court suit against BLM filed an application for rehearing with the CPUC challenging its approval of the Project Modification Report. The CPUC summarily rejected this application for rehearing as contrary to the CPUC's rules. On October 25, 2010, the BLM federal court plaintiffs filed an appeal with the IBLA challenging the BLM's approval of the Project Modification Report. This appeal was accompanied by a motion for a stay of construction of the project, which SDG&amp;E opposed on November 4, 2010. SDG&amp;E will also oppose the IBLA appeal.</w:t>
      </w:r>
    </w:p>
    <w:p>
      <w:pPr>
        <w:spacing w:after="0" w:line="49" w:lineRule="exact"/>
        <w:rPr>
          <w:sz w:val="20"/>
          <w:szCs w:val="20"/>
          <w:color w:val="auto"/>
        </w:rPr>
      </w:pPr>
    </w:p>
    <w:p>
      <w:pPr>
        <w:ind w:right="740"/>
        <w:spacing w:after="0" w:line="275" w:lineRule="auto"/>
        <w:rPr>
          <w:sz w:val="20"/>
          <w:szCs w:val="20"/>
          <w:color w:val="auto"/>
        </w:rPr>
      </w:pPr>
      <w:r>
        <w:rPr>
          <w:rFonts w:ascii="Arial" w:cs="Arial" w:eastAsia="Arial" w:hAnsi="Arial"/>
          <w:sz w:val="16"/>
          <w:szCs w:val="16"/>
          <w:b w:val="1"/>
          <w:bCs w:val="1"/>
          <w:color w:val="auto"/>
        </w:rPr>
        <w:t>Sunrise Powerlink costs will be recovered in SDG&amp;E's Electric Transmission Formula Rate, where SDG&amp;E must demonstrate to the Federal Energy Regulatory Commission (FERC) that such costs were prudently incurred.</w:t>
      </w:r>
    </w:p>
    <w:p>
      <w:pPr>
        <w:spacing w:after="0" w:line="5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b w:val="1"/>
          <w:bCs w:val="1"/>
          <w:color w:val="auto"/>
        </w:rPr>
        <w:t>The total amount invested by SDG&amp;E in the Sunrise Powerlink project as of September 30, 2010 was $447 million, which is included in Property, Plant and Equipment on the Condensed Consolidated Balance Sheets of Sempra Energy and SDG&amp;E. SDG&amp;E expects the Sunrise Powerlink to be in commercial operation in the second half of 2012.</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provide additional information concerning Sunrise Powerlink in Note 15 of the Notes to Consolidated Financial Statements in the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Renewable Energy</w:t>
      </w:r>
    </w:p>
    <w:p>
      <w:pPr>
        <w:spacing w:after="0" w:line="52"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b w:val="1"/>
          <w:bCs w:val="1"/>
          <w:color w:val="auto"/>
        </w:rPr>
        <w:t>Certain California electric retail sellers, including SDG&amp;E, are required to deliver 20 percent of their retail energy sales from renewable energy sources beginning in 2010. The rules governing this requirem ent, administered by both the CPUC and the California Energy Commission (CEC), are generally known as the Renewables Portfolio Standard (RPS) Program. In September 2009, the Governor of California issued an Executive Order which set a target for each California utility to procure 33 percent of their annual electric energy requirements from renewable energy sources by 2020. This Executive Order designates the California Air Resources Board (CARB) as the agency responsible for establishing the compliance rules and regulations under CARB's Assembly Bill 32 authority to regulate greenhouse gas emissions. In September 2010, CARB adopted a requirement known as the California Renewable Energy Standard (RES), which obligates California utilities to procure 33 percent of their annual electric energy requirements from renewable energy sources by 2020. CARB has not yet issued the final version of formal regulations articulating the requirement or detailing how the RES will be implemented.</w:t>
      </w:r>
    </w:p>
    <w:p>
      <w:pPr>
        <w:spacing w:after="0" w:line="14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b w:val="1"/>
          <w:bCs w:val="1"/>
          <w:color w:val="auto"/>
        </w:rPr>
        <w:t>In 2008, the CPUC issued a decision defining flexible compliance mechanisms that can be used to defer compliance with or meet the RPS Program mandates in 2010 and beyond. The decision established that a finding by the CPUC of insufficient transmission is a permissible reason to defer compliance with the RPS Program mandates. This decision also confirmed that any renewable energy procured in excess of the established targets for prior years, currently and in the future, could be applied to any procurement shortfalls in the years 2010 and beyond.</w:t>
      </w:r>
    </w:p>
    <w:p>
      <w:pPr>
        <w:spacing w:after="0" w:line="169"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b w:val="1"/>
          <w:bCs w:val="1"/>
          <w:color w:val="auto"/>
        </w:rPr>
        <w:t>SDG&amp;E continues to procure renewable energy supplies to achieve the RPS Program goals and the Executive Order/RES requirements. A substantial number of these supply contracts, however, are contingent upon many factors, including:</w:t>
      </w:r>
    </w:p>
    <w:p>
      <w:pPr>
        <w:spacing w:after="0" w:line="10" w:lineRule="exact"/>
        <w:rPr>
          <w:sz w:val="20"/>
          <w:szCs w:val="20"/>
          <w:color w:val="auto"/>
        </w:rPr>
      </w:pPr>
    </w:p>
    <w:p>
      <w:pPr>
        <w:ind w:left="140" w:right="4220"/>
        <w:spacing w:after="0" w:line="313" w:lineRule="auto"/>
        <w:rPr>
          <w:sz w:val="20"/>
          <w:szCs w:val="20"/>
          <w:color w:val="auto"/>
        </w:rPr>
      </w:pPr>
      <w:r>
        <w:rPr>
          <w:rFonts w:ascii="Arial" w:cs="Arial" w:eastAsia="Arial" w:hAnsi="Arial"/>
          <w:sz w:val="16"/>
          <w:szCs w:val="16"/>
          <w:b w:val="1"/>
          <w:bCs w:val="1"/>
          <w:color w:val="auto"/>
        </w:rPr>
        <w:t>§access to electric transmission inf rastructure (including SDG&amp;E's Sunrise Powerlink transmission line); §timely regulatory approval of contracted renewable energy projects;</w:t>
      </w:r>
    </w:p>
    <w:p>
      <w:pPr>
        <w:ind w:left="40" w:right="4800" w:firstLine="110"/>
        <w:spacing w:after="0" w:line="420" w:lineRule="auto"/>
        <w:rPr>
          <w:sz w:val="20"/>
          <w:szCs w:val="20"/>
          <w:color w:val="auto"/>
        </w:rPr>
      </w:pPr>
      <w:r>
        <w:rPr>
          <w:rFonts w:ascii="Arial" w:cs="Arial" w:eastAsia="Arial" w:hAnsi="Arial"/>
          <w:sz w:val="14"/>
          <w:szCs w:val="14"/>
          <w:b w:val="1"/>
          <w:bCs w:val="1"/>
          <w:color w:val="auto"/>
        </w:rPr>
        <w:t>§the renewable energy project developers' ability to obtain project financing and permitting; and §successful development and implementation of the renewable energy technologies.</w:t>
      </w:r>
    </w:p>
    <w:p>
      <w:pPr>
        <w:spacing w:after="0" w:line="13"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b w:val="1"/>
          <w:bCs w:val="1"/>
          <w:color w:val="auto"/>
        </w:rPr>
        <w:t>SDG&amp;E believes it will be able to comply with the RPS Program requirements based on its contracting activity and application of the flexible compliance mechanisms. SDG&amp;E's failure to comply with the RPS Program requir ements in 2010, or in any subsequent years, could subject it to a CPUC-imposed penalty of 5 cents per kilowatt hour of renewable energy under-delivery up to a maximum penalty of $25 million per year. A determination regarding RES compliance is not possible at this time, as program details are not yet known.</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Solar Photovoltaic Program</w:t>
      </w:r>
    </w:p>
    <w:p>
      <w:pPr>
        <w:spacing w:after="0" w:line="52" w:lineRule="exact"/>
        <w:rPr>
          <w:sz w:val="20"/>
          <w:szCs w:val="20"/>
          <w:color w:val="auto"/>
        </w:rPr>
      </w:pPr>
    </w:p>
    <w:p>
      <w:pPr>
        <w:ind w:right="80"/>
        <w:spacing w:after="0" w:line="307" w:lineRule="auto"/>
        <w:rPr>
          <w:sz w:val="20"/>
          <w:szCs w:val="20"/>
          <w:color w:val="auto"/>
        </w:rPr>
      </w:pPr>
      <w:r>
        <w:rPr>
          <w:rFonts w:ascii="Arial" w:cs="Arial" w:eastAsia="Arial" w:hAnsi="Arial"/>
          <w:sz w:val="14"/>
          <w:szCs w:val="14"/>
          <w:b w:val="1"/>
          <w:bCs w:val="1"/>
          <w:color w:val="auto"/>
        </w:rPr>
        <w:t>The CPUC issued a decision in September 2010 approving a new solar photovoltaic (PV) program for SDG&amp;E. Under the adopted program, SDG&amp;E may develop up to 100 MW of solar PV in its service area, consisting of up to 26 MW of utility owned generation and up to 74 MW of purchased power from independent producers. Individual project size may range up to 5 MW. Over the 5-year program, SDG&amp;E will be allowed to spend up to $100 million in capital costs for the systems it owns, based on an overall cost cap of $3.50 per watt, including a 10-percent contingency factor. A cost cap of $235 per MWh will apply to purchased power under the program.</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East County Substation</w:t>
      </w:r>
    </w:p>
    <w:p>
      <w:pPr>
        <w:spacing w:after="0" w:line="52"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In August 2009, SDG&amp;E filed an application with the CPUC for authorization to proceed with the East County Substation Project, which will include construction of a new 500/230/138-kV substation, rebuilding of the existing Boulevard Substation and construction of a new 138-kV transmission line connecting the two substations. The project, estimated to cost approximately $280 million, would allow interconnections from new renewable-generation sources and enhance the reliability of electric service to a number of communities. The CPUC and BLM have agreed to prepare a joint environmental impact report and environmental impact statement. A CPUC decision on this project is expected in 2011.</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RATE CASE (GRC)</w:t>
      </w:r>
    </w:p>
    <w:p>
      <w:pPr>
        <w:spacing w:after="0" w:line="19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b w:val="1"/>
          <w:bCs w:val="1"/>
          <w:color w:val="auto"/>
        </w:rPr>
        <w:t>The CPUC uses a general rate case proceeding to prospectively set rates sufficient to allow the Sempra Utilities to recover their reasonable cost of operations and to provide the opportunity to realize an acceptable rate of return on their investments. The Sempra Utilities filed their Notices of Intent (NOI) for the 2012 General Rate Case (2012 GRC) in August 2010. These NOIs are preliminary applications that propose revenue requirement increases of $246 million for SDG&amp;E and $282 million for SoCalGas over their respective 2011 authorized revenue. These increases would equate to increases in rates of 7 percent for SDG&amp;E and 7.4 percent for SoCalGas over their 2010 rates. In October 2010, the CPUC staff completed its review of the NOIs and accepted the proposed filings, enabling both SDG&amp;E and SoCalGas to file their final applications in mid-December 2010. The CPUC is scheduled to issue a decision on each of the final applications in late 2011, with changes in rates to become effective on January 1, 2012.</w:t>
      </w:r>
    </w:p>
    <w:p>
      <w:pPr>
        <w:sectPr>
          <w:pgSz w:w="11900" w:h="16870" w:orient="portrait"/>
          <w:cols w:equalWidth="0" w:num="1">
            <w:col w:w="11400"/>
          </w:cols>
          <w:pgMar w:left="240" w:top="126" w:right="259" w:bottom="0" w:gutter="0" w:footer="0" w:header="0"/>
        </w:sectPr>
      </w:pPr>
    </w:p>
    <w:bookmarkStart w:id="38" w:name="page39"/>
    <w:bookmarkEnd w:id="38"/>
    <w:p>
      <w:pPr>
        <w:spacing w:after="0" w:line="3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b w:val="1"/>
          <w:bCs w:val="1"/>
          <w:color w:val="auto"/>
        </w:rPr>
        <w:t>A number of parties have asked the CPUC to delay the filing of SDG&amp;E's and SoCalGas' next GRC applications for at least a year. To date, the CPUC has denied all such requests and has ordered SDG&amp;E and SoCalGas to follow their original GRC schedules.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UTILITY INCENTIVE MECHANISMS</w:t>
      </w:r>
    </w:p>
    <w:p>
      <w:pPr>
        <w:spacing w:after="0" w:line="94" w:lineRule="exact"/>
        <w:rPr>
          <w:sz w:val="20"/>
          <w:szCs w:val="20"/>
          <w:color w:val="auto"/>
        </w:rPr>
      </w:pPr>
    </w:p>
    <w:p>
      <w:pPr>
        <w:ind w:right="500"/>
        <w:spacing w:after="0" w:line="275" w:lineRule="auto"/>
        <w:rPr>
          <w:sz w:val="20"/>
          <w:szCs w:val="20"/>
          <w:color w:val="auto"/>
        </w:rPr>
      </w:pPr>
      <w:r>
        <w:rPr>
          <w:rFonts w:ascii="Arial" w:cs="Arial" w:eastAsia="Arial" w:hAnsi="Arial"/>
          <w:sz w:val="16"/>
          <w:szCs w:val="16"/>
          <w:b w:val="1"/>
          <w:bCs w:val="1"/>
          <w:color w:val="auto"/>
        </w:rPr>
        <w:t>The CPUC applies performance-based measures and incentive mechanisms to all California utilities, under which the Sempra Utilities have earnings potential above authorized base margins if they achieve or exceed specific performance and operating goals.</w:t>
      </w:r>
    </w:p>
    <w:p>
      <w:pPr>
        <w:spacing w:after="0" w:line="5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color w:val="auto"/>
        </w:rPr>
        <w:t>We provide additional information regarding these incentive mechanisms in Note 16 of the Notes to Consolidat ed Financial Statements in the Annual Report, and updates below.</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Natural Gas Procurement</w:t>
      </w:r>
    </w:p>
    <w:p>
      <w:pPr>
        <w:spacing w:after="0" w:line="52" w:lineRule="exact"/>
        <w:rPr>
          <w:sz w:val="20"/>
          <w:szCs w:val="20"/>
          <w:color w:val="auto"/>
        </w:rPr>
      </w:pPr>
    </w:p>
    <w:p>
      <w:pPr>
        <w:jc w:val="both"/>
        <w:ind w:right="300"/>
        <w:spacing w:after="0" w:line="262" w:lineRule="auto"/>
        <w:rPr>
          <w:sz w:val="20"/>
          <w:szCs w:val="20"/>
          <w:color w:val="auto"/>
        </w:rPr>
      </w:pPr>
      <w:r>
        <w:rPr>
          <w:rFonts w:ascii="Arial" w:cs="Arial" w:eastAsia="Arial" w:hAnsi="Arial"/>
          <w:sz w:val="16"/>
          <w:szCs w:val="16"/>
          <w:b w:val="1"/>
          <w:bCs w:val="1"/>
          <w:color w:val="auto"/>
        </w:rPr>
        <w:t>In January 2010, the CPUC approved a Gas Cost Incentive Mechanism (GCIM) award of $12 million for SoCalGas' procurement activities during the 12-month period ending March 31, 2009. In June 2010, SoCalGas applied to the CPUC for approval of a GCIM award of $6 million for SoCalGas' procurement activities during the 12-month period ending March 31, 2010. SoCalGas expects a CPUC decision in 2011.</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Energy Efficiency</w:t>
      </w:r>
    </w:p>
    <w:p>
      <w:pPr>
        <w:spacing w:after="0" w:line="52" w:lineRule="exact"/>
        <w:rPr>
          <w:sz w:val="20"/>
          <w:szCs w:val="20"/>
          <w:color w:val="auto"/>
        </w:rPr>
      </w:pPr>
    </w:p>
    <w:p>
      <w:pPr>
        <w:ind w:right="40"/>
        <w:spacing w:after="0" w:line="317" w:lineRule="auto"/>
        <w:rPr>
          <w:sz w:val="20"/>
          <w:szCs w:val="20"/>
          <w:color w:val="auto"/>
        </w:rPr>
      </w:pPr>
      <w:r>
        <w:rPr>
          <w:rFonts w:ascii="Arial" w:cs="Arial" w:eastAsia="Arial" w:hAnsi="Arial"/>
          <w:sz w:val="14"/>
          <w:szCs w:val="14"/>
          <w:b w:val="1"/>
          <w:bCs w:val="1"/>
          <w:color w:val="auto"/>
        </w:rPr>
        <w:t xml:space="preserve">In December 2009, the CPUC awarded $0.3 million and $2.1 million, net of a 35 percent holdback pending a final true-up in 2010, to SDG&amp;E and SoCalGas, respectively, for their performance during the 2006 – 2008 program period. In February 2010, the Sempra Utilities filed a petition with the CPUC to correct errors in the computation of the awards. </w:t>
      </w:r>
      <w:r>
        <w:rPr>
          <w:rFonts w:ascii="Arial" w:cs="Arial" w:eastAsia="Arial" w:hAnsi="Arial"/>
          <w:sz w:val="14"/>
          <w:szCs w:val="14"/>
          <w:color w:val="auto"/>
        </w:rPr>
        <w:t>If adopted, the changes would increase the awards by $0.4 million for SDG&amp;E and $1.3 million for SoCalGas, net of the 35 percent holdback.</w:t>
      </w:r>
    </w:p>
    <w:p>
      <w:pPr>
        <w:spacing w:after="0" w:line="38" w:lineRule="exact"/>
        <w:rPr>
          <w:sz w:val="20"/>
          <w:szCs w:val="20"/>
          <w:color w:val="auto"/>
        </w:rPr>
      </w:pPr>
    </w:p>
    <w:p>
      <w:pPr>
        <w:ind w:right="220"/>
        <w:spacing w:after="0" w:line="305" w:lineRule="auto"/>
        <w:rPr>
          <w:sz w:val="20"/>
          <w:szCs w:val="20"/>
          <w:color w:val="auto"/>
        </w:rPr>
      </w:pPr>
      <w:r>
        <w:rPr>
          <w:rFonts w:ascii="Arial" w:cs="Arial" w:eastAsia="Arial" w:hAnsi="Arial"/>
          <w:sz w:val="14"/>
          <w:szCs w:val="14"/>
          <w:color w:val="auto"/>
        </w:rPr>
        <w:t>An Administrative Law Judge draft decision and a Commissioner alternate decision were issued in September 2010 regarding the final true-up of the energy efficiency incentive earnings for the 2006 – 2008 program period. The draft decision rules that no additional incentive payments are warranted for the final true-up of incentive earnings</w:t>
      </w:r>
      <w:r>
        <w:rPr>
          <w:rFonts w:ascii="Arial" w:cs="Arial" w:eastAsia="Arial" w:hAnsi="Arial"/>
          <w:sz w:val="14"/>
          <w:szCs w:val="14"/>
          <w:b w:val="1"/>
          <w:bCs w:val="1"/>
          <w:color w:val="auto"/>
        </w:rPr>
        <w:t>. The alternate</w:t>
      </w:r>
      <w:r>
        <w:rPr>
          <w:rFonts w:ascii="Arial" w:cs="Arial" w:eastAsia="Arial" w:hAnsi="Arial"/>
          <w:sz w:val="14"/>
          <w:szCs w:val="14"/>
          <w:color w:val="auto"/>
        </w:rPr>
        <w:t xml:space="preserve"> </w:t>
      </w:r>
      <w:r>
        <w:rPr>
          <w:rFonts w:ascii="Arial" w:cs="Arial" w:eastAsia="Arial" w:hAnsi="Arial"/>
          <w:sz w:val="14"/>
          <w:szCs w:val="14"/>
          <w:b w:val="1"/>
          <w:bCs w:val="1"/>
          <w:color w:val="auto"/>
        </w:rPr>
        <w:t>decision approves additional incentive awards of $6 million for SDG&amp;E and $3.9 million for SoCalGas for the final true-up of the amounts held back for prior years' awards, but makes no determination on the petition to correct errors. A final decision is expected by the end of 2010.</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CAPITAL</w:t>
      </w:r>
    </w:p>
    <w:p>
      <w:pPr>
        <w:spacing w:after="0" w:line="94"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b w:val="1"/>
          <w:bCs w:val="1"/>
          <w:color w:val="auto"/>
        </w:rPr>
        <w:t>A cost of capital proceeding determines the Sempra Utilities' authorized capital structure and the authorized rate of return that the Sempra Utilities may earn on their electric and natural gas distribution and electric generation assets.</w:t>
      </w:r>
    </w:p>
    <w:p>
      <w:pPr>
        <w:spacing w:after="0" w:line="58" w:lineRule="exact"/>
        <w:rPr>
          <w:sz w:val="20"/>
          <w:szCs w:val="20"/>
          <w:color w:val="auto"/>
        </w:rPr>
      </w:pPr>
    </w:p>
    <w:p>
      <w:pPr>
        <w:jc w:val="both"/>
        <w:ind w:right="40"/>
        <w:spacing w:after="0" w:line="317" w:lineRule="auto"/>
        <w:rPr>
          <w:sz w:val="20"/>
          <w:szCs w:val="20"/>
          <w:color w:val="auto"/>
        </w:rPr>
      </w:pPr>
      <w:r>
        <w:rPr>
          <w:rFonts w:ascii="Arial" w:cs="Arial" w:eastAsia="Arial" w:hAnsi="Arial"/>
          <w:sz w:val="14"/>
          <w:szCs w:val="14"/>
          <w:b w:val="1"/>
          <w:bCs w:val="1"/>
          <w:color w:val="auto"/>
        </w:rPr>
        <w:t>In January 2010, the CPUC approved SDG&amp;E's and the Division of Ratepayer Advocates' (DRA) joint petition to delay SDG&amp;E's next scheduled cost of capital proceeding for two years. With this approval, SDG&amp;E's next cost of capital application is scheduled to be filed in April 2012 for a 2013 test year, consistent with the schedule for cost of capital applications for each of Southern California Edison (Edison) and Pacific Gas and Electric (PG&amp;E).</w:t>
      </w:r>
    </w:p>
    <w:p>
      <w:pPr>
        <w:spacing w:after="0" w:line="34"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b w:val="1"/>
          <w:bCs w:val="1"/>
          <w:color w:val="auto"/>
        </w:rPr>
        <w:t>In addition to establishing the authorized rate of return, a cost of capital proceeding also addresses market-based benchmarks to be monitored to determine whether an adjustment to the established authorized rate of return is required during the interim years between cost of capital proceedings. SDG&amp;E’s cost of capital benchmark is based on the 12-month average monthly A-rated utility bond yield as published by Moody’s for the 12-month period October through September of each fiscal year. If this 12-month average falls outside of the range of 5.02 percent to 7.02 percent, SDG&amp;E’s authorized rate of return would be adjusted, upward or downward, by one-half of the difference between the 12-month average and 6.02 percent (SDG&amp;E’s benchmark interest rate), effective January 1 following the year in which the benchmark range was exceeded.</w:t>
      </w:r>
    </w:p>
    <w:p>
      <w:pPr>
        <w:spacing w:after="0" w:line="75" w:lineRule="exact"/>
        <w:rPr>
          <w:sz w:val="20"/>
          <w:szCs w:val="20"/>
          <w:color w:val="auto"/>
        </w:rPr>
      </w:pPr>
    </w:p>
    <w:p>
      <w:pPr>
        <w:ind w:right="100"/>
        <w:spacing w:after="0" w:line="301" w:lineRule="auto"/>
        <w:rPr>
          <w:sz w:val="20"/>
          <w:szCs w:val="20"/>
          <w:color w:val="auto"/>
        </w:rPr>
      </w:pPr>
      <w:r>
        <w:rPr>
          <w:rFonts w:ascii="Arial" w:cs="Arial" w:eastAsia="Arial" w:hAnsi="Arial"/>
          <w:sz w:val="14"/>
          <w:szCs w:val="14"/>
          <w:b w:val="1"/>
          <w:bCs w:val="1"/>
          <w:color w:val="auto"/>
        </w:rPr>
        <w:t>SoCalGas’ cost of capital trigger mechanism identifies two conditions for determining whether a change in the authorized rate of return is required. Both conditions are based on the 30-year Treasury Bond Yields – one being the most recent 12-month rolling average yield and the second being the corresponding 12-month forecasted rolling yield on 30-year Treasury Bonds as published by Global Insights. If both interest rates fall outside a range of 3.88 percent to 6.88 percent, SoCalGas’ authorized rate of return would be adjusted, upward or downward, by one-half of the difference between the historical 12-month rolling average yield and 5.38 percent (SoCalGas' benchmark interest rate), effective January 1 following the year in which both conditions were exceeded.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 September 30, 2010, neither SDG&amp;E’s nor SoCalGas’ benchmark ranges have been exceeded.</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ADVANCED METERING INFRASTRUCTURE</w:t>
      </w:r>
    </w:p>
    <w:p>
      <w:pPr>
        <w:spacing w:after="0" w:line="94"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b w:val="1"/>
          <w:bCs w:val="1"/>
          <w:color w:val="auto"/>
        </w:rPr>
        <w:t>In April 2010, the C PUC issued a decision approving SoCalGas' application to upgrade approximately six million natural gas meters with an advanced metering infrastructure (AMI), subject to certain safeguards to better ensure its cost effectiveness for ratepayers. The approved cost of the project is $1.05 billion (including approximately $900 million in capital investment), with SoCalGas being subject to risk/reward sharing for costs above or below this amount. Installation of the meters is expected to begin in late 2012 and continue through 2017.</w:t>
      </w:r>
    </w:p>
    <w:p>
      <w:pPr>
        <w:spacing w:after="0" w:line="73"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b w:val="1"/>
          <w:bCs w:val="1"/>
          <w:color w:val="auto"/>
        </w:rPr>
        <w:t>In May 2010, The Utility Reform Network (TURN) and the Utility Workers Union of America (UWUA) Local 132, parties opposing SoCalGas' AMI application, filed an application for rehearing of the CPUC's decision. The application for rehearing is still pending.</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 REQUEST FOR AUTHORITY TO INVEST IN WIND FARM</w:t>
      </w:r>
    </w:p>
    <w:p>
      <w:pPr>
        <w:spacing w:after="0" w:line="190"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b w:val="1"/>
          <w:bCs w:val="1"/>
          <w:color w:val="auto"/>
        </w:rPr>
        <w:t>In July 2010, SDG&amp;E filed a request with the CPUC seeking authority to make a tax equity investment in the holding company of a wind farm project in an amount not to exceed $600 million. SDG&amp;E is seeking to treat the investment as a rate-based asset for which it would earn its authorized rate of return. A CPUC decision is expected in 2011.</w:t>
      </w:r>
    </w:p>
    <w:p>
      <w:pPr>
        <w:spacing w:after="0" w:line="165" w:lineRule="exact"/>
        <w:rPr>
          <w:sz w:val="20"/>
          <w:szCs w:val="20"/>
          <w:color w:val="auto"/>
        </w:rPr>
      </w:pPr>
    </w:p>
    <w:p>
      <w:pPr>
        <w:ind w:right="100"/>
        <w:spacing w:after="0" w:line="317" w:lineRule="auto"/>
        <w:rPr>
          <w:sz w:val="20"/>
          <w:szCs w:val="20"/>
          <w:color w:val="auto"/>
        </w:rPr>
      </w:pPr>
      <w:r>
        <w:rPr>
          <w:rFonts w:ascii="Arial" w:cs="Arial" w:eastAsia="Arial" w:hAnsi="Arial"/>
          <w:sz w:val="14"/>
          <w:szCs w:val="14"/>
          <w:b w:val="1"/>
          <w:bCs w:val="1"/>
          <w:color w:val="auto"/>
        </w:rPr>
        <w:t>If approved by the CPUC, and after the wind farm project has met all of the conditions precedent set forth in the definitive documents, SDG&amp;E would invest in one or more project holding companies in an amount not to exceed 80% of the project costs (not to exceed an aggregate amount of $600 million) upon the initiation of commercial operation of the project. SDG&amp;E expects the project to be in commercial operation in the second half of 2012.</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2007 WILDFIRES COST RECOVERY FOR COMPANY FACILITIES</w:t>
      </w:r>
    </w:p>
    <w:p>
      <w:pPr>
        <w:spacing w:after="0" w:line="190" w:lineRule="exact"/>
        <w:rPr>
          <w:sz w:val="20"/>
          <w:szCs w:val="20"/>
          <w:color w:val="auto"/>
        </w:rPr>
      </w:pPr>
    </w:p>
    <w:p>
      <w:pPr>
        <w:spacing w:after="0" w:line="258" w:lineRule="auto"/>
        <w:rPr>
          <w:sz w:val="20"/>
          <w:szCs w:val="20"/>
          <w:color w:val="auto"/>
        </w:rPr>
      </w:pPr>
      <w:r>
        <w:rPr>
          <w:rFonts w:ascii="Arial" w:cs="Arial" w:eastAsia="Arial" w:hAnsi="Arial"/>
          <w:sz w:val="16"/>
          <w:szCs w:val="16"/>
          <w:b w:val="1"/>
          <w:bCs w:val="1"/>
          <w:color w:val="auto"/>
        </w:rPr>
        <w:t>In October 2010, the CPUC issued a decision approving a settlement agreement between SDG&amp;E and the DRA, authorizing SDG&amp;E to recover $43 million of capital costs incurred to replace and repair company facilities under CPUC jurisdiction damaged by the October 2007 wildfires. This decision was in response to an application that SDG&amp;E filed with the CPUC in March 2009 seeking to recover $49.8 million of incremental costs ($43 million of capital costs and $6.8 million of operation and maintenance costs), which application was protested by the DRA.</w:t>
      </w:r>
    </w:p>
    <w:p>
      <w:pPr>
        <w:spacing w:after="0" w:line="16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color w:val="auto"/>
        </w:rPr>
        <w:t>SDG&amp;E also incurred $30.1 million of incremental costs for the replacement and repair of company facilities under FERC jurisdiction, which are currently being recovered in SDG&amp;E's electric transmission rates.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discuss recovery of 2007 wildfire litigation costs in Note 10.</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COST RECOVERY</w:t>
      </w:r>
    </w:p>
    <w:p>
      <w:pPr>
        <w:spacing w:after="0" w:line="98" w:lineRule="exact"/>
        <w:rPr>
          <w:sz w:val="20"/>
          <w:szCs w:val="20"/>
          <w:color w:val="auto"/>
        </w:rPr>
      </w:pPr>
    </w:p>
    <w:p>
      <w:pPr>
        <w:ind w:right="20"/>
        <w:spacing w:after="0" w:line="314" w:lineRule="auto"/>
        <w:rPr>
          <w:sz w:val="20"/>
          <w:szCs w:val="20"/>
          <w:color w:val="auto"/>
        </w:rPr>
      </w:pPr>
      <w:r>
        <w:rPr>
          <w:rFonts w:ascii="Arial" w:cs="Arial" w:eastAsia="Arial" w:hAnsi="Arial"/>
          <w:sz w:val="14"/>
          <w:szCs w:val="14"/>
          <w:color w:val="auto"/>
        </w:rPr>
        <w:t>SDG&amp;E filed an application with the CPUC in August 2009 seeking authorization to recover higher liability insurance premiums, which SDG&amp;E began incurring commencing July 1, 2009, and any losses realized due to higher deductibles associated with the new policies. Evidentiary hearings were held in April 2010 and a final CPUC decision is expected by the end of 2010. SDG&amp;E made the filing under the CPUC’s rules allowing utilities to seek recovery of significant cost increases incurred between GRC filings resulting from unforeseen</w:t>
      </w:r>
    </w:p>
    <w:p>
      <w:pPr>
        <w:sectPr>
          <w:pgSz w:w="11900" w:h="16875" w:orient="portrait"/>
          <w:cols w:equalWidth="0" w:num="1">
            <w:col w:w="11440"/>
          </w:cols>
          <w:pgMar w:left="240" w:top="127" w:right="219" w:bottom="0" w:gutter="0" w:footer="0" w:header="0"/>
        </w:sectPr>
      </w:pPr>
    </w:p>
    <w:bookmarkStart w:id="39" w:name="page40"/>
    <w:bookmarkEnd w:id="39"/>
    <w:p>
      <w:pPr>
        <w:ind w:right="40"/>
        <w:spacing w:after="0" w:line="297" w:lineRule="auto"/>
        <w:rPr>
          <w:sz w:val="20"/>
          <w:szCs w:val="20"/>
          <w:color w:val="auto"/>
        </w:rPr>
      </w:pPr>
      <w:r>
        <w:rPr>
          <w:rFonts w:ascii="Arial" w:cs="Arial" w:eastAsia="Arial" w:hAnsi="Arial"/>
          <w:sz w:val="14"/>
          <w:szCs w:val="14"/>
          <w:color w:val="auto"/>
        </w:rPr>
        <w:t>circumstances. SDG&amp;E is requesting a $29 million revenue requirement for the 2009/2010 policy period for the incremental increase in its liability and wildfire insurance premium costs above what is currently authorized in rates and proposes a mechanism for recovery of future liability insurance costs incurred in the 2010/2011 policy period and the first six months of the 2011/2012 policy period. The CPUC's rules allow a utility to seek recovery of incurred costs that meet certain criteria, subject to a $5 million deductible per event. SDG&amp;E has asked that the increase in liability insurance costs for the 2009/2010, 2010/2011 and the first six months of the 2011/2012 policy periods be deemed a single event subject to one $5 million deductible. In the nine months ended September 30, 2010 and 2009, SDG&amp;E's after-tax earnings were adversely impacted by $20 million and $5 million, respectively, due to the incremental insurance premiums associated with its wildfire coverage.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EXCESS WILDFIRE CLAIMS COST RECOVERY</w:t>
      </w:r>
    </w:p>
    <w:p>
      <w:pPr>
        <w:spacing w:after="0" w:line="9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SDG&amp;E and SoCalGas filed an application, along with other related filings, with the CPUC in August 2009 proposing a new mechanism for the future recovery of all wildfire-related expenses for claims, litigation expenses and insu rance premiums that are in excess of amounts authorized by the CPUC for recovery in rates. In connection with these filings, SDG&amp;E is seeking the recovery of costs incurred by SDG&amp;E for the 2007 wildfire losses that are in excess of amounts recovered from its insurance coverage and other potentially responsible third parties, as well as similar costs for future wildfires, if and when incurred. The application for a new mechanism for recovery of costs incurred for future wildfires was made jointly with Edison and PG&amp;E. In July 2010, the CPUC approved the utilities' requests for separate regulatory accounts to record the subject expenses while the joint utility application is pending before the CPUC. Several parties protested the original application and, in response, the utilities submitted an amended application in July 2010. A proceeding schedule has not yet been established.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We provide additional information about 2007 wildfire litigation costs and thei r recovery in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528955</wp:posOffset>
            </wp:positionV>
            <wp:extent cx="726186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auto"/>
        </w:rPr>
        <w:t>NOTE 10. COMMITMENTS AND CONTINGENCIES</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98"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We record loss reserves for legal proceedings when it is probable that a loss has been incurred and the amounts of the loss can be reasonably estimated. However, the uncertainties inherent in legal proceedings make it difficult to estimate with reasonable certainty the costs and effects of resolving these matters. Accordingly, actual costs incurred may differ materially from reserved amounts, may exceed applicab le insurance coverages and could materially adversely affect our business, cash flows, results of operations, and financial condition.</w:t>
      </w:r>
    </w:p>
    <w:p>
      <w:pPr>
        <w:spacing w:after="0" w:line="7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At September 30, 2010, Sempra Energy’s reserves for material legal proceedings, on a consolidated basis, were $619 million, of which $150 million is offset by an insurance receivable for wildfire litigation and $102 million is for previously resolved matters. At September 30, 2010, these reserves for SDG&amp;E and SoCalGas were $345 million (also offset by the $150 million insurance receivable) and $13 million, respectively. We provide additional information about previously resolved matters in Note 17 of the Notes to Consolidated Financial Statements in the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 2007 Wildfire Litigation</w:t>
      </w:r>
    </w:p>
    <w:p>
      <w:pPr>
        <w:spacing w:after="0" w:line="5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approximately 1,141 homes destroyed.</w:t>
      </w:r>
    </w:p>
    <w:p>
      <w:pPr>
        <w:spacing w:after="0" w:line="79"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A September 2008 staff report issued by the CPUC's Consumer Protection and Safety Division reached substantially the same conclusions as the Cal Fire reports, but also contended that the power lines involved in the Witch and Rice fires and the lashing wire involv ed in the Guejito fire were not properly designed, constructed and maintained. In November 2008, the CPUC initiated proceedings to determine if any of its rules were violated and in October 2009, SDG&amp;E and the Consumer Protection and Safety Division entered into a settlement agreement, approved by the CPUC in April 2010, that resolves these proceedings by SDG&amp;E's payment of $14.75 million.</w:t>
      </w:r>
    </w:p>
    <w:p>
      <w:pPr>
        <w:spacing w:after="0" w:line="46" w:lineRule="exact"/>
        <w:rPr>
          <w:sz w:val="20"/>
          <w:szCs w:val="20"/>
          <w:color w:val="auto"/>
        </w:rPr>
      </w:pPr>
    </w:p>
    <w:p>
      <w:pPr>
        <w:ind w:right="60"/>
        <w:spacing w:after="0" w:line="294" w:lineRule="auto"/>
        <w:rPr>
          <w:sz w:val="20"/>
          <w:szCs w:val="20"/>
          <w:color w:val="auto"/>
        </w:rPr>
      </w:pPr>
      <w:r>
        <w:rPr>
          <w:rFonts w:ascii="Arial" w:cs="Arial" w:eastAsia="Arial" w:hAnsi="Arial"/>
          <w:sz w:val="14"/>
          <w:szCs w:val="14"/>
          <w:color w:val="auto"/>
        </w:rPr>
        <w:t>Numerous parties have sued SDG&amp;E and Sempra Energy in San Diego County Superior Court seeking recovery of unspecified amounts of damages, including punitive damages, from the three fires. These include owners and insurers of properties that were destroyed or damaged in the fires and public entities seeking recovery of firefighting, emergency response, and environmental costs.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 In October 2010, the court of appeal affirmed the trial court's ruling that these claims must be pursued in individual lawsuits (rather than as class actions on behalf of all persons who incurred wildfire damages). SDG&amp;E has filed cross-complaints against Cox Communications seeking indemnification for any liability that SDG&amp;E may incur that relates to the Guejito fire, two SDG&amp;E contractors seeking indemnification in connection with the Witch fire, and one SDG&amp;E contractor seeking indemnification in connection with the Rice fire. The court has scheduled a Guejito fire trial for two individual plaintiffs to begin in March 2011.</w:t>
      </w:r>
    </w:p>
    <w:p>
      <w:pPr>
        <w:spacing w:after="0" w:line="5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SDG&amp;E has settled substantially all of the 19,000 claims of homeowner insurers relating to the three fires, including claims for payment by the insurers to their policyholders for approximately 1,000 of the 1,300 houses, mobile homes, and apartment units identified in public records as having been destroyed. Under the settlement agreements, SDG&amp;E has paid or will pay 57.5 percent of the approximately $1.6 billion paid or reserved for payment by the insurers to their policyholders and received an assignment of the insurers’ claims against Cox Communications and other parties potentially responsible for the fires.</w:t>
      </w:r>
    </w:p>
    <w:p>
      <w:pPr>
        <w:spacing w:after="0" w:line="79" w:lineRule="exact"/>
        <w:rPr>
          <w:sz w:val="20"/>
          <w:szCs w:val="20"/>
          <w:color w:val="auto"/>
        </w:rPr>
      </w:pPr>
    </w:p>
    <w:p>
      <w:pPr>
        <w:ind w:right="160"/>
        <w:spacing w:after="0" w:line="305" w:lineRule="auto"/>
        <w:rPr>
          <w:sz w:val="20"/>
          <w:szCs w:val="20"/>
          <w:color w:val="auto"/>
        </w:rPr>
      </w:pPr>
      <w:r>
        <w:rPr>
          <w:rFonts w:ascii="Arial" w:cs="Arial" w:eastAsia="Arial" w:hAnsi="Arial"/>
          <w:sz w:val="14"/>
          <w:szCs w:val="14"/>
          <w:color w:val="auto"/>
        </w:rPr>
        <w:t>The wildfire litigation also includes claims of non-insurer plaintiffs for damage to uninsured and underinsured structures, business interruption, evacuation expenses, agricultural damage, emotional harm, personal injuries and other losses. SDG&amp;E has settled the claims of approximately 450 of these plaintiffs. Of the approximately 2,500 remaining plaintiffs, approximately 1,200 have thus far submitted settlement demands or damage information. Individual and business claims total approximately $825 million and government entity claims total approximately $150 million. SDG&amp;E expects to receive additional settlement demands and damage estimates as settlement negotiations continue.</w:t>
      </w:r>
    </w:p>
    <w:p>
      <w:pPr>
        <w:spacing w:after="0" w:line="46" w:lineRule="exact"/>
        <w:rPr>
          <w:sz w:val="20"/>
          <w:szCs w:val="20"/>
          <w:color w:val="auto"/>
        </w:rPr>
      </w:pPr>
    </w:p>
    <w:p>
      <w:pPr>
        <w:ind w:right="120"/>
        <w:spacing w:after="0" w:line="314" w:lineRule="auto"/>
        <w:rPr>
          <w:sz w:val="20"/>
          <w:szCs w:val="20"/>
          <w:color w:val="auto"/>
        </w:rPr>
      </w:pPr>
      <w:r>
        <w:rPr>
          <w:rFonts w:ascii="Arial" w:cs="Arial" w:eastAsia="Arial" w:hAnsi="Arial"/>
          <w:sz w:val="14"/>
          <w:szCs w:val="14"/>
          <w:color w:val="auto"/>
        </w:rPr>
        <w:t>SDG&amp;E's settlements and defense costs have exceeded its $1.1 billion of liability insurance coverage. SDG&amp;E has established reserves for its estimated cost of resolving the remaining claims for damages of approximately 1,300 plaintiffs. It expects that its wildfire reserves and amounts paid to resolve wildfire claims will continue to increase as it obtains additional information and is unable to reasonably estimate the amount or timing of recoveries from other potentially responsible parties.</w:t>
      </w:r>
    </w:p>
    <w:p>
      <w:pPr>
        <w:spacing w:after="0" w:line="4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SDG&amp;E has concluded, however, that it is probable that it will be permitted to recover from its utility customers substantially all reasonably incurred costs of resolving wildfire claims in excess of its liability insurance coverage and any amounts recovered from other potent ially responsible parties. Accordingly, although recovery from utility customers will require future regulatory actions as we discuss in Note 9, SDG&amp;E has recorded a regulatory asset in an amount substantially equal to the aggregate amount it has paid or reserved for payment for the resolution of wildfire claims and related costs in excess of its liability insurance coverage. SDG&amp;E will increase the amount of the regulatory asset as additional amounts are paid or reserves are recorded and reduce it by any amounts recovered from other potentially responsible parties. As of September 30, 2010, the amount of the regulatory asset was $311 million.</w:t>
      </w:r>
    </w:p>
    <w:p>
      <w:pPr>
        <w:spacing w:after="0" w:line="80"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Consequently, Sempra Energy and SDG&amp;E expect no significant earnings impact from the resolution of the remaining wildfire claims. However, SDG&amp;E’s cash flow will be adversely affected by timing differences between the resolution of claims and recoveries from other potentially responsible parties and utility cus tomers, which may extend over a number of years. Also, recovery from customers will require future regulatory actions, and a failure to obtain recovery, or any negative assessment of the likelihood of recovery, would likely have a material adverse effect on Sempra Energy's and SDG&amp;E's cash flows and results of operations.</w:t>
      </w:r>
    </w:p>
    <w:p>
      <w:pPr>
        <w:spacing w:after="0" w:line="46" w:lineRule="exact"/>
        <w:rPr>
          <w:sz w:val="20"/>
          <w:szCs w:val="20"/>
          <w:color w:val="auto"/>
        </w:rPr>
      </w:pPr>
    </w:p>
    <w:p>
      <w:pPr>
        <w:ind w:right="260"/>
        <w:spacing w:after="0" w:line="342" w:lineRule="auto"/>
        <w:rPr>
          <w:sz w:val="20"/>
          <w:szCs w:val="20"/>
          <w:color w:val="auto"/>
        </w:rPr>
      </w:pPr>
      <w:r>
        <w:rPr>
          <w:rFonts w:ascii="Arial" w:cs="Arial" w:eastAsia="Arial" w:hAnsi="Arial"/>
          <w:sz w:val="14"/>
          <w:szCs w:val="14"/>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w:t>
      </w:r>
    </w:p>
    <w:p>
      <w:pPr>
        <w:sectPr>
          <w:pgSz w:w="11900" w:h="16838" w:orient="portrait"/>
          <w:cols w:equalWidth="0" w:num="1">
            <w:col w:w="11440"/>
          </w:cols>
          <w:pgMar w:left="240" w:top="131" w:right="219" w:bottom="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Sempra LNG</w:t>
      </w:r>
    </w:p>
    <w:p>
      <w:pPr>
        <w:sectPr>
          <w:pgSz w:w="11900" w:h="16838" w:orient="portrait"/>
          <w:cols w:equalWidth="0" w:num="1">
            <w:col w:w="11440"/>
          </w:cols>
          <w:pgMar w:left="240" w:top="131" w:right="219" w:bottom="0" w:gutter="0" w:footer="0" w:header="0"/>
          <w:type w:val="continuous"/>
        </w:sectPr>
      </w:pPr>
    </w:p>
    <w:bookmarkStart w:id="40" w:name="page41"/>
    <w:bookmarkEnd w:id="40"/>
    <w:p>
      <w:pPr>
        <w:ind w:right="40"/>
        <w:spacing w:after="0" w:line="297" w:lineRule="auto"/>
        <w:rPr>
          <w:sz w:val="20"/>
          <w:szCs w:val="20"/>
          <w:color w:val="auto"/>
        </w:rPr>
      </w:pPr>
      <w:r>
        <w:rPr>
          <w:rFonts w:ascii="Arial" w:cs="Arial" w:eastAsia="Arial" w:hAnsi="Arial"/>
          <w:sz w:val="14"/>
          <w:szCs w:val="14"/>
          <w:color w:val="auto"/>
        </w:rPr>
        <w:t>Sempra LNG has been engaged in a long-running land dispute relating to property adjacent to its Energía Costa Azul liquefied natural gas (LNG) receipt terminal near Ensenada, Mexico. The adjacent property is not required by environmental or other regulatory permits for the operation of the terminal. A claimant to the adjacent property has nonetheless asserted that his health and safety are endangered by the operation of the facility. In June 2010, a Mexican federal appeals court revoked a district court order, issued at the behest of the claimant, directing Mexican regulatory authorities to provisionally suspend authorizations for the operation of the LNG terminal. No terminal permits were affected as a result of these proceedings and the terminal has continued to operate normally. The Mexican district court is expected to conduct additional proceedings regarding the claimant’s assertions and whether the terminal’s permits should be modified or revoked.</w:t>
      </w:r>
    </w:p>
    <w:p>
      <w:pPr>
        <w:spacing w:after="0" w:line="53" w:lineRule="exact"/>
        <w:rPr>
          <w:sz w:val="20"/>
          <w:szCs w:val="20"/>
          <w:color w:val="auto"/>
        </w:rPr>
      </w:pPr>
    </w:p>
    <w:p>
      <w:pPr>
        <w:ind w:right="20"/>
        <w:spacing w:after="0" w:line="342" w:lineRule="auto"/>
        <w:rPr>
          <w:sz w:val="20"/>
          <w:szCs w:val="20"/>
          <w:color w:val="auto"/>
        </w:rPr>
      </w:pPr>
      <w:r>
        <w:rPr>
          <w:rFonts w:ascii="Arial" w:cs="Arial" w:eastAsia="Arial" w:hAnsi="Arial"/>
          <w:sz w:val="14"/>
          <w:szCs w:val="14"/>
          <w:color w:val="auto"/>
        </w:rPr>
        <w:t>The property claimant has also filed a lawsuit in U.S. district court in San Diego seeking compensatory and punitive damages and earnings from the Energía Costa Azul LNG terminal based on his allegations that he was wrongfully evicted from the adjacent property and that he has been harmed by other allegedly improper actions.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Energy Crisis Litigation Settlement</w:t>
      </w:r>
    </w:p>
    <w:p>
      <w:pPr>
        <w:spacing w:after="0" w:line="5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Sempra Energy, RBS Sempra Commodities and Sempra Generation have reached a comprehensive settlement to resolve substantially all of their remaining energy crisis litigation for a total payment of $410 million. Described in more detail below, the matters resolved by the settlement include the multiple actions brought by the California Department of Water Resources (DWR) and other parties with respect to the validity, pricing and operation of Sempra Generation’s contract with the DWR and the FERC refu nd and manipulation proceedings against RBS Sempra Commodities. Two settlement agreements were submitted in October 2010 to the FERC for its approval. We anticipate that the FERC will act on the settlements in the first quarter of 2011.</w:t>
      </w:r>
    </w:p>
    <w:p>
      <w:pPr>
        <w:spacing w:after="0" w:line="7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expect the settlement of $410 million to be funded largely from previously recorded reserves and receivables at RBS Sempra Commodities. Sempra Energy has also recorded an additional pretax charge of $159 million in the first quarter of 2010 to provide for the remainder of the settlement, including $139 million at Sempra Generation and $20 million at Sempra Commodities.</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DWR Contract</w:t>
      </w:r>
    </w:p>
    <w:p>
      <w:pPr>
        <w:spacing w:after="0" w:line="104" w:lineRule="exact"/>
        <w:rPr>
          <w:sz w:val="20"/>
          <w:szCs w:val="20"/>
          <w:color w:val="auto"/>
        </w:rPr>
      </w:pPr>
    </w:p>
    <w:p>
      <w:pPr>
        <w:ind w:right="120"/>
        <w:spacing w:after="0" w:line="300" w:lineRule="auto"/>
        <w:rPr>
          <w:sz w:val="20"/>
          <w:szCs w:val="20"/>
          <w:color w:val="auto"/>
        </w:rPr>
      </w:pPr>
      <w:r>
        <w:rPr>
          <w:rFonts w:ascii="Arial" w:cs="Arial" w:eastAsia="Arial" w:hAnsi="Arial"/>
          <w:sz w:val="14"/>
          <w:szCs w:val="14"/>
          <w:color w:val="auto"/>
        </w:rPr>
        <w:t>Among other relief from existing and potential disputes, under the terms of the settlement reached on the DWR contract, all claims, appeals and proceedings related to the DWR contract will be dismissed. These matters include the 2002 challenge bro ught by the California Energy Oversight Board (CEOB) and the CPUC at the FERC asserting that the DWR contract with Sempra Generation contained unjust and unreasonable rates; the DWR’s appeal in response to the denial of its 2002 claims for misrepresentation and breach of contract in San Diego Superior Court; and the 2008 arbitration proceedings in which the DWR asserted that Sempra Generation had breached the parties' agreement in various operational respects, and violated the order issued by an earlier arbitration panel relating to the amount refunded to the DWR and the manner in which Sempra Generation operates.</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FERC Refund Proceedings</w:t>
      </w:r>
    </w:p>
    <w:p>
      <w:pPr>
        <w:spacing w:after="0" w:line="104" w:lineRule="exact"/>
        <w:rPr>
          <w:sz w:val="20"/>
          <w:szCs w:val="20"/>
          <w:color w:val="auto"/>
        </w:rPr>
      </w:pPr>
    </w:p>
    <w:p>
      <w:pPr>
        <w:ind w:right="80"/>
        <w:spacing w:after="0" w:line="300" w:lineRule="auto"/>
        <w:rPr>
          <w:sz w:val="20"/>
          <w:szCs w:val="20"/>
          <w:color w:val="auto"/>
        </w:rPr>
      </w:pPr>
      <w:r>
        <w:rPr>
          <w:rFonts w:ascii="Arial" w:cs="Arial" w:eastAsia="Arial" w:hAnsi="Arial"/>
          <w:sz w:val="14"/>
          <w:szCs w:val="14"/>
          <w:color w:val="auto"/>
        </w:rPr>
        <w:t>The settlement involving RBS Sempra Commodities includes, among other things, resolution of the following matters: the FERC's investigation of prices charged by various electric suppliers to buyers in the California Power Exchange (PX) and Independent System Operator (ISO) m arkets; a complaint involving short-term bilateral sales up to one month in the Pacific Northwest (the settlement resolves the sales between the DWR and Sempra Commodities); the California Attorney General's complaint that electricity sellers had failed to comply with the FERC's quarterly reporting requirements; and the California Attorney General's complaint seeking to collect for alleged overcharges related to all short-term bilateral transactions between sellers and the DWR from January 18, 2001 through June 20, 2001.</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FERC Manipulation Investigation</w:t>
      </w:r>
    </w:p>
    <w:p>
      <w:pPr>
        <w:spacing w:after="0" w:line="104"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The settlement involving RBS Sempra Commodities also includes resolution of the FERC's separate investigation into whether there was manipulation of short-term energy markets in the western United States that would constitute violations of applicable tariffs and warrant disgorgement of associated profits.</w:t>
      </w:r>
    </w:p>
    <w:p>
      <w:pPr>
        <w:spacing w:after="0" w:line="6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Sempra Energy and RBS Sempra Commodities have recorded reserves for the full amount of the settlement and other litigation. Pursuant to the agreements related to the formation of RBS Sempra Commodities, we have indemnified RBS should the liability from the final resolution of these matters be greater than the reserves related to Sempra Commodities. Pursuant to our agreement with the Noble Group as we discuss in Note 4, we have also indemnified Noble Americas Gas &amp; Power Corp. and its affiliates for all losses incurred by such parties resulting from these proceedings as related to Sempra Commodities.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Litigation</w:t>
      </w:r>
    </w:p>
    <w:p>
      <w:pPr>
        <w:spacing w:after="0" w:line="56"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Sempra Energy and several subsidiaries, along with three oil and natural gas companies, the City of Beverly Hills, and the Beverly Hills Unified School District, are defendants in a toxic tort lawsuit filed in Los Angeles County Superior Court by approxima tely 1,000 plaintiffs. This lawsuit claims that various emissions resulted in cancer or fear of cancer. We have submitted the case to our insurers, who have reserved their rights with respect to coverage. In November 2006, the court granted the defendants' summary judgment motions based on lack of medical causation for the 12 initial plaintiffs scheduled to go to trial first. The court also granted summary judgment excluding punitive damages. The court has stayed the case as to the remaining plaintiffs pending the appeal of the rulings. A mediation occurred in June 2010, after which the plaintiffs’ counsel agreed to recommend a settlement of the lawsuits as to Sempra Energy and its subsidiaries for an amount that is not significant. Any such settlement will require approval by each of the plaintiffs. If approval is obtained, finalization of the settlement is expected to occur within six months.</w:t>
      </w:r>
    </w:p>
    <w:p>
      <w:pPr>
        <w:spacing w:after="0" w:line="55"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We are also defendants in ordinary routine lit igation incidental to our businesses, including personal injury, product liability, property damage and other claims. California juries have demonstrated an increasing willingness to grant large awards, including punitive damages, in these cases.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Wildfire Reserves and Insurance Receivables</w:t>
      </w:r>
    </w:p>
    <w:p>
      <w:pPr>
        <w:spacing w:after="0" w:line="56"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In 2009 and 2010, as liabilities for wildfire litigation have become reasonably estimable, SDG&amp;E has recorded related reserves as a current liability. The impact of this liability is offset by a current receivable resulting from SDG&amp;E’s liability insurance and, for reserves in excess of the insurance coverage, the recognition of a regulatory asset, as discussed above. There was no effect on SDG&amp;E's or Sempra Energy's 2009 earnings from the recording of the reserves. The impact on their 2010 earnings was $7 million and $17 million in the three months and nine months ended September 30, 2010, respect ively. At September 30, 2010, wildfire litigation reserves were $344 million and the receivable from SDG&amp;E's insurers was $150 million.</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INSURANCE</w:t>
      </w:r>
    </w:p>
    <w:p>
      <w:pPr>
        <w:spacing w:after="0" w:line="98"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SDG&amp;E and the other owners of San Onofre Nuclear Generating Station (SONGS) have insurance to cover claims from nuclear liability incidents arising at SONGS. This insurance provides $375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$375 million insurance limit, all nuclear reactor owners could be required to contribute to the SFP. SDG&amp;E's contribution would be up to $47 million. This amount is subject to an annual maximu m of $7 million, unless a default occurs by any other SONGS owner. If the SFP is insufficient to cover the liability loss, SDG&amp;E could be subject to an additional assessment.</w:t>
      </w:r>
    </w:p>
    <w:p>
      <w:pPr>
        <w:spacing w:after="0" w:line="50" w:lineRule="exact"/>
        <w:rPr>
          <w:sz w:val="20"/>
          <w:szCs w:val="20"/>
          <w:color w:val="auto"/>
        </w:rPr>
      </w:pPr>
    </w:p>
    <w:p>
      <w:pPr>
        <w:ind w:right="60"/>
        <w:spacing w:after="0" w:line="305" w:lineRule="auto"/>
        <w:rPr>
          <w:sz w:val="20"/>
          <w:szCs w:val="20"/>
          <w:color w:val="auto"/>
        </w:rPr>
      </w:pPr>
      <w:r>
        <w:rPr>
          <w:rFonts w:ascii="Arial" w:cs="Arial" w:eastAsia="Arial" w:hAnsi="Arial"/>
          <w:sz w:val="14"/>
          <w:szCs w:val="14"/>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a mutual insurance company. Insured members are subject to retrospective premium assessments. SDG&amp;E could be assessed up to $8.5 million.</w:t>
      </w:r>
    </w:p>
    <w:p>
      <w:pPr>
        <w:spacing w:after="0" w:line="4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nuclear property insurance program includes an industry aggregate loss limit for non-cert 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ectPr>
          <w:pgSz w:w="11900" w:h="16838" w:orient="portrait"/>
          <w:cols w:equalWidth="0" w:num="1">
            <w:col w:w="11440"/>
          </w:cols>
          <w:pgMar w:left="240" w:top="131" w:right="219" w:bottom="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In the first nine months of 2010, significant increases in commitments at Sempra Energy were</w:t>
      </w:r>
    </w:p>
    <w:p>
      <w:pPr>
        <w:sectPr>
          <w:pgSz w:w="11900" w:h="16838" w:orient="portrait"/>
          <w:cols w:equalWidth="0" w:num="1">
            <w:col w:w="11440"/>
          </w:cols>
          <w:pgMar w:left="240" w:top="131" w:right="219" w:bottom="0" w:gutter="0" w:footer="0" w:header="0"/>
          <w:type w:val="continuous"/>
        </w:sectPr>
      </w:pPr>
    </w:p>
    <w:bookmarkStart w:id="41" w:name="page42"/>
    <w:bookmarkEnd w:id="41"/>
    <w:p>
      <w:pPr>
        <w:ind w:left="140" w:right="1820"/>
        <w:spacing w:after="0" w:line="313" w:lineRule="auto"/>
        <w:rPr>
          <w:sz w:val="20"/>
          <w:szCs w:val="20"/>
          <w:color w:val="auto"/>
        </w:rPr>
      </w:pPr>
      <w:r>
        <w:rPr>
          <w:rFonts w:ascii="Arial" w:cs="Arial" w:eastAsia="Arial" w:hAnsi="Arial"/>
          <w:sz w:val="16"/>
          <w:szCs w:val="16"/>
          <w:color w:val="auto"/>
        </w:rPr>
        <w:t>§the issuance of $250 million of 5.35-percent first mortgage bonds and $500 million of 4.50-percent first mortgage bonds maturing in 2040 at SDG&amp;E; §$453 million for purchased-power contracts at SDG&amp;E;</w:t>
      </w:r>
    </w:p>
    <w:p>
      <w:pPr>
        <w:ind w:left="140"/>
        <w:spacing w:after="0"/>
        <w:rPr>
          <w:sz w:val="20"/>
          <w:szCs w:val="20"/>
          <w:color w:val="auto"/>
        </w:rPr>
      </w:pPr>
      <w:r>
        <w:rPr>
          <w:rFonts w:ascii="Arial" w:cs="Arial" w:eastAsia="Arial" w:hAnsi="Arial"/>
          <w:sz w:val="16"/>
          <w:szCs w:val="16"/>
          <w:color w:val="auto"/>
        </w:rPr>
        <w:t>§$223 million for costs associated with nuclear fuel fabrication at SONGS;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§$133 million at SDG&amp;E for engineering, material procurement and construction costs associated with the Sunrise Powerlink project;</w:t>
      </w:r>
    </w:p>
    <w:p>
      <w:pPr>
        <w:spacing w:after="0" w:line="56" w:lineRule="exact"/>
        <w:rPr>
          <w:sz w:val="20"/>
          <w:szCs w:val="20"/>
          <w:color w:val="auto"/>
        </w:rPr>
      </w:pPr>
    </w:p>
    <w:p>
      <w:pPr>
        <w:ind w:left="140" w:right="2760"/>
        <w:spacing w:after="0" w:line="322" w:lineRule="auto"/>
        <w:rPr>
          <w:sz w:val="20"/>
          <w:szCs w:val="20"/>
          <w:color w:val="auto"/>
        </w:rPr>
      </w:pPr>
      <w:r>
        <w:rPr>
          <w:rFonts w:ascii="Arial" w:cs="Arial" w:eastAsia="Arial" w:hAnsi="Arial"/>
          <w:sz w:val="16"/>
          <w:szCs w:val="16"/>
          <w:color w:val="auto"/>
        </w:rPr>
        <w:t>§$54 million at SDG&amp;E for electric distribution systems, advanced metering infrastructure, and electric generation plant and equipment; §$52 million for construction and infrastructure improvemen ts for gas transmission and distribution operations at SoCalGas; and §$315 million at Sempra Pipelines &amp; Storage and Sempra LNG for natural gas contracts.</w:t>
      </w:r>
    </w:p>
    <w:p>
      <w:pPr>
        <w:spacing w:after="0" w:line="75" w:lineRule="exact"/>
        <w:rPr>
          <w:sz w:val="20"/>
          <w:szCs w:val="20"/>
          <w:color w:val="auto"/>
        </w:rPr>
      </w:pPr>
    </w:p>
    <w:p>
      <w:pPr>
        <w:ind w:right="320"/>
        <w:spacing w:after="0" w:line="342" w:lineRule="auto"/>
        <w:rPr>
          <w:sz w:val="20"/>
          <w:szCs w:val="20"/>
          <w:color w:val="auto"/>
        </w:rPr>
      </w:pPr>
      <w:r>
        <w:rPr>
          <w:rFonts w:ascii="Arial" w:cs="Arial" w:eastAsia="Arial" w:hAnsi="Arial"/>
          <w:sz w:val="14"/>
          <w:szCs w:val="14"/>
          <w:color w:val="auto"/>
        </w:rPr>
        <w:t>The future payments for the contractual commitments listed above are expected to be $280 million for 2010, $187 million for 2011, $151 million for 2012, $135 million for 2013, $112 million for 2014 and $2.2 billion thereafter. These amounts include expected interest payments on the first mortgage bonds using the stated interest rates.</w:t>
      </w:r>
    </w:p>
    <w:p>
      <w:pPr>
        <w:spacing w:after="0" w:line="21"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Reserves for Sempra Energy and SDG&amp;E related to wildfire litigation are discussed above in “SDG&amp;E 2007 Wildfire Litigation.” Reserves for Sempra Energy related to the FERC and DWR contract settlement litigation are discussed above in “Energy Crisis Litigation Settlement.”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Changes to SoCalGas’ natural gas purchase and pipeline capacity commitments and Sempra LNG’s natural gas purchase and transportation commitments are discussed below.</w:t>
      </w:r>
    </w:p>
    <w:p>
      <w:pPr>
        <w:spacing w:after="0" w:line="127"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At December 31, 2009, Sempra LNG had LNG purchase agreements with Tangguh PSC Contractors and Ras Laffan Liquefied Natural Gas Company. We discuss these agreements further in Note 17 of the Notes to Consolidated Financial Statements in the Annual Report.</w:t>
      </w:r>
    </w:p>
    <w:p>
      <w:pPr>
        <w:spacing w:after="0" w:line="66" w:lineRule="exact"/>
        <w:rPr>
          <w:sz w:val="20"/>
          <w:szCs w:val="20"/>
          <w:color w:val="auto"/>
        </w:rPr>
      </w:pPr>
    </w:p>
    <w:p>
      <w:pPr>
        <w:jc w:val="both"/>
        <w:ind w:right="60"/>
        <w:spacing w:after="0" w:line="314" w:lineRule="auto"/>
        <w:rPr>
          <w:sz w:val="20"/>
          <w:szCs w:val="20"/>
          <w:color w:val="auto"/>
        </w:rPr>
      </w:pPr>
      <w:r>
        <w:rPr>
          <w:rFonts w:ascii="Arial" w:cs="Arial" w:eastAsia="Arial" w:hAnsi="Arial"/>
          <w:sz w:val="14"/>
          <w:szCs w:val="14"/>
          <w:color w:val="auto"/>
        </w:rPr>
        <w:t>In April 2010, Sempra LNG entered into an LNG supply option agreement with Gazprom Global LNG Limited (GGLNG), a subsidiary of OAO Gazprom. The multi-year agreement, which commenced in June 2010, allows GGLNG to deliver and sell up to two LNG cargoes per month to Sempra LNG at its Cameron receipt terminal. GGLNG pays Sempra LNG a fee for the right to deliver and sell the LNG cargoes using a predetermined pricing formula based on a market index.</w:t>
      </w:r>
    </w:p>
    <w:p>
      <w:pPr>
        <w:spacing w:after="0" w:line="40" w:lineRule="exact"/>
        <w:rPr>
          <w:sz w:val="20"/>
          <w:szCs w:val="20"/>
          <w:color w:val="auto"/>
        </w:rPr>
      </w:pPr>
    </w:p>
    <w:p>
      <w:pPr>
        <w:jc w:val="both"/>
        <w:ind w:right="140"/>
        <w:spacing w:after="0" w:line="260" w:lineRule="auto"/>
        <w:rPr>
          <w:sz w:val="20"/>
          <w:szCs w:val="20"/>
          <w:color w:val="auto"/>
        </w:rPr>
      </w:pPr>
      <w:r>
        <w:rPr>
          <w:rFonts w:ascii="Arial" w:cs="Arial" w:eastAsia="Arial" w:hAnsi="Arial"/>
          <w:sz w:val="16"/>
          <w:szCs w:val="16"/>
          <w:color w:val="auto"/>
        </w:rPr>
        <w:t>Sempra LNG’s commitments under all LNG purchase agreements, reflecting the additional recent agreement with GGLNG, changes in forward prices since December 31, 2009, and actual transactions for the first nine months of 2010, are expected to decrease by $1.4 billion in 2010 and $2 million in 2011, to increase by $121 million in 2012, and to decrease by $81 million in 2013, $254 million in 2014 and $4.4 billion thereafter compared to December 31, 2009.</w:t>
      </w:r>
    </w:p>
    <w:p>
      <w:pPr>
        <w:spacing w:after="0" w:line="7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LNG commitment amounts above are based on Sempra LNG’s commitment to accept the maximum possible delivery of cargoes under the agreements. Actual LNG purchases for the nine months ended September 30, 2010 have been significantly lower than the maximum amounts possible.</w:t>
      </w:r>
    </w:p>
    <w:p>
      <w:pPr>
        <w:spacing w:after="0" w:line="66"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Sempra LNG has a natural gas transportation agreement to provide service from the U.S./Mexico border to Southern California and Arizona. At September 30, 2010, Sempra LNG’s remaining commitment on this contract, which runs through August 2022, is $226 million.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SDG&amp;E</w:t>
      </w:r>
    </w:p>
    <w:p>
      <w:pPr>
        <w:spacing w:after="0" w:line="5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In the first nine months of 2010, significant increases to contractual commitments at SDG&amp;E were the issuance of $250 million of 5.35-percent first mortgage bonds maturing in 2040, the issuance of $500 million of 4.50-percent first mortgage bonds maturing in 2040, $453 million for purchased-power contracts, $223 million for costs associated with nuclear fuel fabrication at SONGS, $133 million for engineering, material procurement and construction costs associated with the Sunrise Powerlink project and $54 million for electric distribution systems, advanced metering infrastructure, and electric generation plant and equipment.</w:t>
      </w:r>
    </w:p>
    <w:p>
      <w:pPr>
        <w:spacing w:after="0" w:line="79" w:lineRule="exact"/>
        <w:rPr>
          <w:sz w:val="20"/>
          <w:szCs w:val="20"/>
          <w:color w:val="auto"/>
        </w:rPr>
      </w:pPr>
    </w:p>
    <w:p>
      <w:pPr>
        <w:ind w:right="180"/>
        <w:spacing w:after="0" w:line="342" w:lineRule="auto"/>
        <w:rPr>
          <w:sz w:val="20"/>
          <w:szCs w:val="20"/>
          <w:color w:val="auto"/>
        </w:rPr>
      </w:pPr>
      <w:r>
        <w:rPr>
          <w:rFonts w:ascii="Arial" w:cs="Arial" w:eastAsia="Arial" w:hAnsi="Arial"/>
          <w:sz w:val="14"/>
          <w:szCs w:val="14"/>
          <w:color w:val="auto"/>
        </w:rPr>
        <w:t>The future payments for these contractual com mitments are expected to be $180 million for 2010, $143 million for 2011, $120 million for 2012, $107 million for 2013, $93 million for 2014 and $2 billion thereafter. These amounts include expected interest payments on the first mortgage bonds using the stated 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SoCalGas</w:t>
      </w:r>
    </w:p>
    <w:p>
      <w:pPr>
        <w:spacing w:after="0" w:line="56" w:lineRule="exact"/>
        <w:rPr>
          <w:sz w:val="20"/>
          <w:szCs w:val="20"/>
          <w:color w:val="auto"/>
        </w:rPr>
      </w:pPr>
    </w:p>
    <w:p>
      <w:pPr>
        <w:ind w:right="20"/>
        <w:spacing w:after="0" w:line="342" w:lineRule="auto"/>
        <w:rPr>
          <w:sz w:val="20"/>
          <w:szCs w:val="20"/>
          <w:color w:val="auto"/>
        </w:rPr>
      </w:pPr>
      <w:r>
        <w:rPr>
          <w:rFonts w:ascii="Arial" w:cs="Arial" w:eastAsia="Arial" w:hAnsi="Arial"/>
          <w:sz w:val="14"/>
          <w:szCs w:val="14"/>
          <w:color w:val="auto"/>
        </w:rPr>
        <w:t>In the first nine months of 2010, significant increases to contractual commitments at SoCalGas were $52 million for construction and infrastructure improvements for gas transmission and distribution operations. The future payments for these contractual commitments are expected to be $39 million for 2010 and $13 million for 2011.</w:t>
      </w:r>
    </w:p>
    <w:p>
      <w:pPr>
        <w:spacing w:after="0" w:line="2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SoCalGas’ natural gas purchase and pipeline capacity commitments have decreased by $682 million since December 31, 2009. The decrease, primarily due to a reduction of $1.1 billion based on lower natural gas forward p rices and actual transactions for the first nine months of 2010, is offset by new natural gas purchase and pipeline capacity contracts of $415 million. Net future payments are therefore expected to decrease by $903 million for 2010 and to increase by $124 million for 2011, $52 million for 2012, $29 million for 2013, $14 million for 2014 and $2 million thereafter compared to December 31, 2009.</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LEASES</w:t>
      </w:r>
    </w:p>
    <w:p>
      <w:pPr>
        <w:spacing w:after="0" w:line="9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SDG&amp;E has two power purchase agreements with peaker plant facilities that went into commercial operation in June 2010 and are accounted for as capital leases. As of September 30, 2010, capital lease obligations for these leases, each with a 25-year term, were $181 million.</w:t>
      </w:r>
    </w:p>
    <w:p>
      <w:pPr>
        <w:spacing w:after="0" w:line="66"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At September 30, 2010, the future minimum lease payments and present value of the net minimum lease payments under these capital leases for both Sempra Energy Consolidated and SDG&amp;E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20" w:type="dxa"/>
            <w:vAlign w:val="bottom"/>
            <w:tcBorders>
              <w:bottom w:val="single" w:sz="8" w:color="auto"/>
            </w:tcBorders>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320" w:type="dxa"/>
            <w:vAlign w:val="bottom"/>
            <w:tcBorders>
              <w:bottom w:val="single" w:sz="8" w:color="auto"/>
            </w:tcBorders>
          </w:tcPr>
          <w:p>
            <w:pPr>
              <w:spacing w:after="0"/>
              <w:rPr>
                <w:sz w:val="20"/>
                <w:szCs w:val="20"/>
                <w:color w:val="auto"/>
              </w:rPr>
            </w:pPr>
          </w:p>
        </w:tc>
        <w:tc>
          <w:tcPr>
            <w:tcW w:w="7100" w:type="dxa"/>
            <w:vAlign w:val="bottom"/>
            <w:tcBorders>
              <w:bottom w:val="single" w:sz="8" w:color="auto"/>
            </w:tcBorders>
          </w:tcPr>
          <w:p>
            <w:pPr>
              <w:jc w:val="right"/>
              <w:ind w:right="444"/>
              <w:spacing w:after="0"/>
              <w:rPr>
                <w:sz w:val="20"/>
                <w:szCs w:val="20"/>
                <w:color w:val="auto"/>
              </w:rPr>
            </w:pPr>
            <w:r>
              <w:rPr>
                <w:rFonts w:ascii="Arial" w:cs="Arial" w:eastAsia="Arial" w:hAnsi="Arial"/>
                <w:sz w:val="19"/>
                <w:szCs w:val="19"/>
                <w:color w:val="auto"/>
                <w:w w:val="97"/>
              </w:rPr>
              <w:t>&lt; font style="FONT-SIZE:8pt; COLOR:black; FONT-FAMILY:'Arial','sans-serif'"&gt;</w:t>
            </w:r>
          </w:p>
        </w:tc>
      </w:tr>
      <w:tr>
        <w:trPr>
          <w:trHeight w:val="178"/>
        </w:trPr>
        <w:tc>
          <w:tcPr>
            <w:tcW w:w="4020" w:type="dxa"/>
            <w:vAlign w:val="bottom"/>
          </w:tcPr>
          <w:p>
            <w:pPr>
              <w:ind w:left="440"/>
              <w:spacing w:after="0"/>
              <w:rPr>
                <w:sz w:val="20"/>
                <w:szCs w:val="20"/>
                <w:color w:val="auto"/>
              </w:rPr>
            </w:pPr>
            <w:r>
              <w:rPr>
                <w:rFonts w:ascii="Arial" w:cs="Arial" w:eastAsia="Arial" w:hAnsi="Arial"/>
                <w:sz w:val="14"/>
                <w:szCs w:val="14"/>
                <w:color w:val="auto"/>
              </w:rPr>
              <w:t>2010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100" w:type="dxa"/>
            <w:vAlign w:val="bottom"/>
          </w:tcPr>
          <w:p>
            <w:pPr>
              <w:jc w:val="right"/>
              <w:ind w:right="64"/>
              <w:spacing w:after="0"/>
              <w:rPr>
                <w:sz w:val="20"/>
                <w:szCs w:val="20"/>
                <w:color w:val="auto"/>
              </w:rPr>
            </w:pPr>
            <w:r>
              <w:rPr>
                <w:rFonts w:ascii="Arial" w:cs="Arial" w:eastAsia="Arial" w:hAnsi="Arial"/>
                <w:sz w:val="14"/>
                <w:szCs w:val="14"/>
                <w:color w:val="auto"/>
              </w:rPr>
              <w:t>6</w:t>
            </w:r>
          </w:p>
        </w:tc>
      </w:tr>
      <w:tr>
        <w:trPr>
          <w:trHeight w:val="192"/>
        </w:trPr>
        <w:tc>
          <w:tcPr>
            <w:tcW w:w="4020" w:type="dxa"/>
            <w:vAlign w:val="bottom"/>
          </w:tcPr>
          <w:p>
            <w:pPr>
              <w:ind w:left="440"/>
              <w:spacing w:after="0"/>
              <w:rPr>
                <w:sz w:val="20"/>
                <w:szCs w:val="20"/>
                <w:color w:val="auto"/>
              </w:rPr>
            </w:pPr>
            <w:r>
              <w:rPr>
                <w:rFonts w:ascii="Arial" w:cs="Arial" w:eastAsia="Arial" w:hAnsi="Arial"/>
                <w:sz w:val="14"/>
                <w:szCs w:val="14"/>
                <w:color w:val="auto"/>
              </w:rPr>
              <w:t>2011</w:t>
            </w:r>
          </w:p>
        </w:tc>
        <w:tc>
          <w:tcPr>
            <w:tcW w:w="320" w:type="dxa"/>
            <w:vAlign w:val="bottom"/>
          </w:tcPr>
          <w:p>
            <w:pPr>
              <w:spacing w:after="0"/>
              <w:rPr>
                <w:sz w:val="16"/>
                <w:szCs w:val="16"/>
                <w:color w:val="auto"/>
              </w:rPr>
            </w:pPr>
          </w:p>
        </w:tc>
        <w:tc>
          <w:tcPr>
            <w:tcW w:w="7100" w:type="dxa"/>
            <w:vAlign w:val="bottom"/>
          </w:tcPr>
          <w:p>
            <w:pPr>
              <w:jc w:val="right"/>
              <w:ind w:right="64"/>
              <w:spacing w:after="0"/>
              <w:rPr>
                <w:sz w:val="20"/>
                <w:szCs w:val="20"/>
                <w:color w:val="auto"/>
              </w:rPr>
            </w:pPr>
            <w:r>
              <w:rPr>
                <w:rFonts w:ascii="Arial" w:cs="Arial" w:eastAsia="Arial" w:hAnsi="Arial"/>
                <w:sz w:val="14"/>
                <w:szCs w:val="14"/>
                <w:color w:val="auto"/>
              </w:rPr>
              <w:t>24</w:t>
            </w:r>
          </w:p>
        </w:tc>
      </w:tr>
      <w:tr>
        <w:trPr>
          <w:trHeight w:val="192"/>
        </w:trPr>
        <w:tc>
          <w:tcPr>
            <w:tcW w:w="4020" w:type="dxa"/>
            <w:vAlign w:val="bottom"/>
          </w:tcPr>
          <w:p>
            <w:pPr>
              <w:ind w:left="440"/>
              <w:spacing w:after="0"/>
              <w:rPr>
                <w:sz w:val="20"/>
                <w:szCs w:val="20"/>
                <w:color w:val="auto"/>
              </w:rPr>
            </w:pPr>
            <w:r>
              <w:rPr>
                <w:rFonts w:ascii="Arial" w:cs="Arial" w:eastAsia="Arial" w:hAnsi="Arial"/>
                <w:sz w:val="14"/>
                <w:szCs w:val="14"/>
                <w:color w:val="auto"/>
              </w:rPr>
              <w:t>2012</w:t>
            </w:r>
          </w:p>
        </w:tc>
        <w:tc>
          <w:tcPr>
            <w:tcW w:w="320" w:type="dxa"/>
            <w:vAlign w:val="bottom"/>
          </w:tcPr>
          <w:p>
            <w:pPr>
              <w:spacing w:after="0"/>
              <w:rPr>
                <w:sz w:val="16"/>
                <w:szCs w:val="16"/>
                <w:color w:val="auto"/>
              </w:rPr>
            </w:pPr>
          </w:p>
        </w:tc>
        <w:tc>
          <w:tcPr>
            <w:tcW w:w="7100" w:type="dxa"/>
            <w:vAlign w:val="bottom"/>
          </w:tcPr>
          <w:p>
            <w:pPr>
              <w:jc w:val="right"/>
              <w:ind w:right="64"/>
              <w:spacing w:after="0"/>
              <w:rPr>
                <w:sz w:val="20"/>
                <w:szCs w:val="20"/>
                <w:color w:val="auto"/>
              </w:rPr>
            </w:pPr>
            <w:r>
              <w:rPr>
                <w:rFonts w:ascii="Arial" w:cs="Arial" w:eastAsia="Arial" w:hAnsi="Arial"/>
                <w:sz w:val="14"/>
                <w:szCs w:val="14"/>
                <w:color w:val="auto"/>
              </w:rPr>
              <w:t>24</w:t>
            </w:r>
          </w:p>
        </w:tc>
      </w:tr>
      <w:tr>
        <w:trPr>
          <w:trHeight w:val="192"/>
        </w:trPr>
        <w:tc>
          <w:tcPr>
            <w:tcW w:w="4020" w:type="dxa"/>
            <w:vAlign w:val="bottom"/>
          </w:tcPr>
          <w:p>
            <w:pPr>
              <w:ind w:left="440"/>
              <w:spacing w:after="0"/>
              <w:rPr>
                <w:sz w:val="20"/>
                <w:szCs w:val="20"/>
                <w:color w:val="auto"/>
              </w:rPr>
            </w:pPr>
            <w:r>
              <w:rPr>
                <w:rFonts w:ascii="Arial" w:cs="Arial" w:eastAsia="Arial" w:hAnsi="Arial"/>
                <w:sz w:val="14"/>
                <w:szCs w:val="14"/>
                <w:color w:val="auto"/>
              </w:rPr>
              <w:t>2013</w:t>
            </w:r>
          </w:p>
        </w:tc>
        <w:tc>
          <w:tcPr>
            <w:tcW w:w="320" w:type="dxa"/>
            <w:vAlign w:val="bottom"/>
          </w:tcPr>
          <w:p>
            <w:pPr>
              <w:spacing w:after="0"/>
              <w:rPr>
                <w:sz w:val="16"/>
                <w:szCs w:val="16"/>
                <w:color w:val="auto"/>
              </w:rPr>
            </w:pPr>
          </w:p>
        </w:tc>
        <w:tc>
          <w:tcPr>
            <w:tcW w:w="7100" w:type="dxa"/>
            <w:vAlign w:val="bottom"/>
          </w:tcPr>
          <w:p>
            <w:pPr>
              <w:jc w:val="right"/>
              <w:ind w:right="64"/>
              <w:spacing w:after="0"/>
              <w:rPr>
                <w:sz w:val="20"/>
                <w:szCs w:val="20"/>
                <w:color w:val="auto"/>
              </w:rPr>
            </w:pPr>
            <w:r>
              <w:rPr>
                <w:rFonts w:ascii="Arial" w:cs="Arial" w:eastAsia="Arial" w:hAnsi="Arial"/>
                <w:sz w:val="14"/>
                <w:szCs w:val="14"/>
                <w:color w:val="auto"/>
              </w:rPr>
              <w:t>24</w:t>
            </w:r>
          </w:p>
        </w:tc>
      </w:tr>
      <w:tr>
        <w:trPr>
          <w:trHeight w:val="192"/>
        </w:trPr>
        <w:tc>
          <w:tcPr>
            <w:tcW w:w="4020" w:type="dxa"/>
            <w:vAlign w:val="bottom"/>
          </w:tcPr>
          <w:p>
            <w:pPr>
              <w:ind w:left="440"/>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16"/>
                <w:szCs w:val="16"/>
                <w:color w:val="auto"/>
              </w:rPr>
            </w:pPr>
          </w:p>
        </w:tc>
        <w:tc>
          <w:tcPr>
            <w:tcW w:w="7100" w:type="dxa"/>
            <w:vAlign w:val="bottom"/>
          </w:tcPr>
          <w:p>
            <w:pPr>
              <w:jc w:val="right"/>
              <w:ind w:right="64"/>
              <w:spacing w:after="0"/>
              <w:rPr>
                <w:sz w:val="20"/>
                <w:szCs w:val="20"/>
                <w:color w:val="auto"/>
              </w:rPr>
            </w:pPr>
            <w:r>
              <w:rPr>
                <w:rFonts w:ascii="Arial" w:cs="Arial" w:eastAsia="Arial" w:hAnsi="Arial"/>
                <w:sz w:val="14"/>
                <w:szCs w:val="14"/>
                <w:color w:val="auto"/>
              </w:rPr>
              <w:t>24</w:t>
            </w:r>
          </w:p>
        </w:tc>
      </w:tr>
      <w:tr>
        <w:trPr>
          <w:trHeight w:val="186"/>
        </w:trPr>
        <w:tc>
          <w:tcPr>
            <w:tcW w:w="4020" w:type="dxa"/>
            <w:vAlign w:val="bottom"/>
          </w:tcPr>
          <w:p>
            <w:pPr>
              <w:ind w:left="440"/>
              <w:spacing w:after="0"/>
              <w:rPr>
                <w:sz w:val="20"/>
                <w:szCs w:val="20"/>
                <w:color w:val="auto"/>
              </w:rPr>
            </w:pPr>
            <w:r>
              <w:rPr>
                <w:rFonts w:ascii="Arial" w:cs="Arial" w:eastAsia="Arial" w:hAnsi="Arial"/>
                <w:sz w:val="14"/>
                <w:szCs w:val="14"/>
                <w:color w:val="auto"/>
              </w:rPr>
              <w:t>Thereafter</w:t>
            </w:r>
          </w:p>
        </w:tc>
        <w:tc>
          <w:tcPr>
            <w:tcW w:w="320" w:type="dxa"/>
            <w:vAlign w:val="bottom"/>
            <w:tcBorders>
              <w:bottom w:val="single" w:sz="8" w:color="auto"/>
            </w:tcBorders>
          </w:tcPr>
          <w:p>
            <w:pPr>
              <w:spacing w:after="0"/>
              <w:rPr>
                <w:sz w:val="16"/>
                <w:szCs w:val="16"/>
                <w:color w:val="auto"/>
              </w:rPr>
            </w:pPr>
          </w:p>
        </w:tc>
        <w:tc>
          <w:tcPr>
            <w:tcW w:w="71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489</w:t>
            </w:r>
          </w:p>
        </w:tc>
      </w:tr>
      <w:tr>
        <w:trPr>
          <w:trHeight w:val="222"/>
        </w:trPr>
        <w:tc>
          <w:tcPr>
            <w:tcW w:w="4020" w:type="dxa"/>
            <w:vAlign w:val="bottom"/>
          </w:tcPr>
          <w:p>
            <w:pPr>
              <w:ind w:left="440"/>
              <w:spacing w:after="0"/>
              <w:rPr>
                <w:sz w:val="20"/>
                <w:szCs w:val="20"/>
                <w:color w:val="auto"/>
              </w:rPr>
            </w:pPr>
            <w:r>
              <w:rPr>
                <w:rFonts w:ascii="Arial" w:cs="Arial" w:eastAsia="Arial" w:hAnsi="Arial"/>
                <w:sz w:val="14"/>
                <w:szCs w:val="14"/>
                <w:color w:val="auto"/>
              </w:rPr>
              <w:t>Total minimum lease payments(1)</w:t>
            </w:r>
          </w:p>
        </w:tc>
        <w:tc>
          <w:tcPr>
            <w:tcW w:w="320" w:type="dxa"/>
            <w:vAlign w:val="bottom"/>
          </w:tcPr>
          <w:p>
            <w:pPr>
              <w:spacing w:after="0"/>
              <w:rPr>
                <w:sz w:val="19"/>
                <w:szCs w:val="19"/>
                <w:color w:val="auto"/>
              </w:rPr>
            </w:pPr>
          </w:p>
        </w:tc>
        <w:tc>
          <w:tcPr>
            <w:tcW w:w="7100" w:type="dxa"/>
            <w:vAlign w:val="bottom"/>
          </w:tcPr>
          <w:p>
            <w:pPr>
              <w:jc w:val="right"/>
              <w:ind w:right="84"/>
              <w:spacing w:after="0"/>
              <w:rPr>
                <w:sz w:val="20"/>
                <w:szCs w:val="20"/>
                <w:color w:val="auto"/>
              </w:rPr>
            </w:pPr>
            <w:r>
              <w:rPr>
                <w:rFonts w:ascii="Arial" w:cs="Arial" w:eastAsia="Arial" w:hAnsi="Arial"/>
                <w:sz w:val="19"/>
                <w:szCs w:val="19"/>
                <w:color w:val="auto"/>
              </w:rPr>
              <w:t>591</w:t>
            </w:r>
          </w:p>
        </w:tc>
      </w:tr>
      <w:tr>
        <w:trPr>
          <w:trHeight w:val="232"/>
        </w:trPr>
        <w:tc>
          <w:tcPr>
            <w:tcW w:w="4020" w:type="dxa"/>
            <w:vAlign w:val="bottom"/>
          </w:tcPr>
          <w:p>
            <w:pPr>
              <w:ind w:left="440"/>
              <w:spacing w:after="0"/>
              <w:rPr>
                <w:sz w:val="20"/>
                <w:szCs w:val="20"/>
                <w:color w:val="auto"/>
              </w:rPr>
            </w:pPr>
            <w:r>
              <w:rPr>
                <w:rFonts w:ascii="Arial" w:cs="Arial" w:eastAsia="Arial" w:hAnsi="Arial"/>
                <w:sz w:val="14"/>
                <w:szCs w:val="14"/>
                <w:color w:val="auto"/>
              </w:rPr>
              <w:t>Less: estimated executory costs</w:t>
            </w:r>
          </w:p>
        </w:tc>
        <w:tc>
          <w:tcPr>
            <w:tcW w:w="320" w:type="dxa"/>
            <w:vAlign w:val="bottom"/>
          </w:tcPr>
          <w:p>
            <w:pPr>
              <w:spacing w:after="0"/>
              <w:rPr>
                <w:sz w:val="20"/>
                <w:szCs w:val="20"/>
                <w:color w:val="auto"/>
              </w:rPr>
            </w:pPr>
          </w:p>
        </w:tc>
        <w:tc>
          <w:tcPr>
            <w:tcW w:w="7100" w:type="dxa"/>
            <w:vAlign w:val="bottom"/>
          </w:tcPr>
          <w:p>
            <w:pPr>
              <w:jc w:val="right"/>
              <w:ind w:right="24"/>
              <w:spacing w:after="0"/>
              <w:rPr>
                <w:sz w:val="20"/>
                <w:szCs w:val="20"/>
                <w:color w:val="auto"/>
              </w:rPr>
            </w:pPr>
            <w:r>
              <w:rPr>
                <w:rFonts w:ascii="Arial" w:cs="Arial" w:eastAsia="Arial" w:hAnsi="Arial"/>
                <w:sz w:val="14"/>
                <w:szCs w:val="14"/>
                <w:color w:val="auto"/>
              </w:rPr>
              <w:t>(97)</w:t>
            </w:r>
          </w:p>
        </w:tc>
      </w:tr>
      <w:tr>
        <w:trPr>
          <w:trHeight w:val="234"/>
        </w:trPr>
        <w:tc>
          <w:tcPr>
            <w:tcW w:w="4020" w:type="dxa"/>
            <w:vAlign w:val="bottom"/>
          </w:tcPr>
          <w:p>
            <w:pPr>
              <w:ind w:left="440"/>
              <w:spacing w:after="0"/>
              <w:rPr>
                <w:sz w:val="20"/>
                <w:szCs w:val="20"/>
                <w:color w:val="auto"/>
              </w:rPr>
            </w:pPr>
            <w:r>
              <w:rPr>
                <w:rFonts w:ascii="Arial" w:cs="Arial" w:eastAsia="Arial" w:hAnsi="Arial"/>
                <w:sz w:val="14"/>
                <w:szCs w:val="14"/>
                <w:color w:val="auto"/>
              </w:rPr>
              <w:t>Less: interest(2)</w:t>
            </w:r>
          </w:p>
        </w:tc>
        <w:tc>
          <w:tcPr>
            <w:tcW w:w="320" w:type="dxa"/>
            <w:vAlign w:val="bottom"/>
            <w:tcBorders>
              <w:bottom w:val="single" w:sz="8" w:color="auto"/>
            </w:tcBorders>
          </w:tcPr>
          <w:p>
            <w:pPr>
              <w:spacing w:after="0"/>
              <w:rPr>
                <w:sz w:val="20"/>
                <w:szCs w:val="20"/>
                <w:color w:val="auto"/>
              </w:rPr>
            </w:pPr>
          </w:p>
        </w:tc>
        <w:tc>
          <w:tcPr>
            <w:tcW w:w="71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(313)</w:t>
            </w:r>
          </w:p>
        </w:tc>
      </w:tr>
      <w:tr>
        <w:trPr>
          <w:trHeight w:val="226"/>
        </w:trPr>
        <w:tc>
          <w:tcPr>
            <w:tcW w:w="4020" w:type="dxa"/>
            <w:vAlign w:val="bottom"/>
          </w:tcPr>
          <w:p>
            <w:pPr>
              <w:ind w:left="440"/>
              <w:spacing w:after="0"/>
              <w:rPr>
                <w:sz w:val="20"/>
                <w:szCs w:val="20"/>
                <w:color w:val="auto"/>
              </w:rPr>
            </w:pPr>
            <w:r>
              <w:rPr>
                <w:rFonts w:ascii="Arial" w:cs="Arial" w:eastAsia="Arial" w:hAnsi="Arial"/>
                <w:sz w:val="14"/>
                <w:szCs w:val="14"/>
                <w:color w:val="auto"/>
              </w:rPr>
              <w:t>Present value of net minimum lease payments(3)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100" w:type="dxa"/>
            <w:vAlign w:val="bottom"/>
          </w:tcPr>
          <w:p>
            <w:pPr>
              <w:jc w:val="right"/>
              <w:ind w:right="64"/>
              <w:spacing w:after="0"/>
              <w:rPr>
                <w:sz w:val="20"/>
                <w:szCs w:val="20"/>
                <w:color w:val="auto"/>
              </w:rPr>
            </w:pPr>
            <w:r>
              <w:rPr>
                <w:rFonts w:ascii="Arial" w:cs="Arial" w:eastAsia="Arial" w:hAnsi="Arial"/>
                <w:sz w:val="14"/>
                <w:szCs w:val="14"/>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-3175</wp:posOffset>
            </wp:positionV>
            <wp:extent cx="704088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40880" cy="15240"/>
                    </a:xfrm>
                    <a:prstGeom prst="rect">
                      <a:avLst/>
                    </a:prstGeom>
                    <a:noFill/>
                  </pic:spPr>
                </pic:pic>
              </a:graphicData>
            </a:graphic>
          </wp:anchor>
        </w:drawing>
      </w:r>
    </w:p>
    <w:p>
      <w:pPr>
        <w:ind w:left="440" w:right="180" w:hanging="348"/>
        <w:spacing w:after="0"/>
        <w:tabs>
          <w:tab w:leader="none" w:pos="440" w:val="left"/>
        </w:tabs>
        <w:numPr>
          <w:ilvl w:val="0"/>
          <w:numId w:val="32"/>
        </w:numPr>
        <w:rPr>
          <w:rFonts w:ascii="Arial" w:cs="Arial" w:eastAsia="Arial" w:hAnsi="Arial"/>
          <w:sz w:val="13"/>
          <w:szCs w:val="13"/>
          <w:i w:val="1"/>
          <w:iCs w:val="1"/>
          <w:color w:val="auto"/>
        </w:rPr>
      </w:pPr>
      <w:r>
        <w:rPr>
          <w:rFonts w:ascii="Arial" w:cs="Arial" w:eastAsia="Arial" w:hAnsi="Arial"/>
          <w:sz w:val="13"/>
          <w:szCs w:val="13"/>
          <w:i w:val="1"/>
          <w:iCs w:val="1"/>
          <w:color w:val="auto"/>
        </w:rPr>
        <w:t>This amount will be recorded over the lives of the leases as Cost of Electric Fuel and Purchased Power on Sempra Energy's and SDG&amp;E's Condensed Consolidated Statements of Operations. This expense will receive ratemaking treatment consistent with purchased-power costs.</w:t>
      </w:r>
    </w:p>
    <w:p>
      <w:pPr>
        <w:spacing w:after="0" w:line="1" w:lineRule="exact"/>
        <w:rPr>
          <w:rFonts w:ascii="Arial" w:cs="Arial" w:eastAsia="Arial" w:hAnsi="Arial"/>
          <w:sz w:val="13"/>
          <w:szCs w:val="13"/>
          <w:i w:val="1"/>
          <w:iCs w:val="1"/>
          <w:color w:val="auto"/>
        </w:rPr>
      </w:pPr>
    </w:p>
    <w:p>
      <w:pPr>
        <w:ind w:left="440" w:hanging="348"/>
        <w:spacing w:after="0"/>
        <w:tabs>
          <w:tab w:leader="none" w:pos="440" w:val="left"/>
        </w:tabs>
        <w:numPr>
          <w:ilvl w:val="0"/>
          <w:numId w:val="32"/>
        </w:numPr>
        <w:rPr>
          <w:rFonts w:ascii="Arial" w:cs="Arial" w:eastAsia="Arial" w:hAnsi="Arial"/>
          <w:sz w:val="13"/>
          <w:szCs w:val="13"/>
          <w:i w:val="1"/>
          <w:iCs w:val="1"/>
          <w:color w:val="auto"/>
        </w:rPr>
      </w:pPr>
      <w:r>
        <w:rPr>
          <w:rFonts w:ascii="Arial" w:cs="Arial" w:eastAsia="Arial" w:hAnsi="Arial"/>
          <w:sz w:val="13"/>
          <w:szCs w:val="13"/>
          <w:i w:val="1"/>
          <w:iCs w:val="1"/>
          <w:color w:val="auto"/>
        </w:rPr>
        <w:t>Amount necessary to reduce net minimum lease payments to present value at the inception of the leases.</w:t>
      </w:r>
    </w:p>
    <w:p>
      <w:pPr>
        <w:spacing w:after="0" w:line="90" w:lineRule="exact"/>
        <w:rPr>
          <w:rFonts w:ascii="Arial" w:cs="Arial" w:eastAsia="Arial" w:hAnsi="Arial"/>
          <w:sz w:val="13"/>
          <w:szCs w:val="13"/>
          <w:i w:val="1"/>
          <w:iCs w:val="1"/>
          <w:color w:val="auto"/>
        </w:rPr>
      </w:pPr>
    </w:p>
    <w:p>
      <w:pPr>
        <w:ind w:left="440" w:right="400" w:hanging="348"/>
        <w:spacing w:after="0" w:line="257" w:lineRule="auto"/>
        <w:tabs>
          <w:tab w:leader="none" w:pos="440" w:val="left"/>
        </w:tabs>
        <w:numPr>
          <w:ilvl w:val="0"/>
          <w:numId w:val="32"/>
        </w:numPr>
        <w:rPr>
          <w:rFonts w:ascii="Arial" w:cs="Arial" w:eastAsia="Arial" w:hAnsi="Arial"/>
          <w:sz w:val="13"/>
          <w:szCs w:val="13"/>
          <w:i w:val="1"/>
          <w:iCs w:val="1"/>
          <w:color w:val="auto"/>
        </w:rPr>
      </w:pPr>
      <w:r>
        <w:rPr>
          <w:rFonts w:ascii="Arial" w:cs="Arial" w:eastAsia="Arial" w:hAnsi="Arial"/>
          <w:sz w:val="13"/>
          <w:szCs w:val="13"/>
          <w:i w:val="1"/>
          <w:iCs w:val="1"/>
          <w:color w:val="auto"/>
        </w:rPr>
        <w:t>Includes $7 million in Current Portion of Long-term Debt and $174 million in Long-term Debt on Sempra Energy's and SDG&amp;E's Condensed Consolidated Balance Sheets at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502920</wp:posOffset>
            </wp:positionV>
            <wp:extent cx="726186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NOTE 11. SEGMENT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have six separately managed reportable segments, as follows:</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1"/>
          <w:szCs w:val="11"/>
          <w:color w:val="auto"/>
        </w:rPr>
        <w:t>&amp;nbs p;</w:t>
      </w:r>
      <w:r>
        <w:rPr>
          <w:rFonts w:ascii="Arial" w:cs="Arial" w:eastAsia="Arial" w:hAnsi="Arial"/>
          <w:sz w:val="16"/>
          <w:szCs w:val="16"/>
          <w:color w:val="auto"/>
        </w:rPr>
        <w:t xml:space="preserve">  </w:t>
      </w:r>
      <w:r>
        <w:rPr>
          <w:rFonts w:ascii="Arial" w:cs="Arial" w:eastAsia="Arial" w:hAnsi="Arial"/>
          <w:sz w:val="16"/>
          <w:szCs w:val="16"/>
          <w:i w:val="1"/>
          <w:iCs w:val="1"/>
          <w:color w:val="auto"/>
        </w:rPr>
        <w:t>SDG&amp;E</w:t>
      </w:r>
      <w:r>
        <w:rPr>
          <w:rFonts w:ascii="Arial" w:cs="Arial" w:eastAsia="Arial" w:hAnsi="Arial"/>
          <w:sz w:val="16"/>
          <w:szCs w:val="16"/>
          <w:color w:val="auto"/>
        </w:rPr>
        <w:t xml:space="preserve"> provides electric service to San Diego and southern Orange counties and natural gas service to San Diego County.</w:t>
      </w:r>
    </w:p>
    <w:p>
      <w:pPr>
        <w:sectPr>
          <w:pgSz w:w="11900" w:h="16838" w:orient="portrait"/>
          <w:cols w:equalWidth="0" w:num="1">
            <w:col w:w="11440"/>
          </w:cols>
          <w:pgMar w:left="240" w:top="131" w:right="219" w:bottom="0" w:gutter="0" w:footer="0" w:header="0"/>
        </w:sectPr>
      </w:pPr>
    </w:p>
    <w:bookmarkStart w:id="42" w:name="page43"/>
    <w:bookmarkEnd w:id="42"/>
    <w:p>
      <w:pPr>
        <w:spacing w:after="0" w:line="38" w:lineRule="exact"/>
        <w:rPr>
          <w:sz w:val="20"/>
          <w:szCs w:val="20"/>
          <w:color w:val="auto"/>
        </w:rPr>
      </w:pPr>
    </w:p>
    <w:p>
      <w:pPr>
        <w:ind w:left="604" w:hanging="316"/>
        <w:spacing w:after="0"/>
        <w:tabs>
          <w:tab w:leader="none" w:pos="604"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SoCalGas </w:t>
      </w:r>
      <w:r>
        <w:rPr>
          <w:rFonts w:ascii="Arial" w:cs="Arial" w:eastAsia="Arial" w:hAnsi="Arial"/>
          <w:sz w:val="16"/>
          <w:szCs w:val="16"/>
          <w:color w:val="auto"/>
        </w:rPr>
        <w:t>is a natural gas distribution utility, serving customers throughout most of Southern California and part of central California.</w:t>
      </w:r>
    </w:p>
    <w:p>
      <w:pPr>
        <w:spacing w:after="0" w:line="200" w:lineRule="exact"/>
        <w:rPr>
          <w:rFonts w:ascii="Arial" w:cs="Arial" w:eastAsia="Arial" w:hAnsi="Arial"/>
          <w:sz w:val="16"/>
          <w:szCs w:val="16"/>
          <w:color w:val="auto"/>
        </w:rPr>
      </w:pPr>
    </w:p>
    <w:p>
      <w:pPr>
        <w:ind w:left="584" w:right="760" w:hanging="296"/>
        <w:spacing w:after="0" w:line="256" w:lineRule="auto"/>
        <w:tabs>
          <w:tab w:leader="none" w:pos="609"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Sempra Commodities </w:t>
      </w:r>
      <w:r>
        <w:rPr>
          <w:rFonts w:ascii="Arial" w:cs="Arial" w:eastAsia="Arial" w:hAnsi="Arial"/>
          <w:sz w:val="16"/>
          <w:szCs w:val="16"/>
          <w:color w:val="auto"/>
        </w:rPr>
        <w:t>holds our investment in RBS Semp ra Commodities, a joint venture with RBS. The partnership was formed fromour commodities-marketing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previously reported in this segment. The partnership's commodity trading businesses serve customers in natural gas and electricity, and prior to July 1, 2010, also in petroleum and petroleum products, and base metals. Sempra Commodities also includes the operating results of Sempra Rockies Marketing, which holds firm service capacity on the Rockies Express Pipeline.</w:t>
      </w:r>
    </w:p>
    <w:p>
      <w:pPr>
        <w:spacing w:after="0" w:line="127" w:lineRule="exact"/>
        <w:rPr>
          <w:sz w:val="20"/>
          <w:szCs w:val="20"/>
          <w:color w:val="auto"/>
        </w:rPr>
      </w:pPr>
    </w:p>
    <w:p>
      <w:pPr>
        <w:ind w:left="584" w:right="780"/>
        <w:spacing w:after="0" w:line="255" w:lineRule="auto"/>
        <w:rPr>
          <w:sz w:val="20"/>
          <w:szCs w:val="20"/>
          <w:color w:val="auto"/>
        </w:rPr>
      </w:pPr>
      <w:r>
        <w:rPr>
          <w:rFonts w:ascii="Arial" w:cs="Arial" w:eastAsia="Arial" w:hAnsi="Arial"/>
          <w:sz w:val="16"/>
          <w:szCs w:val="16"/>
          <w:color w:val="auto"/>
        </w:rPr>
        <w:t>In February 2010, Sempra Energy, RBS and the partnership entered into an agreement to sell certain businesses within the partnership, which agreement was consummated on July 1, 2010. In September and October of 2010, the partnership entered into two additional agreements for transactions which will complete the divestiture of the last of the joint venture’s principal assets. One of these transactions was compl eted on November 1, 2010, and the second transaction is expected to be completed by year-end. We discuss these transactions and other matters concerning the partnership in Note 4 above and in Notes 4 and 20 of the Notes to Consolidated Financial Statements in the Annual Report.</w:t>
      </w:r>
    </w:p>
    <w:p>
      <w:pPr>
        <w:spacing w:after="0" w:line="175" w:lineRule="exact"/>
        <w:rPr>
          <w:sz w:val="20"/>
          <w:szCs w:val="20"/>
          <w:color w:val="auto"/>
        </w:rPr>
      </w:pPr>
    </w:p>
    <w:p>
      <w:pPr>
        <w:ind w:left="584" w:right="720" w:hanging="296"/>
        <w:spacing w:after="0" w:line="270" w:lineRule="auto"/>
        <w:tabs>
          <w:tab w:leader="none" w:pos="60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Sempra Generation </w:t>
      </w:r>
      <w:r>
        <w:rPr>
          <w:rFonts w:ascii="Arial" w:cs="Arial" w:eastAsia="Arial" w:hAnsi="Arial"/>
          <w:sz w:val="16"/>
          <w:szCs w:val="16"/>
          <w:color w:val="auto"/>
        </w:rPr>
        <w:t>develops, owns and operates, or holds interests in, electric power plants and energy projects in Arizona, California, Colorado, Nevada, Indiana,</w:t>
      </w:r>
      <w:r>
        <w:rPr>
          <w:rFonts w:ascii="Arial" w:cs="Arial" w:eastAsia="Arial" w:hAnsi="Arial"/>
          <w:sz w:val="16"/>
          <w:szCs w:val="16"/>
          <w:i w:val="1"/>
          <w:iCs w:val="1"/>
          <w:color w:val="auto"/>
        </w:rPr>
        <w:t xml:space="preserve"> </w:t>
      </w:r>
      <w:r>
        <w:rPr>
          <w:rFonts w:ascii="Arial" w:cs="Arial" w:eastAsia="Arial" w:hAnsi="Arial"/>
          <w:sz w:val="16"/>
          <w:szCs w:val="16"/>
          <w:color w:val="auto"/>
        </w:rPr>
        <w:t>Hawaii and Mexico to serve wholesale electricity markets in the United States and Mexico.</w:t>
      </w:r>
    </w:p>
    <w:p>
      <w:pPr>
        <w:spacing w:after="0" w:line="162" w:lineRule="exact"/>
        <w:rPr>
          <w:rFonts w:ascii="Arial" w:cs="Arial" w:eastAsia="Arial" w:hAnsi="Arial"/>
          <w:sz w:val="16"/>
          <w:szCs w:val="16"/>
          <w:color w:val="auto"/>
        </w:rPr>
      </w:pPr>
    </w:p>
    <w:p>
      <w:pPr>
        <w:ind w:left="584" w:right="760" w:hanging="296"/>
        <w:spacing w:after="0" w:line="305" w:lineRule="auto"/>
        <w:tabs>
          <w:tab w:leader="none" w:pos="609" w:val="left"/>
        </w:tabs>
        <w:numPr>
          <w:ilvl w:val="0"/>
          <w:numId w:val="34"/>
        </w:numPr>
        <w:rPr>
          <w:rFonts w:ascii="Arial" w:cs="Arial" w:eastAsia="Arial" w:hAnsi="Arial"/>
          <w:sz w:val="14"/>
          <w:szCs w:val="14"/>
          <w:color w:val="auto"/>
        </w:rPr>
      </w:pPr>
      <w:r>
        <w:rPr>
          <w:rFonts w:ascii="Arial" w:cs="Arial" w:eastAsia="Arial" w:hAnsi="Arial"/>
          <w:sz w:val="14"/>
          <w:szCs w:val="14"/>
          <w:i w:val="1"/>
          <w:iCs w:val="1"/>
          <w:color w:val="auto"/>
        </w:rPr>
        <w:t xml:space="preserve">Sempra Pipelines &amp; Storage </w:t>
      </w:r>
      <w:r>
        <w:rPr>
          <w:rFonts w:ascii="Arial" w:cs="Arial" w:eastAsia="Arial" w:hAnsi="Arial"/>
          <w:sz w:val="14"/>
          <w:szCs w:val="14"/>
          <w:color w:val="auto"/>
        </w:rPr>
        <w:t>develops, owns and operates, or holds interests in, natural gas and propane pipelines and natural gas storage facilities in the United</w:t>
      </w:r>
      <w:r>
        <w:rPr>
          <w:rFonts w:ascii="Arial" w:cs="Arial" w:eastAsia="Arial" w:hAnsi="Arial"/>
          <w:sz w:val="14"/>
          <w:szCs w:val="14"/>
          <w:i w:val="1"/>
          <w:iCs w:val="1"/>
          <w:color w:val="auto"/>
        </w:rPr>
        <w:t xml:space="preserve"> </w:t>
      </w:r>
      <w:r>
        <w:rPr>
          <w:rFonts w:ascii="Arial" w:cs="Arial" w:eastAsia="Arial" w:hAnsi="Arial"/>
          <w:sz w:val="14"/>
          <w:szCs w:val="14"/>
          <w:color w:val="auto"/>
        </w:rPr>
        <w:t>States and Mexico, and companies that provide natural gas or electricity services in Argentina, Chile, Mexico and Peru. We are currently pursuing the sale of our interests in the Argentine utilities, which we discuss further in Note 4 above and in Note 4 of the Notes to Consolidated Financial Statements in the Annual Report. Sempra Pipelines &amp; Storage also operates a natural gas distribution utility in Alabama.</w:t>
      </w:r>
    </w:p>
    <w:p>
      <w:pPr>
        <w:spacing w:after="0" w:line="141" w:lineRule="exact"/>
        <w:rPr>
          <w:rFonts w:ascii="Arial" w:cs="Arial" w:eastAsia="Arial" w:hAnsi="Arial"/>
          <w:sz w:val="14"/>
          <w:szCs w:val="14"/>
          <w:color w:val="auto"/>
        </w:rPr>
      </w:pPr>
    </w:p>
    <w:p>
      <w:pPr>
        <w:ind w:left="584" w:right="1000" w:hanging="296"/>
        <w:spacing w:after="0" w:line="270" w:lineRule="auto"/>
        <w:tabs>
          <w:tab w:leader="none" w:pos="60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Sempra LNG </w:t>
      </w:r>
      <w:r>
        <w:rPr>
          <w:rFonts w:ascii="Arial" w:cs="Arial" w:eastAsia="Arial" w:hAnsi="Arial"/>
          <w:sz w:val="16"/>
          <w:szCs w:val="16"/>
          <w:color w:val="auto"/>
        </w:rPr>
        <w:t>develops , owns and operates receipt terminals for importing LNG in the U.S. and Mexico, and has supply and marketing agreements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LNG and sell natural gas.</w:t>
      </w:r>
    </w:p>
    <w:p>
      <w:pPr>
        <w:spacing w:after="0" w:line="162" w:lineRule="exact"/>
        <w:rPr>
          <w:sz w:val="20"/>
          <w:szCs w:val="20"/>
          <w:color w:val="auto"/>
        </w:rPr>
      </w:pPr>
    </w:p>
    <w:p>
      <w:pPr>
        <w:jc w:val="both"/>
        <w:ind w:left="4" w:right="160"/>
        <w:spacing w:after="0" w:line="260" w:lineRule="auto"/>
        <w:rPr>
          <w:sz w:val="20"/>
          <w:szCs w:val="20"/>
          <w:color w:val="auto"/>
        </w:rPr>
      </w:pPr>
      <w:r>
        <w:rPr>
          <w:rFonts w:ascii="Arial" w:cs="Arial" w:eastAsia="Arial" w:hAnsi="Arial"/>
          <w:sz w:val="16"/>
          <w:szCs w:val="16"/>
          <w:color w:val="auto"/>
        </w:rPr>
        <w:t>We evaluate each segment's performance based on its contribution to Sempra Energy's reported earnings. The Sempra Utilities operate in essentially separate service territories, under separate regulatory frameworks and rate structures set by the CPUC. The Sempra Utilities' operations are based on rates set by the CPUC and the FERC. We describe the accounting policies of our segments in Note 1 of the Notes to Consolidated Financial Statements in the Annual Report.</w:t>
      </w:r>
    </w:p>
    <w:p>
      <w:pPr>
        <w:spacing w:after="0" w:line="74"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the first quarter of 2010, Sempra LNG became a reportable segment. We have revised segment disclosures for 2009 to reflect this.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following ta bles show selected information by segment from our Condensed Consolidated Statements of Operations and Condensed Consolidated Balance Sheets.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6"/>
          <w:szCs w:val="16"/>
          <w:color w:val="auto"/>
        </w:rPr>
        <w:t>Amounts labeled as "all other" in the following tables consist primarily of parent organizations.</w:t>
      </w:r>
    </w:p>
    <w:p>
      <w:pPr>
        <w:spacing w:after="0" w:line="200" w:lineRule="exact"/>
        <w:rPr>
          <w:sz w:val="20"/>
          <w:szCs w:val="20"/>
          <w:color w:val="auto"/>
        </w:rPr>
      </w:pPr>
    </w:p>
    <w:p>
      <w:pPr>
        <w:spacing w:after="0" w:line="398" w:lineRule="exact"/>
        <w:rPr>
          <w:sz w:val="20"/>
          <w:szCs w:val="20"/>
          <w:color w:val="auto"/>
        </w:rPr>
      </w:pPr>
    </w:p>
    <w:p>
      <w:pPr>
        <w:ind w:left="4" w:right="140" w:hanging="4"/>
        <w:spacing w:after="0" w:line="248" w:lineRule="auto"/>
        <w:tabs>
          <w:tab w:leader="none" w:pos="1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td style="BORDER-RIGHT:0px; PADDING-RIGHT:5.75pt; BORDER-TOP:0px; PADDING-LEFT:5.75pt; BACKGROUND:white; PADDING-BOTTOM:0in; BORDER-LEFT:0px; PADDING-TOP:0in; BORDER-BOTTOM:0px; HEIGHT:12.75pt" valign=bottom&gt;</w:t>
      </w:r>
    </w:p>
    <w:p>
      <w:pPr>
        <w:spacing w:after="0" w:line="1" w:lineRule="exact"/>
        <w:rPr>
          <w:sz w:val="20"/>
          <w:szCs w:val="20"/>
          <w:color w:val="auto"/>
        </w:rPr>
      </w:pPr>
    </w:p>
    <w:p>
      <w:pPr>
        <w:ind w:left="11244"/>
        <w:spacing w:after="0"/>
        <w:rPr>
          <w:sz w:val="20"/>
          <w:szCs w:val="20"/>
          <w:color w:val="auto"/>
        </w:rPr>
      </w:pPr>
      <w:r>
        <w:rPr>
          <w:rFonts w:ascii="Arial" w:cs="Arial" w:eastAsia="Arial" w:hAnsi="Arial"/>
          <w:sz w:val="14"/>
          <w:szCs w:val="14"/>
          <w:color w:val="auto"/>
        </w:rPr>
        <w:t>50</w:t>
      </w:r>
    </w:p>
    <w:p>
      <w:pPr>
        <w:spacing w:after="0" w:line="2" w:lineRule="exact"/>
        <w:rPr>
          <w:sz w:val="20"/>
          <w:szCs w:val="20"/>
          <w:color w:val="auto"/>
        </w:rPr>
      </w:pPr>
    </w:p>
    <w:p>
      <w:pPr>
        <w:ind w:left="4" w:right="140" w:hanging="4"/>
        <w:spacing w:after="0" w:line="246" w:lineRule="auto"/>
        <w:tabs>
          <w:tab w:leader="none" w:pos="1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td style="BORDER-RIGHT:0px; PADDING-RIGHT:5.75pt; BORDER-TOP:0px; PADDING-LEFT:5.75pt; BACKGROUND:white; PADDING-BOTTOM:0in; BORDER-LEFT:0px; PADDING-TOP:0in; BORDER-BOTTOM:0px; HEIGHT:12.75pt" valign=bottom&gt;</w:t>
      </w:r>
    </w:p>
    <w:p>
      <w:pPr>
        <w:spacing w:after="0" w:line="136" w:lineRule="exact"/>
        <w:rPr>
          <w:rFonts w:ascii="Arial" w:cs="Arial" w:eastAsia="Arial" w:hAnsi="Arial"/>
          <w:sz w:val="19"/>
          <w:szCs w:val="19"/>
          <w:color w:val="auto"/>
        </w:rPr>
      </w:pPr>
    </w:p>
    <w:p>
      <w:pPr>
        <w:ind w:left="4" w:right="140" w:hanging="4"/>
        <w:spacing w:after="0" w:line="264" w:lineRule="auto"/>
        <w:tabs>
          <w:tab w:leader="none" w:pos="1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td style="BORDER-RIGHT:0px; PADDING-RIGHT:5.75pt; BORDER-TOP:0px; PADDING-LEFT:5.75pt; BACKGROUND:white; PADDING-BOTTOM:0in; BORDER-LEFT:0px; PADDING-TOP:0in; BORDER-BOTTOM:0px; HEIGHT:12.75pt" valign=bottom&gt;</w:t>
      </w:r>
    </w:p>
    <w:p>
      <w:pPr>
        <w:spacing w:after="0" w:line="134"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317740" cy="403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17740" cy="403860"/>
                    </a:xfrm>
                    <a:prstGeom prst="rect">
                      <a:avLst/>
                    </a:prstGeom>
                    <a:noFill/>
                  </pic:spPr>
                </pic:pic>
              </a:graphicData>
            </a:graphic>
          </wp:anchor>
        </w:drawing>
      </w:r>
    </w:p>
    <w:p>
      <w:pPr>
        <w:spacing w:after="0" w:line="5"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INFORMATION</w:t>
      </w:r>
    </w:p>
    <w:p>
      <w:pPr>
        <w:spacing w:after="0" w:line="4" w:lineRule="exact"/>
        <w:rPr>
          <w:sz w:val="20"/>
          <w:szCs w:val="20"/>
          <w:color w:val="auto"/>
        </w:rPr>
      </w:pPr>
    </w:p>
    <w:p>
      <w:pPr>
        <w:ind w:left="84"/>
        <w:spacing w:after="0"/>
        <w:rPr>
          <w:sz w:val="20"/>
          <w:szCs w:val="20"/>
          <w:color w:val="auto"/>
        </w:rPr>
      </w:pPr>
      <w:r>
        <w:rPr>
          <w:rFonts w:ascii="Arial" w:cs="Arial" w:eastAsia="Arial" w:hAnsi="Arial"/>
          <w:sz w:val="13"/>
          <w:szCs w:val="13"/>
          <w:i w:val="1"/>
          <w:iCs w:val="1"/>
          <w:color w:val="auto"/>
        </w:rPr>
        <w:t>(Dollars in</w:t>
      </w:r>
    </w:p>
    <w:p>
      <w:pPr>
        <w:ind w:left="84"/>
        <w:spacing w:after="0"/>
        <w:rPr>
          <w:sz w:val="20"/>
          <w:szCs w:val="20"/>
          <w:color w:val="auto"/>
        </w:rPr>
      </w:pPr>
      <w:r>
        <w:rPr>
          <w:rFonts w:ascii="Arial" w:cs="Arial" w:eastAsia="Arial" w:hAnsi="Arial"/>
          <w:sz w:val="13"/>
          <w:szCs w:val="13"/>
          <w:i w:val="1"/>
          <w:iCs w:val="1"/>
          <w:color w:val="auto"/>
        </w:rPr>
        <w:t>millions)</w:t>
      </w:r>
    </w:p>
    <w:p>
      <w:pPr>
        <w:spacing w:after="0" w:line="9"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6"/>
          </w:tcPr>
          <w:p>
            <w:pPr>
              <w:ind w:left="540"/>
              <w:spacing w:after="0"/>
              <w:rPr>
                <w:sz w:val="20"/>
                <w:szCs w:val="20"/>
                <w:color w:val="auto"/>
              </w:rPr>
            </w:pPr>
            <w:r>
              <w:rPr>
                <w:rFonts w:ascii="Arial" w:cs="Arial" w:eastAsia="Arial" w:hAnsi="Arial"/>
                <w:sz w:val="13"/>
                <w:szCs w:val="13"/>
                <w:color w:val="auto"/>
                <w:w w:val="99"/>
              </w:rPr>
              <w:t>Three months ended September 30,</w:t>
            </w: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3"/>
                <w:szCs w:val="13"/>
                <w:color w:val="auto"/>
                <w:w w:val="98"/>
              </w:rPr>
              <w:t>Nine months ended September 30,</w:t>
            </w:r>
          </w:p>
        </w:tc>
        <w:tc>
          <w:tcPr>
            <w:tcW w:w="18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2010</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8" w:lineRule="exact"/>
              <w:rPr>
                <w:sz w:val="20"/>
                <w:szCs w:val="20"/>
                <w:color w:val="auto"/>
              </w:rPr>
            </w:pPr>
            <w:r>
              <w:rPr>
                <w:rFonts w:ascii="Arial" w:cs="Arial" w:eastAsia="Arial" w:hAnsi="Arial"/>
                <w:sz w:val="13"/>
                <w:szCs w:val="13"/>
                <w:color w:val="auto"/>
              </w:rPr>
              <w:t>2009</w:t>
            </w: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468"/>
              <w:spacing w:after="0" w:line="148" w:lineRule="exact"/>
              <w:rPr>
                <w:sz w:val="20"/>
                <w:szCs w:val="20"/>
                <w:color w:val="auto"/>
              </w:rPr>
            </w:pPr>
            <w:r>
              <w:rPr>
                <w:rFonts w:ascii="Arial" w:cs="Arial" w:eastAsia="Arial" w:hAnsi="Arial"/>
                <w:sz w:val="13"/>
                <w:szCs w:val="13"/>
                <w:color w:val="auto"/>
              </w:rPr>
              <w:t>2010</w:t>
            </w:r>
          </w:p>
        </w:tc>
        <w:tc>
          <w:tcPr>
            <w:tcW w:w="5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ind w:right="1157"/>
              <w:spacing w:after="0" w:line="148" w:lineRule="exact"/>
              <w:rPr>
                <w:sz w:val="20"/>
                <w:szCs w:val="20"/>
                <w:color w:val="auto"/>
              </w:rPr>
            </w:pPr>
            <w:r>
              <w:rPr>
                <w:rFonts w:ascii="Arial" w:cs="Arial" w:eastAsia="Arial" w:hAnsi="Arial"/>
                <w:sz w:val="13"/>
                <w:szCs w:val="13"/>
                <w:color w:val="auto"/>
              </w:rPr>
              <w:t>2009</w:t>
            </w: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200" w:type="dxa"/>
            <w:vAlign w:val="bottom"/>
          </w:tcPr>
          <w:p>
            <w:pPr>
              <w:ind w:left="80"/>
              <w:spacing w:after="0"/>
              <w:rPr>
                <w:sz w:val="20"/>
                <w:szCs w:val="20"/>
                <w:color w:val="auto"/>
              </w:rPr>
            </w:pPr>
            <w:r>
              <w:rPr>
                <w:rFonts w:ascii="Arial" w:cs="Arial" w:eastAsia="Arial" w:hAnsi="Arial"/>
                <w:sz w:val="14"/>
                <w:szCs w:val="14"/>
                <w:color w:val="auto"/>
              </w:rPr>
              <w:t>REVENUES</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vMerge w:val="restart"/>
          </w:tcPr>
          <w:p>
            <w:pPr>
              <w:jc w:val="right"/>
              <w:ind w:right="16"/>
              <w:spacing w:after="0"/>
              <w:rPr>
                <w:sz w:val="20"/>
                <w:szCs w:val="20"/>
                <w:color w:val="auto"/>
              </w:rPr>
            </w:pPr>
            <w:r>
              <w:rPr>
                <w:rFonts w:ascii="Arial" w:cs="Arial" w:eastAsia="Arial" w:hAnsi="Arial"/>
                <w:sz w:val="19"/>
                <w:szCs w:val="19"/>
                <w:color w:val="auto"/>
              </w:rPr>
              <w:t>%</w:t>
            </w: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tcPr>
          <w:p>
            <w:pPr>
              <w:ind w:left="160"/>
              <w:spacing w:after="0"/>
              <w:rPr>
                <w:sz w:val="20"/>
                <w:szCs w:val="20"/>
                <w:color w:val="auto"/>
              </w:rPr>
            </w:pPr>
            <w:r>
              <w:rPr>
                <w:rFonts w:ascii="Arial" w:cs="Arial" w:eastAsia="Arial" w:hAnsi="Arial"/>
                <w:sz w:val="14"/>
                <w:szCs w:val="14"/>
                <w:color w:val="auto"/>
              </w:rPr>
              <w:t>SDG&amp;E</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811</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38</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8"/>
                <w:szCs w:val="18"/>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360" w:type="dxa"/>
            <w:vAlign w:val="bottom"/>
            <w:vMerge w:val="continue"/>
          </w:tcPr>
          <w:p>
            <w:pPr>
              <w:spacing w:after="0"/>
              <w:rPr>
                <w:sz w:val="18"/>
                <w:szCs w:val="18"/>
                <w:color w:val="auto"/>
              </w:rPr>
            </w:pPr>
          </w:p>
        </w:tc>
        <w:tc>
          <w:tcPr>
            <w:tcW w:w="9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2,245</w:t>
            </w: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34</w:t>
            </w:r>
          </w:p>
        </w:tc>
        <w:tc>
          <w:tcPr>
            <w:tcW w:w="46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2,136</w:t>
            </w:r>
          </w:p>
        </w:tc>
        <w:tc>
          <w:tcPr>
            <w:tcW w:w="1880" w:type="dxa"/>
            <w:vAlign w:val="bottom"/>
          </w:tcPr>
          <w:p>
            <w:pPr>
              <w:jc w:val="right"/>
              <w:ind w:right="57"/>
              <w:spacing w:after="0"/>
              <w:rPr>
                <w:sz w:val="20"/>
                <w:szCs w:val="20"/>
                <w:color w:val="auto"/>
              </w:rPr>
            </w:pPr>
            <w:r>
              <w:rPr>
                <w:rFonts w:ascii="Arial" w:cs="Arial" w:eastAsia="Arial" w:hAnsi="Arial"/>
                <w:sz w:val="14"/>
                <w:szCs w:val="14"/>
                <w:color w:val="auto"/>
              </w:rPr>
              <w:t>38</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1200" w:type="dxa"/>
            <w:vAlign w:val="bottom"/>
          </w:tcPr>
          <w:p>
            <w:pPr>
              <w:ind w:left="160"/>
              <w:spacing w:after="0"/>
              <w:rPr>
                <w:sz w:val="20"/>
                <w:szCs w:val="20"/>
                <w:color w:val="auto"/>
              </w:rPr>
            </w:pPr>
            <w:r>
              <w:rPr>
                <w:rFonts w:ascii="Arial" w:cs="Arial" w:eastAsia="Arial" w:hAnsi="Arial"/>
                <w:sz w:val="14"/>
                <w:szCs w:val="14"/>
                <w:color w:val="auto"/>
              </w:rPr>
              <w:t>SoCalGas</w:t>
            </w:r>
          </w:p>
        </w:tc>
        <w:tc>
          <w:tcPr>
            <w:tcW w:w="260" w:type="dxa"/>
            <w:vAlign w:val="bottom"/>
          </w:tcPr>
          <w:p>
            <w:pPr>
              <w:spacing w:after="0"/>
              <w:rPr>
                <w:sz w:val="15"/>
                <w:szCs w:val="15"/>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776</w:t>
            </w:r>
          </w:p>
        </w:tc>
        <w:tc>
          <w:tcPr>
            <w:tcW w:w="420" w:type="dxa"/>
            <w:vAlign w:val="bottom"/>
          </w:tcPr>
          <w:p>
            <w:pPr>
              <w:jc w:val="right"/>
              <w:spacing w:after="0"/>
              <w:rPr>
                <w:sz w:val="20"/>
                <w:szCs w:val="20"/>
                <w:color w:val="auto"/>
              </w:rPr>
            </w:pPr>
            <w:r>
              <w:rPr>
                <w:rFonts w:ascii="Arial" w:cs="Arial" w:eastAsia="Arial" w:hAnsi="Arial"/>
                <w:sz w:val="14"/>
                <w:szCs w:val="14"/>
                <w:color w:val="auto"/>
              </w:rPr>
              <w:t>37</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5"/>
                <w:szCs w:val="15"/>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2,792</w:t>
            </w: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42</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2,276</w:t>
            </w:r>
          </w:p>
        </w:tc>
        <w:tc>
          <w:tcPr>
            <w:tcW w:w="1880" w:type="dxa"/>
            <w:vAlign w:val="bottom"/>
          </w:tcPr>
          <w:p>
            <w:pPr>
              <w:jc w:val="right"/>
              <w:ind w:right="57"/>
              <w:spacing w:after="0"/>
              <w:rPr>
                <w:sz w:val="20"/>
                <w:szCs w:val="20"/>
                <w:color w:val="auto"/>
              </w:rPr>
            </w:pPr>
            <w:r>
              <w:rPr>
                <w:rFonts w:ascii="Arial" w:cs="Arial" w:eastAsia="Arial" w:hAnsi="Arial"/>
                <w:sz w:val="14"/>
                <w:szCs w:val="14"/>
                <w:color w:val="auto"/>
              </w:rPr>
              <w:t>40</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jc w:val="center"/>
              <w:spacing w:after="0" w:line="216" w:lineRule="exact"/>
              <w:rPr>
                <w:sz w:val="20"/>
                <w:szCs w:val="20"/>
                <w:color w:val="auto"/>
              </w:rPr>
            </w:pPr>
            <w:r>
              <w:rPr>
                <w:rFonts w:ascii="Arial" w:cs="Arial" w:eastAsia="Arial" w:hAnsi="Arial"/>
                <w:sz w:val="19"/>
                <w:szCs w:val="19"/>
                <w:color w:val="auto"/>
                <w:w w:val="95"/>
              </w:rPr>
              <w:t>&lt; font style="FONT-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jc w:val="center"/>
              <w:spacing w:after="0" w:line="216" w:lineRule="exact"/>
              <w:rPr>
                <w:sz w:val="20"/>
                <w:szCs w:val="20"/>
                <w:color w:val="auto"/>
              </w:rPr>
            </w:pPr>
            <w:r>
              <w:rPr>
                <w:rFonts w:ascii="Arial" w:cs="Arial" w:eastAsia="Arial" w:hAnsi="Arial"/>
                <w:sz w:val="19"/>
                <w:szCs w:val="19"/>
                <w:color w:val="auto"/>
                <w:w w:val="95"/>
              </w:rPr>
              <w:t>SIZE:9pt;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jc w:val="center"/>
              <w:spacing w:after="0" w:line="216" w:lineRule="exact"/>
              <w:rPr>
                <w:sz w:val="20"/>
                <w:szCs w:val="20"/>
                <w:color w:val="auto"/>
              </w:rPr>
            </w:pPr>
            <w:r>
              <w:rPr>
                <w:rFonts w:ascii="Arial" w:cs="Arial" w:eastAsia="Arial" w:hAnsi="Arial"/>
                <w:sz w:val="19"/>
                <w:szCs w:val="19"/>
                <w:color w:val="auto"/>
                <w:w w:val="94"/>
              </w:rPr>
              <w:t>COLOR:black;</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jc w:val="center"/>
              <w:spacing w:after="0" w:line="216" w:lineRule="exact"/>
              <w:rPr>
                <w:sz w:val="20"/>
                <w:szCs w:val="20"/>
                <w:color w:val="auto"/>
              </w:rPr>
            </w:pPr>
            <w:r>
              <w:rPr>
                <w:rFonts w:ascii="Arial" w:cs="Arial" w:eastAsia="Arial" w:hAnsi="Arial"/>
                <w:sz w:val="19"/>
                <w:szCs w:val="19"/>
                <w:color w:val="auto"/>
                <w:w w:val="96"/>
              </w:rPr>
              <w:t>FONT-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ind w:left="16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jc w:val="center"/>
              <w:spacing w:after="0" w:line="216" w:lineRule="exact"/>
              <w:rPr>
                <w:sz w:val="20"/>
                <w:szCs w:val="20"/>
                <w:color w:val="auto"/>
              </w:rPr>
            </w:pPr>
            <w:r>
              <w:rPr>
                <w:rFonts w:ascii="Arial" w:cs="Arial" w:eastAsia="Arial" w:hAnsi="Arial"/>
                <w:sz w:val="19"/>
                <w:szCs w:val="19"/>
                <w:color w:val="auto"/>
                <w:w w:val="96"/>
              </w:rPr>
              <w:t>FAMILY:'Arial','sans-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12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9"/>
                <w:szCs w:val="19"/>
                <w:color w:val="auto"/>
              </w:rPr>
              <w:t>24</w:t>
            </w: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80" w:type="dxa"/>
            <w:vAlign w:val="bottom"/>
            <w:vMerge w:val="restart"/>
          </w:tcPr>
          <w:p>
            <w:pPr>
              <w:jc w:val="right"/>
              <w:ind w:right="597"/>
              <w:spacing w:after="0"/>
              <w:rPr>
                <w:sz w:val="20"/>
                <w:szCs w:val="20"/>
                <w:color w:val="auto"/>
              </w:rPr>
            </w:pPr>
            <w:r>
              <w:rPr>
                <w:rFonts w:ascii="Arial" w:cs="Arial" w:eastAsia="Arial" w:hAnsi="Arial"/>
                <w:sz w:val="19"/>
                <w:szCs w:val="19"/>
                <w:color w:val="auto"/>
              </w:rPr>
              <w:t>serif'"&gt;</w:t>
            </w: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Commodities</w:t>
            </w: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Generation</w:t>
            </w:r>
          </w:p>
        </w:tc>
        <w:tc>
          <w:tcPr>
            <w:tcW w:w="2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269</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&amp;nb sp;806</w:t>
            </w: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792</w:t>
            </w:r>
          </w:p>
        </w:tc>
        <w:tc>
          <w:tcPr>
            <w:tcW w:w="1880" w:type="dxa"/>
            <w:vAlign w:val="bottom"/>
          </w:tcPr>
          <w:p>
            <w:pPr>
              <w:jc w:val="right"/>
              <w:ind w:right="57"/>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Pipelines &amp;</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0" w:type="dxa"/>
            <w:vAlign w:val="bottom"/>
          </w:tcPr>
          <w:p>
            <w:pPr>
              <w:ind w:left="80"/>
              <w:spacing w:after="0"/>
              <w:rPr>
                <w:sz w:val="20"/>
                <w:szCs w:val="20"/>
                <w:color w:val="auto"/>
              </w:rPr>
            </w:pPr>
            <w:r>
              <w:rPr>
                <w:rFonts w:ascii="Arial" w:cs="Arial" w:eastAsia="Arial" w:hAnsi="Arial"/>
                <w:sz w:val="14"/>
                <w:szCs w:val="14"/>
                <w:color w:val="auto"/>
              </w:rPr>
              <w:t>Storage</w:t>
            </w:r>
          </w:p>
        </w:tc>
        <w:tc>
          <w:tcPr>
            <w:tcW w:w="2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77</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68"/>
              <w:spacing w:after="0"/>
              <w:rPr>
                <w:sz w:val="20"/>
                <w:szCs w:val="20"/>
                <w:color w:val="auto"/>
              </w:rPr>
            </w:pPr>
            <w:r>
              <w:rPr>
                <w:rFonts w:ascii="Arial" w:cs="Arial" w:eastAsia="Arial" w:hAnsi="Arial"/>
                <w:sz w:val="14"/>
                <w:szCs w:val="14"/>
                <w:color w:val="auto"/>
              </w:rPr>
              <w:t>262</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328</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00" w:type="dxa"/>
            <w:vAlign w:val="bottom"/>
          </w:tcPr>
          <w:p>
            <w:pPr>
              <w:ind w:left="160"/>
              <w:spacing w:after="0"/>
              <w:rPr>
                <w:sz w:val="20"/>
                <w:szCs w:val="20"/>
                <w:color w:val="auto"/>
              </w:rPr>
            </w:pPr>
            <w:r>
              <w:rPr>
                <w:rFonts w:ascii="Arial" w:cs="Arial" w:eastAsia="Arial" w:hAnsi="Arial"/>
                <w:sz w:val="14"/>
                <w:szCs w:val="14"/>
                <w:color w:val="auto"/>
              </w:rPr>
              <w:t>Sempra LNG</w:t>
            </w:r>
          </w:p>
        </w:tc>
        <w:tc>
          <w:tcPr>
            <w:tcW w:w="260" w:type="dxa"/>
            <w:vAlign w:val="bottom"/>
          </w:tcPr>
          <w:p>
            <w:pPr>
              <w:spacing w:after="0"/>
              <w:rPr>
                <w:sz w:val="18"/>
                <w:szCs w:val="18"/>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183</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8"/>
                <w:szCs w:val="18"/>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554</w:t>
            </w: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8</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880" w:type="dxa"/>
            <w:vAlign w:val="bottom"/>
          </w:tcPr>
          <w:p>
            <w:pPr>
              <w:jc w:val="right"/>
              <w:ind w:right="57"/>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Adjustments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and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&amp;nb</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vMerge w:val="restart"/>
          </w:tcPr>
          <w:p>
            <w:pPr>
              <w:jc w:val="right"/>
              <w:ind w:right="57"/>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eliminations</w:t>
            </w:r>
          </w:p>
        </w:tc>
        <w:tc>
          <w:tcPr>
            <w:tcW w:w="2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60" w:type="dxa"/>
            <w:vAlign w:val="bottom"/>
          </w:tcPr>
          <w:p>
            <w:pPr>
              <w:jc w:val="center"/>
              <w:spacing w:after="0"/>
              <w:rPr>
                <w:sz w:val="20"/>
                <w:szCs w:val="20"/>
                <w:color w:val="auto"/>
              </w:rPr>
            </w:pPr>
            <w:r>
              <w:rPr>
                <w:rFonts w:ascii="Arial" w:cs="Arial" w:eastAsia="Arial" w:hAnsi="Arial"/>
                <w:sz w:val="14"/>
                <w:szCs w:val="14"/>
                <w:color w:val="auto"/>
              </w:rPr>
              <w:t>sp;</w:t>
            </w:r>
          </w:p>
        </w:tc>
        <w:tc>
          <w:tcPr>
            <w:tcW w:w="52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Intersegment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00" w:type="dxa"/>
            <w:vAlign w:val="bottom"/>
          </w:tcPr>
          <w:p>
            <w:pPr>
              <w:ind w:left="80"/>
              <w:spacing w:after="0"/>
              <w:rPr>
                <w:sz w:val="20"/>
                <w:szCs w:val="20"/>
                <w:color w:val="auto"/>
              </w:rPr>
            </w:pPr>
            <w:r>
              <w:rPr>
                <w:rFonts w:ascii="Arial" w:cs="Arial" w:eastAsia="Arial" w:hAnsi="Arial"/>
                <w:sz w:val="14"/>
                <w:szCs w:val="14"/>
                <w:color w:val="auto"/>
              </w:rPr>
              <w:t>revenues</w:t>
            </w:r>
          </w:p>
        </w:tc>
        <w:tc>
          <w:tcPr>
            <w:tcW w:w="260" w:type="dxa"/>
            <w:vAlign w:val="bottom"/>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w:t>
            </w: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8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2,116</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1,853</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3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6,658</w:t>
            </w:r>
          </w:p>
        </w:tc>
        <w:tc>
          <w:tcPr>
            <w:tcW w:w="5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100</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5,650</w:t>
            </w:r>
          </w:p>
        </w:tc>
        <w:tc>
          <w:tcPr>
            <w:tcW w:w="18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100</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200" w:type="dxa"/>
            <w:vAlign w:val="bottom"/>
          </w:tcPr>
          <w:p>
            <w:pPr>
              <w:ind w:left="80"/>
              <w:spacing w:after="0"/>
              <w:rPr>
                <w:sz w:val="20"/>
                <w:szCs w:val="20"/>
                <w:color w:val="auto"/>
              </w:rPr>
            </w:pPr>
            <w:r>
              <w:rPr>
                <w:rFonts w:ascii="Arial" w:cs="Arial" w:eastAsia="Arial" w:hAnsi="Arial"/>
                <w:sz w:val="14"/>
                <w:szCs w:val="14"/>
                <w:color w:val="auto"/>
              </w:rPr>
              <w:t>INTEREST</w:t>
            </w:r>
          </w:p>
        </w:tc>
        <w:tc>
          <w:tcPr>
            <w:tcW w:w="26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Arial" w:cs="Arial" w:eastAsia="Arial" w:hAnsi="Arial"/>
                <w:sz w:val="14"/>
                <w:szCs w:val="14"/>
                <w:color w:val="auto"/>
              </w:rPr>
              <w:t>&amp;nbs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0" w:type="dxa"/>
            <w:vAlign w:val="bottom"/>
          </w:tcPr>
          <w:p>
            <w:pPr>
              <w:ind w:left="80"/>
              <w:spacing w:after="0"/>
              <w:rPr>
                <w:sz w:val="20"/>
                <w:szCs w:val="20"/>
                <w:color w:val="auto"/>
              </w:rPr>
            </w:pPr>
            <w:r>
              <w:rPr>
                <w:rFonts w:ascii="Arial" w:cs="Arial" w:eastAsia="Arial" w:hAnsi="Arial"/>
                <w:sz w:val="14"/>
                <w:szCs w:val="14"/>
                <w:color w:val="auto"/>
              </w:rPr>
              <w:t>EXPENSE</w:t>
            </w:r>
          </w:p>
        </w:tc>
        <w:tc>
          <w:tcPr>
            <w:tcW w:w="26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Arial" w:cs="Arial" w:eastAsia="Arial" w:hAnsi="Arial"/>
                <w:sz w:val="14"/>
                <w:szCs w:val="14"/>
                <w:color w:val="auto"/>
              </w:rPr>
              <w:t>p;</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200" w:type="dxa"/>
            <w:vAlign w:val="bottom"/>
          </w:tcPr>
          <w:p>
            <w:pPr>
              <w:ind w:left="160"/>
              <w:spacing w:after="0"/>
              <w:rPr>
                <w:sz w:val="20"/>
                <w:szCs w:val="20"/>
                <w:color w:val="auto"/>
              </w:rPr>
            </w:pPr>
            <w:r>
              <w:rPr>
                <w:rFonts w:ascii="Arial" w:cs="Arial" w:eastAsia="Arial" w:hAnsi="Arial"/>
                <w:sz w:val="14"/>
                <w:szCs w:val="14"/>
                <w:color w:val="auto"/>
              </w:rPr>
              <w:t>SDG&amp;E</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37</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0" w:type="dxa"/>
            <w:vAlign w:val="bottom"/>
          </w:tcPr>
          <w:p>
            <w:pPr>
              <w:ind w:left="160"/>
              <w:spacing w:after="0"/>
              <w:rPr>
                <w:sz w:val="20"/>
                <w:szCs w:val="20"/>
                <w:color w:val="auto"/>
              </w:rPr>
            </w:pPr>
            <w:r>
              <w:rPr>
                <w:rFonts w:ascii="Arial" w:cs="Arial" w:eastAsia="Arial" w:hAnsi="Arial"/>
                <w:sz w:val="14"/>
                <w:szCs w:val="14"/>
                <w:color w:val="auto"/>
              </w:rPr>
              <w:t>SoCalGas</w:t>
            </w:r>
          </w:p>
        </w:tc>
        <w:tc>
          <w:tcPr>
            <w:tcW w:w="260" w:type="dxa"/>
            <w:vAlign w:val="bottom"/>
          </w:tcPr>
          <w:p>
            <w:pPr>
              <w:spacing w:after="0"/>
              <w:rPr>
                <w:sz w:val="17"/>
                <w:szCs w:val="17"/>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17</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Commodities</w:t>
            </w:r>
          </w:p>
        </w:tc>
        <w:tc>
          <w:tcPr>
            <w:tcW w:w="2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68"/>
              <w:spacing w:after="0"/>
              <w:rPr>
                <w:sz w:val="20"/>
                <w:szCs w:val="20"/>
                <w:color w:val="auto"/>
              </w:rPr>
            </w:pPr>
            <w:r>
              <w:rPr>
                <w:rFonts w:ascii="Arial" w:cs="Arial" w:eastAsia="Arial" w:hAnsi="Arial"/>
                <w:sz w:val="14"/>
                <w:szCs w:val="14"/>
                <w:color w:val="auto"/>
              </w:rPr>
              <w:t>3</w:t>
            </w: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Generation</w:t>
            </w:r>
          </w:p>
        </w:tc>
        <w:tc>
          <w:tcPr>
            <w:tcW w:w="2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Pipelines &amp;</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&amp;n</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0" w:type="dxa"/>
            <w:vAlign w:val="bottom"/>
          </w:tcPr>
          <w:p>
            <w:pPr>
              <w:ind w:left="80"/>
              <w:spacing w:after="0"/>
              <w:rPr>
                <w:sz w:val="20"/>
                <w:szCs w:val="20"/>
                <w:color w:val="auto"/>
              </w:rPr>
            </w:pPr>
            <w:r>
              <w:rPr>
                <w:rFonts w:ascii="Arial" w:cs="Arial" w:eastAsia="Arial" w:hAnsi="Arial"/>
                <w:sz w:val="14"/>
                <w:szCs w:val="14"/>
                <w:color w:val="auto"/>
              </w:rPr>
              <w:t>Storage</w:t>
            </w:r>
          </w:p>
        </w:tc>
        <w:tc>
          <w:tcPr>
            <w:tcW w:w="2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w:t>
            </w:r>
          </w:p>
        </w:tc>
        <w:tc>
          <w:tcPr>
            <w:tcW w:w="5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bsp;</w:t>
            </w:r>
          </w:p>
        </w:tc>
        <w:tc>
          <w:tcPr>
            <w:tcW w:w="52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200" w:type="dxa"/>
            <w:vAlign w:val="bottom"/>
          </w:tcPr>
          <w:p>
            <w:pPr>
              <w:ind w:left="160"/>
              <w:spacing w:after="0"/>
              <w:rPr>
                <w:sz w:val="20"/>
                <w:szCs w:val="20"/>
                <w:color w:val="auto"/>
              </w:rPr>
            </w:pPr>
            <w:r>
              <w:rPr>
                <w:rFonts w:ascii="Arial" w:cs="Arial" w:eastAsia="Arial" w:hAnsi="Arial"/>
                <w:sz w:val="14"/>
                <w:szCs w:val="14"/>
                <w:color w:val="auto"/>
              </w:rPr>
              <w:t>Sempra LNG</w:t>
            </w:r>
          </w:p>
        </w:tc>
        <w:tc>
          <w:tcPr>
            <w:tcW w:w="260" w:type="dxa"/>
            <w:vAlign w:val="bottom"/>
          </w:tcPr>
          <w:p>
            <w:pPr>
              <w:spacing w:after="0"/>
              <w:rPr>
                <w:sz w:val="17"/>
                <w:szCs w:val="17"/>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13</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0" w:type="dxa"/>
            <w:vAlign w:val="bottom"/>
          </w:tcPr>
          <w:p>
            <w:pPr>
              <w:ind w:left="160"/>
              <w:spacing w:after="0"/>
              <w:rPr>
                <w:sz w:val="20"/>
                <w:szCs w:val="20"/>
                <w:color w:val="auto"/>
              </w:rPr>
            </w:pPr>
            <w:r>
              <w:rPr>
                <w:rFonts w:ascii="Arial" w:cs="Arial" w:eastAsia="Arial" w:hAnsi="Arial"/>
                <w:sz w:val="14"/>
                <w:szCs w:val="14"/>
                <w:color w:val="auto"/>
              </w:rPr>
              <w:t>All other</w:t>
            </w:r>
          </w:p>
        </w:tc>
        <w:tc>
          <w:tcPr>
            <w:tcW w:w="260" w:type="dxa"/>
            <w:vAlign w:val="bottom"/>
          </w:tcPr>
          <w:p>
            <w:pPr>
              <w:spacing w:after="0"/>
              <w:rPr>
                <w:sz w:val="17"/>
                <w:szCs w:val="17"/>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73</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Intercompany</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00" w:type="dxa"/>
            <w:vAlign w:val="bottom"/>
          </w:tcPr>
          <w:p>
            <w:pPr>
              <w:ind w:left="80"/>
              <w:spacing w:after="0"/>
              <w:rPr>
                <w:sz w:val="20"/>
                <w:szCs w:val="20"/>
                <w:color w:val="auto"/>
              </w:rPr>
            </w:pPr>
            <w:r>
              <w:rPr>
                <w:rFonts w:ascii="Arial" w:cs="Arial" w:eastAsia="Arial" w:hAnsi="Arial"/>
                <w:sz w:val="14"/>
                <w:szCs w:val="14"/>
                <w:color w:val="auto"/>
              </w:rPr>
              <w:t>eliminations</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(45)</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c>
          <w:tcPr>
            <w:tcW w:w="1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111</w:t>
            </w:r>
          </w:p>
        </w:tc>
        <w:tc>
          <w:tcPr>
            <w:tcW w:w="4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323</w:t>
            </w:r>
          </w:p>
        </w:tc>
        <w:tc>
          <w:tcPr>
            <w:tcW w:w="5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w:t>
            </w:r>
          </w:p>
        </w:tc>
        <w:tc>
          <w:tcPr>
            <w:tcW w:w="18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76" w:orient="portrait"/>
          <w:cols w:equalWidth="0" w:num="1">
            <w:col w:w="11524"/>
          </w:cols>
          <w:pgMar w:left="236" w:top="323" w:right="139" w:bottom="0" w:gutter="0" w:footer="0" w:header="0"/>
        </w:sectPr>
      </w:pPr>
    </w:p>
    <w:bookmarkStart w:id="43" w:name="page44"/>
    <w:bookmarkEnd w:id="43"/>
    <w:p>
      <w:pPr>
        <w:ind w:left="80"/>
        <w:spacing w:after="0"/>
        <w:rPr>
          <w:sz w:val="20"/>
          <w:szCs w:val="20"/>
          <w:color w:val="auto"/>
        </w:rPr>
      </w:pPr>
      <w:r>
        <w:rPr>
          <w:rFonts w:ascii="Arial" w:cs="Arial" w:eastAsia="Arial" w:hAnsi="Arial"/>
          <w:sz w:val="14"/>
          <w:szCs w:val="14"/>
          <w:color w:val="auto"/>
        </w:rPr>
        <w:t>INTEREST</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color w:val="auto"/>
        </w:rPr>
        <w:t>INCOME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ind w:left="160"/>
              <w:spacing w:after="0"/>
              <w:rPr>
                <w:sz w:val="20"/>
                <w:szCs w:val="20"/>
                <w:color w:val="auto"/>
              </w:rPr>
            </w:pPr>
            <w:r>
              <w:rPr>
                <w:rFonts w:ascii="Arial" w:cs="Arial" w:eastAsia="Arial" w:hAnsi="Arial"/>
                <w:sz w:val="14"/>
                <w:szCs w:val="14"/>
                <w:color w:val="auto"/>
              </w:rPr>
              <w:t>SDG&amp;E</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200" w:type="dxa"/>
            <w:vAlign w:val="bottom"/>
          </w:tcPr>
          <w:p>
            <w:pPr>
              <w:ind w:left="160"/>
              <w:spacing w:after="0"/>
              <w:rPr>
                <w:sz w:val="20"/>
                <w:szCs w:val="20"/>
                <w:color w:val="auto"/>
              </w:rPr>
            </w:pPr>
            <w:r>
              <w:rPr>
                <w:rFonts w:ascii="Arial" w:cs="Arial" w:eastAsia="Arial" w:hAnsi="Arial"/>
                <w:sz w:val="14"/>
                <w:szCs w:val="14"/>
                <w:color w:val="auto"/>
              </w:rPr>
              <w:t>SoCalGas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vMerge w:val="restart"/>
          </w:tcPr>
          <w:p>
            <w:pPr>
              <w:ind w:left="600"/>
              <w:spacing w:after="0"/>
              <w:rPr>
                <w:sz w:val="20"/>
                <w:szCs w:val="20"/>
                <w:color w:val="auto"/>
              </w:rPr>
            </w:pPr>
            <w:r>
              <w:rPr>
                <w:rFonts w:ascii="Arial" w:cs="Arial" w:eastAsia="Arial" w:hAnsi="Arial"/>
                <w:sz w:val="19"/>
                <w:szCs w:val="19"/>
                <w:color w:val="auto"/>
              </w:rPr>
              <w:t>&lt; p</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2"/>
          </w:tcPr>
          <w:p>
            <w:pPr>
              <w:jc w:val="right"/>
              <w:ind w:right="28"/>
              <w:spacing w:after="0" w:line="216" w:lineRule="exact"/>
              <w:rPr>
                <w:sz w:val="20"/>
                <w:szCs w:val="20"/>
                <w:color w:val="auto"/>
              </w:rPr>
            </w:pPr>
            <w:r>
              <w:rPr>
                <w:rFonts w:ascii="Arial" w:cs="Arial" w:eastAsia="Arial" w:hAnsi="Arial"/>
                <w:sz w:val="19"/>
                <w:szCs w:val="19"/>
                <w:color w:val="auto"/>
              </w:rPr>
              <w:t>style="MARGIN:0in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ind w:left="600"/>
              <w:spacing w:after="0" w:line="216" w:lineRule="exact"/>
              <w:rPr>
                <w:sz w:val="20"/>
                <w:szCs w:val="20"/>
                <w:color w:val="auto"/>
              </w:rPr>
            </w:pPr>
            <w:r>
              <w:rPr>
                <w:rFonts w:ascii="Arial" w:cs="Arial" w:eastAsia="Arial" w:hAnsi="Arial"/>
                <w:sz w:val="19"/>
                <w:szCs w:val="19"/>
                <w:color w:val="auto"/>
              </w:rPr>
              <w:t>0in 0pt; TEXT-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ind w:left="600"/>
              <w:spacing w:after="0" w:line="216" w:lineRule="exact"/>
              <w:rPr>
                <w:sz w:val="20"/>
                <w:szCs w:val="20"/>
                <w:color w:val="auto"/>
              </w:rPr>
            </w:pPr>
            <w:r>
              <w:rPr>
                <w:rFonts w:ascii="Arial" w:cs="Arial" w:eastAsia="Arial" w:hAnsi="Arial"/>
                <w:sz w:val="19"/>
                <w:szCs w:val="19"/>
                <w:color w:val="auto"/>
              </w:rPr>
              <w:t>ALIGN:right"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00" w:type="dxa"/>
            <w:vAlign w:val="bottom"/>
          </w:tcPr>
          <w:p>
            <w:pPr>
              <w:ind w:left="8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gridSpan w:val="2"/>
            <w:vMerge w:val="restart"/>
          </w:tcPr>
          <w:p>
            <w:pPr>
              <w:jc w:val="right"/>
              <w:ind w:right="44"/>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&amp;n</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60" w:type="dxa"/>
            <w:vAlign w:val="bottom"/>
          </w:tcPr>
          <w:p>
            <w:pPr>
              <w:ind w:left="600"/>
              <w:spacing w:after="0"/>
              <w:rPr>
                <w:sz w:val="20"/>
                <w:szCs w:val="20"/>
                <w:color w:val="auto"/>
              </w:rPr>
            </w:pPr>
            <w:r>
              <w:rPr>
                <w:rFonts w:ascii="Arial" w:cs="Arial" w:eastAsia="Arial" w:hAnsi="Arial"/>
                <w:sz w:val="19"/>
                <w:szCs w:val="19"/>
                <w:color w:val="auto"/>
              </w:rPr>
              <w:t xml:space="preserve">align=right&gt; </w:t>
            </w:r>
            <w:r>
              <w:rPr>
                <w:rFonts w:ascii="Arial" w:cs="Arial" w:eastAsia="Arial" w:hAnsi="Arial"/>
                <w:sz w:val="14"/>
                <w:szCs w:val="14"/>
                <w:color w:val="auto"/>
              </w:rPr>
              <w:t>6</w:t>
            </w: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20"/>
                <w:szCs w:val="20"/>
                <w:color w:val="auto"/>
              </w:rPr>
            </w:pPr>
            <w:r>
              <w:rPr>
                <w:rFonts w:ascii="Arial" w:cs="Arial" w:eastAsia="Arial" w:hAnsi="Arial"/>
                <w:sz w:val="14"/>
                <w:szCs w:val="14"/>
                <w:color w:val="auto"/>
              </w:rPr>
              <w:t>Commodities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ind w:left="20"/>
              <w:spacing w:after="0"/>
              <w:rPr>
                <w:sz w:val="20"/>
                <w:szCs w:val="20"/>
                <w:color w:val="auto"/>
              </w:rPr>
            </w:pPr>
            <w:r>
              <w:rPr>
                <w:rFonts w:ascii="Arial" w:cs="Arial" w:eastAsia="Arial" w:hAnsi="Arial"/>
                <w:sz w:val="14"/>
                <w:szCs w:val="14"/>
                <w:color w:val="auto"/>
              </w:rPr>
              <w:t>bsp;</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Generation</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Pipelines &amp;</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4"/>
            <w:vMerge w:val="restart"/>
          </w:tcPr>
          <w:p>
            <w:pPr>
              <w:jc w:val="right"/>
              <w:ind w:right="148"/>
              <w:spacing w:after="0"/>
              <w:rPr>
                <w:sz w:val="20"/>
                <w:szCs w:val="20"/>
                <w:color w:val="auto"/>
              </w:rPr>
            </w:pPr>
            <w:r>
              <w:rPr>
                <w:rFonts w:ascii="Arial" w:cs="Arial" w:eastAsia="Arial" w:hAnsi="Arial"/>
                <w:sz w:val="19"/>
                <w:szCs w:val="19"/>
                <w:color w:val="auto"/>
                <w:w w:val="94"/>
              </w:rPr>
              <w:t>&lt; /td&gt;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00" w:type="dxa"/>
            <w:vAlign w:val="bottom"/>
          </w:tcPr>
          <w:p>
            <w:pPr>
              <w:ind w:left="80"/>
              <w:spacing w:after="0"/>
              <w:rPr>
                <w:sz w:val="20"/>
                <w:szCs w:val="20"/>
                <w:color w:val="auto"/>
              </w:rPr>
            </w:pPr>
            <w:r>
              <w:rPr>
                <w:rFonts w:ascii="Arial" w:cs="Arial" w:eastAsia="Arial" w:hAnsi="Arial"/>
                <w:sz w:val="14"/>
                <w:szCs w:val="14"/>
                <w:color w:val="auto"/>
              </w:rPr>
              <w:t>Storage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13</w:t>
            </w:r>
          </w:p>
        </w:tc>
        <w:tc>
          <w:tcPr>
            <w:tcW w:w="70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00" w:type="dxa"/>
            <w:vAlign w:val="bottom"/>
          </w:tcPr>
          <w:p>
            <w:pPr>
              <w:ind w:left="160"/>
              <w:spacing w:after="0"/>
              <w:rPr>
                <w:sz w:val="20"/>
                <w:szCs w:val="20"/>
                <w:color w:val="auto"/>
              </w:rPr>
            </w:pPr>
            <w:r>
              <w:rPr>
                <w:rFonts w:ascii="Arial" w:cs="Arial" w:eastAsia="Arial" w:hAnsi="Arial"/>
                <w:sz w:val="14"/>
                <w:szCs w:val="14"/>
                <w:color w:val="auto"/>
              </w:rPr>
              <w:t>Sempra LNG</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0" w:type="dxa"/>
            <w:vAlign w:val="bottom"/>
          </w:tcPr>
          <w:p>
            <w:pPr>
              <w:ind w:left="160"/>
              <w:spacing w:after="0"/>
              <w:rPr>
                <w:sz w:val="20"/>
                <w:szCs w:val="20"/>
                <w:color w:val="auto"/>
              </w:rPr>
            </w:pPr>
            <w:r>
              <w:rPr>
                <w:rFonts w:ascii="Arial" w:cs="Arial" w:eastAsia="Arial" w:hAnsi="Arial"/>
                <w:sz w:val="14"/>
                <w:szCs w:val="14"/>
                <w:color w:val="auto"/>
              </w:rPr>
              <w:t>All other</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w w:val="94"/>
              </w:rPr>
              <w:t>123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Intercompany</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00" w:type="dxa"/>
            <w:vAlign w:val="bottom"/>
          </w:tcPr>
          <w:p>
            <w:pPr>
              <w:ind w:left="80"/>
              <w:spacing w:after="0"/>
              <w:rPr>
                <w:sz w:val="20"/>
                <w:szCs w:val="20"/>
                <w:color w:val="auto"/>
              </w:rPr>
            </w:pPr>
            <w:r>
              <w:rPr>
                <w:rFonts w:ascii="Arial" w:cs="Arial" w:eastAsia="Arial" w:hAnsi="Arial"/>
                <w:sz w:val="14"/>
                <w:szCs w:val="14"/>
                <w:color w:val="auto"/>
              </w:rPr>
              <w:t>eliminations</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(45)</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(141)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(112)</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&amp;nbs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vMerge w:val="restart"/>
          </w:tcPr>
          <w:p>
            <w:pPr>
              <w:ind w:left="80"/>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4"/>
                <w:szCs w:val="14"/>
                <w:color w:val="auto"/>
              </w:rPr>
              <w:t>5</w:t>
            </w: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p;5</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16</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680" w:type="dxa"/>
            <w:vAlign w:val="bottom"/>
            <w:gridSpan w:val="3"/>
          </w:tcPr>
          <w:p>
            <w:pPr>
              <w:ind w:left="80"/>
              <w:spacing w:after="0"/>
              <w:rPr>
                <w:sz w:val="20"/>
                <w:szCs w:val="20"/>
                <w:color w:val="auto"/>
              </w:rPr>
            </w:pPr>
            <w:r>
              <w:rPr>
                <w:rFonts w:ascii="Arial" w:cs="Arial" w:eastAsia="Arial" w:hAnsi="Arial"/>
                <w:sz w:val="14"/>
                <w:szCs w:val="14"/>
                <w:color w:val="auto"/>
              </w:rPr>
              <w:t>DEPRECIATION AND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80" w:type="dxa"/>
            <w:vAlign w:val="bottom"/>
            <w:gridSpan w:val="3"/>
          </w:tcPr>
          <w:p>
            <w:pPr>
              <w:ind w:left="80"/>
              <w:spacing w:after="0"/>
              <w:rPr>
                <w:sz w:val="20"/>
                <w:szCs w:val="20"/>
                <w:color w:val="auto"/>
              </w:rPr>
            </w:pPr>
            <w:r>
              <w:rPr>
                <w:rFonts w:ascii="Arial" w:cs="Arial" w:eastAsia="Arial" w:hAnsi="Arial"/>
                <w:sz w:val="14"/>
                <w:szCs w:val="14"/>
                <w:color w:val="auto"/>
              </w:rPr>
              <w:t>AMORTIZATION&lt; /font&gt;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44 &lt;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0" w:type="dxa"/>
            <w:vAlign w:val="bottom"/>
          </w:tcPr>
          <w:p>
            <w:pPr>
              <w:ind w:left="160"/>
              <w:spacing w:after="0"/>
              <w:rPr>
                <w:sz w:val="20"/>
                <w:szCs w:val="20"/>
                <w:color w:val="auto"/>
              </w:rPr>
            </w:pPr>
            <w:r>
              <w:rPr>
                <w:rFonts w:ascii="Arial" w:cs="Arial" w:eastAsia="Arial" w:hAnsi="Arial"/>
                <w:sz w:val="14"/>
                <w:szCs w:val="14"/>
                <w:color w:val="auto"/>
              </w:rPr>
              <w:t>SDG&amp;E</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96</w:t>
            </w:r>
          </w:p>
        </w:tc>
        <w:tc>
          <w:tcPr>
            <w:tcW w:w="60" w:type="dxa"/>
            <w:vAlign w:val="bottom"/>
          </w:tcPr>
          <w:p>
            <w:pPr>
              <w:spacing w:after="0"/>
              <w:rPr>
                <w:sz w:val="14"/>
                <w:szCs w:val="14"/>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44</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81</w:t>
            </w:r>
          </w:p>
        </w:tc>
        <w:tc>
          <w:tcPr>
            <w:tcW w:w="320" w:type="dxa"/>
            <w:vAlign w:val="bottom"/>
          </w:tcPr>
          <w:p>
            <w:pPr>
              <w:jc w:val="right"/>
              <w:spacing w:after="0"/>
              <w:rPr>
                <w:sz w:val="20"/>
                <w:szCs w:val="20"/>
                <w:color w:val="auto"/>
              </w:rPr>
            </w:pPr>
            <w:r>
              <w:rPr>
                <w:rFonts w:ascii="Arial" w:cs="Arial" w:eastAsia="Arial" w:hAnsi="Arial"/>
                <w:sz w:val="14"/>
                <w:szCs w:val="14"/>
                <w:color w:val="auto"/>
              </w:rPr>
              <w:t>41</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60" w:type="dxa"/>
            <w:vAlign w:val="bottom"/>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w w:val="94"/>
              </w:rPr>
              <w:t>283</w:t>
            </w:r>
          </w:p>
        </w:tc>
        <w:tc>
          <w:tcPr>
            <w:tcW w:w="540" w:type="dxa"/>
            <w:vAlign w:val="bottom"/>
            <w:gridSpan w:val="3"/>
          </w:tcPr>
          <w:p>
            <w:pPr>
              <w:jc w:val="right"/>
              <w:ind w:right="28"/>
              <w:spacing w:after="0"/>
              <w:rPr>
                <w:sz w:val="20"/>
                <w:szCs w:val="20"/>
                <w:color w:val="auto"/>
              </w:rPr>
            </w:pPr>
            <w:r>
              <w:rPr>
                <w:rFonts w:ascii="Arial" w:cs="Arial" w:eastAsia="Arial" w:hAnsi="Arial"/>
                <w:sz w:val="14"/>
                <w:szCs w:val="14"/>
                <w:color w:val="auto"/>
              </w:rPr>
              <w:t>/font&gt;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239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42</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200" w:type="dxa"/>
            <w:vAlign w:val="bottom"/>
          </w:tcPr>
          <w:p>
            <w:pPr>
              <w:ind w:left="160"/>
              <w:spacing w:after="0"/>
              <w:rPr>
                <w:sz w:val="20"/>
                <w:szCs w:val="20"/>
                <w:color w:val="auto"/>
              </w:rPr>
            </w:pPr>
            <w:r>
              <w:rPr>
                <w:rFonts w:ascii="Arial" w:cs="Arial" w:eastAsia="Arial" w:hAnsi="Arial"/>
                <w:sz w:val="14"/>
                <w:szCs w:val="14"/>
                <w:color w:val="auto"/>
              </w:rPr>
              <w:t>SoCalGas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78</w:t>
            </w:r>
          </w:p>
        </w:tc>
        <w:tc>
          <w:tcPr>
            <w:tcW w:w="60" w:type="dxa"/>
            <w:vAlign w:val="bottom"/>
          </w:tcPr>
          <w:p>
            <w:pPr>
              <w:spacing w:after="0"/>
              <w:rPr>
                <w:sz w:val="17"/>
                <w:szCs w:val="17"/>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36</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73</w:t>
            </w:r>
          </w:p>
        </w:tc>
        <w:tc>
          <w:tcPr>
            <w:tcW w:w="32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w w:val="94"/>
              </w:rPr>
              <w:t>230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color w:val="auto"/>
                <w:w w:val="89"/>
              </w:rPr>
              <w:t>36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39</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restart"/>
          </w:tcPr>
          <w:p>
            <w:pPr>
              <w:jc w:val="right"/>
              <w:ind w:right="68"/>
              <w:spacing w:after="0"/>
              <w:rPr>
                <w:sz w:val="20"/>
                <w:szCs w:val="20"/>
                <w:color w:val="auto"/>
              </w:rPr>
            </w:pPr>
            <w:r>
              <w:rPr>
                <w:rFonts w:ascii="Arial" w:cs="Arial" w:eastAsia="Arial" w:hAnsi="Arial"/>
                <w:sz w:val="14"/>
                <w:szCs w:val="14"/>
                <w:color w:val="auto"/>
              </w:rPr>
              <w:t>7</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vMerge w:val="restart"/>
          </w:tcPr>
          <w:p>
            <w:pPr>
              <w:ind w:left="80"/>
              <w:spacing w:after="0"/>
              <w:rPr>
                <w:sz w:val="20"/>
                <w:szCs w:val="20"/>
                <w:color w:val="auto"/>
              </w:rPr>
            </w:pPr>
            <w:r>
              <w:rPr>
                <w:rFonts w:ascii="Arial" w:cs="Arial" w:eastAsia="Arial" w:hAnsi="Arial"/>
                <w:sz w:val="14"/>
                <w:szCs w:val="14"/>
                <w:color w:val="auto"/>
              </w:rPr>
              <w:t>Generation</w:t>
            </w: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gridSpan w:val="2"/>
            <w:vMerge w:val="restart"/>
          </w:tcPr>
          <w:p>
            <w:pPr>
              <w:jc w:val="right"/>
              <w:ind w:right="44"/>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7"/>
                <w:szCs w:val="7"/>
                <w:color w:val="auto"/>
              </w:rPr>
            </w:pPr>
          </w:p>
        </w:tc>
        <w:tc>
          <w:tcPr>
            <w:tcW w:w="500" w:type="dxa"/>
            <w:vAlign w:val="bottom"/>
            <w:vMerge w:val="restart"/>
          </w:tcPr>
          <w:p>
            <w:pPr>
              <w:jc w:val="right"/>
              <w:ind w:right="108"/>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color w:val="auto"/>
              </w:rPr>
              <w:t>14</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2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Pipelines &amp;</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restart"/>
          </w:tcPr>
          <w:p>
            <w:pPr>
              <w:jc w:val="right"/>
              <w:ind w:right="44"/>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0" w:type="dxa"/>
            <w:vAlign w:val="bottom"/>
          </w:tcPr>
          <w:p>
            <w:pPr>
              <w:ind w:left="80"/>
              <w:spacing w:after="0"/>
              <w:rPr>
                <w:sz w:val="20"/>
                <w:szCs w:val="20"/>
                <w:color w:val="auto"/>
              </w:rPr>
            </w:pPr>
            <w:r>
              <w:rPr>
                <w:rFonts w:ascii="Arial" w:cs="Arial" w:eastAsia="Arial" w:hAnsi="Arial"/>
                <w:sz w:val="14"/>
                <w:szCs w:val="14"/>
                <w:color w:val="auto"/>
              </w:rPr>
              <w:t>Storage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3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32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200" w:type="dxa"/>
            <w:vAlign w:val="bottom"/>
          </w:tcPr>
          <w:p>
            <w:pPr>
              <w:ind w:left="160"/>
              <w:spacing w:after="0"/>
              <w:rPr>
                <w:sz w:val="20"/>
                <w:szCs w:val="20"/>
                <w:color w:val="auto"/>
              </w:rPr>
            </w:pPr>
            <w:r>
              <w:rPr>
                <w:rFonts w:ascii="Arial" w:cs="Arial" w:eastAsia="Arial" w:hAnsi="Arial"/>
                <w:sz w:val="14"/>
                <w:szCs w:val="14"/>
                <w:color w:val="auto"/>
              </w:rPr>
              <w:t>Sempra LNG</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7"/>
                <w:szCs w:val="17"/>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3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00" w:type="dxa"/>
            <w:vAlign w:val="bottom"/>
          </w:tcPr>
          <w:p>
            <w:pPr>
              <w:ind w:left="160"/>
              <w:spacing w:after="0"/>
              <w:rPr>
                <w:sz w:val="20"/>
                <w:szCs w:val="20"/>
                <w:color w:val="auto"/>
              </w:rPr>
            </w:pPr>
            <w:r>
              <w:rPr>
                <w:rFonts w:ascii="Arial" w:cs="Arial" w:eastAsia="Arial" w:hAnsi="Arial"/>
                <w:sz w:val="14"/>
                <w:szCs w:val="14"/>
                <w:color w:val="auto"/>
              </w:rPr>
              <w:t>All other</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4</w:t>
            </w:r>
          </w:p>
        </w:tc>
        <w:tc>
          <w:tcPr>
            <w:tcW w:w="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0" w:type="dxa"/>
            <w:vAlign w:val="bottom"/>
          </w:tcPr>
          <w:p>
            <w:pPr>
              <w:ind w:left="32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218</w:t>
            </w:r>
          </w:p>
        </w:tc>
        <w:tc>
          <w:tcPr>
            <w:tcW w:w="60" w:type="dxa"/>
            <w:vAlign w:val="bottom"/>
          </w:tcPr>
          <w:p>
            <w:pPr>
              <w:spacing w:after="0"/>
              <w:rPr>
                <w:sz w:val="19"/>
                <w:szCs w:val="19"/>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196</w:t>
            </w:r>
          </w:p>
        </w:tc>
        <w:tc>
          <w:tcPr>
            <w:tcW w:w="320" w:type="dxa"/>
            <w:vAlign w:val="bottom"/>
          </w:tcPr>
          <w:p>
            <w:pPr>
              <w:jc w:val="right"/>
              <w:spacing w:after="0"/>
              <w:rPr>
                <w:sz w:val="20"/>
                <w:szCs w:val="20"/>
                <w:color w:val="auto"/>
              </w:rPr>
            </w:pPr>
            <w:r>
              <w:rPr>
                <w:rFonts w:ascii="Arial" w:cs="Arial" w:eastAsia="Arial" w:hAnsi="Arial"/>
                <w:sz w:val="14"/>
                <w:szCs w:val="14"/>
                <w:color w:val="auto"/>
              </w:rPr>
              <w:t>100</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60" w:type="dxa"/>
            <w:vAlign w:val="bottom"/>
          </w:tcPr>
          <w:p>
            <w:pPr>
              <w:ind w:left="80"/>
              <w:spacing w:after="0" w:line="208" w:lineRule="exact"/>
              <w:rPr>
                <w:sz w:val="20"/>
                <w:szCs w:val="20"/>
                <w:color w:val="auto"/>
              </w:rPr>
            </w:pPr>
            <w:r>
              <w:rPr>
                <w:rFonts w:ascii="Arial" w:cs="Arial" w:eastAsia="Arial" w:hAnsi="Arial"/>
                <w:sz w:val="19"/>
                <w:szCs w:val="19"/>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w w:val="94"/>
              </w:rPr>
              <w:t>643</w:t>
            </w:r>
          </w:p>
        </w:tc>
        <w:tc>
          <w:tcPr>
            <w:tcW w:w="540" w:type="dxa"/>
            <w:vAlign w:val="bottom"/>
            <w:gridSpan w:val="3"/>
          </w:tcPr>
          <w:p>
            <w:pPr>
              <w:jc w:val="right"/>
              <w:ind w:right="68"/>
              <w:spacing w:after="0"/>
              <w:rPr>
                <w:sz w:val="20"/>
                <w:szCs w:val="20"/>
                <w:color w:val="auto"/>
              </w:rPr>
            </w:pPr>
            <w:r>
              <w:rPr>
                <w:rFonts w:ascii="Arial" w:cs="Arial" w:eastAsia="Arial" w:hAnsi="Arial"/>
                <w:sz w:val="14"/>
                <w:szCs w:val="14"/>
                <w:color w:val="auto"/>
              </w:rPr>
              <w:t>100</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568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2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INCOME TAX</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0" w:type="dxa"/>
            <w:vAlign w:val="bottom"/>
          </w:tcPr>
          <w:p>
            <w:pPr>
              <w:ind w:left="80"/>
              <w:spacing w:after="0"/>
              <w:rPr>
                <w:sz w:val="20"/>
                <w:szCs w:val="20"/>
                <w:color w:val="auto"/>
              </w:rPr>
            </w:pPr>
            <w:r>
              <w:rPr>
                <w:rFonts w:ascii="Arial" w:cs="Arial" w:eastAsia="Arial" w:hAnsi="Arial"/>
                <w:sz w:val="14"/>
                <w:szCs w:val="14"/>
                <w:color w:val="auto"/>
              </w:rPr>
              <w:t>EXPENSE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80"/>
              <w:spacing w:after="0"/>
              <w:rPr>
                <w:sz w:val="20"/>
                <w:szCs w:val="20"/>
                <w:color w:val="auto"/>
              </w:rPr>
            </w:pPr>
            <w:r>
              <w:rPr>
                <w:rFonts w:ascii="Arial" w:cs="Arial" w:eastAsia="Arial" w:hAnsi="Arial"/>
                <w:sz w:val="14"/>
                <w:szCs w:val="14"/>
                <w:color w:val="auto"/>
              </w:rPr>
              <w:t>(BENEFIT)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60"/>
              <w:spacing w:after="0"/>
              <w:rPr>
                <w:sz w:val="20"/>
                <w:szCs w:val="20"/>
                <w:color w:val="auto"/>
              </w:rPr>
            </w:pPr>
            <w:r>
              <w:rPr>
                <w:rFonts w:ascii="Arial" w:cs="Arial" w:eastAsia="Arial" w:hAnsi="Arial"/>
                <w:sz w:val="14"/>
                <w:szCs w:val="14"/>
                <w:color w:val="auto"/>
              </w:rPr>
              <w:t>SDG&amp;E</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56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53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w w:val="94"/>
              </w:rPr>
              <w:t>131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141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200" w:type="dxa"/>
            <w:vAlign w:val="bottom"/>
          </w:tcPr>
          <w:p>
            <w:pPr>
              <w:ind w:left="160"/>
              <w:spacing w:after="0"/>
              <w:rPr>
                <w:sz w:val="20"/>
                <w:szCs w:val="20"/>
                <w:color w:val="auto"/>
              </w:rPr>
            </w:pPr>
            <w:r>
              <w:rPr>
                <w:rFonts w:ascii="Arial" w:cs="Arial" w:eastAsia="Arial" w:hAnsi="Arial"/>
                <w:sz w:val="14"/>
                <w:szCs w:val="14"/>
                <w:color w:val="auto"/>
              </w:rPr>
              <w:t>SoCalGas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42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w w:val="94"/>
              </w:rPr>
              <w:t>132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w w:val="91"/>
              </w:rPr>
              <w:t>(147)</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Commodities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30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2"/>
          </w:tcPr>
          <w:p>
            <w:pPr>
              <w:jc w:val="right"/>
              <w:ind w:right="28"/>
              <w:spacing w:after="0"/>
              <w:rPr>
                <w:sz w:val="20"/>
                <w:szCs w:val="20"/>
                <w:color w:val="auto"/>
              </w:rPr>
            </w:pPr>
            <w:r>
              <w:rPr>
                <w:rFonts w:ascii="Arial" w:cs="Arial" w:eastAsia="Arial" w:hAnsi="Arial"/>
                <w:sz w:val="14"/>
                <w:szCs w:val="14"/>
                <w:color w:val="auto"/>
              </w:rPr>
              <w:t>(167)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Generation</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30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160"/>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80"/>
              <w:spacing w:after="0"/>
              <w:rPr>
                <w:sz w:val="20"/>
                <w:szCs w:val="20"/>
                <w:color w:val="auto"/>
              </w:rPr>
            </w:pPr>
            <w:r>
              <w:rPr>
                <w:rFonts w:ascii="Arial" w:cs="Arial" w:eastAsia="Arial" w:hAnsi="Arial"/>
                <w:sz w:val="14"/>
                <w:szCs w:val="14"/>
                <w:color w:val="auto"/>
              </w:rPr>
              <w:t>Pipelines &amp;</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0" w:type="dxa"/>
            <w:vAlign w:val="bottom"/>
          </w:tcPr>
          <w:p>
            <w:pPr>
              <w:ind w:left="80"/>
              <w:spacing w:after="0"/>
              <w:rPr>
                <w:sz w:val="20"/>
                <w:szCs w:val="20"/>
                <w:color w:val="auto"/>
              </w:rPr>
            </w:pPr>
            <w:r>
              <w:rPr>
                <w:rFonts w:ascii="Arial" w:cs="Arial" w:eastAsia="Arial" w:hAnsi="Arial"/>
                <w:sz w:val="14"/>
                <w:szCs w:val="14"/>
                <w:color w:val="auto"/>
              </w:rPr>
              <w:t>Storage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89"/>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200" w:type="dxa"/>
            <w:vAlign w:val="bottom"/>
          </w:tcPr>
          <w:p>
            <w:pPr>
              <w:ind w:left="160"/>
              <w:spacing w:after="0"/>
              <w:rPr>
                <w:sz w:val="20"/>
                <w:szCs w:val="20"/>
                <w:color w:val="auto"/>
              </w:rPr>
            </w:pPr>
            <w:r>
              <w:rPr>
                <w:rFonts w:ascii="Arial" w:cs="Arial" w:eastAsia="Arial" w:hAnsi="Arial"/>
                <w:sz w:val="14"/>
                <w:szCs w:val="14"/>
                <w:color w:val="auto"/>
              </w:rPr>
              <w:t>Sempra LNG</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ind w:right="89"/>
              <w:spacing w:after="0"/>
              <w:rPr>
                <w:sz w:val="20"/>
                <w:szCs w:val="20"/>
                <w:color w:val="auto"/>
              </w:rPr>
            </w:pPr>
            <w:r>
              <w:rPr>
                <w:rFonts w:ascii="Arial" w:cs="Arial" w:eastAsia="Arial" w:hAnsi="Arial"/>
                <w:sz w:val="14"/>
                <w:szCs w:val="14"/>
                <w:color w:val="auto"/>
              </w:rPr>
              <w:t>(32 )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00" w:type="dxa"/>
            <w:vAlign w:val="bottom"/>
          </w:tcPr>
          <w:p>
            <w:pPr>
              <w:ind w:left="160"/>
              <w:spacing w:after="0"/>
              <w:rPr>
                <w:sz w:val="20"/>
                <w:szCs w:val="20"/>
                <w:color w:val="auto"/>
              </w:rPr>
            </w:pPr>
            <w:r>
              <w:rPr>
                <w:rFonts w:ascii="Arial" w:cs="Arial" w:eastAsia="Arial" w:hAnsi="Arial"/>
                <w:sz w:val="14"/>
                <w:szCs w:val="14"/>
                <w:color w:val="auto"/>
              </w:rPr>
              <w:t>All other</w:t>
            </w: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color w:val="auto"/>
              </w:rPr>
              <w:t>(27)</w:t>
            </w:r>
          </w:p>
        </w:tc>
        <w:tc>
          <w:tcPr>
            <w:tcW w:w="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color w:val="auto"/>
              </w:rPr>
              <w:t>(32)</w:t>
            </w: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128</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327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80" w:type="dxa"/>
            <w:vAlign w:val="bottom"/>
            <w:tcBorders>
              <w:bottom w:val="single" w:sz="8" w:color="auto"/>
            </w:tcBorders>
            <w:gridSpan w:val="4"/>
          </w:tcPr>
          <w:p>
            <w:pPr>
              <w:spacing w:after="0"/>
              <w:rPr>
                <w:sz w:val="18"/>
                <w:szCs w:val="18"/>
                <w:color w:val="auto"/>
              </w:rPr>
            </w:pPr>
          </w:p>
        </w:tc>
        <w:tc>
          <w:tcPr>
            <w:tcW w:w="880" w:type="dxa"/>
            <w:vAlign w:val="bottom"/>
            <w:tcBorders>
              <w:bottom w:val="single" w:sz="8" w:color="auto"/>
            </w:tcBorders>
            <w:gridSpan w:val="3"/>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60" w:type="dxa"/>
            <w:vAlign w:val="bottom"/>
            <w:gridSpan w:val="7"/>
            <w:shd w:val="clear" w:color="auto" w:fill="C0C0C0"/>
          </w:tcPr>
          <w:p>
            <w:pPr>
              <w:spacing w:after="0"/>
              <w:rPr>
                <w:sz w:val="20"/>
                <w:szCs w:val="20"/>
                <w:color w:val="auto"/>
              </w:rPr>
            </w:pPr>
            <w:r>
              <w:rPr>
                <w:rFonts w:ascii="Arial" w:cs="Arial" w:eastAsia="Arial" w:hAnsi="Arial"/>
                <w:sz w:val="14"/>
                <w:szCs w:val="14"/>
                <w:b w:val="1"/>
                <w:bCs w:val="1"/>
                <w:color w:val="auto"/>
              </w:rPr>
              <w:t>SEGMENT INFORMATION (Continued)</w:t>
            </w:r>
          </w:p>
        </w:tc>
        <w:tc>
          <w:tcPr>
            <w:tcW w:w="26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3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196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32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320" w:type="dxa"/>
            <w:vAlign w:val="bottom"/>
            <w:shd w:val="clear" w:color="auto" w:fill="C0C0C0"/>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00" w:type="dxa"/>
            <w:vAlign w:val="bottom"/>
            <w:shd w:val="clear" w:color="auto" w:fill="C0C0C0"/>
          </w:tcPr>
          <w:p>
            <w:pPr>
              <w:spacing w:after="0"/>
              <w:rPr>
                <w:sz w:val="20"/>
                <w:szCs w:val="20"/>
                <w:color w:val="auto"/>
              </w:rPr>
            </w:pPr>
            <w:r>
              <w:rPr>
                <w:rFonts w:ascii="Arial" w:cs="Arial" w:eastAsia="Arial" w:hAnsi="Arial"/>
                <w:sz w:val="13"/>
                <w:szCs w:val="13"/>
                <w:i w:val="1"/>
                <w:iCs w:val="1"/>
                <w:color w:val="auto"/>
              </w:rPr>
              <w:t>(Dollars in millions)</w:t>
            </w:r>
          </w:p>
        </w:tc>
        <w:tc>
          <w:tcPr>
            <w:tcW w:w="2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196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3"/>
                <w:szCs w:val="13"/>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color w:val="auto"/>
                <w:w w:val="98"/>
              </w:rPr>
              <w:t>Nine months ended September 30,</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80"/>
              <w:spacing w:after="0" w:line="148" w:lineRule="exact"/>
              <w:rPr>
                <w:sz w:val="20"/>
                <w:szCs w:val="20"/>
                <w:color w:val="auto"/>
              </w:rPr>
            </w:pPr>
            <w:r>
              <w:rPr>
                <w:rFonts w:ascii="Arial" w:cs="Arial" w:eastAsia="Arial" w:hAnsi="Arial"/>
                <w:sz w:val="13"/>
                <w:szCs w:val="13"/>
                <w:color w:val="auto"/>
                <w:w w:val="96"/>
              </w:rPr>
              <w:t>2010</w:t>
            </w:r>
          </w:p>
        </w:tc>
        <w:tc>
          <w:tcPr>
            <w:tcW w:w="19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6"/>
              </w:rPr>
              <w:t>2009</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rPr>
              <w:t>2010</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
              <w:spacing w:after="0" w:line="148" w:lineRule="exact"/>
              <w:rPr>
                <w:sz w:val="20"/>
                <w:szCs w:val="20"/>
                <w:color w:val="auto"/>
              </w:rPr>
            </w:pPr>
            <w:r>
              <w:rPr>
                <w:rFonts w:ascii="Arial" w:cs="Arial" w:eastAsia="Arial" w:hAnsi="Arial"/>
                <w:sz w:val="13"/>
                <w:szCs w:val="13"/>
                <w:color w:val="auto"/>
              </w:rPr>
              <w:t>2009</w:t>
            </w: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gridSpan w:val="3"/>
          </w:tcPr>
          <w:p>
            <w:pPr>
              <w:spacing w:after="0"/>
              <w:rPr>
                <w:sz w:val="20"/>
                <w:szCs w:val="20"/>
                <w:color w:val="auto"/>
              </w:rPr>
            </w:pPr>
            <w:r>
              <w:rPr>
                <w:rFonts w:ascii="Arial" w:cs="Arial" w:eastAsia="Arial" w:hAnsi="Arial"/>
                <w:sz w:val="14"/>
                <w:szCs w:val="14"/>
                <w:color w:val="auto"/>
              </w:rPr>
              <w:t>EQUITY EARNINGS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20"/>
                <w:szCs w:val="20"/>
                <w:color w:val="auto"/>
              </w:rPr>
            </w:pPr>
            <w:r>
              <w:rPr>
                <w:rFonts w:ascii="Arial" w:cs="Arial" w:eastAsia="Arial" w:hAnsi="Arial"/>
                <w:sz w:val="14"/>
                <w:szCs w:val="14"/>
                <w:color w:val="auto"/>
              </w:rPr>
              <w:t>(LOSSES)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gridSpan w:val="6"/>
          </w:tcPr>
          <w:p>
            <w:pPr>
              <w:ind w:left="40"/>
              <w:spacing w:after="0"/>
              <w:rPr>
                <w:sz w:val="20"/>
                <w:szCs w:val="20"/>
                <w:color w:val="auto"/>
              </w:rPr>
            </w:pPr>
            <w:r>
              <w:rPr>
                <w:rFonts w:ascii="Arial" w:cs="Arial" w:eastAsia="Arial" w:hAnsi="Arial"/>
                <w:sz w:val="14"/>
                <w:szCs w:val="14"/>
                <w:color w:val="auto"/>
              </w:rPr>
              <w:t>Earnings (losses) recorded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Arial" w:cs="Arial" w:eastAsia="Arial" w:hAnsi="Arial"/>
                <w:sz w:val="14"/>
                <w:szCs w:val="14"/>
                <w:color w:val="auto"/>
              </w:rPr>
              <w:t>before tax:</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ind w:left="120"/>
              <w:spacing w:after="0"/>
              <w:rPr>
                <w:sz w:val="20"/>
                <w:szCs w:val="20"/>
                <w:color w:val="auto"/>
              </w:rPr>
            </w:pPr>
            <w:r>
              <w:rPr>
                <w:rFonts w:ascii="Arial" w:cs="Arial" w:eastAsia="Arial" w:hAnsi="Arial"/>
                <w:sz w:val="14"/>
                <w:szCs w:val="14"/>
                <w:color w:val="auto"/>
              </w:rPr>
              <w:t>Sempra Commodities</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(281)</w:t>
            </w:r>
          </w:p>
        </w:tc>
        <w:tc>
          <w:tcPr>
            <w:tcW w:w="3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7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(290)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680" w:type="dxa"/>
            <w:vAlign w:val="bottom"/>
            <w:gridSpan w:val="3"/>
          </w:tcPr>
          <w:p>
            <w:pPr>
              <w:ind w:left="120"/>
              <w:spacing w:after="0"/>
              <w:rPr>
                <w:sz w:val="20"/>
                <w:szCs w:val="20"/>
                <w:color w:val="auto"/>
              </w:rPr>
            </w:pPr>
            <w:r>
              <w:rPr>
                <w:rFonts w:ascii="Arial" w:cs="Arial" w:eastAsia="Arial" w:hAnsi="Arial"/>
                <w:sz w:val="14"/>
                <w:szCs w:val="14"/>
                <w:color w:val="auto"/>
              </w:rPr>
              <w:t>Sempra Generation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680" w:type="dxa"/>
            <w:vAlign w:val="bottom"/>
            <w:gridSpan w:val="3"/>
          </w:tcPr>
          <w:p>
            <w:pPr>
              <w:ind w:left="120"/>
              <w:spacing w:after="0"/>
              <w:rPr>
                <w:sz w:val="20"/>
                <w:szCs w:val="20"/>
                <w:color w:val="auto"/>
              </w:rPr>
            </w:pPr>
            <w:r>
              <w:rPr>
                <w:rFonts w:ascii="Arial" w:cs="Arial" w:eastAsia="Arial" w:hAnsi="Arial"/>
                <w:sz w:val="14"/>
                <w:szCs w:val="14"/>
                <w:color w:val="auto"/>
              </w:rPr>
              <w:t>Sempra Pipelines &amp;</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Arial" w:cs="Arial" w:eastAsia="Arial" w:hAnsi="Arial"/>
                <w:sz w:val="14"/>
                <w:szCs w:val="14"/>
                <w:color w:val="auto"/>
              </w:rPr>
              <w:t>Storage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color w:val="auto"/>
              </w:rPr>
              <w:t>&amp;nbs</w:t>
            </w: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0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85"/>
              </w:rPr>
              <w:t>p;</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28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(273)</w:t>
            </w:r>
          </w:p>
        </w:tc>
        <w:tc>
          <w:tcPr>
            <w:tcW w:w="380" w:type="dxa"/>
            <w:vAlign w:val="bottom"/>
          </w:tcPr>
          <w:p>
            <w:pPr>
              <w:spacing w:after="0"/>
              <w:rPr>
                <w:sz w:val="16"/>
                <w:szCs w:val="16"/>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7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(266)</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80" w:type="dxa"/>
            <w:vAlign w:val="bottom"/>
            <w:gridSpan w:val="4"/>
          </w:tcPr>
          <w:p>
            <w:pPr>
              <w:ind w:left="40"/>
              <w:spacing w:after="0" w:line="146" w:lineRule="exact"/>
              <w:rPr>
                <w:sz w:val="20"/>
                <w:szCs w:val="20"/>
                <w:color w:val="auto"/>
              </w:rPr>
            </w:pPr>
            <w:r>
              <w:rPr>
                <w:rFonts w:ascii="Arial" w:cs="Arial" w:eastAsia="Arial" w:hAnsi="Arial"/>
                <w:sz w:val="14"/>
                <w:szCs w:val="14"/>
                <w:color w:val="auto"/>
              </w:rPr>
              <w:t>Earnings (losses) recorded</w:t>
            </w:r>
          </w:p>
        </w:tc>
        <w:tc>
          <w:tcPr>
            <w:tcW w:w="380" w:type="dxa"/>
            <w:vAlign w:val="bottom"/>
            <w:tcBorders>
              <w:top w:val="single" w:sz="8" w:color="auto"/>
            </w:tcBorders>
            <w:gridSpan w:val="2"/>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20"/>
                <w:szCs w:val="20"/>
                <w:color w:val="auto"/>
              </w:rPr>
            </w:pPr>
            <w:r>
              <w:rPr>
                <w:rFonts w:ascii="Arial" w:cs="Arial" w:eastAsia="Arial" w:hAnsi="Arial"/>
                <w:sz w:val="14"/>
                <w:szCs w:val="14"/>
                <w:color w:val="auto"/>
              </w:rPr>
              <w:t>net of tax:</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gridSpan w:val="3"/>
          </w:tcPr>
          <w:p>
            <w:pPr>
              <w:ind w:left="120"/>
              <w:spacing w:after="0"/>
              <w:rPr>
                <w:sz w:val="20"/>
                <w:szCs w:val="20"/>
                <w:color w:val="auto"/>
              </w:rPr>
            </w:pPr>
            <w:r>
              <w:rPr>
                <w:rFonts w:ascii="Arial" w:cs="Arial" w:eastAsia="Arial" w:hAnsi="Arial"/>
                <w:sz w:val="14"/>
                <w:szCs w:val="14"/>
                <w:color w:val="auto"/>
              </w:rPr>
              <w:t>Sempra Pipelines &amp;</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Storage</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7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680" w:type="dxa"/>
            <w:vAlign w:val="bottom"/>
            <w:gridSpan w:val="3"/>
          </w:tcPr>
          <w:p>
            <w:pPr>
              <w:spacing w:after="0"/>
              <w:rPr>
                <w:sz w:val="20"/>
                <w:szCs w:val="20"/>
                <w:color w:val="auto"/>
              </w:rPr>
            </w:pPr>
            <w:r>
              <w:rPr>
                <w:rFonts w:ascii="Arial" w:cs="Arial" w:eastAsia="Arial" w:hAnsi="Arial"/>
                <w:sz w:val="14"/>
                <w:szCs w:val="14"/>
                <w:color w:val="auto"/>
              </w:rPr>
              <w:t>EARNINGS (LOSSES)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4"/>
                <w:szCs w:val="14"/>
                <w:color w:val="auto"/>
              </w:rPr>
              <w:t>SDG&amp;E(1)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106</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81 %$</w:t>
            </w:r>
          </w:p>
        </w:tc>
        <w:tc>
          <w:tcPr>
            <w:tcW w:w="300" w:type="dxa"/>
            <w:vAlign w:val="bottom"/>
          </w:tcPr>
          <w:p>
            <w:pPr>
              <w:spacing w:after="0"/>
              <w:rPr>
                <w:sz w:val="18"/>
                <w:szCs w:val="18"/>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720" w:type="dxa"/>
            <w:vAlign w:val="bottom"/>
            <w:gridSpan w:val="3"/>
          </w:tcPr>
          <w:p>
            <w:pPr>
              <w:jc w:val="right"/>
              <w:ind w:right="240"/>
              <w:spacing w:after="0"/>
              <w:rPr>
                <w:sz w:val="20"/>
                <w:szCs w:val="20"/>
                <w:color w:val="auto"/>
              </w:rPr>
            </w:pPr>
            <w:r>
              <w:rPr>
                <w:rFonts w:ascii="Arial" w:cs="Arial" w:eastAsia="Arial" w:hAnsi="Arial"/>
                <w:sz w:val="14"/>
                <w:szCs w:val="14"/>
                <w:color w:val="auto"/>
              </w:rPr>
              <w:t>34 %$</w:t>
            </w:r>
          </w:p>
        </w:tc>
        <w:tc>
          <w:tcPr>
            <w:tcW w:w="600" w:type="dxa"/>
            <w:vAlign w:val="bottom"/>
          </w:tcPr>
          <w:p>
            <w:pPr>
              <w:jc w:val="right"/>
              <w:spacing w:after="0"/>
              <w:rPr>
                <w:sz w:val="20"/>
                <w:szCs w:val="20"/>
                <w:color w:val="auto"/>
              </w:rPr>
            </w:pPr>
            <w:r>
              <w:rPr>
                <w:rFonts w:ascii="Arial" w:cs="Arial" w:eastAsia="Arial" w:hAnsi="Arial"/>
                <w:sz w:val="14"/>
                <w:szCs w:val="14"/>
                <w:color w:val="auto"/>
              </w:rPr>
              <w:t>264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128"/>
              <w:spacing w:after="0"/>
              <w:rPr>
                <w:sz w:val="20"/>
                <w:szCs w:val="20"/>
                <w:color w:val="auto"/>
              </w:rPr>
            </w:pPr>
            <w:r>
              <w:rPr>
                <w:rFonts w:ascii="Arial" w:cs="Arial" w:eastAsia="Arial" w:hAnsi="Arial"/>
                <w:sz w:val="14"/>
                <w:szCs w:val="14"/>
                <w:color w:val="auto"/>
              </w:rPr>
              <w:t>58 %</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3"/>
              </w:rPr>
              <w:t>33 %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4"/>
                <w:szCs w:val="14"/>
                <w:color w:val="auto"/>
              </w:rPr>
              <w:t>SoCalGas(1)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78</w:t>
            </w:r>
          </w:p>
        </w:tc>
        <w:tc>
          <w:tcPr>
            <w:tcW w:w="380" w:type="dxa"/>
            <w:vAlign w:val="bottom"/>
          </w:tcPr>
          <w:p>
            <w:pPr>
              <w:jc w:val="right"/>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46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8"/>
                <w:szCs w:val="18"/>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color w:val="auto"/>
                <w:w w:val="89"/>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680" w:type="dxa"/>
            <w:vAlign w:val="bottom"/>
            <w:gridSpan w:val="3"/>
          </w:tcPr>
          <w:p>
            <w:pPr>
              <w:ind w:left="120"/>
              <w:spacing w:after="0"/>
              <w:rPr>
                <w:sz w:val="20"/>
                <w:szCs w:val="20"/>
                <w:color w:val="auto"/>
              </w:rPr>
            </w:pPr>
            <w:r>
              <w:rPr>
                <w:rFonts w:ascii="Arial" w:cs="Arial" w:eastAsia="Arial" w:hAnsi="Arial"/>
                <w:sz w:val="14"/>
                <w:szCs w:val="14"/>
                <w:color w:val="auto"/>
              </w:rPr>
              <w:t>Sempra Commodities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color w:val="auto"/>
              </w:rPr>
              <w:t>(134) (102)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24</w:t>
            </w:r>
          </w:p>
        </w:tc>
        <w:tc>
          <w:tcPr>
            <w:tcW w:w="32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(139) (30)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17"/>
                <w:szCs w:val="17"/>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color w:val="auto"/>
                <w:w w:val="89"/>
              </w:rPr>
              <w:t>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80" w:type="dxa"/>
            <w:vAlign w:val="bottom"/>
            <w:gridSpan w:val="3"/>
          </w:tcPr>
          <w:p>
            <w:pPr>
              <w:ind w:left="120"/>
              <w:spacing w:after="0"/>
              <w:rPr>
                <w:sz w:val="20"/>
                <w:szCs w:val="20"/>
                <w:color w:val="auto"/>
              </w:rPr>
            </w:pPr>
            <w:r>
              <w:rPr>
                <w:rFonts w:ascii="Arial" w:cs="Arial" w:eastAsia="Arial" w:hAnsi="Arial"/>
                <w:sz w:val="14"/>
                <w:szCs w:val="14"/>
                <w:color w:val="auto"/>
              </w:rPr>
              <w:t>Sempra Generation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56</w:t>
            </w:r>
          </w:p>
        </w:tc>
        <w:tc>
          <w:tcPr>
            <w:tcW w:w="38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8"/>
                <w:szCs w:val="18"/>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color w:val="auto"/>
                <w:w w:val="89"/>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80" w:type="dxa"/>
            <w:vAlign w:val="bottom"/>
            <w:gridSpan w:val="3"/>
          </w:tcPr>
          <w:p>
            <w:pPr>
              <w:ind w:left="120"/>
              <w:spacing w:after="0"/>
              <w:rPr>
                <w:sz w:val="20"/>
                <w:szCs w:val="20"/>
                <w:color w:val="auto"/>
              </w:rPr>
            </w:pPr>
            <w:r>
              <w:rPr>
                <w:rFonts w:ascii="Arial" w:cs="Arial" w:eastAsia="Arial" w:hAnsi="Arial"/>
                <w:sz w:val="14"/>
                <w:szCs w:val="14"/>
                <w:color w:val="auto"/>
              </w:rPr>
              <w:t>Sempra Pipelines &amp;</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Arial" w:cs="Arial" w:eastAsia="Arial" w:hAnsi="Arial"/>
                <w:sz w:val="14"/>
                <w:szCs w:val="14"/>
                <w:color w:val="auto"/>
              </w:rPr>
              <w:t>Storage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43</w:t>
            </w:r>
          </w:p>
        </w:tc>
        <w:tc>
          <w:tcPr>
            <w:tcW w:w="38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17</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26</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00" w:type="dxa"/>
            <w:vAlign w:val="bottom"/>
          </w:tcPr>
          <w:p>
            <w:pPr>
              <w:ind w:left="120"/>
              <w:spacing w:after="0"/>
              <w:rPr>
                <w:sz w:val="20"/>
                <w:szCs w:val="20"/>
                <w:color w:val="auto"/>
              </w:rPr>
            </w:pPr>
            <w:r>
              <w:rPr>
                <w:rFonts w:ascii="Arial" w:cs="Arial" w:eastAsia="Arial" w:hAnsi="Arial"/>
                <w:sz w:val="14"/>
                <w:szCs w:val="14"/>
                <w:color w:val="auto"/>
              </w:rPr>
              <w:t>Sempra LNG</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5</w:t>
            </w: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11</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0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xml:space="preserve">(23) </w:t>
            </w:r>
            <w:r>
              <w:rPr>
                <w:rFonts w:ascii="Arial" w:cs="Arial" w:eastAsia="Arial" w:hAnsi="Arial"/>
                <w:sz w:val="19"/>
                <w:szCs w:val="19"/>
                <w:color w:val="auto"/>
              </w:rPr>
              <w:t>(18)</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(37) (12)</w:t>
            </w:r>
          </w:p>
        </w:tc>
        <w:tc>
          <w:tcPr>
            <w:tcW w:w="320" w:type="dxa"/>
            <w:vAlign w:val="bottom"/>
          </w:tcPr>
          <w:p>
            <w:pPr>
              <w:spacing w:after="0"/>
              <w:rPr>
                <w:sz w:val="19"/>
                <w:szCs w:val="19"/>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(99) (22)</w:t>
            </w: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(82) (10)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100 %$</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color w:val="auto"/>
              </w:rPr>
              <w:t>317 100 %$</w:t>
            </w:r>
          </w:p>
        </w:tc>
        <w:tc>
          <w:tcPr>
            <w:tcW w:w="130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color w:val="auto"/>
              </w:rPr>
              <w:t>459 100 %</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831 100 %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0"/>
            <w:vMerge w:val="restart"/>
          </w:tcPr>
          <w:p>
            <w:pPr>
              <w:spacing w:after="0"/>
              <w:rPr>
                <w:sz w:val="20"/>
                <w:szCs w:val="20"/>
                <w:color w:val="auto"/>
              </w:rPr>
            </w:pPr>
            <w:r>
              <w:rPr>
                <w:rFonts w:ascii="Arial" w:cs="Arial" w:eastAsia="Arial" w:hAnsi="Arial"/>
                <w:sz w:val="19"/>
                <w:szCs w:val="19"/>
                <w:color w:val="auto"/>
              </w:rPr>
              <w:t>&lt; font style="FONT-SIZE:9pt; COLOR:black; FONT-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gridSpan w:val="8"/>
          </w:tcPr>
          <w:p>
            <w:pPr>
              <w:jc w:val="center"/>
              <w:spacing w:after="0"/>
              <w:rPr>
                <w:sz w:val="20"/>
                <w:szCs w:val="20"/>
                <w:color w:val="auto"/>
              </w:rPr>
            </w:pPr>
            <w:r>
              <w:rPr>
                <w:rFonts w:ascii="Arial" w:cs="Arial" w:eastAsia="Arial" w:hAnsi="Arial"/>
                <w:sz w:val="13"/>
                <w:szCs w:val="13"/>
                <w:color w:val="auto"/>
                <w:w w:val="98"/>
              </w:rPr>
              <w:t>Nine months ended September 30,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40" w:type="dxa"/>
            <w:vAlign w:val="bottom"/>
            <w:gridSpan w:val="10"/>
            <w:vMerge w:val="continue"/>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spacing w:after="0"/>
              <w:rPr>
                <w:sz w:val="20"/>
                <w:szCs w:val="20"/>
                <w:color w:val="auto"/>
              </w:rPr>
            </w:pPr>
            <w:r>
              <w:rPr>
                <w:rFonts w:ascii="Arial" w:cs="Arial" w:eastAsia="Arial" w:hAnsi="Arial"/>
                <w:sz w:val="19"/>
                <w:szCs w:val="19"/>
                <w:color w:val="auto"/>
                <w:w w:val="97"/>
              </w:rPr>
              <w:t>FAMILY:'Arial','sans-serif'"&gt;</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2010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2009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gridSpan w:val="10"/>
          </w:tcPr>
          <w:p>
            <w:pPr>
              <w:spacing w:after="0"/>
              <w:rPr>
                <w:sz w:val="20"/>
                <w:szCs w:val="20"/>
                <w:color w:val="auto"/>
              </w:rPr>
            </w:pPr>
            <w:r>
              <w:rPr>
                <w:rFonts w:ascii="Arial" w:cs="Arial" w:eastAsia="Arial" w:hAnsi="Arial"/>
                <w:sz w:val="14"/>
                <w:szCs w:val="14"/>
                <w:color w:val="auto"/>
              </w:rPr>
              <w:t>EXPENDITURES FOR PROPERTY PLANT &amp; EQUIPMENT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4"/>
                <w:szCs w:val="14"/>
                <w:color w:val="auto"/>
              </w:rPr>
              <w:t>SDG&amp;E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128"/>
              <w:spacing w:after="0"/>
              <w:rPr>
                <w:sz w:val="20"/>
                <w:szCs w:val="20"/>
                <w:color w:val="auto"/>
              </w:rPr>
            </w:pPr>
            <w:r>
              <w:rPr>
                <w:rFonts w:ascii="Arial" w:cs="Arial" w:eastAsia="Arial" w:hAnsi="Arial"/>
                <w:sz w:val="14"/>
                <w:szCs w:val="14"/>
                <w:color w:val="auto"/>
              </w:rPr>
              <w:t>61 %</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3"/>
              </w:rPr>
              <w:t>46 %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4"/>
                <w:szCs w:val="14"/>
                <w:color w:val="auto"/>
              </w:rPr>
              <w:t>SoCalGas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8"/>
                <w:szCs w:val="18"/>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color w:val="auto"/>
                <w:w w:val="89"/>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31" w:right="139" w:bottom="0" w:gutter="0" w:footer="0" w:header="0"/>
        </w:sectPr>
      </w:pPr>
    </w:p>
    <w:bookmarkStart w:id="44" w:name="page45"/>
    <w:bookmarkEnd w:id="44"/>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80" w:type="dxa"/>
            <w:vAlign w:val="bottom"/>
          </w:tcPr>
          <w:p>
            <w:pPr>
              <w:ind w:left="120"/>
              <w:spacing w:after="0"/>
              <w:rPr>
                <w:sz w:val="20"/>
                <w:szCs w:val="20"/>
                <w:color w:val="auto"/>
              </w:rPr>
            </w:pPr>
            <w:r>
              <w:rPr>
                <w:rFonts w:ascii="Arial" w:cs="Arial" w:eastAsia="Arial" w:hAnsi="Arial"/>
                <w:sz w:val="14"/>
                <w:szCs w:val="14"/>
                <w:color w:val="auto"/>
              </w:rPr>
              <w:t>Sempra Generation</w:t>
            </w:r>
          </w:p>
        </w:tc>
        <w:tc>
          <w:tcPr>
            <w:tcW w:w="422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720" w:type="dxa"/>
            <w:vAlign w:val="bottom"/>
          </w:tcPr>
          <w:p>
            <w:pPr>
              <w:jc w:val="right"/>
              <w:ind w:right="408"/>
              <w:spacing w:after="0"/>
              <w:rPr>
                <w:sz w:val="20"/>
                <w:szCs w:val="20"/>
                <w:color w:val="auto"/>
              </w:rPr>
            </w:pPr>
            <w:r>
              <w:rPr>
                <w:rFonts w:ascii="Arial" w:cs="Arial" w:eastAsia="Arial" w:hAnsi="Arial"/>
                <w:sz w:val="14"/>
                <w:szCs w:val="14"/>
                <w:color w:val="auto"/>
              </w:rPr>
              <w:t>2</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8"/>
        </w:trPr>
        <w:tc>
          <w:tcPr>
            <w:tcW w:w="5280" w:type="dxa"/>
            <w:vAlign w:val="bottom"/>
          </w:tcPr>
          <w:p>
            <w:pPr>
              <w:ind w:left="120"/>
              <w:spacing w:after="0"/>
              <w:rPr>
                <w:sz w:val="20"/>
                <w:szCs w:val="20"/>
                <w:color w:val="auto"/>
              </w:rPr>
            </w:pPr>
            <w:r>
              <w:rPr>
                <w:rFonts w:ascii="Arial" w:cs="Arial" w:eastAsia="Arial" w:hAnsi="Arial"/>
                <w:sz w:val="14"/>
                <w:szCs w:val="14"/>
                <w:color w:val="auto"/>
              </w:rPr>
              <w:t>Sempra Pipelines &amp;</w:t>
            </w:r>
          </w:p>
        </w:tc>
        <w:tc>
          <w:tcPr>
            <w:tcW w:w="4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2"/>
        </w:trPr>
        <w:tc>
          <w:tcPr>
            <w:tcW w:w="5280" w:type="dxa"/>
            <w:vAlign w:val="bottom"/>
          </w:tcPr>
          <w:p>
            <w:pPr>
              <w:spacing w:after="0"/>
              <w:rPr>
                <w:sz w:val="20"/>
                <w:szCs w:val="20"/>
                <w:color w:val="auto"/>
              </w:rPr>
            </w:pPr>
            <w:r>
              <w:rPr>
                <w:rFonts w:ascii="Arial" w:cs="Arial" w:eastAsia="Arial" w:hAnsi="Arial"/>
                <w:sz w:val="14"/>
                <w:szCs w:val="14"/>
                <w:color w:val="auto"/>
              </w:rPr>
              <w:t>Storage</w:t>
            </w:r>
          </w:p>
        </w:tc>
        <w:tc>
          <w:tcPr>
            <w:tcW w:w="422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720" w:type="dxa"/>
            <w:vAlign w:val="bottom"/>
          </w:tcPr>
          <w:p>
            <w:pPr>
              <w:jc w:val="right"/>
              <w:ind w:right="408"/>
              <w:spacing w:after="0"/>
              <w:rPr>
                <w:sz w:val="20"/>
                <w:szCs w:val="20"/>
                <w:color w:val="auto"/>
              </w:rPr>
            </w:pPr>
            <w:r>
              <w:rPr>
                <w:rFonts w:ascii="Arial" w:cs="Arial" w:eastAsia="Arial" w:hAnsi="Arial"/>
                <w:sz w:val="14"/>
                <w:szCs w:val="14"/>
                <w:color w:val="auto"/>
              </w:rPr>
              <w:t>11</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149</w:t>
            </w:r>
          </w:p>
        </w:tc>
        <w:tc>
          <w:tcPr>
            <w:tcW w:w="2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5280" w:type="dxa"/>
            <w:vAlign w:val="bottom"/>
          </w:tcPr>
          <w:p>
            <w:pPr>
              <w:ind w:left="120"/>
              <w:spacing w:after="0"/>
              <w:rPr>
                <w:sz w:val="20"/>
                <w:szCs w:val="20"/>
                <w:color w:val="auto"/>
              </w:rPr>
            </w:pPr>
            <w:r>
              <w:rPr>
                <w:rFonts w:ascii="Arial" w:cs="Arial" w:eastAsia="Arial" w:hAnsi="Arial"/>
                <w:sz w:val="14"/>
                <w:szCs w:val="14"/>
                <w:color w:val="auto"/>
              </w:rPr>
              <w:t>Sempra LNG</w:t>
            </w:r>
          </w:p>
        </w:tc>
        <w:tc>
          <w:tcPr>
            <w:tcW w:w="42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720" w:type="dxa"/>
            <w:vAlign w:val="bottom"/>
          </w:tcPr>
          <w:p>
            <w:pPr>
              <w:jc w:val="right"/>
              <w:ind w:right="408"/>
              <w:spacing w:after="0"/>
              <w:rPr>
                <w:sz w:val="20"/>
                <w:szCs w:val="20"/>
                <w:color w:val="auto"/>
              </w:rPr>
            </w:pPr>
            <w:r>
              <w:rPr>
                <w:rFonts w:ascii="Arial" w:cs="Arial" w:eastAsia="Arial" w:hAnsi="Arial"/>
                <w:sz w:val="14"/>
                <w:szCs w:val="14"/>
                <w:color w:val="auto"/>
              </w:rPr>
              <w:t>1</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240" w:type="dxa"/>
            <w:vAlign w:val="bottom"/>
          </w:tcPr>
          <w:p>
            <w:pPr>
              <w:jc w:val="right"/>
              <w:spacing w:after="0"/>
              <w:rPr>
                <w:sz w:val="20"/>
                <w:szCs w:val="20"/>
                <w:color w:val="auto"/>
              </w:rPr>
            </w:pPr>
            <w:r>
              <w:rPr>
                <w:rFonts w:ascii="Arial" w:cs="Arial" w:eastAsia="Arial" w:hAnsi="Arial"/>
                <w:sz w:val="14"/>
                <w:szCs w:val="14"/>
                <w:color w:val="auto"/>
              </w:rPr>
              <w:t>17</w:t>
            </w: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3180" w:type="dxa"/>
            <w:vAlign w:val="bottom"/>
            <w:vMerge w:val="restart"/>
          </w:tcPr>
          <w:p>
            <w:pPr>
              <w:ind w:left="2360"/>
              <w:spacing w:after="0"/>
              <w:rPr>
                <w:sz w:val="20"/>
                <w:szCs w:val="20"/>
                <w:color w:val="auto"/>
              </w:rPr>
            </w:pPr>
            <w:r>
              <w:rPr>
                <w:rFonts w:ascii="Arial" w:cs="Arial" w:eastAsia="Arial" w:hAnsi="Arial"/>
                <w:sz w:val="14"/>
                <w:szCs w:val="14"/>
                <w:color w:val="auto"/>
              </w:rPr>
              <w:t>&amp;nb</w:t>
            </w:r>
          </w:p>
        </w:tc>
        <w:tc>
          <w:tcPr>
            <w:tcW w:w="320" w:type="dxa"/>
            <w:vAlign w:val="bottom"/>
          </w:tcPr>
          <w:p>
            <w:pPr>
              <w:spacing w:after="0"/>
              <w:rPr>
                <w:sz w:val="20"/>
                <w:szCs w:val="20"/>
                <w:color w:val="auto"/>
              </w:rPr>
            </w:pPr>
            <w:r>
              <w:rPr>
                <w:rFonts w:ascii="Arial" w:cs="Arial" w:eastAsia="Arial" w:hAnsi="Arial"/>
                <w:sz w:val="19"/>
                <w:szCs w:val="19"/>
                <w:color w:val="auto"/>
              </w:rPr>
              <w:t>&lt;</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532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320" w:type="dxa"/>
            <w:vAlign w:val="bottom"/>
            <w:vMerge w:val="restart"/>
          </w:tcPr>
          <w:p>
            <w:pPr>
              <w:spacing w:after="0"/>
              <w:rPr>
                <w:sz w:val="20"/>
                <w:szCs w:val="20"/>
                <w:color w:val="auto"/>
              </w:rPr>
            </w:pPr>
            <w:r>
              <w:rPr>
                <w:rFonts w:ascii="Arial" w:cs="Arial" w:eastAsia="Arial" w:hAnsi="Arial"/>
                <w:sz w:val="19"/>
                <w:szCs w:val="19"/>
                <w:color w:val="auto"/>
                <w:w w:val="92"/>
              </w:rPr>
              <w:t>/td&gt;</w:t>
            </w: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532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3180" w:type="dxa"/>
            <w:vAlign w:val="bottom"/>
          </w:tcPr>
          <w:p>
            <w:pPr>
              <w:ind w:left="2360"/>
              <w:spacing w:after="0"/>
              <w:rPr>
                <w:sz w:val="20"/>
                <w:szCs w:val="20"/>
                <w:color w:val="auto"/>
              </w:rPr>
            </w:pPr>
            <w:r>
              <w:rPr>
                <w:rFonts w:ascii="Arial" w:cs="Arial" w:eastAsia="Arial" w:hAnsi="Arial"/>
                <w:sz w:val="14"/>
                <w:szCs w:val="14"/>
                <w:color w:val="auto"/>
              </w:rPr>
              <w:t>sp;</w:t>
            </w:r>
          </w:p>
        </w:tc>
        <w:tc>
          <w:tcPr>
            <w:tcW w:w="3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w:t>
            </w:r>
          </w:p>
        </w:tc>
        <w:tc>
          <w:tcPr>
            <w:tcW w:w="3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w:t>
            </w:r>
          </w:p>
        </w:tc>
        <w:tc>
          <w:tcPr>
            <w:tcW w:w="5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100 %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1,371 100 %</w:t>
            </w:r>
          </w:p>
        </w:tc>
        <w:tc>
          <w:tcPr>
            <w:tcW w:w="0" w:type="dxa"/>
            <w:vAlign w:val="bottom"/>
          </w:tcPr>
          <w:p>
            <w:pPr>
              <w:spacing w:after="0"/>
              <w:rPr>
                <w:sz w:val="1"/>
                <w:szCs w:val="1"/>
                <w:color w:val="auto"/>
              </w:rPr>
            </w:pPr>
          </w:p>
        </w:tc>
      </w:tr>
      <w:tr>
        <w:trPr>
          <w:trHeight w:val="360"/>
        </w:trPr>
        <w:tc>
          <w:tcPr>
            <w:tcW w:w="5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3"/>
                <w:szCs w:val="13"/>
                <w:color w:val="auto"/>
              </w:rPr>
              <w:t>September 30, 2010</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color w:val="auto"/>
                <w:w w:val="96"/>
              </w:rPr>
              <w:t>December 31, 2009</w:t>
            </w:r>
          </w:p>
        </w:tc>
        <w:tc>
          <w:tcPr>
            <w:tcW w:w="0" w:type="dxa"/>
            <w:vAlign w:val="bottom"/>
          </w:tcPr>
          <w:p>
            <w:pPr>
              <w:spacing w:after="0"/>
              <w:rPr>
                <w:sz w:val="1"/>
                <w:szCs w:val="1"/>
                <w:color w:val="auto"/>
              </w:rPr>
            </w:pPr>
          </w:p>
        </w:tc>
      </w:tr>
      <w:tr>
        <w:trPr>
          <w:trHeight w:val="178"/>
        </w:trPr>
        <w:tc>
          <w:tcPr>
            <w:tcW w:w="5320" w:type="dxa"/>
            <w:vAlign w:val="bottom"/>
          </w:tcPr>
          <w:p>
            <w:pPr>
              <w:spacing w:after="0"/>
              <w:rPr>
                <w:sz w:val="20"/>
                <w:szCs w:val="20"/>
                <w:color w:val="auto"/>
              </w:rPr>
            </w:pPr>
            <w:r>
              <w:rPr>
                <w:rFonts w:ascii="Arial" w:cs="Arial" w:eastAsia="Arial" w:hAnsi="Arial"/>
                <w:sz w:val="14"/>
                <w:szCs w:val="14"/>
                <w:color w:val="auto"/>
              </w:rPr>
              <w:t>ASSETS</w:t>
            </w:r>
          </w:p>
        </w:tc>
        <w:tc>
          <w:tcPr>
            <w:tcW w:w="3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20" w:type="dxa"/>
            <w:vAlign w:val="bottom"/>
          </w:tcPr>
          <w:p>
            <w:pPr>
              <w:ind w:left="120"/>
              <w:spacing w:after="0"/>
              <w:rPr>
                <w:sz w:val="20"/>
                <w:szCs w:val="20"/>
                <w:color w:val="auto"/>
              </w:rPr>
            </w:pPr>
            <w:r>
              <w:rPr>
                <w:rFonts w:ascii="Arial" w:cs="Arial" w:eastAsia="Arial" w:hAnsi="Arial"/>
                <w:sz w:val="14"/>
                <w:szCs w:val="14"/>
                <w:color w:val="auto"/>
              </w:rPr>
              <w:t>SDG&amp;E</w:t>
            </w:r>
          </w:p>
        </w:tc>
        <w:tc>
          <w:tcPr>
            <w:tcW w:w="318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11,496</w:t>
            </w:r>
          </w:p>
        </w:tc>
        <w:tc>
          <w:tcPr>
            <w:tcW w:w="4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40 %</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10,229</w:t>
            </w:r>
          </w:p>
        </w:tc>
        <w:tc>
          <w:tcPr>
            <w:tcW w:w="400" w:type="dxa"/>
            <w:vAlign w:val="bottom"/>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76"/>
        </w:trPr>
        <w:tc>
          <w:tcPr>
            <w:tcW w:w="5320" w:type="dxa"/>
            <w:vAlign w:val="bottom"/>
          </w:tcPr>
          <w:p>
            <w:pPr>
              <w:ind w:left="120"/>
              <w:spacing w:after="0"/>
              <w:rPr>
                <w:sz w:val="20"/>
                <w:szCs w:val="20"/>
                <w:color w:val="auto"/>
              </w:rPr>
            </w:pPr>
            <w:r>
              <w:rPr>
                <w:rFonts w:ascii="Arial" w:cs="Arial" w:eastAsia="Arial" w:hAnsi="Arial"/>
                <w:sz w:val="14"/>
                <w:szCs w:val="14"/>
                <w:color w:val="auto"/>
              </w:rPr>
              <w:t>SoCalGas</w:t>
            </w:r>
          </w:p>
        </w:tc>
        <w:tc>
          <w:tcPr>
            <w:tcW w:w="3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7,350</w:t>
            </w:r>
          </w:p>
        </w:tc>
        <w:tc>
          <w:tcPr>
            <w:tcW w:w="40" w:type="dxa"/>
            <w:vAlign w:val="bottom"/>
          </w:tcPr>
          <w:p>
            <w:pPr>
              <w:spacing w:after="0"/>
              <w:rPr>
                <w:sz w:val="15"/>
                <w:szCs w:val="15"/>
                <w:color w:val="auto"/>
              </w:rPr>
            </w:pP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7,287</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8"/>
        </w:trPr>
        <w:tc>
          <w:tcPr>
            <w:tcW w:w="5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1,963 &lt;</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20" w:type="dxa"/>
            <w:vAlign w:val="bottom"/>
          </w:tcPr>
          <w:p>
            <w:pPr>
              <w:ind w:left="120"/>
              <w:spacing w:after="0"/>
              <w:rPr>
                <w:sz w:val="20"/>
                <w:szCs w:val="20"/>
                <w:color w:val="auto"/>
              </w:rPr>
            </w:pPr>
            <w:r>
              <w:rPr>
                <w:rFonts w:ascii="Arial" w:cs="Arial" w:eastAsia="Arial" w:hAnsi="Arial"/>
                <w:sz w:val="14"/>
                <w:szCs w:val="14"/>
                <w:color w:val="auto"/>
              </w:rPr>
              <w:t>Sempra Commodities</w:t>
            </w:r>
          </w:p>
        </w:tc>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/font&gt;</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2,255</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2"/>
        </w:trPr>
        <w:tc>
          <w:tcPr>
            <w:tcW w:w="5320" w:type="dxa"/>
            <w:vAlign w:val="bottom"/>
          </w:tcPr>
          <w:p>
            <w:pPr>
              <w:ind w:left="120"/>
              <w:spacing w:after="0"/>
              <w:rPr>
                <w:sz w:val="20"/>
                <w:szCs w:val="20"/>
                <w:color w:val="auto"/>
              </w:rPr>
            </w:pPr>
            <w:r>
              <w:rPr>
                <w:rFonts w:ascii="Arial" w:cs="Arial" w:eastAsia="Arial" w:hAnsi="Arial"/>
                <w:sz w:val="14"/>
                <w:szCs w:val="14"/>
                <w:color w:val="auto"/>
              </w:rPr>
              <w:t>Sempra Generation</w:t>
            </w:r>
          </w:p>
        </w:tc>
        <w:tc>
          <w:tcPr>
            <w:tcW w:w="3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2,383</w:t>
            </w:r>
          </w:p>
        </w:tc>
        <w:tc>
          <w:tcPr>
            <w:tcW w:w="40" w:type="dxa"/>
            <w:vAlign w:val="bottom"/>
          </w:tcPr>
          <w:p>
            <w:pPr>
              <w:spacing w:after="0"/>
              <w:rPr>
                <w:sz w:val="18"/>
                <w:szCs w:val="18"/>
                <w:color w:val="auto"/>
              </w:rPr>
            </w:pP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2,048</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8"/>
        </w:trPr>
        <w:tc>
          <w:tcPr>
            <w:tcW w:w="5320" w:type="dxa"/>
            <w:vAlign w:val="bottom"/>
          </w:tcPr>
          <w:p>
            <w:pPr>
              <w:ind w:left="120"/>
              <w:spacing w:after="0"/>
              <w:rPr>
                <w:sz w:val="20"/>
                <w:szCs w:val="20"/>
                <w:color w:val="auto"/>
              </w:rPr>
            </w:pPr>
            <w:r>
              <w:rPr>
                <w:rFonts w:ascii="Arial" w:cs="Arial" w:eastAsia="Arial" w:hAnsi="Arial"/>
                <w:sz w:val="14"/>
                <w:szCs w:val="14"/>
                <w:color w:val="auto"/>
              </w:rPr>
              <w:t>Sempra Pipelines &amp;</w:t>
            </w:r>
          </w:p>
        </w:tc>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20" w:type="dxa"/>
            <w:vAlign w:val="bottom"/>
          </w:tcPr>
          <w:p>
            <w:pPr>
              <w:spacing w:after="0"/>
              <w:rPr>
                <w:sz w:val="20"/>
                <w:szCs w:val="20"/>
                <w:color w:val="auto"/>
              </w:rPr>
            </w:pPr>
            <w:r>
              <w:rPr>
                <w:rFonts w:ascii="Arial" w:cs="Arial" w:eastAsia="Arial" w:hAnsi="Arial"/>
                <w:sz w:val="14"/>
                <w:szCs w:val="14"/>
                <w:color w:val="auto"/>
              </w:rPr>
              <w:t>Storage</w:t>
            </w:r>
          </w:p>
        </w:tc>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5,108</w:t>
            </w:r>
          </w:p>
        </w:tc>
        <w:tc>
          <w:tcPr>
            <w:tcW w:w="40" w:type="dxa"/>
            <w:vAlign w:val="bottom"/>
          </w:tcPr>
          <w:p>
            <w:pPr>
              <w:spacing w:after="0"/>
              <w:rPr>
                <w:sz w:val="14"/>
                <w:szCs w:val="14"/>
                <w:color w:val="auto"/>
              </w:rPr>
            </w:pP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4,485</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0"/>
        </w:trPr>
        <w:tc>
          <w:tcPr>
            <w:tcW w:w="5320" w:type="dxa"/>
            <w:vAlign w:val="bottom"/>
          </w:tcPr>
          <w:p>
            <w:pPr>
              <w:ind w:left="120"/>
              <w:spacing w:after="0"/>
              <w:rPr>
                <w:sz w:val="20"/>
                <w:szCs w:val="20"/>
                <w:color w:val="auto"/>
              </w:rPr>
            </w:pPr>
            <w:r>
              <w:rPr>
                <w:rFonts w:ascii="Arial" w:cs="Arial" w:eastAsia="Arial" w:hAnsi="Arial"/>
                <w:sz w:val="14"/>
                <w:szCs w:val="14"/>
                <w:color w:val="auto"/>
              </w:rPr>
              <w:t>Sempra LNG</w:t>
            </w:r>
          </w:p>
        </w:tc>
        <w:tc>
          <w:tcPr>
            <w:tcW w:w="3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2,329</w:t>
            </w:r>
          </w:p>
        </w:tc>
        <w:tc>
          <w:tcPr>
            <w:tcW w:w="40" w:type="dxa"/>
            <w:vAlign w:val="bottom"/>
          </w:tcPr>
          <w:p>
            <w:pPr>
              <w:spacing w:after="0"/>
              <w:rPr>
                <w:sz w:val="15"/>
                <w:szCs w:val="15"/>
                <w:color w:val="auto"/>
              </w:rPr>
            </w:pP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2,277</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0"/>
        </w:trPr>
        <w:tc>
          <w:tcPr>
            <w:tcW w:w="532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3180" w:type="dxa"/>
            <w:vAlign w:val="bottom"/>
            <w:vMerge w:val="restart"/>
          </w:tcPr>
          <w:p>
            <w:pPr>
              <w:ind w:left="2020"/>
              <w:spacing w:after="0"/>
              <w:rPr>
                <w:sz w:val="20"/>
                <w:szCs w:val="20"/>
                <w:color w:val="auto"/>
              </w:rPr>
            </w:pPr>
            <w:r>
              <w:rPr>
                <w:rFonts w:ascii="Arial" w:cs="Arial" w:eastAsia="Arial" w:hAnsi="Arial"/>
                <w:sz w:val="14"/>
                <w:szCs w:val="14"/>
                <w:color w:val="auto"/>
              </w:rPr>
              <w:t>&amp;nbs</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492</w:t>
            </w:r>
          </w:p>
        </w:tc>
        <w:tc>
          <w:tcPr>
            <w:tcW w:w="40" w:type="dxa"/>
            <w:vAlign w:val="bottom"/>
          </w:tcPr>
          <w:p>
            <w:pPr>
              <w:spacing w:after="0"/>
              <w:rPr>
                <w:sz w:val="15"/>
                <w:szCs w:val="15"/>
                <w:color w:val="auto"/>
              </w:rPr>
            </w:pP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596</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4"/>
        </w:trPr>
        <w:tc>
          <w:tcPr>
            <w:tcW w:w="53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20" w:type="dxa"/>
            <w:vAlign w:val="bottom"/>
          </w:tcPr>
          <w:p>
            <w:pPr>
              <w:ind w:left="120"/>
              <w:spacing w:after="0"/>
              <w:rPr>
                <w:sz w:val="20"/>
                <w:szCs w:val="20"/>
                <w:color w:val="auto"/>
              </w:rPr>
            </w:pPr>
            <w:r>
              <w:rPr>
                <w:rFonts w:ascii="Arial" w:cs="Arial" w:eastAsia="Arial" w:hAnsi="Arial"/>
                <w:sz w:val="14"/>
                <w:szCs w:val="14"/>
                <w:color w:val="auto"/>
              </w:rPr>
              <w:t>Intersegment receivables</w:t>
            </w:r>
          </w:p>
        </w:tc>
        <w:tc>
          <w:tcPr>
            <w:tcW w:w="3180" w:type="dxa"/>
            <w:vAlign w:val="bottom"/>
          </w:tcPr>
          <w:p>
            <w:pPr>
              <w:ind w:left="2020"/>
              <w:spacing w:after="0"/>
              <w:rPr>
                <w:sz w:val="20"/>
                <w:szCs w:val="20"/>
                <w:color w:val="auto"/>
              </w:rPr>
            </w:pPr>
            <w:r>
              <w:rPr>
                <w:rFonts w:ascii="Arial" w:cs="Arial" w:eastAsia="Arial" w:hAnsi="Arial"/>
                <w:sz w:val="14"/>
                <w:szCs w:val="14"/>
                <w:color w:val="auto"/>
              </w:rPr>
              <w:t>p;</w:t>
            </w: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(2,172)</w:t>
            </w: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8"/>
        </w:trPr>
        <w:tc>
          <w:tcPr>
            <w:tcW w:w="53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w:t>
            </w:r>
          </w:p>
        </w:tc>
        <w:tc>
          <w:tcPr>
            <w:tcW w:w="3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28,949</w:t>
            </w:r>
          </w:p>
        </w:tc>
        <w:tc>
          <w:tcPr>
            <w:tcW w:w="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28,512 100 %</w:t>
            </w:r>
          </w:p>
        </w:tc>
        <w:tc>
          <w:tcPr>
            <w:tcW w:w="0" w:type="dxa"/>
            <w:vAlign w:val="bottom"/>
          </w:tcPr>
          <w:p>
            <w:pPr>
              <w:spacing w:after="0"/>
              <w:rPr>
                <w:sz w:val="1"/>
                <w:szCs w:val="1"/>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4"/>
                <w:szCs w:val="14"/>
                <w:color w:val="auto"/>
              </w:rPr>
              <w:t>INVESTMENTS IN EQUITY METHOD INVESTEES</w:t>
            </w:r>
          </w:p>
        </w:tc>
        <w:tc>
          <w:tcPr>
            <w:tcW w:w="3180" w:type="dxa"/>
            <w:vAlign w:val="bottom"/>
          </w:tcPr>
          <w:p>
            <w:pPr>
              <w:spacing w:after="0"/>
              <w:rPr>
                <w:sz w:val="19"/>
                <w:szCs w:val="19"/>
                <w:color w:val="auto"/>
              </w:rPr>
            </w:pPr>
          </w:p>
        </w:tc>
        <w:tc>
          <w:tcPr>
            <w:tcW w:w="320" w:type="dxa"/>
            <w:vAlign w:val="bottom"/>
            <w:vMerge w:val="restart"/>
          </w:tcPr>
          <w:p>
            <w:pPr>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320" w:type="dxa"/>
            <w:vAlign w:val="bottom"/>
          </w:tcPr>
          <w:p>
            <w:pPr>
              <w:ind w:left="120"/>
              <w:spacing w:after="0"/>
              <w:rPr>
                <w:sz w:val="20"/>
                <w:szCs w:val="20"/>
                <w:color w:val="auto"/>
              </w:rPr>
            </w:pPr>
            <w:r>
              <w:rPr>
                <w:rFonts w:ascii="Arial" w:cs="Arial" w:eastAsia="Arial" w:hAnsi="Arial"/>
                <w:sz w:val="14"/>
                <w:szCs w:val="14"/>
                <w:color w:val="auto"/>
              </w:rPr>
              <w:t>Sempra Commodities</w:t>
            </w:r>
          </w:p>
        </w:tc>
        <w:tc>
          <w:tcPr>
            <w:tcW w:w="3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825</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2,172</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120"/>
              <w:spacing w:after="0"/>
              <w:rPr>
                <w:sz w:val="20"/>
                <w:szCs w:val="20"/>
                <w:color w:val="auto"/>
              </w:rPr>
            </w:pPr>
            <w:r>
              <w:rPr>
                <w:rFonts w:ascii="Arial" w:cs="Arial" w:eastAsia="Arial" w:hAnsi="Arial"/>
                <w:sz w:val="14"/>
                <w:szCs w:val="14"/>
                <w:color w:val="auto"/>
              </w:rPr>
              <w:t>Sempra Generation</w:t>
            </w:r>
          </w:p>
        </w:tc>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256</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434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320" w:type="dxa"/>
            <w:vAlign w:val="bottom"/>
          </w:tcPr>
          <w:p>
            <w:pPr>
              <w:ind w:left="120"/>
              <w:spacing w:after="0"/>
              <w:rPr>
                <w:sz w:val="20"/>
                <w:szCs w:val="20"/>
                <w:color w:val="auto"/>
              </w:rPr>
            </w:pPr>
            <w:r>
              <w:rPr>
                <w:rFonts w:ascii="Arial" w:cs="Arial" w:eastAsia="Arial" w:hAnsi="Arial"/>
                <w:sz w:val="14"/>
                <w:szCs w:val="14"/>
                <w:color w:val="auto"/>
              </w:rPr>
              <w:t>Sempra Pipelines &amp;</w:t>
            </w:r>
          </w:p>
        </w:tc>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1,429</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20" w:type="dxa"/>
            <w:vAlign w:val="bottom"/>
          </w:tcPr>
          <w:p>
            <w:pPr>
              <w:spacing w:after="0"/>
              <w:rPr>
                <w:sz w:val="20"/>
                <w:szCs w:val="20"/>
                <w:color w:val="auto"/>
              </w:rPr>
            </w:pPr>
            <w:r>
              <w:rPr>
                <w:rFonts w:ascii="Arial" w:cs="Arial" w:eastAsia="Arial" w:hAnsi="Arial"/>
                <w:sz w:val="14"/>
                <w:szCs w:val="14"/>
                <w:color w:val="auto"/>
              </w:rPr>
              <w:t>Storage</w:t>
            </w:r>
          </w:p>
        </w:tc>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1,746</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160"/>
              <w:spacing w:after="0"/>
              <w:rPr>
                <w:sz w:val="20"/>
                <w:szCs w:val="20"/>
                <w:color w:val="auto"/>
              </w:rPr>
            </w:pPr>
            <w:r>
              <w:rPr>
                <w:rFonts w:ascii="Arial" w:cs="Arial" w:eastAsia="Arial" w:hAnsi="Arial"/>
                <w:sz w:val="19"/>
                <w:szCs w:val="19"/>
                <w:color w:val="auto"/>
              </w:rPr>
              <w:t>All other</w:t>
            </w:r>
          </w:p>
        </w:tc>
        <w:tc>
          <w:tcPr>
            <w:tcW w:w="3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3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w:t>
            </w:r>
          </w:p>
        </w:tc>
        <w:tc>
          <w:tcPr>
            <w:tcW w:w="3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2,845</w:t>
            </w:r>
          </w:p>
        </w:tc>
        <w:tc>
          <w:tcPr>
            <w:tcW w:w="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4,056</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i w:val="1"/>
          <w:iCs w:val="1"/>
          <w:color w:val="auto"/>
        </w:rPr>
        <w:t>(1)After preferred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140"/>
        <w:spacing w:after="0" w:line="245" w:lineRule="auto"/>
        <w:rPr>
          <w:sz w:val="20"/>
          <w:szCs w:val="20"/>
          <w:color w:val="auto"/>
        </w:rPr>
      </w:pPr>
      <w:r>
        <w:rPr>
          <w:rFonts w:ascii="Arial" w:cs="Arial" w:eastAsia="Arial" w:hAnsi="Arial"/>
          <w:sz w:val="22"/>
          <w:szCs w:val="22"/>
          <w:color w:val="auto"/>
        </w:rPr>
        <w:t>ITEM 2. MANAGEMENT'S DISCUSSION AND ANALYSIS OF FINANCIAL CONDITION AND RESULTS OF OPERATIONS</w:t>
      </w:r>
    </w:p>
    <w:p>
      <w:pPr>
        <w:spacing w:after="0" w:line="366" w:lineRule="exact"/>
        <w:rPr>
          <w:sz w:val="20"/>
          <w:szCs w:val="20"/>
          <w:color w:val="auto"/>
        </w:rPr>
      </w:pPr>
    </w:p>
    <w:p>
      <w:pPr>
        <w:jc w:val="both"/>
        <w:ind w:right="220"/>
        <w:spacing w:after="0" w:line="342" w:lineRule="auto"/>
        <w:rPr>
          <w:sz w:val="20"/>
          <w:szCs w:val="20"/>
          <w:color w:val="auto"/>
        </w:rPr>
      </w:pPr>
      <w:r>
        <w:rPr>
          <w:rFonts w:ascii="Arial" w:cs="Arial" w:eastAsia="Arial" w:hAnsi="Arial"/>
          <w:sz w:val="14"/>
          <w:szCs w:val="14"/>
          <w:color w:val="auto"/>
        </w:rPr>
        <w:t>You should read the following discussion in conjunction with the financial statements contained in this Form 10-Q, "Management's Discussion and Analysis of Financial Condition and Results of Operations" contained in our 2009 Annual Report on Form 10-K (Annual Report), and "Risk Factors" contained in our Annual Report and Part II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26186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color w:val="auto"/>
        </w:rPr>
        <w:t>OVERVIEW</w:t>
      </w:r>
    </w:p>
    <w:p>
      <w:pPr>
        <w:spacing w:after="0" w:line="90" w:lineRule="exact"/>
        <w:rPr>
          <w:sz w:val="20"/>
          <w:szCs w:val="20"/>
          <w:color w:val="auto"/>
        </w:rPr>
      </w:pPr>
    </w:p>
    <w:p>
      <w:pPr>
        <w:ind w:right="100"/>
        <w:spacing w:after="0" w:line="314" w:lineRule="auto"/>
        <w:rPr>
          <w:sz w:val="20"/>
          <w:szCs w:val="20"/>
          <w:color w:val="auto"/>
        </w:rPr>
      </w:pPr>
      <w:r>
        <w:rPr>
          <w:rFonts w:ascii="Arial" w:cs="Arial" w:eastAsia="Arial" w:hAnsi="Arial"/>
          <w:sz w:val="14"/>
          <w:szCs w:val="14"/>
          <w:color w:val="auto"/>
        </w:rPr>
        <w:t>Sempra Energy is a Fortune 500 energy services holding company whose business units provide electric, natural gas and other energy products and services to their customers. Our operations are divided principally between the Sempra Utilities and Sempra Global. The Sempra Utilities consist of two California regulated public utility companies, 1) San Diego Gas &amp; Electric Company (SDG&amp;E) and 2) Southern Californi a Gas Company (SoCalGas). Sempra Global consists of businesses engaged in providing energy products and services.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This report includes information for the following separate registrants: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§Sempra Energy and its consolidated entities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§SDG&amp;E</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§Pacific Enterprises (PE), the holding company for SoCalGas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§SoCalGas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References in this report to "we," "our" and "Sempra Energy Consolidated" are to Sempra Energy and its consolidated entities, collectively, unless otherwise indicated by the context.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PE's operations consist solely of those of SoCalGas and additional items (e.g., cash, intercompany accounts and equity) attributable to serving as a holding company for SoCalGas.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Below are the summary descriptions of our operating business units.</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BUSINESS UNITS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Sempra Utilities consist of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376555</wp:posOffset>
            </wp:positionV>
            <wp:extent cx="7261860" cy="160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860" cy="16002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UTILITIES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40" w:type="dxa"/>
            <w:vAlign w:val="bottom"/>
          </w:tcPr>
          <w:p>
            <w:pPr>
              <w:spacing w:after="0"/>
              <w:rPr>
                <w:sz w:val="17"/>
                <w:szCs w:val="17"/>
                <w:color w:val="auto"/>
              </w:rPr>
            </w:pPr>
          </w:p>
        </w:tc>
        <w:tc>
          <w:tcPr>
            <w:tcW w:w="3800" w:type="dxa"/>
            <w:vAlign w:val="bottom"/>
          </w:tcPr>
          <w:p>
            <w:pPr>
              <w:ind w:left="1620"/>
              <w:spacing w:after="0"/>
              <w:rPr>
                <w:sz w:val="20"/>
                <w:szCs w:val="20"/>
                <w:color w:val="auto"/>
              </w:rPr>
            </w:pPr>
            <w:r>
              <w:rPr>
                <w:rFonts w:ascii="Arial" w:cs="Arial" w:eastAsia="Arial" w:hAnsi="Arial"/>
                <w:sz w:val="13"/>
                <w:szCs w:val="13"/>
                <w:b w:val="1"/>
                <w:bCs w:val="1"/>
                <w:color w:val="auto"/>
              </w:rPr>
              <w:t>MARKET</w:t>
            </w:r>
          </w:p>
        </w:tc>
        <w:tc>
          <w:tcPr>
            <w:tcW w:w="3800" w:type="dxa"/>
            <w:vAlign w:val="bottom"/>
          </w:tcPr>
          <w:p>
            <w:pPr>
              <w:ind w:left="1240"/>
              <w:spacing w:after="0"/>
              <w:rPr>
                <w:sz w:val="20"/>
                <w:szCs w:val="20"/>
                <w:color w:val="auto"/>
              </w:rPr>
            </w:pPr>
            <w:r>
              <w:rPr>
                <w:rFonts w:ascii="Arial" w:cs="Arial" w:eastAsia="Arial" w:hAnsi="Arial"/>
                <w:sz w:val="13"/>
                <w:szCs w:val="13"/>
                <w:b w:val="1"/>
                <w:bCs w:val="1"/>
                <w:color w:val="auto"/>
              </w:rPr>
              <w:t>SERVICE TERRITORY</w:t>
            </w:r>
          </w:p>
        </w:tc>
        <w:tc>
          <w:tcPr>
            <w:tcW w:w="0" w:type="dxa"/>
            <w:vAlign w:val="bottom"/>
          </w:tcPr>
          <w:p>
            <w:pPr>
              <w:spacing w:after="0"/>
              <w:rPr>
                <w:sz w:val="1"/>
                <w:szCs w:val="1"/>
                <w:color w:val="auto"/>
              </w:rPr>
            </w:pPr>
          </w:p>
        </w:tc>
      </w:tr>
      <w:tr>
        <w:trPr>
          <w:trHeight w:val="58"/>
        </w:trPr>
        <w:tc>
          <w:tcPr>
            <w:tcW w:w="384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SAN DIEGO GAS &amp; ELECTRIC COMPANY</w:t>
            </w:r>
          </w:p>
        </w:tc>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§Provides electricity to 3.5 million consumers</w:t>
            </w:r>
          </w:p>
        </w:tc>
        <w:tc>
          <w:tcPr>
            <w:tcW w:w="3800" w:type="dxa"/>
            <w:vAlign w:val="bottom"/>
          </w:tcPr>
          <w:p>
            <w:pPr>
              <w:ind w:left="60"/>
              <w:spacing w:after="0"/>
              <w:rPr>
                <w:sz w:val="20"/>
                <w:szCs w:val="20"/>
                <w:color w:val="auto"/>
              </w:rPr>
            </w:pPr>
            <w:r>
              <w:rPr>
                <w:rFonts w:ascii="Arial" w:cs="Arial" w:eastAsia="Arial" w:hAnsi="Arial"/>
                <w:sz w:val="14"/>
                <w:szCs w:val="14"/>
                <w:color w:val="auto"/>
              </w:rPr>
              <w:t>Serves the county of San Diego, CA and an adjacent</w:t>
            </w:r>
          </w:p>
        </w:tc>
        <w:tc>
          <w:tcPr>
            <w:tcW w:w="0" w:type="dxa"/>
            <w:vAlign w:val="bottom"/>
          </w:tcPr>
          <w:p>
            <w:pPr>
              <w:spacing w:after="0"/>
              <w:rPr>
                <w:sz w:val="1"/>
                <w:szCs w:val="1"/>
                <w:color w:val="auto"/>
              </w:rPr>
            </w:pPr>
          </w:p>
        </w:tc>
      </w:tr>
      <w:tr>
        <w:trPr>
          <w:trHeight w:val="173"/>
        </w:trPr>
        <w:tc>
          <w:tcPr>
            <w:tcW w:w="384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6"/>
                <w:szCs w:val="16"/>
                <w:b w:val="1"/>
                <w:bCs w:val="1"/>
                <w:color w:val="auto"/>
              </w:rPr>
              <w:t>(SDG&amp;E)</w:t>
            </w:r>
          </w:p>
        </w:tc>
        <w:tc>
          <w:tcPr>
            <w:tcW w:w="3800" w:type="dxa"/>
            <w:vAlign w:val="bottom"/>
            <w:tcBorders>
              <w:right w:val="single" w:sz="8" w:color="auto"/>
            </w:tcBorders>
          </w:tcPr>
          <w:p>
            <w:pPr>
              <w:ind w:left="220"/>
              <w:spacing w:after="0" w:line="173" w:lineRule="exact"/>
              <w:rPr>
                <w:sz w:val="20"/>
                <w:szCs w:val="20"/>
                <w:color w:val="auto"/>
              </w:rPr>
            </w:pPr>
            <w:r>
              <w:rPr>
                <w:rFonts w:ascii="Arial" w:cs="Arial" w:eastAsia="Arial" w:hAnsi="Arial"/>
                <w:sz w:val="16"/>
                <w:szCs w:val="16"/>
                <w:color w:val="auto"/>
              </w:rPr>
              <w:t>(1.4 million meters)</w:t>
            </w:r>
          </w:p>
        </w:tc>
        <w:tc>
          <w:tcPr>
            <w:tcW w:w="3800" w:type="dxa"/>
            <w:vAlign w:val="bottom"/>
          </w:tcPr>
          <w:p>
            <w:pPr>
              <w:ind w:left="60"/>
              <w:spacing w:after="0"/>
              <w:rPr>
                <w:sz w:val="20"/>
                <w:szCs w:val="20"/>
                <w:color w:val="auto"/>
              </w:rPr>
            </w:pPr>
            <w:r>
              <w:rPr>
                <w:rFonts w:ascii="Arial" w:cs="Arial" w:eastAsia="Arial" w:hAnsi="Arial"/>
                <w:sz w:val="14"/>
                <w:szCs w:val="14"/>
                <w:color w:val="auto"/>
              </w:rPr>
              <w:t>portion of southern Orange County covering 4,100</w:t>
            </w:r>
          </w:p>
        </w:tc>
        <w:tc>
          <w:tcPr>
            <w:tcW w:w="0" w:type="dxa"/>
            <w:vAlign w:val="bottom"/>
          </w:tcPr>
          <w:p>
            <w:pPr>
              <w:spacing w:after="0"/>
              <w:rPr>
                <w:sz w:val="1"/>
                <w:szCs w:val="1"/>
                <w:color w:val="auto"/>
              </w:rPr>
            </w:pPr>
          </w:p>
        </w:tc>
      </w:tr>
      <w:tr>
        <w:trPr>
          <w:trHeight w:val="192"/>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 regulated public utility; infrastructure supports electric</w:t>
            </w:r>
          </w:p>
        </w:tc>
        <w:tc>
          <w:tcPr>
            <w:tcW w:w="3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§Provides natural gas to 3.2 million consumers</w:t>
            </w:r>
          </w:p>
        </w:tc>
        <w:tc>
          <w:tcPr>
            <w:tcW w:w="3800" w:type="dxa"/>
            <w:vAlign w:val="bottom"/>
          </w:tcPr>
          <w:p>
            <w:pPr>
              <w:ind w:left="60"/>
              <w:spacing w:after="0"/>
              <w:rPr>
                <w:sz w:val="20"/>
                <w:szCs w:val="20"/>
                <w:color w:val="auto"/>
              </w:rPr>
            </w:pPr>
            <w:r>
              <w:rPr>
                <w:rFonts w:ascii="Arial" w:cs="Arial" w:eastAsia="Arial" w:hAnsi="Arial"/>
                <w:sz w:val="14"/>
                <w:szCs w:val="14"/>
                <w:color w:val="auto"/>
              </w:rPr>
              <w:t>square miles</w:t>
            </w:r>
          </w:p>
        </w:tc>
        <w:tc>
          <w:tcPr>
            <w:tcW w:w="0" w:type="dxa"/>
            <w:vAlign w:val="bottom"/>
          </w:tcPr>
          <w:p>
            <w:pPr>
              <w:spacing w:after="0"/>
              <w:rPr>
                <w:sz w:val="1"/>
                <w:szCs w:val="1"/>
                <w:color w:val="auto"/>
              </w:rPr>
            </w:pPr>
          </w:p>
        </w:tc>
      </w:tr>
      <w:tr>
        <w:trPr>
          <w:trHeight w:val="80"/>
        </w:trPr>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generation, transmission and distribution, and natural</w:t>
            </w:r>
          </w:p>
        </w:tc>
        <w:tc>
          <w:tcPr>
            <w:tcW w:w="3800" w:type="dxa"/>
            <w:vAlign w:val="bottom"/>
            <w:tcBorders>
              <w:right w:val="single" w:sz="8" w:color="auto"/>
            </w:tcBorders>
            <w:vMerge w:val="continue"/>
          </w:tcPr>
          <w:p>
            <w:pPr>
              <w:spacing w:after="0"/>
              <w:rPr>
                <w:sz w:val="6"/>
                <w:szCs w:val="6"/>
                <w:color w:val="auto"/>
              </w:rPr>
            </w:pPr>
          </w:p>
        </w:tc>
        <w:tc>
          <w:tcPr>
            <w:tcW w:w="3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3840" w:type="dxa"/>
            <w:vAlign w:val="bottom"/>
            <w:tcBorders>
              <w:right w:val="single" w:sz="8" w:color="auto"/>
            </w:tcBorders>
            <w:vMerge w:val="continue"/>
          </w:tcPr>
          <w:p>
            <w:pPr>
              <w:spacing w:after="0"/>
              <w:rPr>
                <w:sz w:val="7"/>
                <w:szCs w:val="7"/>
                <w:color w:val="auto"/>
              </w:rPr>
            </w:pPr>
          </w:p>
        </w:tc>
        <w:tc>
          <w:tcPr>
            <w:tcW w:w="3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(845,000 meters)</w:t>
            </w: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840" w:type="dxa"/>
            <w:vAlign w:val="bottom"/>
            <w:tcBorders>
              <w:right w:val="single" w:sz="8" w:color="auto"/>
            </w:tcBorders>
            <w:vMerge w:val="restart"/>
          </w:tcPr>
          <w:p>
            <w:pPr>
              <w:ind w:left="60"/>
              <w:spacing w:after="0" w:line="147" w:lineRule="exact"/>
              <w:rPr>
                <w:sz w:val="20"/>
                <w:szCs w:val="20"/>
                <w:color w:val="auto"/>
              </w:rPr>
            </w:pPr>
            <w:r>
              <w:rPr>
                <w:rFonts w:ascii="Arial" w:cs="Arial" w:eastAsia="Arial" w:hAnsi="Arial"/>
                <w:sz w:val="14"/>
                <w:szCs w:val="14"/>
                <w:color w:val="auto"/>
              </w:rPr>
              <w:t>gas distribution</w:t>
            </w:r>
          </w:p>
        </w:tc>
        <w:tc>
          <w:tcPr>
            <w:tcW w:w="3800" w:type="dxa"/>
            <w:vAlign w:val="bottom"/>
            <w:tcBorders>
              <w:right w:val="single" w:sz="8" w:color="auto"/>
            </w:tcBorders>
            <w:vMerge w:val="continue"/>
          </w:tcPr>
          <w:p>
            <w:pPr>
              <w:spacing w:after="0"/>
              <w:rPr>
                <w:sz w:val="9"/>
                <w:szCs w:val="9"/>
                <w:color w:val="auto"/>
              </w:rPr>
            </w:pPr>
          </w:p>
        </w:tc>
        <w:tc>
          <w:tcPr>
            <w:tcW w:w="3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3840" w:type="dxa"/>
            <w:vAlign w:val="bottom"/>
            <w:tcBorders>
              <w:right w:val="single" w:sz="8" w:color="auto"/>
            </w:tcBorders>
            <w:vMerge w:val="continue"/>
          </w:tcPr>
          <w:p>
            <w:pPr>
              <w:spacing w:after="0"/>
              <w:rPr>
                <w:sz w:val="3"/>
                <w:szCs w:val="3"/>
                <w:color w:val="auto"/>
              </w:rPr>
            </w:pPr>
          </w:p>
        </w:tc>
        <w:tc>
          <w:tcPr>
            <w:tcW w:w="3800" w:type="dxa"/>
            <w:vAlign w:val="bottom"/>
            <w:tcBorders>
              <w:right w:val="single" w:sz="8" w:color="auto"/>
            </w:tcBorders>
          </w:tcPr>
          <w:p>
            <w:pPr>
              <w:spacing w:after="0"/>
              <w:rPr>
                <w:sz w:val="3"/>
                <w:szCs w:val="3"/>
                <w:color w:val="auto"/>
              </w:rPr>
            </w:pPr>
          </w:p>
        </w:tc>
        <w:tc>
          <w:tcPr>
            <w:tcW w:w="3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&lt; /td&gt;</w:t>
            </w:r>
          </w:p>
        </w:tc>
        <w:tc>
          <w:tcPr>
            <w:tcW w:w="3800" w:type="dxa"/>
            <w:vAlign w:val="bottom"/>
            <w:tcBorders>
              <w:right w:val="single" w:sz="8" w:color="auto"/>
            </w:tcBorders>
          </w:tcPr>
          <w:p>
            <w:pPr>
              <w:spacing w:after="0"/>
              <w:rPr>
                <w:sz w:val="21"/>
                <w:szCs w:val="21"/>
                <w:color w:val="auto"/>
              </w:rPr>
            </w:pP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4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SOUTHERN CALIFORNIA GAS COMPANY</w:t>
            </w:r>
          </w:p>
        </w:tc>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§Residential, commercial, industrial, utility</w:t>
            </w:r>
          </w:p>
        </w:tc>
        <w:tc>
          <w:tcPr>
            <w:tcW w:w="3800" w:type="dxa"/>
            <w:vAlign w:val="bottom"/>
          </w:tcPr>
          <w:p>
            <w:pPr>
              <w:ind w:left="60"/>
              <w:spacing w:after="0"/>
              <w:rPr>
                <w:sz w:val="20"/>
                <w:szCs w:val="20"/>
                <w:color w:val="auto"/>
              </w:rPr>
            </w:pPr>
            <w:r>
              <w:rPr>
                <w:rFonts w:ascii="Arial" w:cs="Arial" w:eastAsia="Arial" w:hAnsi="Arial"/>
                <w:sz w:val="14"/>
                <w:szCs w:val="14"/>
                <w:color w:val="auto"/>
              </w:rPr>
              <w:t>Southern California and portions of Central California</w:t>
            </w:r>
          </w:p>
        </w:tc>
        <w:tc>
          <w:tcPr>
            <w:tcW w:w="0" w:type="dxa"/>
            <w:vAlign w:val="bottom"/>
          </w:tcPr>
          <w:p>
            <w:pPr>
              <w:spacing w:after="0"/>
              <w:rPr>
                <w:sz w:val="1"/>
                <w:szCs w:val="1"/>
                <w:color w:val="auto"/>
              </w:rPr>
            </w:pPr>
          </w:p>
        </w:tc>
      </w:tr>
      <w:tr>
        <w:trPr>
          <w:trHeight w:val="173"/>
        </w:trPr>
        <w:tc>
          <w:tcPr>
            <w:tcW w:w="384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6"/>
                <w:szCs w:val="16"/>
                <w:b w:val="1"/>
                <w:bCs w:val="1"/>
                <w:color w:val="auto"/>
              </w:rPr>
              <w:t>(SOCALGAS)</w:t>
            </w:r>
          </w:p>
        </w:tc>
        <w:tc>
          <w:tcPr>
            <w:tcW w:w="3800" w:type="dxa"/>
            <w:vAlign w:val="bottom"/>
            <w:tcBorders>
              <w:right w:val="single" w:sz="8" w:color="auto"/>
            </w:tcBorders>
          </w:tcPr>
          <w:p>
            <w:pPr>
              <w:ind w:left="220"/>
              <w:spacing w:after="0" w:line="173" w:lineRule="exact"/>
              <w:rPr>
                <w:sz w:val="20"/>
                <w:szCs w:val="20"/>
                <w:color w:val="auto"/>
              </w:rPr>
            </w:pPr>
            <w:r>
              <w:rPr>
                <w:rFonts w:ascii="Arial" w:cs="Arial" w:eastAsia="Arial" w:hAnsi="Arial"/>
                <w:sz w:val="16"/>
                <w:szCs w:val="16"/>
                <w:color w:val="auto"/>
              </w:rPr>
              <w:t>electric generation and wholesale customers</w:t>
            </w:r>
          </w:p>
        </w:tc>
        <w:tc>
          <w:tcPr>
            <w:tcW w:w="3800" w:type="dxa"/>
            <w:vAlign w:val="bottom"/>
          </w:tcPr>
          <w:p>
            <w:pPr>
              <w:ind w:left="60"/>
              <w:spacing w:after="0"/>
              <w:rPr>
                <w:sz w:val="20"/>
                <w:szCs w:val="20"/>
                <w:color w:val="auto"/>
              </w:rPr>
            </w:pPr>
            <w:r>
              <w:rPr>
                <w:rFonts w:ascii="Arial" w:cs="Arial" w:eastAsia="Arial" w:hAnsi="Arial"/>
                <w:sz w:val="14"/>
                <w:szCs w:val="14"/>
                <w:color w:val="auto"/>
              </w:rPr>
              <w:t>(excluding San Diego County, the city of Long Beach</w:t>
            </w:r>
          </w:p>
        </w:tc>
        <w:tc>
          <w:tcPr>
            <w:tcW w:w="0" w:type="dxa"/>
            <w:vAlign w:val="bottom"/>
          </w:tcPr>
          <w:p>
            <w:pPr>
              <w:spacing w:after="0"/>
              <w:rPr>
                <w:sz w:val="1"/>
                <w:szCs w:val="1"/>
                <w:color w:val="auto"/>
              </w:rPr>
            </w:pPr>
          </w:p>
        </w:tc>
      </w:tr>
      <w:tr>
        <w:trPr>
          <w:trHeight w:val="168"/>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 regulated public utility; infrastructure supports natural</w:t>
            </w:r>
          </w:p>
        </w:tc>
        <w:tc>
          <w:tcPr>
            <w:tcW w:w="3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§Covers a population of 20.7 million (5.8 million</w:t>
            </w:r>
          </w:p>
        </w:tc>
        <w:tc>
          <w:tcPr>
            <w:tcW w:w="3800" w:type="dxa"/>
            <w:vAlign w:val="bottom"/>
          </w:tcPr>
          <w:p>
            <w:pPr>
              <w:ind w:left="60"/>
              <w:spacing w:after="0"/>
              <w:rPr>
                <w:sz w:val="20"/>
                <w:szCs w:val="20"/>
                <w:color w:val="auto"/>
              </w:rPr>
            </w:pPr>
            <w:r>
              <w:rPr>
                <w:rFonts w:ascii="Arial" w:cs="Arial" w:eastAsia="Arial" w:hAnsi="Arial"/>
                <w:sz w:val="14"/>
                <w:szCs w:val="14"/>
                <w:color w:val="auto"/>
              </w:rPr>
              <w:t>and the desert area of San Bernardino County) coveri</w:t>
            </w:r>
          </w:p>
        </w:tc>
        <w:tc>
          <w:tcPr>
            <w:tcW w:w="0" w:type="dxa"/>
            <w:vAlign w:val="bottom"/>
          </w:tcPr>
          <w:p>
            <w:pPr>
              <w:spacing w:after="0"/>
              <w:rPr>
                <w:sz w:val="1"/>
                <w:szCs w:val="1"/>
                <w:color w:val="auto"/>
              </w:rPr>
            </w:pPr>
          </w:p>
        </w:tc>
      </w:tr>
      <w:tr>
        <w:trPr>
          <w:trHeight w:val="104"/>
        </w:trPr>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gas distribution, transmission and storage</w:t>
            </w:r>
          </w:p>
        </w:tc>
        <w:tc>
          <w:tcPr>
            <w:tcW w:w="3800" w:type="dxa"/>
            <w:vAlign w:val="bottom"/>
            <w:tcBorders>
              <w:right w:val="single" w:sz="8" w:color="auto"/>
            </w:tcBorders>
            <w:vMerge w:val="continue"/>
          </w:tcPr>
          <w:p>
            <w:pPr>
              <w:spacing w:after="0"/>
              <w:rPr>
                <w:sz w:val="9"/>
                <w:szCs w:val="9"/>
                <w:color w:val="auto"/>
              </w:rPr>
            </w:pPr>
          </w:p>
        </w:tc>
        <w:tc>
          <w:tcPr>
            <w:tcW w:w="3800" w:type="dxa"/>
            <w:vAlign w:val="bottom"/>
            <w:vMerge w:val="restart"/>
          </w:tcPr>
          <w:p>
            <w:pPr>
              <w:ind w:left="60"/>
              <w:spacing w:after="0"/>
              <w:rPr>
                <w:sz w:val="20"/>
                <w:szCs w:val="20"/>
                <w:color w:val="auto"/>
              </w:rPr>
            </w:pPr>
            <w:r>
              <w:rPr>
                <w:rFonts w:ascii="Arial" w:cs="Arial" w:eastAsia="Arial" w:hAnsi="Arial"/>
                <w:sz w:val="14"/>
                <w:szCs w:val="14"/>
                <w:color w:val="auto"/>
              </w:rPr>
              <w:t>ng 20,000 square miles</w:t>
            </w:r>
          </w:p>
        </w:tc>
        <w:tc>
          <w:tcPr>
            <w:tcW w:w="0" w:type="dxa"/>
            <w:vAlign w:val="bottom"/>
          </w:tcPr>
          <w:p>
            <w:pPr>
              <w:spacing w:after="0"/>
              <w:rPr>
                <w:sz w:val="1"/>
                <w:szCs w:val="1"/>
                <w:color w:val="auto"/>
              </w:rPr>
            </w:pPr>
          </w:p>
        </w:tc>
      </w:tr>
      <w:tr>
        <w:trPr>
          <w:trHeight w:val="92"/>
        </w:trPr>
        <w:tc>
          <w:tcPr>
            <w:tcW w:w="3840" w:type="dxa"/>
            <w:vAlign w:val="bottom"/>
            <w:tcBorders>
              <w:right w:val="single" w:sz="8" w:color="auto"/>
            </w:tcBorders>
            <w:vMerge w:val="continue"/>
          </w:tcPr>
          <w:p>
            <w:pPr>
              <w:spacing w:after="0"/>
              <w:rPr>
                <w:sz w:val="8"/>
                <w:szCs w:val="8"/>
                <w:color w:val="auto"/>
              </w:rPr>
            </w:pPr>
          </w:p>
        </w:tc>
        <w:tc>
          <w:tcPr>
            <w:tcW w:w="3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meters)</w:t>
            </w: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840" w:type="dxa"/>
            <w:vAlign w:val="bottom"/>
            <w:tcBorders>
              <w:right w:val="single" w:sz="8" w:color="auto"/>
            </w:tcBorders>
          </w:tcPr>
          <w:p>
            <w:pPr>
              <w:spacing w:after="0"/>
              <w:rPr>
                <w:sz w:val="8"/>
                <w:szCs w:val="8"/>
                <w:color w:val="auto"/>
              </w:rPr>
            </w:pPr>
          </w:p>
        </w:tc>
        <w:tc>
          <w:tcPr>
            <w:tcW w:w="3800" w:type="dxa"/>
            <w:vAlign w:val="bottom"/>
            <w:tcBorders>
              <w:right w:val="single" w:sz="8" w:color="auto"/>
            </w:tcBorders>
            <w:vMerge w:val="continue"/>
          </w:tcPr>
          <w:p>
            <w:pPr>
              <w:spacing w:after="0"/>
              <w:rPr>
                <w:sz w:val="8"/>
                <w:szCs w:val="8"/>
                <w:color w:val="auto"/>
              </w:rPr>
            </w:pPr>
          </w:p>
        </w:tc>
        <w:tc>
          <w:tcPr>
            <w:tcW w:w="3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840" w:type="dxa"/>
            <w:vAlign w:val="bottom"/>
            <w:tcBorders>
              <w:bottom w:val="single" w:sz="8" w:color="C0C0C0"/>
              <w:right w:val="single" w:sz="8" w:color="auto"/>
            </w:tcBorders>
          </w:tcPr>
          <w:p>
            <w:pPr>
              <w:spacing w:after="0"/>
              <w:rPr>
                <w:sz w:val="9"/>
                <w:szCs w:val="9"/>
                <w:color w:val="auto"/>
              </w:rPr>
            </w:pPr>
          </w:p>
        </w:tc>
        <w:tc>
          <w:tcPr>
            <w:tcW w:w="3800" w:type="dxa"/>
            <w:vAlign w:val="bottom"/>
            <w:tcBorders>
              <w:bottom w:val="single" w:sz="8" w:color="C0C0C0"/>
              <w:right w:val="single" w:sz="8" w:color="auto"/>
            </w:tcBorders>
          </w:tcPr>
          <w:p>
            <w:pPr>
              <w:spacing w:after="0"/>
              <w:rPr>
                <w:sz w:val="9"/>
                <w:szCs w:val="9"/>
                <w:color w:val="auto"/>
              </w:rPr>
            </w:pPr>
          </w:p>
        </w:tc>
        <w:tc>
          <w:tcPr>
            <w:tcW w:w="3800" w:type="dxa"/>
            <w:vAlign w:val="bottom"/>
            <w:tcBorders>
              <w:bottom w:val="single" w:sz="8" w:color="C0C0C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Sempra Global is a holding company for most of our subsidiaries that are not subject to California utility regulation. Sempra Global's principal business units, which provide energy-related products and services, are</w:t>
      </w:r>
    </w:p>
    <w:p>
      <w:pPr>
        <w:sectPr>
          <w:pgSz w:w="11900" w:h="16909" w:orient="portrait"/>
          <w:cols w:equalWidth="0" w:num="1">
            <w:col w:w="11440"/>
          </w:cols>
          <w:pgMar w:left="240" w:top="141" w:right="219" w:bottom="0" w:gutter="0" w:footer="0" w:header="0"/>
        </w:sectPr>
      </w:pPr>
    </w:p>
    <w:bookmarkStart w:id="45" w:name="page46"/>
    <w:bookmarkEnd w:id="45"/>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§Sempra Commodities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§Sempra Generation</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§Sempra Pipelines &amp; Storage</w:t>
      </w:r>
      <w:r>
        <w:rPr>
          <w:rFonts w:ascii="Arial" w:cs="Arial" w:eastAsia="Arial" w:hAnsi="Arial"/>
          <w:sz w:val="19"/>
          <w:szCs w:val="19"/>
          <w:color w:val="auto"/>
        </w:rPr>
        <w:t>&lt; /p&gt;</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§Sempra LNG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7261860" cy="160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860" cy="16002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SEMPRA GLOBAL</w:t>
      </w:r>
    </w:p>
    <w:p>
      <w:pPr>
        <w:spacing w:after="0" w:line="83" w:lineRule="exact"/>
        <w:rPr>
          <w:sz w:val="20"/>
          <w:szCs w:val="20"/>
          <w:color w:val="auto"/>
        </w:rPr>
      </w:pPr>
    </w:p>
    <w:tbl>
      <w:tblPr>
        <w:tblLayout w:type="fixed"/>
        <w:tblInd w:w="5460" w:type="dxa"/>
        <w:tblCellMar>
          <w:top w:w="0" w:type="dxa"/>
          <w:left w:w="0" w:type="dxa"/>
          <w:bottom w:w="0" w:type="dxa"/>
          <w:right w:w="0" w:type="dxa"/>
        </w:tblCellMar>
      </w:tblPr>
      <w:tr>
        <w:trPr>
          <w:trHeight w:val="170"/>
        </w:trPr>
        <w:tc>
          <w:tcPr>
            <w:tcW w:w="1960" w:type="dxa"/>
            <w:vAlign w:val="bottom"/>
            <w:vMerge w:val="restart"/>
          </w:tcPr>
          <w:p>
            <w:pPr>
              <w:spacing w:after="0"/>
              <w:rPr>
                <w:sz w:val="20"/>
                <w:szCs w:val="20"/>
                <w:color w:val="auto"/>
              </w:rPr>
            </w:pPr>
            <w:r>
              <w:rPr>
                <w:rFonts w:ascii="Arial" w:cs="Arial" w:eastAsia="Arial" w:hAnsi="Arial"/>
                <w:sz w:val="13"/>
                <w:szCs w:val="13"/>
                <w:b w:val="1"/>
                <w:bCs w:val="1"/>
                <w:color w:val="auto"/>
              </w:rPr>
              <w:t>MARKET</w:t>
            </w:r>
          </w:p>
        </w:tc>
        <w:tc>
          <w:tcPr>
            <w:tcW w:w="2840" w:type="dxa"/>
            <w:vAlign w:val="bottom"/>
          </w:tcPr>
          <w:p>
            <w:pPr>
              <w:ind w:left="1420"/>
              <w:spacing w:after="0"/>
              <w:rPr>
                <w:sz w:val="20"/>
                <w:szCs w:val="20"/>
                <w:color w:val="auto"/>
              </w:rPr>
            </w:pPr>
            <w:r>
              <w:rPr>
                <w:rFonts w:ascii="Arial" w:cs="Arial" w:eastAsia="Arial" w:hAnsi="Arial"/>
                <w:sz w:val="13"/>
                <w:szCs w:val="13"/>
                <w:b w:val="1"/>
                <w:bCs w:val="1"/>
                <w:color w:val="auto"/>
                <w:w w:val="97"/>
              </w:rPr>
              <w:t>GEOGRAPHIC REGION</w:t>
            </w:r>
          </w:p>
        </w:tc>
        <w:tc>
          <w:tcPr>
            <w:tcW w:w="0" w:type="dxa"/>
            <w:vAlign w:val="bottom"/>
          </w:tcPr>
          <w:p>
            <w:pPr>
              <w:spacing w:after="0"/>
              <w:rPr>
                <w:sz w:val="1"/>
                <w:szCs w:val="1"/>
                <w:color w:val="auto"/>
              </w:rPr>
            </w:pPr>
          </w:p>
        </w:tc>
      </w:tr>
      <w:tr>
        <w:trPr>
          <w:trHeight w:val="58"/>
        </w:trPr>
        <w:tc>
          <w:tcPr>
            <w:tcW w:w="1960" w:type="dxa"/>
            <w:vAlign w:val="bottom"/>
            <w:vMerge w:val="continue"/>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SEMPRA COMMODITIES</w:t>
            </w:r>
          </w:p>
        </w:tc>
        <w:tc>
          <w:tcPr>
            <w:tcW w:w="380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§Natural gas; natural gas liquids</w:t>
            </w:r>
          </w:p>
        </w:tc>
        <w:tc>
          <w:tcPr>
            <w:tcW w:w="3800" w:type="dxa"/>
            <w:vAlign w:val="bottom"/>
            <w:tcBorders>
              <w:top w:val="single" w:sz="8" w:color="auto"/>
            </w:tcBorders>
          </w:tcPr>
          <w:p>
            <w:pPr>
              <w:ind w:left="240"/>
              <w:spacing w:after="0"/>
              <w:rPr>
                <w:sz w:val="20"/>
                <w:szCs w:val="20"/>
                <w:color w:val="auto"/>
              </w:rPr>
            </w:pPr>
            <w:r>
              <w:rPr>
                <w:rFonts w:ascii="Arial" w:cs="Arial" w:eastAsia="Arial" w:hAnsi="Arial"/>
                <w:sz w:val="16"/>
                <w:szCs w:val="16"/>
                <w:color w:val="auto"/>
              </w:rPr>
              <w:t>§North America</w:t>
            </w:r>
          </w:p>
        </w:tc>
        <w:tc>
          <w:tcPr>
            <w:tcW w:w="0" w:type="dxa"/>
            <w:vAlign w:val="bottom"/>
          </w:tcPr>
          <w:p>
            <w:pPr>
              <w:spacing w:after="0"/>
              <w:rPr>
                <w:sz w:val="1"/>
                <w:szCs w:val="1"/>
                <w:color w:val="auto"/>
              </w:rPr>
            </w:pPr>
          </w:p>
        </w:tc>
      </w:tr>
      <w:tr>
        <w:trPr>
          <w:trHeight w:val="168"/>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Holds an interest in RBS Sempra Commodities LLP, a</w:t>
            </w:r>
          </w:p>
        </w:tc>
        <w:tc>
          <w:tcPr>
            <w:tcW w:w="3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§Power</w:t>
            </w:r>
          </w:p>
        </w:tc>
        <w:tc>
          <w:tcPr>
            <w:tcW w:w="3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commodities-marketing business joint venture with The</w:t>
            </w:r>
          </w:p>
        </w:tc>
        <w:tc>
          <w:tcPr>
            <w:tcW w:w="3800" w:type="dxa"/>
            <w:vAlign w:val="bottom"/>
            <w:tcBorders>
              <w:right w:val="single" w:sz="8" w:color="auto"/>
            </w:tcBorders>
            <w:vMerge w:val="continue"/>
          </w:tcPr>
          <w:p>
            <w:pPr>
              <w:spacing w:after="0"/>
              <w:rPr>
                <w:sz w:val="6"/>
                <w:szCs w:val="6"/>
                <w:color w:val="auto"/>
              </w:rPr>
            </w:pPr>
          </w:p>
        </w:tc>
        <w:tc>
          <w:tcPr>
            <w:tcW w:w="3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3840" w:type="dxa"/>
            <w:vAlign w:val="bottom"/>
            <w:tcBorders>
              <w:right w:val="single" w:sz="8" w:color="auto"/>
            </w:tcBorders>
            <w:vMerge w:val="continue"/>
          </w:tcPr>
          <w:p>
            <w:pPr>
              <w:spacing w:after="0"/>
              <w:rPr>
                <w:sz w:val="7"/>
                <w:szCs w:val="7"/>
                <w:color w:val="auto"/>
              </w:rPr>
            </w:pPr>
          </w:p>
        </w:tc>
        <w:tc>
          <w:tcPr>
            <w:tcW w:w="38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Prior to July 1, 2010:</w:t>
            </w:r>
          </w:p>
        </w:tc>
        <w:tc>
          <w:tcPr>
            <w:tcW w:w="3800" w:type="dxa"/>
            <w:vAlign w:val="bottom"/>
            <w:vMerge w:val="restart"/>
          </w:tcPr>
          <w:p>
            <w:pPr>
              <w:ind w:left="180"/>
              <w:spacing w:after="0"/>
              <w:rPr>
                <w:sz w:val="20"/>
                <w:szCs w:val="20"/>
                <w:color w:val="auto"/>
              </w:rPr>
            </w:pPr>
            <w:r>
              <w:rPr>
                <w:rFonts w:ascii="Arial" w:cs="Arial" w:eastAsia="Arial" w:hAnsi="Arial"/>
                <w:sz w:val="16"/>
                <w:szCs w:val="16"/>
                <w:color w:val="auto"/>
              </w:rPr>
              <w:t>Prior to July 1, 2010:</w:t>
            </w:r>
          </w:p>
        </w:tc>
        <w:tc>
          <w:tcPr>
            <w:tcW w:w="0" w:type="dxa"/>
            <w:vAlign w:val="bottom"/>
          </w:tcPr>
          <w:p>
            <w:pPr>
              <w:spacing w:after="0"/>
              <w:rPr>
                <w:sz w:val="1"/>
                <w:szCs w:val="1"/>
                <w:color w:val="auto"/>
              </w:rPr>
            </w:pPr>
          </w:p>
        </w:tc>
      </w:tr>
      <w:tr>
        <w:trPr>
          <w:trHeight w:val="172"/>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Royal Bank of Scotland (RBS)</w:t>
            </w:r>
          </w:p>
        </w:tc>
        <w:tc>
          <w:tcPr>
            <w:tcW w:w="3800" w:type="dxa"/>
            <w:vAlign w:val="bottom"/>
            <w:tcBorders>
              <w:right w:val="single" w:sz="8" w:color="auto"/>
            </w:tcBorders>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4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§Petroleum and petroleum products</w:t>
            </w:r>
          </w:p>
        </w:tc>
        <w:tc>
          <w:tcPr>
            <w:tcW w:w="3800" w:type="dxa"/>
            <w:vAlign w:val="bottom"/>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9"/>
                <w:szCs w:val="19"/>
                <w:color w:val="auto"/>
              </w:rPr>
              <w:t>Global</w:t>
            </w:r>
          </w:p>
        </w:tc>
        <w:tc>
          <w:tcPr>
            <w:tcW w:w="0" w:type="dxa"/>
            <w:vAlign w:val="bottom"/>
          </w:tcPr>
          <w:p>
            <w:pPr>
              <w:spacing w:after="0"/>
              <w:rPr>
                <w:sz w:val="1"/>
                <w:szCs w:val="1"/>
                <w:color w:val="auto"/>
              </w:rPr>
            </w:pPr>
          </w:p>
        </w:tc>
      </w:tr>
      <w:tr>
        <w:trPr>
          <w:trHeight w:val="230"/>
        </w:trPr>
        <w:tc>
          <w:tcPr>
            <w:tcW w:w="384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§Coal</w:t>
            </w: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84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§Emissions</w:t>
            </w: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84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§Ethanol</w:t>
            </w: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84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§Base metals</w:t>
            </w: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3840" w:type="dxa"/>
            <w:vAlign w:val="bottom"/>
            <w:tcBorders>
              <w:bottom w:val="single" w:sz="8" w:color="auto"/>
              <w:right w:val="single" w:sz="8" w:color="auto"/>
            </w:tcBorders>
          </w:tcPr>
          <w:p>
            <w:pPr>
              <w:spacing w:after="0"/>
              <w:rPr>
                <w:sz w:val="8"/>
                <w:szCs w:val="8"/>
                <w:color w:val="auto"/>
              </w:rPr>
            </w:pPr>
          </w:p>
        </w:tc>
        <w:tc>
          <w:tcPr>
            <w:tcW w:w="3800" w:type="dxa"/>
            <w:vAlign w:val="bottom"/>
            <w:tcBorders>
              <w:bottom w:val="single" w:sz="8" w:color="auto"/>
              <w:right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SEMPRA GENERATION</w:t>
            </w:r>
          </w:p>
        </w:tc>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§Wholesale electricity</w:t>
            </w:r>
          </w:p>
        </w:tc>
        <w:tc>
          <w:tcPr>
            <w:tcW w:w="3800" w:type="dxa"/>
            <w:vAlign w:val="bottom"/>
          </w:tcPr>
          <w:p>
            <w:pPr>
              <w:ind w:left="24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68"/>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Develops, owns and operates, or holds interests in,</w:t>
            </w:r>
          </w:p>
        </w:tc>
        <w:tc>
          <w:tcPr>
            <w:tcW w:w="3800" w:type="dxa"/>
            <w:vAlign w:val="bottom"/>
            <w:tcBorders>
              <w:right w:val="single" w:sz="8" w:color="auto"/>
            </w:tcBorders>
          </w:tcPr>
          <w:p>
            <w:pPr>
              <w:spacing w:after="0"/>
              <w:rPr>
                <w:sz w:val="14"/>
                <w:szCs w:val="14"/>
                <w:color w:val="auto"/>
              </w:rPr>
            </w:pPr>
          </w:p>
        </w:tc>
        <w:tc>
          <w:tcPr>
            <w:tcW w:w="3800" w:type="dxa"/>
            <w:vAlign w:val="bottom"/>
            <w:vMerge w:val="restart"/>
          </w:tcPr>
          <w:p>
            <w:pPr>
              <w:ind w:left="24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80"/>
        </w:trPr>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electric power plants and energy projects</w:t>
            </w:r>
          </w:p>
        </w:tc>
        <w:tc>
          <w:tcPr>
            <w:tcW w:w="3800" w:type="dxa"/>
            <w:vAlign w:val="bottom"/>
            <w:tcBorders>
              <w:right w:val="single" w:sz="8" w:color="auto"/>
            </w:tcBorders>
          </w:tcPr>
          <w:p>
            <w:pPr>
              <w:spacing w:after="0"/>
              <w:rPr>
                <w:sz w:val="6"/>
                <w:szCs w:val="6"/>
                <w:color w:val="auto"/>
              </w:rPr>
            </w:pPr>
          </w:p>
        </w:tc>
        <w:tc>
          <w:tcPr>
            <w:tcW w:w="3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840" w:type="dxa"/>
            <w:vAlign w:val="bottom"/>
            <w:tcBorders>
              <w:right w:val="single" w:sz="8" w:color="auto"/>
            </w:tcBorders>
            <w:vMerge w:val="continue"/>
          </w:tcPr>
          <w:p>
            <w:pPr>
              <w:spacing w:after="0"/>
              <w:rPr>
                <w:sz w:val="8"/>
                <w:szCs w:val="8"/>
                <w:color w:val="auto"/>
              </w:rPr>
            </w:pPr>
          </w:p>
        </w:tc>
        <w:tc>
          <w:tcPr>
            <w:tcW w:w="3800" w:type="dxa"/>
            <w:vAlign w:val="bottom"/>
            <w:tcBorders>
              <w:right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3840" w:type="dxa"/>
            <w:vAlign w:val="bottom"/>
            <w:tcBorders>
              <w:bottom w:val="single" w:sz="8" w:color="auto"/>
              <w:right w:val="single" w:sz="8" w:color="auto"/>
            </w:tcBorders>
          </w:tcPr>
          <w:p>
            <w:pPr>
              <w:spacing w:after="0"/>
              <w:rPr>
                <w:sz w:val="21"/>
                <w:szCs w:val="21"/>
                <w:color w:val="auto"/>
              </w:rPr>
            </w:pPr>
          </w:p>
        </w:tc>
        <w:tc>
          <w:tcPr>
            <w:tcW w:w="3800" w:type="dxa"/>
            <w:vAlign w:val="bottom"/>
            <w:tcBorders>
              <w:bottom w:val="single" w:sz="8" w:color="auto"/>
              <w:right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SEMPRA PIPELINES &amp; STORAGE</w:t>
            </w:r>
          </w:p>
        </w:tc>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§Natural gas</w:t>
            </w:r>
          </w:p>
        </w:tc>
        <w:tc>
          <w:tcPr>
            <w:tcW w:w="3800" w:type="dxa"/>
            <w:vAlign w:val="bottom"/>
          </w:tcPr>
          <w:p>
            <w:pPr>
              <w:ind w:left="24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68"/>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Develops, owns and operates, or holds interests in,</w:t>
            </w:r>
          </w:p>
        </w:tc>
        <w:tc>
          <w:tcPr>
            <w:tcW w:w="3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§Electricity</w:t>
            </w:r>
          </w:p>
        </w:tc>
        <w:tc>
          <w:tcPr>
            <w:tcW w:w="3800" w:type="dxa"/>
            <w:vAlign w:val="bottom"/>
            <w:vMerge w:val="restart"/>
          </w:tcPr>
          <w:p>
            <w:pPr>
              <w:ind w:left="24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80"/>
        </w:trPr>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natural gas and propane pipelines and natural gas</w:t>
            </w:r>
          </w:p>
        </w:tc>
        <w:tc>
          <w:tcPr>
            <w:tcW w:w="3800" w:type="dxa"/>
            <w:vAlign w:val="bottom"/>
            <w:tcBorders>
              <w:right w:val="single" w:sz="8" w:color="auto"/>
            </w:tcBorders>
            <w:vMerge w:val="continue"/>
          </w:tcPr>
          <w:p>
            <w:pPr>
              <w:spacing w:after="0"/>
              <w:rPr>
                <w:sz w:val="6"/>
                <w:szCs w:val="6"/>
                <w:color w:val="auto"/>
              </w:rPr>
            </w:pPr>
          </w:p>
        </w:tc>
        <w:tc>
          <w:tcPr>
            <w:tcW w:w="3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3840" w:type="dxa"/>
            <w:vAlign w:val="bottom"/>
            <w:tcBorders>
              <w:right w:val="single" w:sz="8" w:color="auto"/>
            </w:tcBorders>
            <w:vMerge w:val="continue"/>
          </w:tcPr>
          <w:p>
            <w:pPr>
              <w:spacing w:after="0"/>
              <w:rPr>
                <w:sz w:val="7"/>
                <w:szCs w:val="7"/>
                <w:color w:val="auto"/>
              </w:rPr>
            </w:pPr>
          </w:p>
        </w:tc>
        <w:tc>
          <w:tcPr>
            <w:tcW w:w="3800" w:type="dxa"/>
            <w:vAlign w:val="bottom"/>
            <w:tcBorders>
              <w:right w:val="single" w:sz="8" w:color="auto"/>
            </w:tcBorders>
          </w:tcPr>
          <w:p>
            <w:pPr>
              <w:spacing w:after="0"/>
              <w:rPr>
                <w:sz w:val="7"/>
                <w:szCs w:val="7"/>
                <w:color w:val="auto"/>
              </w:rPr>
            </w:pPr>
          </w:p>
        </w:tc>
        <w:tc>
          <w:tcPr>
            <w:tcW w:w="3800" w:type="dxa"/>
            <w:vAlign w:val="bottom"/>
            <w:vMerge w:val="restart"/>
          </w:tcPr>
          <w:p>
            <w:pPr>
              <w:ind w:left="240"/>
              <w:spacing w:after="0"/>
              <w:rPr>
                <w:sz w:val="20"/>
                <w:szCs w:val="20"/>
                <w:color w:val="auto"/>
              </w:rPr>
            </w:pPr>
            <w:r>
              <w:rPr>
                <w:rFonts w:ascii="Arial" w:cs="Arial" w:eastAsia="Arial" w:hAnsi="Arial"/>
                <w:sz w:val="16"/>
                <w:szCs w:val="16"/>
                <w:color w:val="auto"/>
              </w:rPr>
              <w:t>§Argentina</w:t>
            </w:r>
          </w:p>
        </w:tc>
        <w:tc>
          <w:tcPr>
            <w:tcW w:w="0" w:type="dxa"/>
            <w:vAlign w:val="bottom"/>
          </w:tcPr>
          <w:p>
            <w:pPr>
              <w:spacing w:after="0"/>
              <w:rPr>
                <w:sz w:val="1"/>
                <w:szCs w:val="1"/>
                <w:color w:val="auto"/>
              </w:rPr>
            </w:pPr>
          </w:p>
        </w:tc>
      </w:tr>
      <w:tr>
        <w:trPr>
          <w:trHeight w:val="168"/>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storage facilities, and natural gas and electric service</w:t>
            </w:r>
          </w:p>
        </w:tc>
        <w:tc>
          <w:tcPr>
            <w:tcW w:w="3800" w:type="dxa"/>
            <w:vAlign w:val="bottom"/>
            <w:tcBorders>
              <w:right w:val="single" w:sz="8" w:color="auto"/>
            </w:tcBorders>
          </w:tcPr>
          <w:p>
            <w:pPr>
              <w:spacing w:after="0"/>
              <w:rPr>
                <w:sz w:val="14"/>
                <w:szCs w:val="14"/>
                <w:color w:val="auto"/>
              </w:rPr>
            </w:pPr>
          </w:p>
        </w:tc>
        <w:tc>
          <w:tcPr>
            <w:tcW w:w="3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providers</w:t>
            </w:r>
          </w:p>
        </w:tc>
        <w:tc>
          <w:tcPr>
            <w:tcW w:w="3800" w:type="dxa"/>
            <w:vAlign w:val="bottom"/>
            <w:tcBorders>
              <w:right w:val="single" w:sz="8" w:color="auto"/>
            </w:tcBorders>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6"/>
                <w:szCs w:val="16"/>
                <w:color w:val="auto"/>
              </w:rPr>
              <w:t>§Chile</w:t>
            </w:r>
          </w:p>
        </w:tc>
        <w:tc>
          <w:tcPr>
            <w:tcW w:w="0" w:type="dxa"/>
            <w:vAlign w:val="bottom"/>
          </w:tcPr>
          <w:p>
            <w:pPr>
              <w:spacing w:after="0"/>
              <w:rPr>
                <w:sz w:val="1"/>
                <w:szCs w:val="1"/>
                <w:color w:val="auto"/>
              </w:rPr>
            </w:pPr>
          </w:p>
        </w:tc>
      </w:tr>
      <w:tr>
        <w:trPr>
          <w:trHeight w:val="240"/>
        </w:trPr>
        <w:tc>
          <w:tcPr>
            <w:tcW w:w="384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800" w:type="dxa"/>
            <w:vAlign w:val="bottom"/>
          </w:tcPr>
          <w:p>
            <w:pPr>
              <w:ind w:left="24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98"/>
        </w:trPr>
        <w:tc>
          <w:tcPr>
            <w:tcW w:w="3840" w:type="dxa"/>
            <w:vAlign w:val="bottom"/>
            <w:tcBorders>
              <w:bottom w:val="single" w:sz="8" w:color="auto"/>
              <w:right w:val="single" w:sz="8" w:color="auto"/>
            </w:tcBorders>
          </w:tcPr>
          <w:p>
            <w:pPr>
              <w:spacing w:after="0"/>
              <w:rPr>
                <w:sz w:val="8"/>
                <w:szCs w:val="8"/>
                <w:color w:val="auto"/>
              </w:rPr>
            </w:pPr>
          </w:p>
        </w:tc>
        <w:tc>
          <w:tcPr>
            <w:tcW w:w="3800" w:type="dxa"/>
            <w:vAlign w:val="bottom"/>
            <w:tcBorders>
              <w:bottom w:val="single" w:sz="8" w:color="auto"/>
              <w:right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SEMPRA LNG</w:t>
            </w:r>
          </w:p>
        </w:tc>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§Liquefied natural gas</w:t>
            </w:r>
          </w:p>
        </w:tc>
        <w:tc>
          <w:tcPr>
            <w:tcW w:w="3800" w:type="dxa"/>
            <w:vAlign w:val="bottom"/>
          </w:tcPr>
          <w:p>
            <w:pPr>
              <w:ind w:left="24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68"/>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Develops, owns and operates receipt terminals for</w:t>
            </w:r>
          </w:p>
        </w:tc>
        <w:tc>
          <w:tcPr>
            <w:tcW w:w="3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§Natural gas</w:t>
            </w:r>
          </w:p>
        </w:tc>
        <w:tc>
          <w:tcPr>
            <w:tcW w:w="3800" w:type="dxa"/>
            <w:vAlign w:val="bottom"/>
            <w:vMerge w:val="restart"/>
          </w:tcPr>
          <w:p>
            <w:pPr>
              <w:ind w:left="24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80"/>
        </w:trPr>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importation of liquefied natural gas (LNG) and sale of</w:t>
            </w:r>
          </w:p>
        </w:tc>
        <w:tc>
          <w:tcPr>
            <w:tcW w:w="3800" w:type="dxa"/>
            <w:vAlign w:val="bottom"/>
            <w:tcBorders>
              <w:right w:val="single" w:sz="8" w:color="auto"/>
            </w:tcBorders>
            <w:vMerge w:val="continue"/>
          </w:tcPr>
          <w:p>
            <w:pPr>
              <w:spacing w:after="0"/>
              <w:rPr>
                <w:sz w:val="6"/>
                <w:szCs w:val="6"/>
                <w:color w:val="auto"/>
              </w:rPr>
            </w:pPr>
          </w:p>
        </w:tc>
        <w:tc>
          <w:tcPr>
            <w:tcW w:w="3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3840" w:type="dxa"/>
            <w:vAlign w:val="bottom"/>
            <w:tcBorders>
              <w:right w:val="single" w:sz="8" w:color="auto"/>
            </w:tcBorders>
            <w:vMerge w:val="continue"/>
          </w:tcPr>
          <w:p>
            <w:pPr>
              <w:spacing w:after="0"/>
              <w:rPr>
                <w:sz w:val="7"/>
                <w:szCs w:val="7"/>
                <w:color w:val="auto"/>
              </w:rPr>
            </w:pPr>
          </w:p>
        </w:tc>
        <w:tc>
          <w:tcPr>
            <w:tcW w:w="3800" w:type="dxa"/>
            <w:vAlign w:val="bottom"/>
            <w:tcBorders>
              <w:right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38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natural gas</w:t>
            </w:r>
          </w:p>
        </w:tc>
        <w:tc>
          <w:tcPr>
            <w:tcW w:w="380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840" w:type="dxa"/>
            <w:vAlign w:val="bottom"/>
            <w:tcBorders>
              <w:right w:val="single" w:sz="8" w:color="C0C0C0"/>
            </w:tcBorders>
            <w:shd w:val="clear" w:color="auto" w:fill="C0C0C0"/>
          </w:tcPr>
          <w:p>
            <w:pPr>
              <w:spacing w:after="0"/>
              <w:rPr>
                <w:sz w:val="4"/>
                <w:szCs w:val="4"/>
                <w:color w:val="auto"/>
              </w:rPr>
            </w:pPr>
          </w:p>
        </w:tc>
        <w:tc>
          <w:tcPr>
            <w:tcW w:w="3800" w:type="dxa"/>
            <w:vAlign w:val="bottom"/>
            <w:tcBorders>
              <w:right w:val="single" w:sz="8" w:color="C0C0C0"/>
            </w:tcBorders>
            <w:shd w:val="clear" w:color="auto" w:fill="C0C0C0"/>
          </w:tcPr>
          <w:p>
            <w:pPr>
              <w:spacing w:after="0"/>
              <w:rPr>
                <w:sz w:val="4"/>
                <w:szCs w:val="4"/>
                <w:color w:val="auto"/>
              </w:rPr>
            </w:pPr>
          </w:p>
        </w:tc>
        <w:tc>
          <w:tcPr>
            <w:tcW w:w="3800" w:type="dxa"/>
            <w:vAlign w:val="bottom"/>
            <w:shd w:val="clear" w:color="auto" w:fill="C0C0C0"/>
          </w:tcPr>
          <w:p>
            <w:pPr>
              <w:spacing w:after="0"/>
              <w:rPr>
                <w:sz w:val="4"/>
                <w:szCs w:val="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20"/>
        <w:spacing w:after="0" w:line="300" w:lineRule="auto"/>
        <w:rPr>
          <w:sz w:val="20"/>
          <w:szCs w:val="20"/>
          <w:color w:val="auto"/>
        </w:rPr>
      </w:pPr>
      <w:r>
        <w:rPr>
          <w:rFonts w:ascii="Arial" w:cs="Arial" w:eastAsia="Arial" w:hAnsi="Arial"/>
          <w:sz w:val="14"/>
          <w:szCs w:val="14"/>
          <w:color w:val="auto"/>
        </w:rPr>
        <w:t>In February 2010, we, RBS and our joint-venture partnership, RBS Sempra Commodities LLP (RBS Sempra Commodities), entered into an agreement to sell certain businesses within the joint venture, which agreement was consummated on July 1, 2010. In September and October of 2010, the partnership entered into two additional agreements which will complete the divestiture of the last of the joint venture’s principal assets. One of these transactions was completed on November 1, 2010, and the second transaction is expected to be completed by year-end. We discuss these transactions and other matters concerning the partnership in Note 4 of the Notes to Condensed Consoli dated Financial Statements herein and in Notes 4 and 20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2618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discuss the following in Results of Operations: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§Overall results of our operations and factors affecting those results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§Our business unit results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§Significant changes in revenues, costs and earnings between periods</w:t>
      </w:r>
    </w:p>
    <w:p>
      <w:pPr>
        <w:spacing w:after="0" w:line="20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 the three months ended September 30, 2010, our earnings decreased by $186 million (59%) to $131 million primarily due to a $139 million after-tax write-down of our investment in RBS Sempra Commodities in the Sempra Commodities segment and lower earnings from the joint venture, as we discuss in Note 4 of the Notes to Condensed Consolidated Financial Statements herein. Diluted earnings per share for the three-month period decreased by $0.74 (58%) per share to $0.53 per share, primarily from the write-down and lower earnings at Sempra Commodities.</w:t>
      </w:r>
    </w:p>
    <w:p>
      <w:pPr>
        <w:spacing w:after="0" w:line="79" w:lineRule="exact"/>
        <w:rPr>
          <w:sz w:val="20"/>
          <w:szCs w:val="20"/>
          <w:color w:val="auto"/>
        </w:rPr>
      </w:pPr>
    </w:p>
    <w:p>
      <w:pPr>
        <w:ind w:right="80"/>
        <w:spacing w:after="0" w:line="300" w:lineRule="auto"/>
        <w:rPr>
          <w:sz w:val="20"/>
          <w:szCs w:val="20"/>
          <w:color w:val="auto"/>
        </w:rPr>
      </w:pPr>
      <w:r>
        <w:rPr>
          <w:rFonts w:ascii="Arial" w:cs="Arial" w:eastAsia="Arial" w:hAnsi="Arial"/>
          <w:sz w:val="14"/>
          <w:szCs w:val="14"/>
          <w:color w:val="auto"/>
        </w:rPr>
        <w:t>In the nine months ended September 30, 2010, our earnings decreased by $372 million (45%) to $459 million primarily due to lower joint-venture earnings and the investment write-down at Sempra Commodi ties and lower earnings at Sempra Generation, partially offset by improved results at Sempra LNG and Sempra Pipelines &amp; Storage. In the first quarter of 2010, Sempra Generation and Sempra Commodities recorded after-tax litigation expense of $84 million and $12 million, respectively, related to the agreement to settle certain energy crisis litigation, as we discuss in Note 10 of the Notes to Condensed Consolidated Financial Statements herein. Diluted earnings per share for the nine months decreased by $1.53 (45%) per share to $1.84 per share, primarily from the write-down at Sempra Commodities and net lower earnings.</w:t>
      </w:r>
    </w:p>
    <w:p>
      <w:pPr>
        <w:spacing w:after="0" w:line="50" w:lineRule="exact"/>
        <w:rPr>
          <w:sz w:val="20"/>
          <w:szCs w:val="20"/>
          <w:color w:val="auto"/>
        </w:rPr>
      </w:pPr>
    </w:p>
    <w:p>
      <w:pPr>
        <w:ind w:right="460"/>
        <w:spacing w:after="0" w:line="270" w:lineRule="auto"/>
        <w:rPr>
          <w:sz w:val="20"/>
          <w:szCs w:val="20"/>
          <w:color w:val="auto"/>
        </w:rPr>
      </w:pPr>
      <w:r>
        <w:rPr>
          <w:rFonts w:ascii="Arial" w:cs="Arial" w:eastAsia="Arial" w:hAnsi="Arial"/>
          <w:sz w:val="16"/>
          <w:szCs w:val="16"/>
          <w:color w:val="auto"/>
        </w:rPr>
        <w:t>Earnings in the nine-month period of 2009 were negatively impacted by an after-tax asset write-off of $64 million related to assets at Sempra Pipelines &amp; Storage’s Liberty Gas Storage (Liberty) project.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earnings by business unit, which we discuss below in "Business Unit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860" cy="289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SEMPRA ENERGY EARNINGS (LOSSES) BY BUSINESS UNIT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8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140" w:type="dxa"/>
            <w:vAlign w:val="bottom"/>
            <w:tcBorders>
              <w:bottom w:val="single" w:sz="8" w:color="auto"/>
            </w:tcBorders>
            <w:gridSpan w:val="3"/>
          </w:tcPr>
          <w:p>
            <w:pPr>
              <w:jc w:val="right"/>
              <w:ind w:right="3584"/>
              <w:spacing w:after="0"/>
              <w:rPr>
                <w:sz w:val="20"/>
                <w:szCs w:val="20"/>
                <w:color w:val="auto"/>
              </w:rPr>
            </w:pPr>
            <w:r>
              <w:rPr>
                <w:rFonts w:ascii="Arial" w:cs="Arial" w:eastAsia="Arial" w:hAnsi="Arial"/>
                <w:sz w:val="13"/>
                <w:szCs w:val="13"/>
                <w:color w:val="auto"/>
              </w:rPr>
              <w:t>Three months ended September 30,</w:t>
            </w:r>
          </w:p>
        </w:tc>
        <w:tc>
          <w:tcPr>
            <w:tcW w:w="0" w:type="dxa"/>
            <w:vAlign w:val="bottom"/>
          </w:tcPr>
          <w:p>
            <w:pPr>
              <w:spacing w:after="0"/>
              <w:rPr>
                <w:sz w:val="1"/>
                <w:szCs w:val="1"/>
                <w:color w:val="auto"/>
              </w:rPr>
            </w:pPr>
          </w:p>
        </w:tc>
      </w:tr>
      <w:tr>
        <w:trPr>
          <w:trHeight w:val="148"/>
        </w:trPr>
        <w:tc>
          <w:tcPr>
            <w:tcW w:w="20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2010</w:t>
            </w:r>
          </w:p>
        </w:tc>
        <w:tc>
          <w:tcPr>
            <w:tcW w:w="5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700" w:type="dxa"/>
            <w:vAlign w:val="bottom"/>
            <w:tcBorders>
              <w:bottom w:val="single" w:sz="8" w:color="auto"/>
            </w:tcBorders>
          </w:tcPr>
          <w:p>
            <w:pPr>
              <w:jc w:val="right"/>
              <w:ind w:right="3184"/>
              <w:spacing w:after="0" w:line="148" w:lineRule="exact"/>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78"/>
        </w:trPr>
        <w:tc>
          <w:tcPr>
            <w:tcW w:w="2080" w:type="dxa"/>
            <w:vAlign w:val="bottom"/>
          </w:tcPr>
          <w:p>
            <w:pPr>
              <w:ind w:left="80"/>
              <w:spacing w:after="0"/>
              <w:rPr>
                <w:sz w:val="20"/>
                <w:szCs w:val="20"/>
                <w:color w:val="auto"/>
              </w:rPr>
            </w:pPr>
            <w:r>
              <w:rPr>
                <w:rFonts w:ascii="Arial" w:cs="Arial" w:eastAsia="Arial" w:hAnsi="Arial"/>
                <w:sz w:val="14"/>
                <w:szCs w:val="14"/>
                <w:color w:val="auto"/>
              </w:rPr>
              <w:t>Sempra Utilities:</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240"/>
              <w:spacing w:after="0"/>
              <w:rPr>
                <w:sz w:val="20"/>
                <w:szCs w:val="20"/>
                <w:color w:val="auto"/>
              </w:rPr>
            </w:pPr>
            <w:r>
              <w:rPr>
                <w:rFonts w:ascii="Arial" w:cs="Arial" w:eastAsia="Arial" w:hAnsi="Arial"/>
                <w:sz w:val="14"/>
                <w:szCs w:val="14"/>
                <w:color w:val="auto"/>
              </w:rPr>
              <w:t>SDG&amp;E(1)</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106</w:t>
            </w:r>
          </w:p>
        </w:tc>
        <w:tc>
          <w:tcPr>
            <w:tcW w:w="3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108</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4700" w:type="dxa"/>
            <w:vAlign w:val="bottom"/>
          </w:tcPr>
          <w:p>
            <w:pPr>
              <w:jc w:val="right"/>
              <w:ind w:right="444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80" w:type="dxa"/>
            <w:vAlign w:val="bottom"/>
          </w:tcPr>
          <w:p>
            <w:pPr>
              <w:ind w:left="240"/>
              <w:spacing w:after="0"/>
              <w:rPr>
                <w:sz w:val="20"/>
                <w:szCs w:val="20"/>
                <w:color w:val="auto"/>
              </w:rPr>
            </w:pPr>
            <w:r>
              <w:rPr>
                <w:rFonts w:ascii="Arial" w:cs="Arial" w:eastAsia="Arial" w:hAnsi="Arial"/>
                <w:sz w:val="14"/>
                <w:szCs w:val="14"/>
                <w:color w:val="auto"/>
              </w:rPr>
              <w:t>SoCalGas(1)</w:t>
            </w:r>
          </w:p>
        </w:tc>
        <w:tc>
          <w:tcPr>
            <w:tcW w:w="420" w:type="dxa"/>
            <w:vAlign w:val="bottom"/>
          </w:tcPr>
          <w:p>
            <w:pPr>
              <w:spacing w:after="0"/>
              <w:rPr>
                <w:sz w:val="18"/>
                <w:szCs w:val="18"/>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78</w:t>
            </w:r>
          </w:p>
        </w:tc>
        <w:tc>
          <w:tcPr>
            <w:tcW w:w="320" w:type="dxa"/>
            <w:vAlign w:val="bottom"/>
          </w:tcPr>
          <w:p>
            <w:pPr>
              <w:spacing w:after="0"/>
              <w:rPr>
                <w:sz w:val="18"/>
                <w:szCs w:val="18"/>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74</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80"/>
              <w:spacing w:after="0"/>
              <w:rPr>
                <w:sz w:val="20"/>
                <w:szCs w:val="20"/>
                <w:color w:val="auto"/>
              </w:rPr>
            </w:pPr>
            <w:r>
              <w:rPr>
                <w:rFonts w:ascii="Arial" w:cs="Arial" w:eastAsia="Arial" w:hAnsi="Arial"/>
                <w:sz w:val="14"/>
                <w:szCs w:val="14"/>
                <w:color w:val="auto"/>
              </w:rPr>
              <w:t>Sempra Global:</w:t>
            </w: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240"/>
              <w:spacing w:after="0"/>
              <w:rPr>
                <w:sz w:val="20"/>
                <w:szCs w:val="20"/>
                <w:color w:val="auto"/>
              </w:rPr>
            </w:pPr>
            <w:r>
              <w:rPr>
                <w:rFonts w:ascii="Arial" w:cs="Arial" w:eastAsia="Arial" w:hAnsi="Arial"/>
                <w:sz w:val="14"/>
                <w:szCs w:val="14"/>
                <w:color w:val="auto"/>
              </w:rPr>
              <w:t>Sempra Commodities</w:t>
            </w:r>
          </w:p>
        </w:tc>
        <w:tc>
          <w:tcPr>
            <w:tcW w:w="4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(134)</w:t>
            </w:r>
          </w:p>
        </w:tc>
        <w:tc>
          <w:tcPr>
            <w:tcW w:w="32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75</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4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240"/>
              <w:spacing w:after="0"/>
              <w:rPr>
                <w:sz w:val="20"/>
                <w:szCs w:val="20"/>
                <w:color w:val="auto"/>
              </w:rPr>
            </w:pPr>
            <w:r>
              <w:rPr>
                <w:rFonts w:ascii="Arial" w:cs="Arial" w:eastAsia="Arial" w:hAnsi="Arial"/>
                <w:sz w:val="14"/>
                <w:szCs w:val="14"/>
                <w:color w:val="auto"/>
              </w:rPr>
              <w:t>Sempra Generation</w:t>
            </w:r>
          </w:p>
        </w:tc>
        <w:tc>
          <w:tcPr>
            <w:tcW w:w="42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56</w:t>
            </w:r>
          </w:p>
        </w:tc>
        <w:tc>
          <w:tcPr>
            <w:tcW w:w="3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43</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4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80" w:type="dxa"/>
            <w:vAlign w:val="bottom"/>
          </w:tcPr>
          <w:p>
            <w:pPr>
              <w:ind w:left="240"/>
              <w:spacing w:after="0"/>
              <w:rPr>
                <w:sz w:val="20"/>
                <w:szCs w:val="20"/>
                <w:color w:val="auto"/>
              </w:rPr>
            </w:pPr>
            <w:r>
              <w:rPr>
                <w:rFonts w:ascii="Arial" w:cs="Arial" w:eastAsia="Arial" w:hAnsi="Arial"/>
                <w:sz w:val="14"/>
                <w:szCs w:val="14"/>
                <w:color w:val="auto"/>
              </w:rPr>
              <w:t>Sempra Pipelines &amp;</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80" w:type="dxa"/>
            <w:vAlign w:val="bottom"/>
          </w:tcPr>
          <w:p>
            <w:pPr>
              <w:ind w:left="80"/>
              <w:spacing w:after="0"/>
              <w:rPr>
                <w:sz w:val="20"/>
                <w:szCs w:val="20"/>
                <w:color w:val="auto"/>
              </w:rPr>
            </w:pPr>
            <w:r>
              <w:rPr>
                <w:rFonts w:ascii="Arial" w:cs="Arial" w:eastAsia="Arial" w:hAnsi="Arial"/>
                <w:sz w:val="14"/>
                <w:szCs w:val="14"/>
                <w:color w:val="auto"/>
              </w:rPr>
              <w:t>Storage</w:t>
            </w:r>
          </w:p>
        </w:tc>
        <w:tc>
          <w:tcPr>
            <w:tcW w:w="420" w:type="dxa"/>
            <w:vAlign w:val="bottom"/>
          </w:tcPr>
          <w:p>
            <w:pPr>
              <w:spacing w:after="0"/>
              <w:rPr>
                <w:sz w:val="14"/>
                <w:szCs w:val="1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43</w:t>
            </w:r>
          </w:p>
        </w:tc>
        <w:tc>
          <w:tcPr>
            <w:tcW w:w="3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54</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4700" w:type="dxa"/>
            <w:vAlign w:val="bottom"/>
            <w:vMerge w:val="restart"/>
          </w:tcPr>
          <w:p>
            <w:pPr>
              <w:ind w:left="140"/>
              <w:spacing w:after="0"/>
              <w:rPr>
                <w:sz w:val="20"/>
                <w:szCs w:val="20"/>
                <w:color w:val="auto"/>
              </w:rPr>
            </w:pPr>
            <w:r>
              <w:rPr>
                <w:rFonts w:ascii="Arial" w:cs="Arial" w:eastAsia="Arial" w:hAnsi="Arial"/>
                <w:sz w:val="19"/>
                <w:szCs w:val="19"/>
                <w:color w:val="auto"/>
              </w:rPr>
              <w:t>&lt; p style="MARGIN:0in 0in 0pt"&gt;</w:t>
            </w:r>
          </w:p>
        </w:tc>
        <w:tc>
          <w:tcPr>
            <w:tcW w:w="0" w:type="dxa"/>
            <w:vAlign w:val="bottom"/>
          </w:tcPr>
          <w:p>
            <w:pPr>
              <w:spacing w:after="0"/>
              <w:rPr>
                <w:sz w:val="1"/>
                <w:szCs w:val="1"/>
                <w:color w:val="auto"/>
              </w:rPr>
            </w:pPr>
          </w:p>
        </w:tc>
      </w:tr>
      <w:tr>
        <w:trPr>
          <w:trHeight w:val="218"/>
        </w:trPr>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240"/>
              <w:spacing w:after="0"/>
              <w:rPr>
                <w:sz w:val="20"/>
                <w:szCs w:val="20"/>
                <w:color w:val="auto"/>
              </w:rPr>
            </w:pPr>
            <w:r>
              <w:rPr>
                <w:rFonts w:ascii="Arial" w:cs="Arial" w:eastAsia="Arial" w:hAnsi="Arial"/>
                <w:sz w:val="14"/>
                <w:szCs w:val="14"/>
                <w:color w:val="auto"/>
              </w:rPr>
              <w:t>Sempra LNG</w:t>
            </w:r>
          </w:p>
        </w:tc>
        <w:tc>
          <w:tcPr>
            <w:tcW w:w="42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tcPr>
          <w:p>
            <w:pPr>
              <w:ind w:left="80"/>
              <w:spacing w:after="0"/>
              <w:rPr>
                <w:sz w:val="20"/>
                <w:szCs w:val="20"/>
                <w:color w:val="auto"/>
              </w:rPr>
            </w:pPr>
            <w:r>
              <w:rPr>
                <w:rFonts w:ascii="Arial" w:cs="Arial" w:eastAsia="Arial" w:hAnsi="Arial"/>
                <w:sz w:val="14"/>
                <w:szCs w:val="14"/>
                <w:color w:val="auto"/>
              </w:rPr>
              <w:t>Parent and other(2)</w:t>
            </w:r>
          </w:p>
        </w:tc>
        <w:tc>
          <w:tcPr>
            <w:tcW w:w="420" w:type="dxa"/>
            <w:vAlign w:val="bottom"/>
            <w:tcBorders>
              <w:bottom w:val="single" w:sz="8" w:color="auto"/>
            </w:tcBorders>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(37)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4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80"/>
              <w:spacing w:after="0"/>
              <w:rPr>
                <w:sz w:val="20"/>
                <w:szCs w:val="20"/>
                <w:color w:val="auto"/>
              </w:rPr>
            </w:pPr>
            <w:r>
              <w:rPr>
                <w:rFonts w:ascii="Arial" w:cs="Arial" w:eastAsia="Arial" w:hAnsi="Arial"/>
                <w:sz w:val="14"/>
                <w:szCs w:val="14"/>
                <w:color w:val="auto"/>
              </w:rPr>
              <w:t>Earnings</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131</w:t>
            </w: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317</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w:t>
            </w:r>
          </w:p>
        </w:tc>
        <w:tc>
          <w:tcPr>
            <w:tcW w:w="47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852" w:orient="portrait"/>
          <w:cols w:equalWidth="0" w:num="1">
            <w:col w:w="11440"/>
          </w:cols>
          <w:pgMar w:left="240" w:top="131" w:right="21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180" w:type="dxa"/>
            <w:vAlign w:val="bottom"/>
            <w:tcBorders>
              <w:bottom w:val="single" w:sz="8" w:color="auto"/>
            </w:tcBorders>
            <w:gridSpan w:val="3"/>
          </w:tcPr>
          <w:p>
            <w:pPr>
              <w:jc w:val="right"/>
              <w:ind w:right="3631"/>
              <w:spacing w:after="0"/>
              <w:rPr>
                <w:sz w:val="20"/>
                <w:szCs w:val="20"/>
                <w:color w:val="auto"/>
              </w:rPr>
            </w:pPr>
            <w:r>
              <w:rPr>
                <w:rFonts w:ascii="Arial" w:cs="Arial" w:eastAsia="Arial" w:hAnsi="Arial"/>
                <w:sz w:val="13"/>
                <w:szCs w:val="13"/>
                <w:color w:val="auto"/>
              </w:rPr>
              <w:t>Nine months ended September 30,</w:t>
            </w:r>
          </w:p>
        </w:tc>
        <w:tc>
          <w:tcPr>
            <w:tcW w:w="0" w:type="dxa"/>
            <w:vAlign w:val="bottom"/>
          </w:tcPr>
          <w:p>
            <w:pPr>
              <w:spacing w:after="0"/>
              <w:rPr>
                <w:sz w:val="1"/>
                <w:szCs w:val="1"/>
                <w:color w:val="auto"/>
              </w:rPr>
            </w:pPr>
          </w:p>
        </w:tc>
      </w:tr>
      <w:tr>
        <w:trPr>
          <w:trHeight w:val="153"/>
        </w:trPr>
        <w:tc>
          <w:tcPr>
            <w:tcW w:w="20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2010</w:t>
            </w: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60" w:type="dxa"/>
            <w:vAlign w:val="bottom"/>
            <w:tcBorders>
              <w:bottom w:val="single" w:sz="8" w:color="auto"/>
            </w:tcBorders>
          </w:tcPr>
          <w:p>
            <w:pPr>
              <w:jc w:val="right"/>
              <w:ind w:right="3171"/>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78"/>
        </w:trPr>
        <w:tc>
          <w:tcPr>
            <w:tcW w:w="2080" w:type="dxa"/>
            <w:vAlign w:val="bottom"/>
          </w:tcPr>
          <w:p>
            <w:pPr>
              <w:ind w:left="80"/>
              <w:spacing w:after="0"/>
              <w:rPr>
                <w:sz w:val="20"/>
                <w:szCs w:val="20"/>
                <w:color w:val="auto"/>
              </w:rPr>
            </w:pPr>
            <w:r>
              <w:rPr>
                <w:rFonts w:ascii="Arial" w:cs="Arial" w:eastAsia="Arial" w:hAnsi="Arial"/>
                <w:sz w:val="14"/>
                <w:szCs w:val="14"/>
                <w:color w:val="auto"/>
              </w:rPr>
              <w:t>Sempra Utilities:</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jc w:val="right"/>
              <w:ind w:right="590"/>
              <w:spacing w:after="0"/>
              <w:rPr>
                <w:sz w:val="20"/>
                <w:szCs w:val="20"/>
                <w:color w:val="auto"/>
              </w:rPr>
            </w:pPr>
            <w:r>
              <w:rPr>
                <w:rFonts w:ascii="Arial" w:cs="Arial" w:eastAsia="Arial" w:hAnsi="Arial"/>
                <w:sz w:val="10"/>
                <w:szCs w:val="10"/>
                <w:color w:val="auto"/>
                <w:w w:val="70"/>
              </w:rPr>
              <w:t>;</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vMerge w:val="restart"/>
          </w:tcPr>
          <w:p>
            <w:pPr>
              <w:jc w:val="right"/>
              <w:ind w:right="204"/>
              <w:spacing w:after="0"/>
              <w:rPr>
                <w:sz w:val="20"/>
                <w:szCs w:val="20"/>
                <w:color w:val="auto"/>
              </w:rPr>
            </w:pPr>
            <w:r>
              <w:rPr>
                <w:rFonts w:ascii="Arial" w:cs="Arial" w:eastAsia="Arial" w:hAnsi="Arial"/>
                <w:sz w:val="19"/>
                <w:szCs w:val="19"/>
                <w:color w:val="auto"/>
              </w:rPr>
              <w:t>277</w:t>
            </w:r>
          </w:p>
        </w:tc>
        <w:tc>
          <w:tcPr>
            <w:tcW w:w="5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80" w:type="dxa"/>
            <w:vAlign w:val="bottom"/>
          </w:tcPr>
          <w:p>
            <w:pPr>
              <w:ind w:left="80"/>
              <w:spacing w:after="0"/>
              <w:rPr>
                <w:sz w:val="20"/>
                <w:szCs w:val="20"/>
                <w:color w:val="auto"/>
              </w:rPr>
            </w:pPr>
            <w:r>
              <w:rPr>
                <w:rFonts w:ascii="Arial" w:cs="Arial" w:eastAsia="Arial" w:hAnsi="Arial"/>
                <w:sz w:val="14"/>
                <w:szCs w:val="14"/>
                <w:color w:val="auto"/>
              </w:rPr>
              <w:t>&amp;nb sp;  SDG&amp;E(1)</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264</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58</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vMerge w:val="continue"/>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4660" w:type="dxa"/>
            <w:vAlign w:val="bottom"/>
          </w:tcPr>
          <w:p>
            <w:pPr>
              <w:ind w:lef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80" w:type="dxa"/>
            <w:vAlign w:val="bottom"/>
          </w:tcPr>
          <w:p>
            <w:pPr>
              <w:ind w:left="240"/>
              <w:spacing w:after="0"/>
              <w:rPr>
                <w:sz w:val="20"/>
                <w:szCs w:val="20"/>
                <w:color w:val="auto"/>
              </w:rPr>
            </w:pPr>
            <w:r>
              <w:rPr>
                <w:rFonts w:ascii="Arial" w:cs="Arial" w:eastAsia="Arial" w:hAnsi="Arial"/>
                <w:sz w:val="14"/>
                <w:szCs w:val="14"/>
                <w:color w:val="auto"/>
              </w:rPr>
              <w:t>SoCalGas(1)</w:t>
            </w:r>
          </w:p>
        </w:tc>
        <w:tc>
          <w:tcPr>
            <w:tcW w:w="520" w:type="dxa"/>
            <w:vAlign w:val="bottom"/>
          </w:tcPr>
          <w:p>
            <w:pPr>
              <w:spacing w:after="0"/>
              <w:rPr>
                <w:sz w:val="16"/>
                <w:szCs w:val="16"/>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212</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46</w:t>
            </w: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204"/>
              <w:spacing w:after="0"/>
              <w:rPr>
                <w:sz w:val="20"/>
                <w:szCs w:val="20"/>
                <w:color w:val="auto"/>
              </w:rPr>
            </w:pPr>
            <w:r>
              <w:rPr>
                <w:rFonts w:ascii="Arial" w:cs="Arial" w:eastAsia="Arial" w:hAnsi="Arial"/>
                <w:sz w:val="14"/>
                <w:szCs w:val="14"/>
                <w:color w:val="auto"/>
              </w:rPr>
              <w:t>198</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80"/>
              <w:spacing w:after="0"/>
              <w:rPr>
                <w:sz w:val="20"/>
                <w:szCs w:val="20"/>
                <w:color w:val="auto"/>
              </w:rPr>
            </w:pPr>
            <w:r>
              <w:rPr>
                <w:rFonts w:ascii="Arial" w:cs="Arial" w:eastAsia="Arial" w:hAnsi="Arial"/>
                <w:sz w:val="14"/>
                <w:szCs w:val="14"/>
                <w:color w:val="auto"/>
              </w:rPr>
              <w:t>Sempra Global:</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240"/>
              <w:spacing w:after="0"/>
              <w:rPr>
                <w:sz w:val="20"/>
                <w:szCs w:val="20"/>
                <w:color w:val="auto"/>
              </w:rPr>
            </w:pPr>
            <w:r>
              <w:rPr>
                <w:rFonts w:ascii="Arial" w:cs="Arial" w:eastAsia="Arial" w:hAnsi="Arial"/>
                <w:sz w:val="14"/>
                <w:szCs w:val="14"/>
                <w:color w:val="auto"/>
              </w:rPr>
              <w:t>Sempra Commodities</w:t>
            </w:r>
          </w:p>
        </w:tc>
        <w:tc>
          <w:tcPr>
            <w:tcW w:w="520" w:type="dxa"/>
            <w:vAlign w:val="bottom"/>
          </w:tcPr>
          <w:p>
            <w:pPr>
              <w:spacing w:after="0"/>
              <w:rPr>
                <w:sz w:val="16"/>
                <w:szCs w:val="16"/>
                <w:color w:val="auto"/>
              </w:rPr>
            </w:pP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(139)</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(30)</w:t>
            </w: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204"/>
              <w:spacing w:after="0"/>
              <w:rPr>
                <w:sz w:val="20"/>
                <w:szCs w:val="20"/>
                <w:color w:val="auto"/>
              </w:rPr>
            </w:pPr>
            <w:r>
              <w:rPr>
                <w:rFonts w:ascii="Arial" w:cs="Arial" w:eastAsia="Arial" w:hAnsi="Arial"/>
                <w:sz w:val="14"/>
                <w:szCs w:val="14"/>
                <w:color w:val="auto"/>
              </w:rPr>
              <w:t>274</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40"/>
              <w:spacing w:after="0"/>
              <w:rPr>
                <w:sz w:val="20"/>
                <w:szCs w:val="20"/>
                <w:color w:val="auto"/>
              </w:rPr>
            </w:pPr>
            <w:r>
              <w:rPr>
                <w:rFonts w:ascii="Arial" w:cs="Arial" w:eastAsia="Arial" w:hAnsi="Arial"/>
                <w:sz w:val="14"/>
                <w:szCs w:val="14"/>
                <w:color w:val="auto"/>
              </w:rPr>
              <w:t>Sempra Generation</w:t>
            </w:r>
          </w:p>
        </w:tc>
        <w:tc>
          <w:tcPr>
            <w:tcW w:w="520" w:type="dxa"/>
            <w:vAlign w:val="bottom"/>
          </w:tcPr>
          <w:p>
            <w:pPr>
              <w:spacing w:after="0"/>
              <w:rPr>
                <w:sz w:val="16"/>
                <w:szCs w:val="16"/>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51</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204"/>
              <w:spacing w:after="0"/>
              <w:rPr>
                <w:sz w:val="20"/>
                <w:szCs w:val="20"/>
                <w:color w:val="auto"/>
              </w:rPr>
            </w:pPr>
            <w:r>
              <w:rPr>
                <w:rFonts w:ascii="Arial" w:cs="Arial" w:eastAsia="Arial" w:hAnsi="Arial"/>
                <w:sz w:val="14"/>
                <w:szCs w:val="14"/>
                <w:color w:val="auto"/>
              </w:rPr>
              <w:t>119</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80" w:type="dxa"/>
            <w:vAlign w:val="bottom"/>
          </w:tcPr>
          <w:p>
            <w:pPr>
              <w:ind w:left="240"/>
              <w:spacing w:after="0"/>
              <w:rPr>
                <w:sz w:val="20"/>
                <w:szCs w:val="20"/>
                <w:color w:val="auto"/>
              </w:rPr>
            </w:pPr>
            <w:r>
              <w:rPr>
                <w:rFonts w:ascii="Arial" w:cs="Arial" w:eastAsia="Arial" w:hAnsi="Arial"/>
                <w:sz w:val="14"/>
                <w:szCs w:val="14"/>
                <w:color w:val="auto"/>
              </w:rPr>
              <w:t>Sempra Pipelines &amp;</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80" w:type="dxa"/>
            <w:vAlign w:val="bottom"/>
          </w:tcPr>
          <w:p>
            <w:pPr>
              <w:ind w:left="80"/>
              <w:spacing w:after="0"/>
              <w:rPr>
                <w:sz w:val="20"/>
                <w:szCs w:val="20"/>
                <w:color w:val="auto"/>
              </w:rPr>
            </w:pPr>
            <w:r>
              <w:rPr>
                <w:rFonts w:ascii="Arial" w:cs="Arial" w:eastAsia="Arial" w:hAnsi="Arial"/>
                <w:sz w:val="14"/>
                <w:szCs w:val="14"/>
                <w:color w:val="auto"/>
              </w:rPr>
              <w:t>Storage</w:t>
            </w:r>
          </w:p>
        </w:tc>
        <w:tc>
          <w:tcPr>
            <w:tcW w:w="52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120</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26</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ind w:right="204"/>
              <w:spacing w:after="0"/>
              <w:rPr>
                <w:sz w:val="20"/>
                <w:szCs w:val="20"/>
                <w:color w:val="auto"/>
              </w:rPr>
            </w:pPr>
            <w:r>
              <w:rPr>
                <w:rFonts w:ascii="Arial" w:cs="Arial" w:eastAsia="Arial" w:hAnsi="Arial"/>
                <w:sz w:val="14"/>
                <w:szCs w:val="14"/>
                <w:color w:val="auto"/>
              </w:rPr>
              <w:t>64</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4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80" w:type="dxa"/>
            <w:vAlign w:val="bottom"/>
          </w:tcPr>
          <w:p>
            <w:pPr>
              <w:ind w:left="240"/>
              <w:spacing w:after="0"/>
              <w:rPr>
                <w:sz w:val="20"/>
                <w:szCs w:val="20"/>
                <w:color w:val="auto"/>
              </w:rPr>
            </w:pPr>
            <w:r>
              <w:rPr>
                <w:rFonts w:ascii="Arial" w:cs="Arial" w:eastAsia="Arial" w:hAnsi="Arial"/>
                <w:sz w:val="14"/>
                <w:szCs w:val="14"/>
                <w:color w:val="auto"/>
              </w:rPr>
              <w:t>Sempra LNG</w:t>
            </w:r>
          </w:p>
        </w:tc>
        <w:tc>
          <w:tcPr>
            <w:tcW w:w="520" w:type="dxa"/>
            <w:vAlign w:val="bottom"/>
          </w:tcPr>
          <w:p>
            <w:pPr>
              <w:spacing w:after="0"/>
              <w:rPr>
                <w:sz w:val="15"/>
                <w:szCs w:val="15"/>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50</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164"/>
              <w:spacing w:after="0"/>
              <w:rPr>
                <w:sz w:val="20"/>
                <w:szCs w:val="20"/>
                <w:color w:val="auto"/>
              </w:rPr>
            </w:pPr>
            <w:r>
              <w:rPr>
                <w:rFonts w:ascii="Arial" w:cs="Arial" w:eastAsia="Arial" w:hAnsi="Arial"/>
                <w:sz w:val="14"/>
                <w:szCs w:val="14"/>
                <w:color w:val="auto"/>
              </w:rPr>
              <w:t>(19)</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4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80" w:type="dxa"/>
            <w:vAlign w:val="bottom"/>
          </w:tcPr>
          <w:p>
            <w:pPr>
              <w:ind w:left="80"/>
              <w:spacing w:after="0"/>
              <w:rPr>
                <w:sz w:val="20"/>
                <w:szCs w:val="20"/>
                <w:color w:val="auto"/>
              </w:rPr>
            </w:pPr>
            <w:r>
              <w:rPr>
                <w:rFonts w:ascii="Arial" w:cs="Arial" w:eastAsia="Arial" w:hAnsi="Arial"/>
                <w:sz w:val="14"/>
                <w:szCs w:val="14"/>
                <w:color w:val="auto"/>
              </w:rPr>
              <w:t>Parent and other(2)</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(99)</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(22)</w:t>
            </w: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4"/>
              <w:spacing w:after="0"/>
              <w:rPr>
                <w:sz w:val="20"/>
                <w:szCs w:val="20"/>
                <w:color w:val="auto"/>
              </w:rPr>
            </w:pPr>
            <w:r>
              <w:rPr>
                <w:rFonts w:ascii="Arial" w:cs="Arial" w:eastAsia="Arial" w:hAnsi="Arial"/>
                <w:sz w:val="19"/>
                <w:szCs w:val="19"/>
                <w:color w:val="auto"/>
              </w:rPr>
              <w:t>(82)</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4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80"/>
              <w:spacing w:after="0"/>
              <w:rPr>
                <w:sz w:val="20"/>
                <w:szCs w:val="20"/>
                <w:color w:val="auto"/>
              </w:rPr>
            </w:pPr>
            <w:r>
              <w:rPr>
                <w:rFonts w:ascii="Arial" w:cs="Arial" w:eastAsia="Arial" w:hAnsi="Arial"/>
                <w:sz w:val="14"/>
                <w:szCs w:val="14"/>
                <w:color w:val="auto"/>
              </w:rPr>
              <w:t>Earnings</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459</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100</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4"/>
              <w:spacing w:after="0"/>
              <w:rPr>
                <w:sz w:val="20"/>
                <w:szCs w:val="20"/>
                <w:color w:val="auto"/>
              </w:rPr>
            </w:pPr>
            <w:r>
              <w:rPr>
                <w:rFonts w:ascii="Arial" w:cs="Arial" w:eastAsia="Arial" w:hAnsi="Arial"/>
                <w:sz w:val="14"/>
                <w:szCs w:val="14"/>
                <w:color w:val="auto"/>
              </w:rPr>
              <w:t>831</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4660" w:type="dxa"/>
            <w:vAlign w:val="bottom"/>
          </w:tcPr>
          <w:p>
            <w:pPr>
              <w:ind w:lef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-9525</wp:posOffset>
            </wp:positionV>
            <wp:extent cx="5935980" cy="228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35980" cy="22860"/>
                    </a:xfrm>
                    <a:prstGeom prst="rect">
                      <a:avLst/>
                    </a:prstGeom>
                    <a:noFill/>
                  </pic:spPr>
                </pic:pic>
              </a:graphicData>
            </a:graphic>
          </wp:anchor>
        </w:drawing>
      </w:r>
    </w:p>
    <w:p>
      <w:pPr>
        <w:ind w:left="840" w:hanging="752"/>
        <w:spacing w:after="0"/>
        <w:tabs>
          <w:tab w:leader="none" w:pos="840" w:val="left"/>
        </w:tabs>
        <w:numPr>
          <w:ilvl w:val="0"/>
          <w:numId w:val="37"/>
        </w:numPr>
        <w:rPr>
          <w:rFonts w:ascii="Arial" w:cs="Arial" w:eastAsia="Arial" w:hAnsi="Arial"/>
          <w:sz w:val="13"/>
          <w:szCs w:val="13"/>
          <w:i w:val="1"/>
          <w:iCs w:val="1"/>
          <w:color w:val="auto"/>
        </w:rPr>
      </w:pPr>
      <w:r>
        <w:rPr>
          <w:rFonts w:ascii="Arial" w:cs="Arial" w:eastAsia="Arial" w:hAnsi="Arial"/>
          <w:sz w:val="13"/>
          <w:szCs w:val="13"/>
          <w:i w:val="1"/>
          <w:iCs w:val="1"/>
          <w:color w:val="auto"/>
        </w:rPr>
        <w:t>After preferred dividends.</w:t>
      </w:r>
    </w:p>
    <w:p>
      <w:pPr>
        <w:spacing w:after="0" w:line="42" w:lineRule="exact"/>
        <w:rPr>
          <w:rFonts w:ascii="Arial" w:cs="Arial" w:eastAsia="Arial" w:hAnsi="Arial"/>
          <w:sz w:val="13"/>
          <w:szCs w:val="13"/>
          <w:i w:val="1"/>
          <w:iCs w:val="1"/>
          <w:color w:val="auto"/>
        </w:rPr>
      </w:pPr>
    </w:p>
    <w:p>
      <w:pPr>
        <w:ind w:left="840" w:right="360" w:hanging="752"/>
        <w:spacing w:after="0" w:line="257" w:lineRule="auto"/>
        <w:tabs>
          <w:tab w:leader="none" w:pos="840" w:val="left"/>
        </w:tabs>
        <w:numPr>
          <w:ilvl w:val="0"/>
          <w:numId w:val="37"/>
        </w:numPr>
        <w:rPr>
          <w:rFonts w:ascii="Arial" w:cs="Arial" w:eastAsia="Arial" w:hAnsi="Arial"/>
          <w:sz w:val="13"/>
          <w:szCs w:val="13"/>
          <w:i w:val="1"/>
          <w:iCs w:val="1"/>
          <w:color w:val="auto"/>
        </w:rPr>
      </w:pPr>
      <w:r>
        <w:rPr>
          <w:rFonts w:ascii="Arial" w:cs="Arial" w:eastAsia="Arial" w:hAnsi="Arial"/>
          <w:sz w:val="13"/>
          <w:szCs w:val="13"/>
          <w:i w:val="1"/>
          <w:iCs w:val="1"/>
          <w:color w:val="auto"/>
        </w:rPr>
        <w:t>Includes after-tax interest expense ($35 million and $33 million for the three months ended September 30, 2010 and 2009, respectively, and $110 million and $100 million for the nine months ended September 30, 2010 and 2009, respectively), intercompany eliminations recorded in consolidation and certain corporate costs.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UNIT RESULTS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 is a discussion of earnings by business unit, as it appears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7261860" cy="289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BY BUSINESS UNIT -- SEMPRA UTILITIES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121920" cy="1219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539115</wp:posOffset>
            </wp:positionV>
            <wp:extent cx="121920" cy="1219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SDG&amp;E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SDG&amp;E business unit earnings were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§$106 million in the three months ended September 30, 2010 ($108 million before preferred dividends)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§$108 million in the three months ended September 30, 2009 ($110 million before preferred dividends)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§$264 million in the nine months ended September 30, 2010 ($268 million before preferred dividends)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§$277 million in the nine months ended September 30, 2009 ($281 million before preferre d dividends)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decrease of $2 million (2%) in the three months ended September 30, 2010 was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§$9 million from the resolution of regulatory matters that favorably impacted 2009 earnings;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§$6 million increase in litigation reserves in 2010; and</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§$5 million higher liability insurance premiums for wildfire coverage; </w:t>
      </w:r>
      <w:r>
        <w:rPr>
          <w:rFonts w:ascii="Arial" w:cs="Arial" w:eastAsia="Arial" w:hAnsi="Arial"/>
          <w:sz w:val="16"/>
          <w:szCs w:val="16"/>
          <w:b w:val="1"/>
          <w:bCs w:val="1"/>
          <w:color w:val="auto"/>
        </w:rPr>
        <w:t>offset by</w:t>
      </w:r>
    </w:p>
    <w:p>
      <w:pPr>
        <w:spacing w:after="0" w:line="60" w:lineRule="exact"/>
        <w:rPr>
          <w:sz w:val="20"/>
          <w:szCs w:val="20"/>
          <w:color w:val="auto"/>
        </w:rPr>
      </w:pPr>
    </w:p>
    <w:p>
      <w:pPr>
        <w:ind w:left="140" w:right="1520"/>
        <w:spacing w:after="0" w:line="270" w:lineRule="auto"/>
        <w:rPr>
          <w:sz w:val="20"/>
          <w:szCs w:val="20"/>
          <w:color w:val="auto"/>
        </w:rPr>
      </w:pPr>
      <w:r>
        <w:rPr>
          <w:rFonts w:ascii="Arial" w:cs="Arial" w:eastAsia="Arial" w:hAnsi="Arial"/>
          <w:sz w:val="16"/>
          <w:szCs w:val="16"/>
          <w:color w:val="auto"/>
        </w:rPr>
        <w:t>§$12 million higher authorized margin for operations regulated by the California Public Utilities Commission (CPUC) and lower operation and maintenance expenses (excluding insurance premiums for wildfire coverage); and</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 million higher electric transmission margin.</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The decrease of $13 million (5%) in the nine months ended September 30, 2010 was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§$16 million higher liability insurance premiums for wildfire coverage;</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§$11 million lower favorable impact from the resolution of prior years’ income tax issues;</w:t>
      </w:r>
    </w:p>
    <w:p>
      <w:pPr>
        <w:spacing w:after="0" w:line="56" w:lineRule="exact"/>
        <w:rPr>
          <w:sz w:val="20"/>
          <w:szCs w:val="20"/>
          <w:color w:val="auto"/>
        </w:rPr>
      </w:pPr>
    </w:p>
    <w:p>
      <w:pPr>
        <w:ind w:left="140" w:right="2180"/>
        <w:spacing w:after="0" w:line="357" w:lineRule="auto"/>
        <w:rPr>
          <w:sz w:val="20"/>
          <w:szCs w:val="20"/>
          <w:color w:val="auto"/>
        </w:rPr>
      </w:pPr>
      <w:r>
        <w:rPr>
          <w:rFonts w:ascii="Arial" w:cs="Arial" w:eastAsia="Arial" w:hAnsi="Arial"/>
          <w:sz w:val="14"/>
          <w:szCs w:val="14"/>
          <w:color w:val="auto"/>
        </w:rPr>
        <w:t xml:space="preserve">§$11 million net unfavorable impact from an increase in litigation reserves in 2010 compared to the favorable resolution of litigation in 2009; and §$3 million due to the write-down of deferred tax assets as a result of the change to U.S. tax law regarding the Medicare Part D subsidy; </w:t>
      </w:r>
      <w:r>
        <w:rPr>
          <w:rFonts w:ascii="Arial" w:cs="Arial" w:eastAsia="Arial" w:hAnsi="Arial"/>
          <w:sz w:val="14"/>
          <w:szCs w:val="14"/>
          <w:b w:val="1"/>
          <w:bCs w:val="1"/>
          <w:color w:val="auto"/>
        </w:rPr>
        <w:t>offset by</w:t>
      </w:r>
    </w:p>
    <w:p>
      <w:pPr>
        <w:spacing w:after="0" w:line="1" w:lineRule="exact"/>
        <w:rPr>
          <w:sz w:val="20"/>
          <w:szCs w:val="20"/>
          <w:color w:val="auto"/>
        </w:rPr>
      </w:pPr>
    </w:p>
    <w:p>
      <w:pPr>
        <w:ind w:left="140" w:right="1340"/>
        <w:spacing w:after="0" w:line="270" w:lineRule="auto"/>
        <w:rPr>
          <w:sz w:val="20"/>
          <w:szCs w:val="20"/>
          <w:color w:val="auto"/>
        </w:rPr>
      </w:pPr>
      <w:r>
        <w:rPr>
          <w:rFonts w:ascii="Arial" w:cs="Arial" w:eastAsia="Arial" w:hAnsi="Arial"/>
          <w:sz w:val="16"/>
          <w:szCs w:val="16"/>
          <w:color w:val="auto"/>
        </w:rPr>
        <w:t>§$12 million higher authorized margin for CPUC-regulated operations in excess of higher operation and maintenance expenses (excluding insurance premiums for wildfire coverage);</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§$9 million higher electric transmission margin; and</w:t>
      </w:r>
    </w:p>
    <w:p>
      <w:pPr>
        <w:spacing w:after="0" w:line="56" w:lineRule="exact"/>
        <w:rPr>
          <w:sz w:val="20"/>
          <w:szCs w:val="20"/>
          <w:color w:val="auto"/>
        </w:rPr>
      </w:pPr>
    </w:p>
    <w:p>
      <w:pPr>
        <w:ind w:left="140" w:right="1440"/>
        <w:spacing w:after="0" w:line="270" w:lineRule="auto"/>
        <w:rPr>
          <w:sz w:val="20"/>
          <w:szCs w:val="20"/>
          <w:color w:val="auto"/>
        </w:rPr>
      </w:pPr>
      <w:r>
        <w:rPr>
          <w:rFonts w:ascii="Arial" w:cs="Arial" w:eastAsia="Arial" w:hAnsi="Arial"/>
          <w:sz w:val="16"/>
          <w:szCs w:val="16"/>
          <w:color w:val="auto"/>
        </w:rPr>
        <w:t>§$6 million lower income taxes as a result of higher software development costs and incremental depreciation expense deductions for tax purposes which, for ratemaking purposes, are not treated as deferred taxes.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SoCalGas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SoCalGas business unit earnings were</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§$78 million in the three months ended September 30, 2010 (both before and after preferred dividends)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§$74 million in the three months ended September 30, 2009 (both before and after preferred dividends)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§$212 million in the nine months ended September 30, 2010 ($213 million before preferred dividends)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§$198 million in the nine months ended September 30, 2009 ($199 million before preferred dividends)</w:t>
      </w:r>
    </w:p>
    <w:p>
      <w:pPr>
        <w:spacing w:after="0" w:line="152" w:lineRule="exact"/>
        <w:rPr>
          <w:sz w:val="20"/>
          <w:szCs w:val="20"/>
          <w:color w:val="auto"/>
        </w:rPr>
      </w:pPr>
    </w:p>
    <w:p>
      <w:pPr>
        <w:ind w:right="360"/>
        <w:spacing w:after="0" w:line="270" w:lineRule="auto"/>
        <w:rPr>
          <w:sz w:val="20"/>
          <w:szCs w:val="20"/>
          <w:color w:val="auto"/>
        </w:rPr>
      </w:pPr>
      <w:r>
        <w:rPr>
          <w:rFonts w:ascii="Arial" w:cs="Arial" w:eastAsia="Arial" w:hAnsi="Arial"/>
          <w:sz w:val="16"/>
          <w:szCs w:val="16"/>
          <w:color w:val="auto"/>
        </w:rPr>
        <w:t>The increase of $4 million (5%) in the three months ended September 30, 2010 was primarily due to higher authorized margin for CPUC-regulated operations in excess of higher operation and maintenance expenses.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increase of $14 million (7%) in the nine months ended September 30, 2010 was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§$12 million higher authorized margin for CPUC-regulated operations in excess of hig her operation and maintenance expenses;</w:t>
      </w:r>
    </w:p>
    <w:p>
      <w:pPr>
        <w:spacing w:after="0" w:line="56" w:lineRule="exact"/>
        <w:rPr>
          <w:sz w:val="20"/>
          <w:szCs w:val="20"/>
          <w:color w:val="auto"/>
        </w:rPr>
      </w:pPr>
    </w:p>
    <w:p>
      <w:pPr>
        <w:ind w:left="140" w:right="2640"/>
        <w:spacing w:after="0" w:line="313" w:lineRule="auto"/>
        <w:rPr>
          <w:sz w:val="20"/>
          <w:szCs w:val="20"/>
          <w:color w:val="auto"/>
        </w:rPr>
      </w:pPr>
      <w:r>
        <w:rPr>
          <w:rFonts w:ascii="Arial" w:cs="Arial" w:eastAsia="Arial" w:hAnsi="Arial"/>
          <w:sz w:val="16"/>
          <w:szCs w:val="16"/>
          <w:color w:val="auto"/>
        </w:rPr>
        <w:t xml:space="preserve">§$5 million net favorable earnings impact primarily due to the effect of self-developed software costs on the effective income tax rate; and §$3 million higher regulatory awards; </w:t>
      </w:r>
      <w:r>
        <w:rPr>
          <w:rFonts w:ascii="Arial" w:cs="Arial" w:eastAsia="Arial" w:hAnsi="Arial"/>
          <w:sz w:val="16"/>
          <w:szCs w:val="16"/>
          <w:b w:val="1"/>
          <w:bCs w:val="1"/>
          <w:color w:val="auto"/>
        </w:rPr>
        <w:t>offset by</w:t>
      </w:r>
    </w:p>
    <w:p>
      <w:pPr>
        <w:ind w:left="140"/>
        <w:spacing w:after="0"/>
        <w:rPr>
          <w:sz w:val="20"/>
          <w:szCs w:val="20"/>
          <w:color w:val="auto"/>
        </w:rPr>
      </w:pPr>
      <w:r>
        <w:rPr>
          <w:rFonts w:ascii="Arial" w:cs="Arial" w:eastAsia="Arial" w:hAnsi="Arial"/>
          <w:sz w:val="16"/>
          <w:szCs w:val="16"/>
          <w:color w:val="auto"/>
        </w:rPr>
        <w:t>§$13 million due to the write-off of deferred tax assets as a result of the change in U.S. tax law regarding the Medicare Part D subsidy.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346075</wp:posOffset>
            </wp:positionV>
            <wp:extent cx="726186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(LOSSES) BY BUSINESS UNIT – SEMPRA GLOBAL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(Dollars in millions)</w:t>
      </w:r>
    </w:p>
    <w:p>
      <w:pPr>
        <w:sectPr>
          <w:pgSz w:w="11900" w:h="16838" w:orient="portrait"/>
          <w:cols w:equalWidth="0" w:num="1">
            <w:col w:w="11440"/>
          </w:cols>
          <w:pgMar w:left="240" w:top="144" w:right="219" w:bottom="0" w:gutter="0" w:footer="0" w:header="0"/>
        </w:sectPr>
      </w:pPr>
    </w:p>
    <w:bookmarkStart w:id="47" w:name="page48"/>
    <w:bookmarkEnd w:id="47"/>
    <w:p>
      <w:pPr>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121920" cy="1219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page">
              <wp:posOffset>172720</wp:posOffset>
            </wp:positionH>
            <wp:positionV relativeFrom="page">
              <wp:posOffset>500380</wp:posOffset>
            </wp:positionV>
            <wp:extent cx="121920" cy="1219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21920" cy="121920"/>
                    </a:xfrm>
                    <a:prstGeom prst="rect">
                      <a:avLst/>
                    </a:prstGeom>
                    <a:noFill/>
                  </pic:spPr>
                </pic:pic>
              </a:graphicData>
            </a:graphic>
          </wp:anchor>
        </w:drawing>
        <w:t>Sempra Commodities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Sempra Commodities recorded business unit earnings (losses) of:</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§$(134) million in the three months ended September 30, 2010</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§$75 million in the three months ended September 30, 2009</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§$(139) million in the nine months ended September 30, 2010</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§$274 million in the nine months ended September 30, 2009</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change in earnings for the three months ended September 30, 2010 was due to:</w:t>
      </w:r>
    </w:p>
    <w:p>
      <w:pPr>
        <w:spacing w:after="0" w:line="56" w:lineRule="exact"/>
        <w:rPr>
          <w:sz w:val="20"/>
          <w:szCs w:val="20"/>
          <w:color w:val="auto"/>
        </w:rPr>
      </w:pPr>
    </w:p>
    <w:p>
      <w:pPr>
        <w:ind w:left="140" w:right="820"/>
        <w:spacing w:after="0" w:line="270" w:lineRule="auto"/>
        <w:rPr>
          <w:sz w:val="20"/>
          <w:szCs w:val="20"/>
          <w:color w:val="auto"/>
        </w:rPr>
      </w:pPr>
      <w:r>
        <w:rPr>
          <w:rFonts w:ascii="Arial" w:cs="Arial" w:eastAsia="Arial" w:hAnsi="Arial"/>
          <w:sz w:val="16"/>
          <w:szCs w:val="16"/>
          <w:color w:val="auto"/>
        </w:rPr>
        <w:t>§a $139 million write-down of our investment in the RBS Sempra Commodities joint venture (as we discuss in Note 4 of the Notes to Condensed Consolidated Financial Statements herein);</w:t>
      </w:r>
    </w:p>
    <w:p>
      <w:pPr>
        <w:spacing w:after="0" w:line="18" w:lineRule="exact"/>
        <w:rPr>
          <w:sz w:val="20"/>
          <w:szCs w:val="20"/>
          <w:color w:val="auto"/>
        </w:rPr>
      </w:pPr>
    </w:p>
    <w:p>
      <w:pPr>
        <w:ind w:left="140" w:right="3820"/>
        <w:spacing w:after="0" w:line="414" w:lineRule="auto"/>
        <w:rPr>
          <w:sz w:val="20"/>
          <w:szCs w:val="20"/>
          <w:color w:val="auto"/>
        </w:rPr>
      </w:pPr>
      <w:r>
        <w:rPr>
          <w:rFonts w:ascii="Arial" w:cs="Arial" w:eastAsia="Arial" w:hAnsi="Arial"/>
          <w:sz w:val="14"/>
          <w:szCs w:val="14"/>
          <w:color w:val="auto"/>
        </w:rPr>
        <w:t>§equity earnings from RBS Sempra Commodities of $18 million in 2010 compared to $75 million in 2009; and §$11 million state income tax expense related to our exit from the RBS Sempra Commodities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earnings for the nine months ended September 30, 2010 was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$139 million write-down of our investment in the RBS Sempra Commodities joint venture;</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§equity earnings from RBS Sempra Commodities of $24 million in 2010 compared to $278 million in 2009;</w:t>
      </w:r>
    </w:p>
    <w:p>
      <w:pPr>
        <w:spacing w:after="0" w:line="56" w:lineRule="exact"/>
        <w:rPr>
          <w:sz w:val="20"/>
          <w:szCs w:val="20"/>
          <w:color w:val="auto"/>
        </w:rPr>
      </w:pPr>
    </w:p>
    <w:p>
      <w:pPr>
        <w:ind w:left="140" w:right="780"/>
        <w:spacing w:after="0" w:line="270" w:lineRule="auto"/>
        <w:rPr>
          <w:sz w:val="20"/>
          <w:szCs w:val="20"/>
          <w:color w:val="auto"/>
        </w:rPr>
      </w:pPr>
      <w:r>
        <w:rPr>
          <w:rFonts w:ascii="Arial" w:cs="Arial" w:eastAsia="Arial" w:hAnsi="Arial"/>
          <w:sz w:val="16"/>
          <w:szCs w:val="16"/>
          <w:color w:val="auto"/>
        </w:rPr>
        <w:t>§$12 million litigation expense related to an agreement to settle energy crisis litigation associated with the DWR contract, as we discuss in Note 10 of the Notes to Condensed Consolidated Financial Statements herein; and</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§$11 million state income tax expense related to our exit from the RBS Sempra Commodities business.</w:t>
      </w:r>
    </w:p>
    <w:p>
      <w:pPr>
        <w:spacing w:after="0" w:line="152" w:lineRule="exact"/>
        <w:rPr>
          <w:sz w:val="20"/>
          <w:szCs w:val="20"/>
          <w:color w:val="auto"/>
        </w:rPr>
      </w:pPr>
    </w:p>
    <w:p>
      <w:pPr>
        <w:spacing w:after="0" w:line="342" w:lineRule="auto"/>
        <w:rPr>
          <w:sz w:val="20"/>
          <w:szCs w:val="20"/>
          <w:color w:val="auto"/>
        </w:rPr>
      </w:pPr>
      <w:r>
        <w:rPr>
          <w:rFonts w:ascii="Arial" w:cs="Arial" w:eastAsia="Arial" w:hAnsi="Arial"/>
          <w:sz w:val="14"/>
          <w:szCs w:val="14"/>
          <w:color w:val="auto"/>
        </w:rPr>
        <w:t>The equity earnings from the joint venture were adversely impacted by the sale on July 1, 2010 of the global metals and oil businesses and the European natural gas and power business; lower volatility in the U.S. natural gas and power business; and the disruptions caused by the process to sell the partnership’s businesses.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Generation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Sempra Generation recorded business unit earnings of:</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§$56 million in the three months ended September 30, 2010</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§$43 million in the three months ended September 30, 2009</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§$51 million in the nine months ended September 30, 2010</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§$119 million in the nine months ended September 30, 2009</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earnings of $13 million (30%) in the three months ended September 30, 2010 was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§$12 million renewable energy tax credits primarily due to additional investments in the Copper Mountain Solar project; and</w:t>
      </w:r>
    </w:p>
    <w:p>
      <w:pPr>
        <w:spacing w:after="0" w:line="56" w:lineRule="exact"/>
        <w:rPr>
          <w:sz w:val="20"/>
          <w:szCs w:val="20"/>
          <w:color w:val="auto"/>
        </w:rPr>
      </w:pPr>
    </w:p>
    <w:p>
      <w:pPr>
        <w:ind w:left="140" w:right="720"/>
        <w:spacing w:after="0" w:line="270" w:lineRule="auto"/>
        <w:rPr>
          <w:sz w:val="20"/>
          <w:szCs w:val="20"/>
          <w:color w:val="auto"/>
        </w:rPr>
      </w:pPr>
      <w:r>
        <w:rPr>
          <w:rFonts w:ascii="Arial" w:cs="Arial" w:eastAsia="Arial" w:hAnsi="Arial"/>
          <w:sz w:val="16"/>
          <w:szCs w:val="16"/>
          <w:color w:val="auto"/>
        </w:rPr>
        <w:t xml:space="preserve">§$6 million mark-to-market gains on forward contracts with RBS Sempra Commodities and other counterparties in 2010 compared to $2 million mark-to-market losses in 2009; </w:t>
      </w:r>
      <w:r>
        <w:rPr>
          <w:rFonts w:ascii="Arial" w:cs="Arial" w:eastAsia="Arial" w:hAnsi="Arial"/>
          <w:sz w:val="16"/>
          <w:szCs w:val="16"/>
          <w:b w:val="1"/>
          <w:bCs w:val="1"/>
          <w:color w:val="auto"/>
        </w:rPr>
        <w:t>offset by</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§$9 million lower earnings from operations, primarily due to less favorable market pricing in 2010.</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earnings of $68 million (57%) in the nine months ended September 30, 2010 was primarily due to:</w:t>
      </w:r>
    </w:p>
    <w:p>
      <w:pPr>
        <w:spacing w:after="0" w:line="56" w:lineRule="exact"/>
        <w:rPr>
          <w:sz w:val="20"/>
          <w:szCs w:val="20"/>
          <w:color w:val="auto"/>
        </w:rPr>
      </w:pPr>
    </w:p>
    <w:p>
      <w:pPr>
        <w:ind w:left="140" w:right="1020"/>
        <w:spacing w:after="0" w:line="270" w:lineRule="auto"/>
        <w:rPr>
          <w:sz w:val="20"/>
          <w:szCs w:val="20"/>
          <w:color w:val="auto"/>
        </w:rPr>
      </w:pPr>
      <w:r>
        <w:rPr>
          <w:rFonts w:ascii="Arial" w:cs="Arial" w:eastAsia="Arial" w:hAnsi="Arial"/>
          <w:sz w:val="16"/>
          <w:szCs w:val="16"/>
          <w:color w:val="auto"/>
        </w:rPr>
        <w:t>§$86 million in litigation expense related to an agreement to settle energy crisis litigation associated with the DWR contract, as we discuss in Note 10 of the Notes to Condensed Consolidated Financial Statements herein;and</w:t>
      </w:r>
    </w:p>
    <w:p>
      <w:pPr>
        <w:spacing w:after="0" w:line="18" w:lineRule="exact"/>
        <w:rPr>
          <w:sz w:val="20"/>
          <w:szCs w:val="20"/>
          <w:color w:val="auto"/>
        </w:rPr>
      </w:pPr>
    </w:p>
    <w:p>
      <w:pPr>
        <w:ind w:left="140" w:right="940"/>
        <w:spacing w:after="0" w:line="322" w:lineRule="auto"/>
        <w:rPr>
          <w:sz w:val="20"/>
          <w:szCs w:val="20"/>
          <w:color w:val="auto"/>
        </w:rPr>
      </w:pPr>
      <w:r>
        <w:rPr>
          <w:rFonts w:ascii="Arial" w:cs="Arial" w:eastAsia="Arial" w:hAnsi="Arial"/>
          <w:sz w:val="14"/>
          <w:szCs w:val="14"/>
          <w:color w:val="auto"/>
        </w:rPr>
        <w:t xml:space="preserve">§$26 million lower earnings from operations, primarily from increased scheduled plant maintenance and associated down time in 2010, less favorable market pricing, and expenses and associated down time from earthquake damage to our Mexicali power plant in the second quarter of 2010; </w:t>
      </w:r>
      <w:r>
        <w:rPr>
          <w:rFonts w:ascii="Arial" w:cs="Arial" w:eastAsia="Arial" w:hAnsi="Arial"/>
          <w:sz w:val="14"/>
          <w:szCs w:val="14"/>
          <w:b w:val="1"/>
          <w:bCs w:val="1"/>
          <w:color w:val="auto"/>
        </w:rPr>
        <w:t>offset by</w:t>
      </w:r>
    </w:p>
    <w:p>
      <w:pPr>
        <w:ind w:left="140"/>
        <w:spacing w:after="0"/>
        <w:rPr>
          <w:sz w:val="20"/>
          <w:szCs w:val="20"/>
          <w:color w:val="auto"/>
        </w:rPr>
      </w:pPr>
      <w:r>
        <w:rPr>
          <w:rFonts w:ascii="Arial" w:cs="Arial" w:eastAsia="Arial" w:hAnsi="Arial"/>
          <w:sz w:val="16"/>
          <w:szCs w:val="16"/>
          <w:color w:val="auto"/>
        </w:rPr>
        <w:t>§$37 million renewable energy tax credits in 2010.</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Pipelines &amp; Storage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Sempra Pipelines &amp; Storage recorded business unit earnings of:</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§$43 million in the three months ended September 30, 2010</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§$54 million in the three months ended September 30, 2009</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§$120 million in the nine months ended September 30, 2010</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§$64 million in the nine months ended September 30, 2009</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decrease of $11 million (20%) in the three months ended September 30, 2010 was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 $24 million write-down of our investment in Argentina; and</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§$15 million from the favorable resolution of prior years’ income tax issues in 2009; </w:t>
      </w:r>
      <w:r>
        <w:rPr>
          <w:rFonts w:ascii="Arial" w:cs="Arial" w:eastAsia="Arial" w:hAnsi="Arial"/>
          <w:sz w:val="16"/>
          <w:szCs w:val="16"/>
          <w:b w:val="1"/>
          <w:b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§$48 million in proceeds received from a legal settlement in 2010, less a related income tax effect of $17 million.</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color w:val="auto"/>
        </w:rPr>
        <w:t>The improvement in earnings of $56 million (88%) in the nine months ended September 30, 2010 was primarily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§$64 million lower earnings in 2009 from a write-off of assets at Liberty; and</w:t>
      </w:r>
    </w:p>
    <w:p>
      <w:pPr>
        <w:spacing w:after="0" w:line="52" w:lineRule="exact"/>
        <w:rPr>
          <w:sz w:val="20"/>
          <w:szCs w:val="20"/>
          <w:color w:val="auto"/>
        </w:rPr>
      </w:pPr>
    </w:p>
    <w:p>
      <w:pPr>
        <w:ind w:left="140" w:right="3080"/>
        <w:spacing w:after="0" w:line="315" w:lineRule="auto"/>
        <w:rPr>
          <w:sz w:val="20"/>
          <w:szCs w:val="20"/>
          <w:color w:val="auto"/>
        </w:rPr>
      </w:pPr>
      <w:r>
        <w:rPr>
          <w:rFonts w:ascii="Arial" w:cs="Arial" w:eastAsia="Arial" w:hAnsi="Arial"/>
          <w:sz w:val="16"/>
          <w:szCs w:val="16"/>
          <w:color w:val="auto"/>
        </w:rPr>
        <w:t xml:space="preserve">§$48 million in proceeds received from a legal settlement in 2010, less a related income tax effect of $17 million; </w:t>
      </w:r>
      <w:r>
        <w:rPr>
          <w:rFonts w:ascii="Arial" w:cs="Arial" w:eastAsia="Arial" w:hAnsi="Arial"/>
          <w:sz w:val="16"/>
          <w:szCs w:val="16"/>
          <w:b w:val="1"/>
          <w:bCs w:val="1"/>
          <w:color w:val="auto"/>
        </w:rPr>
        <w:t>offset by</w:t>
      </w:r>
      <w:r>
        <w:rPr>
          <w:rFonts w:ascii="Arial" w:cs="Arial" w:eastAsia="Arial" w:hAnsi="Arial"/>
          <w:sz w:val="16"/>
          <w:szCs w:val="16"/>
          <w:color w:val="auto"/>
        </w:rPr>
        <w:t xml:space="preserve"> §a $24 million write-down of our investment in Argentina; and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§$15 million from the favorable resolution of prior years’ income tax issues in 2009.</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We discuss the investment write-down and legal settlement in Note 4 of the Notes to Condensed Consolidated Statements herein.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LNG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Sempra LNG recorded earnings (losses) of:</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§$5 million in the three months ended September 30, 2010</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§$0 million in the three months ended September 30, 2009</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§$50 million in the nine months ended September 30, 2010</w:t>
      </w:r>
    </w:p>
    <w:p>
      <w:pPr>
        <w:sectPr>
          <w:pgSz w:w="11900" w:h="16838" w:orient="portrait"/>
          <w:cols w:equalWidth="0" w:num="1">
            <w:col w:w="10920"/>
          </w:cols>
          <w:pgMar w:left="240" w:top="1416" w:right="739" w:bottom="0" w:gutter="0" w:footer="0" w:header="0"/>
        </w:sectPr>
      </w:pPr>
    </w:p>
    <w:bookmarkStart w:id="48" w:name="page49"/>
    <w:bookmarkEnd w:id="48"/>
    <w:p>
      <w:pPr>
        <w:ind w:left="144"/>
        <w:spacing w:after="0"/>
        <w:rPr>
          <w:sz w:val="20"/>
          <w:szCs w:val="20"/>
          <w:color w:val="auto"/>
        </w:rPr>
      </w:pPr>
      <w:r>
        <w:rPr>
          <w:rFonts w:ascii="Arial" w:cs="Arial" w:eastAsia="Arial" w:hAnsi="Arial"/>
          <w:sz w:val="16"/>
          <w:szCs w:val="16"/>
          <w:color w:val="auto"/>
        </w:rPr>
        <w:t>§$(19) million in the nine months ended September 30, 2009</w:t>
      </w:r>
    </w:p>
    <w:p>
      <w:pPr>
        <w:spacing w:after="0" w:line="152" w:lineRule="exact"/>
        <w:rPr>
          <w:sz w:val="20"/>
          <w:szCs w:val="20"/>
          <w:color w:val="auto"/>
        </w:rPr>
      </w:pPr>
    </w:p>
    <w:p>
      <w:pPr>
        <w:ind w:left="4"/>
        <w:spacing w:after="0" w:line="342" w:lineRule="auto"/>
        <w:rPr>
          <w:sz w:val="20"/>
          <w:szCs w:val="20"/>
          <w:color w:val="auto"/>
        </w:rPr>
      </w:pPr>
      <w:r>
        <w:rPr>
          <w:rFonts w:ascii="Arial" w:cs="Arial" w:eastAsia="Arial" w:hAnsi="Arial"/>
          <w:sz w:val="14"/>
          <w:szCs w:val="14"/>
          <w:color w:val="auto"/>
        </w:rPr>
        <w:t>The improvement in earnings of $5 million and $69 million in the three months and nine months ended September 30, 2010, respectively, was primarily from higher earnings from the start-up in 2009 of marketing operations, the Cameron receipt terminal and the nitrogen-injection facility at the Energía Costa Azul receipt terminal.</w:t>
      </w:r>
    </w:p>
    <w:p>
      <w:pPr>
        <w:spacing w:after="0" w:line="107"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Parent and Other</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6"/>
          <w:szCs w:val="16"/>
          <w:color w:val="auto"/>
        </w:rPr>
        <w:t>Losses for Parent and Other were</w:t>
      </w:r>
    </w:p>
    <w:p>
      <w:pPr>
        <w:spacing w:after="0" w:line="56" w:lineRule="exact"/>
        <w:rPr>
          <w:sz w:val="20"/>
          <w:szCs w:val="20"/>
          <w:color w:val="auto"/>
        </w:rPr>
      </w:pPr>
    </w:p>
    <w:p>
      <w:pPr>
        <w:ind w:left="144"/>
        <w:spacing w:after="0"/>
        <w:rPr>
          <w:sz w:val="20"/>
          <w:szCs w:val="20"/>
          <w:color w:val="auto"/>
        </w:rPr>
      </w:pPr>
      <w:r>
        <w:rPr>
          <w:rFonts w:ascii="Arial" w:cs="Arial" w:eastAsia="Arial" w:hAnsi="Arial"/>
          <w:sz w:val="16"/>
          <w:szCs w:val="16"/>
          <w:color w:val="auto"/>
        </w:rPr>
        <w:t>§$23 million in the three months ended September 30, 2010</w:t>
      </w:r>
    </w:p>
    <w:p>
      <w:pPr>
        <w:spacing w:after="0" w:line="56" w:lineRule="exact"/>
        <w:rPr>
          <w:sz w:val="20"/>
          <w:szCs w:val="20"/>
          <w:color w:val="auto"/>
        </w:rPr>
      </w:pPr>
    </w:p>
    <w:p>
      <w:pPr>
        <w:ind w:left="144"/>
        <w:spacing w:after="0"/>
        <w:rPr>
          <w:sz w:val="20"/>
          <w:szCs w:val="20"/>
          <w:color w:val="auto"/>
        </w:rPr>
      </w:pPr>
      <w:r>
        <w:rPr>
          <w:rFonts w:ascii="Arial" w:cs="Arial" w:eastAsia="Arial" w:hAnsi="Arial"/>
          <w:sz w:val="16"/>
          <w:szCs w:val="16"/>
          <w:color w:val="auto"/>
        </w:rPr>
        <w:t>§$37 million in the three months ended September 30, 2009</w:t>
      </w:r>
    </w:p>
    <w:p>
      <w:pPr>
        <w:spacing w:after="0" w:line="56" w:lineRule="exact"/>
        <w:rPr>
          <w:sz w:val="20"/>
          <w:szCs w:val="20"/>
          <w:color w:val="auto"/>
        </w:rPr>
      </w:pPr>
    </w:p>
    <w:p>
      <w:pPr>
        <w:ind w:left="144"/>
        <w:spacing w:after="0"/>
        <w:rPr>
          <w:sz w:val="20"/>
          <w:szCs w:val="20"/>
          <w:color w:val="auto"/>
        </w:rPr>
      </w:pPr>
      <w:r>
        <w:rPr>
          <w:rFonts w:ascii="Arial" w:cs="Arial" w:eastAsia="Arial" w:hAnsi="Arial"/>
          <w:sz w:val="16"/>
          <w:szCs w:val="16"/>
          <w:color w:val="auto"/>
        </w:rPr>
        <w:t>§$99 million in the nine months ended September 30, 2010</w:t>
      </w:r>
    </w:p>
    <w:p>
      <w:pPr>
        <w:spacing w:after="0" w:line="56" w:lineRule="exact"/>
        <w:rPr>
          <w:sz w:val="20"/>
          <w:szCs w:val="20"/>
          <w:color w:val="auto"/>
        </w:rPr>
      </w:pPr>
    </w:p>
    <w:p>
      <w:pPr>
        <w:ind w:left="144"/>
        <w:spacing w:after="0"/>
        <w:rPr>
          <w:sz w:val="20"/>
          <w:szCs w:val="20"/>
          <w:color w:val="auto"/>
        </w:rPr>
      </w:pPr>
      <w:r>
        <w:rPr>
          <w:rFonts w:ascii="Arial" w:cs="Arial" w:eastAsia="Arial" w:hAnsi="Arial"/>
          <w:sz w:val="16"/>
          <w:szCs w:val="16"/>
          <w:color w:val="auto"/>
        </w:rPr>
        <w:t>§$82 million in the nine months ended September 30, 2009</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decrease in losses of $14 million (38%) in the three months ended September 30, 2010 was primarily due to lower income tax expense.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increase in losses of $17 million (21%) in the nine months ended September 30, 2010 was primarily due to higher net interest expense.</w:t>
      </w:r>
    </w:p>
    <w:p>
      <w:pPr>
        <w:spacing w:after="0" w:line="33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CHANGES IN REVENUES, COSTS AND EARNINGS</w:t>
      </w:r>
    </w:p>
    <w:p>
      <w:pPr>
        <w:spacing w:after="0" w:line="98" w:lineRule="exact"/>
        <w:rPr>
          <w:sz w:val="20"/>
          <w:szCs w:val="20"/>
          <w:color w:val="auto"/>
        </w:rPr>
      </w:pPr>
    </w:p>
    <w:p>
      <w:pPr>
        <w:ind w:left="4" w:right="100"/>
        <w:spacing w:after="0" w:line="270" w:lineRule="auto"/>
        <w:rPr>
          <w:sz w:val="20"/>
          <w:szCs w:val="20"/>
          <w:color w:val="auto"/>
        </w:rPr>
      </w:pPr>
      <w:r>
        <w:rPr>
          <w:rFonts w:ascii="Arial" w:cs="Arial" w:eastAsia="Arial" w:hAnsi="Arial"/>
          <w:sz w:val="16"/>
          <w:szCs w:val="16"/>
          <w:color w:val="auto"/>
        </w:rPr>
        <w:t>This section contains a discussion of the differences between periods in specific line items of the Condensed Consolidated Statements of Operations for Sempra Energy, SDG&amp;E, PE and SoCalGas.</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Sempra Utilities Revenues</w:t>
      </w:r>
    </w:p>
    <w:p>
      <w:pPr>
        <w:spacing w:after="0" w:line="56" w:lineRule="exact"/>
        <w:rPr>
          <w:sz w:val="20"/>
          <w:szCs w:val="20"/>
          <w:color w:val="auto"/>
        </w:rPr>
      </w:pPr>
    </w:p>
    <w:p>
      <w:pPr>
        <w:ind w:left="4" w:right="60"/>
        <w:spacing w:after="0" w:line="300" w:lineRule="auto"/>
        <w:rPr>
          <w:sz w:val="20"/>
          <w:szCs w:val="20"/>
          <w:color w:val="auto"/>
        </w:rPr>
      </w:pPr>
      <w:r>
        <w:rPr>
          <w:rFonts w:ascii="Arial" w:cs="Arial" w:eastAsia="Arial" w:hAnsi="Arial"/>
          <w:sz w:val="14"/>
          <w:szCs w:val="14"/>
          <w:color w:val="auto"/>
        </w:rPr>
        <w:t>The current regulatory framework permits the cost of natural gas purchased for core customers (primarily residential and small commercial and industrial customers) to be passed on to customers substantially as incurred. However, SoCalGas' Gas Cost Incentive Mechanism (GCIM) provides SoCalGas the opportunity to share in the savings and/or costs from buying natural gas for its core customers at prices below or above market-based monthly benchmarks. This mechanism permits full recovery of costs incurred when average purchase costs are within a price range around a monthly benchmark price. Any higher costs or savings realized outside thi s range are shared between the core customers and SoCalGas. We provide further discussion in Note 9 of the Notes to Condensed Consolidated Financial Statements herein.</w:t>
      </w:r>
    </w:p>
    <w:p>
      <w:pPr>
        <w:spacing w:after="0" w:line="50" w:lineRule="exact"/>
        <w:rPr>
          <w:sz w:val="20"/>
          <w:szCs w:val="20"/>
          <w:color w:val="auto"/>
        </w:rPr>
      </w:pPr>
    </w:p>
    <w:p>
      <w:pPr>
        <w:ind w:left="4" w:right="260"/>
        <w:spacing w:after="0" w:line="270" w:lineRule="auto"/>
        <w:rPr>
          <w:sz w:val="20"/>
          <w:szCs w:val="20"/>
          <w:color w:val="auto"/>
        </w:rPr>
      </w:pPr>
      <w:r>
        <w:rPr>
          <w:rFonts w:ascii="Arial" w:cs="Arial" w:eastAsia="Arial" w:hAnsi="Arial"/>
          <w:sz w:val="16"/>
          <w:szCs w:val="16"/>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Sempra Utilities: Natural Gas Revenues and Cost of Natural Gas</w:t>
      </w:r>
    </w:p>
    <w:p>
      <w:pPr>
        <w:spacing w:after="0" w:line="56" w:lineRule="exact"/>
        <w:rPr>
          <w:sz w:val="20"/>
          <w:szCs w:val="20"/>
          <w:color w:val="auto"/>
        </w:rPr>
      </w:pPr>
    </w:p>
    <w:p>
      <w:pPr>
        <w:ind w:left="4" w:right="100"/>
        <w:spacing w:after="0" w:line="305" w:lineRule="auto"/>
        <w:rPr>
          <w:sz w:val="20"/>
          <w:szCs w:val="20"/>
          <w:color w:val="auto"/>
        </w:rPr>
      </w:pPr>
      <w:r>
        <w:rPr>
          <w:rFonts w:ascii="Arial" w:cs="Arial" w:eastAsia="Arial" w:hAnsi="Arial"/>
          <w:sz w:val="14"/>
          <w:szCs w:val="14"/>
          <w:color w:val="auto"/>
        </w:rPr>
        <w:t>The tables below show natural gas revenues for Sempra Energy, SDG&amp;E and SoCalGas for the nine-month periods ended September 30. The Sempra Energy Consolidated amounts reflect SDG&amp;E and SoCalGas revenues, net of intercompany transactions. Because the cost of natural gas is recovered in rates, changes in the cost are reflecte d in the changes in revenues. In addition to the change in market prices, the average cost of natural gas recorded during a period is impacted by the difference between customer billings and recorded or CPUC-authorized costs. These differences are required to be balanced over time, resulting in over- and undercollected regulatory balancing accounts.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 w:right="40" w:hanging="4"/>
        <w:spacing w:after="0" w:line="264" w:lineRule="auto"/>
        <w:tabs>
          <w:tab w:leader="none" w:pos="1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td style="BORDER-RIGHT:0px; PADDING-RIGHT:5.75pt; BORDER-TOP:0px; PADDING-LEFT:5.75pt; BACKGROUND:white; PADDING-BOTTOM:0in; BORDER-LEFT:0px; PADDING-TOP:0in; BORDER-BOTTOM:0px; HEIGHT:12pt" valign=bottom&gt;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4937760" cy="434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37760" cy="434340"/>
                    </a:xfrm>
                    <a:prstGeom prst="rect">
                      <a:avLst/>
                    </a:prstGeom>
                    <a:noFill/>
                  </pic:spPr>
                </pic:pic>
              </a:graphicData>
            </a:graphic>
          </wp:anchor>
        </w:drawing>
      </w:r>
    </w:p>
    <w:p>
      <w:pPr>
        <w:spacing w:after="0" w:line="154"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SEMPRA ENERGY CONSOLIDATED</w:t>
      </w:r>
    </w:p>
    <w:p>
      <w:pPr>
        <w:spacing w:after="0" w:line="75"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NATURAL GAS SALES AND TRANSPORTATION</w:t>
      </w:r>
    </w:p>
    <w:p>
      <w:pPr>
        <w:spacing w:after="0" w:line="100"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2800" w:type="dxa"/>
            <w:vAlign w:val="bottom"/>
            <w:gridSpan w:val="2"/>
          </w:tcPr>
          <w:p>
            <w:pPr>
              <w:ind w:left="80"/>
              <w:spacing w:after="0"/>
              <w:rPr>
                <w:sz w:val="20"/>
                <w:szCs w:val="20"/>
                <w:color w:val="auto"/>
              </w:rPr>
            </w:pPr>
            <w:r>
              <w:rPr>
                <w:rFonts w:ascii="Arial" w:cs="Arial" w:eastAsia="Arial" w:hAnsi="Arial"/>
                <w:sz w:val="13"/>
                <w:szCs w:val="13"/>
                <w:i w:val="1"/>
                <w:iCs w:val="1"/>
                <w:color w:val="auto"/>
                <w:w w:val="98"/>
              </w:rPr>
              <w:t>(Volumes in billion cubic feet, dollars in millions)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20" w:type="dxa"/>
            <w:vAlign w:val="bottom"/>
          </w:tcPr>
          <w:p>
            <w:pPr>
              <w:spacing w:after="0"/>
              <w:rPr>
                <w:sz w:val="13"/>
                <w:szCs w:val="13"/>
                <w:color w:val="auto"/>
              </w:rPr>
            </w:pPr>
          </w:p>
        </w:tc>
        <w:tc>
          <w:tcPr>
            <w:tcW w:w="196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3"/>
                <w:szCs w:val="13"/>
                <w:color w:val="auto"/>
              </w:rPr>
              <w:t>Natural Gas Sales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Transportation</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808"/>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48"/>
        </w:trPr>
        <w:tc>
          <w:tcPr>
            <w:tcW w:w="202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color w:val="auto"/>
              </w:rPr>
              <w:t>Customer class</w:t>
            </w:r>
          </w:p>
        </w:tc>
        <w:tc>
          <w:tcPr>
            <w:tcW w:w="780" w:type="dxa"/>
            <w:vAlign w:val="bottom"/>
            <w:tcBorders>
              <w:bottom w:val="single" w:sz="8" w:color="auto"/>
            </w:tcBorders>
          </w:tcPr>
          <w:p>
            <w:pPr>
              <w:jc w:val="right"/>
              <w:ind w:right="109"/>
              <w:spacing w:after="0" w:line="148" w:lineRule="exact"/>
              <w:rPr>
                <w:sz w:val="20"/>
                <w:szCs w:val="20"/>
                <w:color w:val="auto"/>
              </w:rPr>
            </w:pPr>
            <w:r>
              <w:rPr>
                <w:rFonts w:ascii="Arial" w:cs="Arial" w:eastAsia="Arial" w:hAnsi="Arial"/>
                <w:sz w:val="13"/>
                <w:szCs w:val="13"/>
                <w:color w:val="auto"/>
              </w:rPr>
              <w:t>Volumes</w:t>
            </w:r>
          </w:p>
        </w:tc>
        <w:tc>
          <w:tcPr>
            <w:tcW w:w="1180" w:type="dxa"/>
            <w:vAlign w:val="bottom"/>
            <w:tcBorders>
              <w:bottom w:val="single" w:sz="8" w:color="auto"/>
            </w:tcBorders>
            <w:gridSpan w:val="2"/>
          </w:tcPr>
          <w:p>
            <w:pPr>
              <w:jc w:val="right"/>
              <w:ind w:right="286"/>
              <w:spacing w:after="0" w:line="148" w:lineRule="exact"/>
              <w:rPr>
                <w:sz w:val="20"/>
                <w:szCs w:val="20"/>
                <w:color w:val="auto"/>
              </w:rPr>
            </w:pPr>
            <w:r>
              <w:rPr>
                <w:rFonts w:ascii="Arial" w:cs="Arial" w:eastAsia="Arial" w:hAnsi="Arial"/>
                <w:sz w:val="13"/>
                <w:szCs w:val="13"/>
                <w:color w:val="auto"/>
              </w:rPr>
              <w:t>Revenue</w:t>
            </w:r>
          </w:p>
        </w:tc>
        <w:tc>
          <w:tcPr>
            <w:tcW w:w="720" w:type="dxa"/>
            <w:vAlign w:val="bottom"/>
            <w:tcBorders>
              <w:bottom w:val="single" w:sz="8" w:color="auto"/>
            </w:tcBorders>
          </w:tcPr>
          <w:p>
            <w:pPr>
              <w:jc w:val="right"/>
              <w:ind w:right="29"/>
              <w:spacing w:after="0" w:line="148" w:lineRule="exact"/>
              <w:rPr>
                <w:sz w:val="20"/>
                <w:szCs w:val="20"/>
                <w:color w:val="auto"/>
              </w:rPr>
            </w:pPr>
            <w:r>
              <w:rPr>
                <w:rFonts w:ascii="Arial" w:cs="Arial" w:eastAsia="Arial" w:hAnsi="Arial"/>
                <w:sz w:val="13"/>
                <w:szCs w:val="13"/>
                <w:color w:val="auto"/>
              </w:rPr>
              <w:t>Volumes</w:t>
            </w:r>
          </w:p>
        </w:tc>
        <w:tc>
          <w:tcPr>
            <w:tcW w:w="1040" w:type="dxa"/>
            <w:vAlign w:val="bottom"/>
            <w:tcBorders>
              <w:bottom w:val="single" w:sz="8" w:color="auto"/>
            </w:tcBorders>
            <w:gridSpan w:val="2"/>
          </w:tcPr>
          <w:p>
            <w:pPr>
              <w:jc w:val="right"/>
              <w:ind w:right="188"/>
              <w:spacing w:after="0" w:line="148" w:lineRule="exact"/>
              <w:rPr>
                <w:sz w:val="20"/>
                <w:szCs w:val="20"/>
                <w:color w:val="auto"/>
              </w:rPr>
            </w:pPr>
            <w:r>
              <w:rPr>
                <w:rFonts w:ascii="Arial" w:cs="Arial" w:eastAsia="Arial" w:hAnsi="Arial"/>
                <w:sz w:val="13"/>
                <w:szCs w:val="13"/>
                <w:color w:val="auto"/>
              </w:rPr>
              <w:t>Revenue</w:t>
            </w:r>
          </w:p>
        </w:tc>
        <w:tc>
          <w:tcPr>
            <w:tcW w:w="700" w:type="dxa"/>
            <w:vAlign w:val="bottom"/>
            <w:tcBorders>
              <w:bottom w:val="single" w:sz="8" w:color="auto"/>
            </w:tcBorders>
          </w:tcPr>
          <w:p>
            <w:pPr>
              <w:jc w:val="right"/>
              <w:ind w:right="29"/>
              <w:spacing w:after="0" w:line="148" w:lineRule="exact"/>
              <w:rPr>
                <w:sz w:val="20"/>
                <w:szCs w:val="20"/>
                <w:color w:val="auto"/>
              </w:rPr>
            </w:pPr>
            <w:r>
              <w:rPr>
                <w:rFonts w:ascii="Arial" w:cs="Arial" w:eastAsia="Arial" w:hAnsi="Arial"/>
                <w:sz w:val="13"/>
                <w:szCs w:val="13"/>
                <w:color w:val="auto"/>
              </w:rPr>
              <w:t>Volumes</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48"/>
              <w:spacing w:after="0" w:line="148" w:lineRule="exact"/>
              <w:rPr>
                <w:sz w:val="20"/>
                <w:szCs w:val="20"/>
                <w:color w:val="auto"/>
              </w:rPr>
            </w:pPr>
            <w:r>
              <w:rPr>
                <w:rFonts w:ascii="Arial" w:cs="Arial" w:eastAsia="Arial" w:hAnsi="Arial"/>
                <w:sz w:val="13"/>
                <w:szCs w:val="13"/>
                <w:color w:val="auto"/>
              </w:rPr>
              <w:t>Revenue</w:t>
            </w:r>
          </w:p>
        </w:tc>
        <w:tc>
          <w:tcPr>
            <w:tcW w:w="0" w:type="dxa"/>
            <w:vAlign w:val="bottom"/>
          </w:tcPr>
          <w:p>
            <w:pPr>
              <w:spacing w:after="0"/>
              <w:rPr>
                <w:sz w:val="1"/>
                <w:szCs w:val="1"/>
                <w:color w:val="auto"/>
              </w:rPr>
            </w:pPr>
          </w:p>
        </w:tc>
      </w:tr>
      <w:tr>
        <w:trPr>
          <w:trHeight w:val="178"/>
        </w:trPr>
        <w:tc>
          <w:tcPr>
            <w:tcW w:w="2020" w:type="dxa"/>
            <w:vAlign w:val="bottom"/>
          </w:tcPr>
          <w:p>
            <w:pPr>
              <w:ind w:left="80"/>
              <w:spacing w:after="0"/>
              <w:rPr>
                <w:sz w:val="20"/>
                <w:szCs w:val="20"/>
                <w:color w:val="auto"/>
              </w:rPr>
            </w:pPr>
            <w:r>
              <w:rPr>
                <w:rFonts w:ascii="Arial" w:cs="Arial" w:eastAsia="Arial" w:hAnsi="Arial"/>
                <w:sz w:val="14"/>
                <w:szCs w:val="14"/>
                <w:color w:val="auto"/>
              </w:rPr>
              <w:t>2010:</w:t>
            </w:r>
          </w:p>
        </w:tc>
        <w:tc>
          <w:tcPr>
            <w:tcW w:w="78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20" w:type="dxa"/>
            <w:vAlign w:val="bottom"/>
          </w:tcPr>
          <w:p>
            <w:pPr>
              <w:ind w:left="240"/>
              <w:spacing w:after="0"/>
              <w:rPr>
                <w:sz w:val="20"/>
                <w:szCs w:val="20"/>
                <w:color w:val="auto"/>
              </w:rPr>
            </w:pPr>
            <w:r>
              <w:rPr>
                <w:rFonts w:ascii="Arial" w:cs="Arial" w:eastAsia="Arial" w:hAnsi="Arial"/>
                <w:sz w:val="14"/>
                <w:szCs w:val="14"/>
                <w:color w:val="auto"/>
              </w:rPr>
              <w:t>Residential</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195</w:t>
            </w:r>
          </w:p>
        </w:tc>
        <w:tc>
          <w:tcPr>
            <w:tcW w:w="580" w:type="dxa"/>
            <w:vAlign w:val="bottom"/>
            <w:vMerge w:val="continue"/>
          </w:tcPr>
          <w:p>
            <w:pPr>
              <w:spacing w:after="0"/>
              <w:rPr>
                <w:sz w:val="16"/>
                <w:szCs w:val="16"/>
                <w:color w:val="auto"/>
              </w:rPr>
            </w:pPr>
          </w:p>
        </w:tc>
        <w:tc>
          <w:tcPr>
            <w:tcW w:w="600" w:type="dxa"/>
            <w:vAlign w:val="bottom"/>
          </w:tcPr>
          <w:p>
            <w:pPr>
              <w:jc w:val="right"/>
              <w:ind w:right="26"/>
              <w:spacing w:after="0"/>
              <w:rPr>
                <w:sz w:val="20"/>
                <w:szCs w:val="20"/>
                <w:color w:val="auto"/>
              </w:rPr>
            </w:pPr>
            <w:r>
              <w:rPr>
                <w:rFonts w:ascii="Arial" w:cs="Arial" w:eastAsia="Arial" w:hAnsi="Arial"/>
                <w:sz w:val="14"/>
                <w:szCs w:val="14"/>
                <w:color w:val="auto"/>
              </w:rPr>
              <w:t>1,943</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196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192"/>
        </w:trPr>
        <w:tc>
          <w:tcPr>
            <w:tcW w:w="2020" w:type="dxa"/>
            <w:vAlign w:val="bottom"/>
          </w:tcPr>
          <w:p>
            <w:pPr>
              <w:ind w:left="240"/>
              <w:spacing w:after="0"/>
              <w:rPr>
                <w:sz w:val="20"/>
                <w:szCs w:val="20"/>
                <w:color w:val="auto"/>
              </w:rPr>
            </w:pPr>
            <w:r>
              <w:rPr>
                <w:rFonts w:ascii="Arial" w:cs="Arial" w:eastAsia="Arial" w:hAnsi="Arial"/>
                <w:sz w:val="14"/>
                <w:szCs w:val="14"/>
                <w:color w:val="auto"/>
              </w:rPr>
              <w:t>Commercial and industrial</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86</w:t>
            </w:r>
          </w:p>
        </w:tc>
        <w:tc>
          <w:tcPr>
            <w:tcW w:w="580" w:type="dxa"/>
            <w:vAlign w:val="bottom"/>
          </w:tcPr>
          <w:p>
            <w:pPr>
              <w:spacing w:after="0"/>
              <w:rPr>
                <w:sz w:val="16"/>
                <w:szCs w:val="16"/>
                <w:color w:val="auto"/>
              </w:rPr>
            </w:pPr>
          </w:p>
        </w:tc>
        <w:tc>
          <w:tcPr>
            <w:tcW w:w="600" w:type="dxa"/>
            <w:vAlign w:val="bottom"/>
          </w:tcPr>
          <w:p>
            <w:pPr>
              <w:jc w:val="right"/>
              <w:ind w:right="26"/>
              <w:spacing w:after="0"/>
              <w:rPr>
                <w:sz w:val="20"/>
                <w:szCs w:val="20"/>
                <w:color w:val="auto"/>
              </w:rPr>
            </w:pPr>
            <w:r>
              <w:rPr>
                <w:rFonts w:ascii="Arial" w:cs="Arial" w:eastAsia="Arial" w:hAnsi="Arial"/>
                <w:sz w:val="14"/>
                <w:szCs w:val="14"/>
                <w:color w:val="auto"/>
              </w:rPr>
              <w:t>657</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203</w:t>
            </w:r>
          </w:p>
        </w:tc>
        <w:tc>
          <w:tcPr>
            <w:tcW w:w="62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289</w:t>
            </w:r>
          </w:p>
        </w:tc>
        <w:tc>
          <w:tcPr>
            <w:tcW w:w="18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88"/>
        </w:trPr>
        <w:tc>
          <w:tcPr>
            <w:tcW w:w="2020" w:type="dxa"/>
            <w:vAlign w:val="bottom"/>
          </w:tcPr>
          <w:p>
            <w:pPr>
              <w:ind w:left="240"/>
              <w:spacing w:after="0"/>
              <w:rPr>
                <w:sz w:val="20"/>
                <w:szCs w:val="20"/>
                <w:color w:val="auto"/>
              </w:rPr>
            </w:pPr>
            <w:r>
              <w:rPr>
                <w:rFonts w:ascii="Arial" w:cs="Arial" w:eastAsia="Arial" w:hAnsi="Arial"/>
                <w:sz w:val="14"/>
                <w:szCs w:val="14"/>
                <w:color w:val="auto"/>
              </w:rPr>
              <w:t>Electric generation plants</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60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153</w:t>
            </w:r>
          </w:p>
        </w:tc>
        <w:tc>
          <w:tcPr>
            <w:tcW w:w="62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153</w:t>
            </w:r>
          </w:p>
        </w:tc>
        <w:tc>
          <w:tcPr>
            <w:tcW w:w="18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7"/>
        </w:trPr>
        <w:tc>
          <w:tcPr>
            <w:tcW w:w="2020" w:type="dxa"/>
            <w:vAlign w:val="bottom"/>
          </w:tcPr>
          <w:p>
            <w:pPr>
              <w:ind w:left="240"/>
              <w:spacing w:after="0" w:line="147" w:lineRule="exact"/>
              <w:rPr>
                <w:sz w:val="20"/>
                <w:szCs w:val="20"/>
                <w:color w:val="auto"/>
              </w:rPr>
            </w:pPr>
            <w:r>
              <w:rPr>
                <w:rFonts w:ascii="Arial" w:cs="Arial" w:eastAsia="Arial" w:hAnsi="Arial"/>
                <w:sz w:val="14"/>
                <w:szCs w:val="14"/>
                <w:color w:val="auto"/>
              </w:rPr>
              <w:t>Wholesale</w:t>
            </w: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20" w:type="dxa"/>
            <w:vAlign w:val="bottom"/>
          </w:tcPr>
          <w:p>
            <w:pPr>
              <w:ind w:left="80"/>
              <w:spacing w:after="0"/>
              <w:rPr>
                <w:sz w:val="20"/>
                <w:szCs w:val="20"/>
                <w:color w:val="auto"/>
              </w:rPr>
            </w:pPr>
            <w:r>
              <w:rPr>
                <w:rFonts w:ascii="Arial" w:cs="Arial" w:eastAsia="Arial" w:hAnsi="Arial"/>
                <w:sz w:val="19"/>
                <w:szCs w:val="19"/>
                <w:color w:val="auto"/>
              </w:rPr>
              <w:t>&lt; /td&gt;</w:t>
            </w: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w:t>
            </w: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8"/>
        </w:trPr>
        <w:tc>
          <w:tcPr>
            <w:tcW w:w="2020" w:type="dxa"/>
            <w:vAlign w:val="bottom"/>
          </w:tcPr>
          <w:p>
            <w:pPr>
              <w:spacing w:after="0"/>
              <w:rPr>
                <w:sz w:val="15"/>
                <w:szCs w:val="15"/>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281</w:t>
            </w:r>
          </w:p>
        </w:tc>
        <w:tc>
          <w:tcPr>
            <w:tcW w:w="58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6"/>
              <w:spacing w:after="0"/>
              <w:rPr>
                <w:sz w:val="20"/>
                <w:szCs w:val="20"/>
                <w:color w:val="auto"/>
              </w:rPr>
            </w:pPr>
            <w:r>
              <w:rPr>
                <w:rFonts w:ascii="Arial" w:cs="Arial" w:eastAsia="Arial" w:hAnsi="Arial"/>
                <w:sz w:val="14"/>
                <w:szCs w:val="14"/>
                <w:color w:val="auto"/>
              </w:rPr>
              <w:t>2,600</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374</w:t>
            </w:r>
          </w:p>
        </w:tc>
        <w:tc>
          <w:tcPr>
            <w:tcW w:w="62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218</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655</w:t>
            </w:r>
          </w:p>
        </w:tc>
        <w:tc>
          <w:tcPr>
            <w:tcW w:w="18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2,818</w:t>
            </w:r>
          </w:p>
        </w:tc>
        <w:tc>
          <w:tcPr>
            <w:tcW w:w="0" w:type="dxa"/>
            <w:vAlign w:val="bottom"/>
          </w:tcPr>
          <w:p>
            <w:pPr>
              <w:spacing w:after="0"/>
              <w:rPr>
                <w:sz w:val="1"/>
                <w:szCs w:val="1"/>
                <w:color w:val="auto"/>
              </w:rPr>
            </w:pPr>
          </w:p>
        </w:tc>
      </w:tr>
      <w:tr>
        <w:trPr>
          <w:trHeight w:val="192"/>
        </w:trPr>
        <w:tc>
          <w:tcPr>
            <w:tcW w:w="2020" w:type="dxa"/>
            <w:vAlign w:val="bottom"/>
          </w:tcPr>
          <w:p>
            <w:pPr>
              <w:ind w:left="240"/>
              <w:spacing w:after="0"/>
              <w:rPr>
                <w:sz w:val="20"/>
                <w:szCs w:val="20"/>
                <w:color w:val="auto"/>
              </w:rPr>
            </w:pPr>
            <w:r>
              <w:rPr>
                <w:rFonts w:ascii="Arial" w:cs="Arial" w:eastAsia="Arial" w:hAnsi="Arial"/>
                <w:sz w:val="14"/>
                <w:szCs w:val="14"/>
                <w:color w:val="auto"/>
              </w:rPr>
              <w:t>Other revenues</w:t>
            </w: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6"/>
        </w:trPr>
        <w:tc>
          <w:tcPr>
            <w:tcW w:w="2020" w:type="dxa"/>
            <w:vAlign w:val="bottom"/>
          </w:tcPr>
          <w:p>
            <w:pPr>
              <w:ind w:left="240"/>
              <w:spacing w:after="0"/>
              <w:rPr>
                <w:sz w:val="20"/>
                <w:szCs w:val="20"/>
                <w:color w:val="auto"/>
              </w:rPr>
            </w:pPr>
            <w:r>
              <w:rPr>
                <w:rFonts w:ascii="Arial" w:cs="Arial" w:eastAsia="Arial" w:hAnsi="Arial"/>
                <w:sz w:val="14"/>
                <w:szCs w:val="14"/>
                <w:color w:val="auto"/>
              </w:rPr>
              <w:t>Balancing accounts(1)</w:t>
            </w: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24"/>
        </w:trPr>
        <w:tc>
          <w:tcPr>
            <w:tcW w:w="20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line="208" w:lineRule="exact"/>
              <w:rPr>
                <w:sz w:val="20"/>
                <w:szCs w:val="20"/>
                <w:color w:val="auto"/>
              </w:rPr>
            </w:pPr>
            <w:r>
              <w:rPr>
                <w:rFonts w:ascii="Arial" w:cs="Arial" w:eastAsia="Arial" w:hAnsi="Arial"/>
                <w:sz w:val="19"/>
                <w:szCs w:val="19"/>
                <w:color w:val="auto"/>
              </w:rPr>
              <w:t>3,134</w:t>
            </w:r>
          </w:p>
        </w:tc>
        <w:tc>
          <w:tcPr>
            <w:tcW w:w="0" w:type="dxa"/>
            <w:vAlign w:val="bottom"/>
          </w:tcPr>
          <w:p>
            <w:pPr>
              <w:spacing w:after="0"/>
              <w:rPr>
                <w:sz w:val="1"/>
                <w:szCs w:val="1"/>
                <w:color w:val="auto"/>
              </w:rPr>
            </w:pPr>
          </w:p>
        </w:tc>
      </w:tr>
      <w:tr>
        <w:trPr>
          <w:trHeight w:val="174"/>
        </w:trPr>
        <w:tc>
          <w:tcPr>
            <w:tcW w:w="2020" w:type="dxa"/>
            <w:vAlign w:val="bottom"/>
          </w:tcPr>
          <w:p>
            <w:pPr>
              <w:ind w:left="80"/>
              <w:spacing w:after="0"/>
              <w:rPr>
                <w:sz w:val="20"/>
                <w:szCs w:val="20"/>
                <w:color w:val="auto"/>
              </w:rPr>
            </w:pPr>
            <w:r>
              <w:rPr>
                <w:rFonts w:ascii="Arial" w:cs="Arial" w:eastAsia="Arial" w:hAnsi="Arial"/>
                <w:sz w:val="14"/>
                <w:szCs w:val="14"/>
                <w:color w:val="auto"/>
              </w:rPr>
              <w:t>2009:</w:t>
            </w: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20" w:type="dxa"/>
            <w:vAlign w:val="bottom"/>
          </w:tcPr>
          <w:p>
            <w:pPr>
              <w:ind w:left="240"/>
              <w:spacing w:after="0"/>
              <w:rPr>
                <w:sz w:val="20"/>
                <w:szCs w:val="20"/>
                <w:color w:val="auto"/>
              </w:rPr>
            </w:pPr>
            <w:r>
              <w:rPr>
                <w:rFonts w:ascii="Arial" w:cs="Arial" w:eastAsia="Arial" w:hAnsi="Arial"/>
                <w:sz w:val="14"/>
                <w:szCs w:val="14"/>
                <w:color w:val="auto"/>
              </w:rPr>
              <w:t>Residential</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187</w:t>
            </w:r>
          </w:p>
        </w:tc>
        <w:tc>
          <w:tcPr>
            <w:tcW w:w="58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6"/>
              <w:spacing w:after="0"/>
              <w:rPr>
                <w:sz w:val="20"/>
                <w:szCs w:val="20"/>
                <w:color w:val="auto"/>
              </w:rPr>
            </w:pPr>
            <w:r>
              <w:rPr>
                <w:rFonts w:ascii="Arial" w:cs="Arial" w:eastAsia="Arial" w:hAnsi="Arial"/>
                <w:sz w:val="14"/>
                <w:szCs w:val="14"/>
                <w:color w:val="auto"/>
              </w:rPr>
              <w:t>1,624</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194"/>
        </w:trPr>
        <w:tc>
          <w:tcPr>
            <w:tcW w:w="2020" w:type="dxa"/>
            <w:vAlign w:val="bottom"/>
          </w:tcPr>
          <w:p>
            <w:pPr>
              <w:ind w:left="240"/>
              <w:spacing w:after="0"/>
              <w:rPr>
                <w:sz w:val="20"/>
                <w:szCs w:val="20"/>
                <w:color w:val="auto"/>
              </w:rPr>
            </w:pPr>
            <w:r>
              <w:rPr>
                <w:rFonts w:ascii="Arial" w:cs="Arial" w:eastAsia="Arial" w:hAnsi="Arial"/>
                <w:sz w:val="14"/>
                <w:szCs w:val="14"/>
                <w:color w:val="auto"/>
              </w:rPr>
              <w:t>Commercial and industrial</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85</w:t>
            </w:r>
          </w:p>
        </w:tc>
        <w:tc>
          <w:tcPr>
            <w:tcW w:w="580" w:type="dxa"/>
            <w:vAlign w:val="bottom"/>
          </w:tcPr>
          <w:p>
            <w:pPr>
              <w:spacing w:after="0"/>
              <w:rPr>
                <w:sz w:val="16"/>
                <w:szCs w:val="16"/>
                <w:color w:val="auto"/>
              </w:rPr>
            </w:pPr>
          </w:p>
        </w:tc>
        <w:tc>
          <w:tcPr>
            <w:tcW w:w="600" w:type="dxa"/>
            <w:vAlign w:val="bottom"/>
          </w:tcPr>
          <w:p>
            <w:pPr>
              <w:jc w:val="right"/>
              <w:ind w:right="26"/>
              <w:spacing w:after="0"/>
              <w:rPr>
                <w:sz w:val="20"/>
                <w:szCs w:val="20"/>
                <w:color w:val="auto"/>
              </w:rPr>
            </w:pPr>
            <w:r>
              <w:rPr>
                <w:rFonts w:ascii="Arial" w:cs="Arial" w:eastAsia="Arial" w:hAnsi="Arial"/>
                <w:sz w:val="14"/>
                <w:szCs w:val="14"/>
                <w:color w:val="auto"/>
              </w:rPr>
              <w:t>553</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205</w:t>
            </w:r>
          </w:p>
        </w:tc>
        <w:tc>
          <w:tcPr>
            <w:tcW w:w="620" w:type="dxa"/>
            <w:vAlign w:val="bottom"/>
          </w:tcPr>
          <w:p>
            <w:pPr>
              <w:jc w:val="right"/>
              <w:ind w:right="169"/>
              <w:spacing w:after="0"/>
              <w:rPr>
                <w:sz w:val="20"/>
                <w:szCs w:val="20"/>
                <w:color w:val="auto"/>
              </w:rPr>
            </w:pPr>
            <w:r>
              <w:rPr>
                <w:rFonts w:ascii="Arial" w:cs="Arial" w:eastAsia="Arial" w:hAnsi="Arial"/>
                <w:sz w:val="14"/>
                <w:szCs w:val="14"/>
                <w:color w:val="auto"/>
              </w:rPr>
              <w:t>163</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700" w:type="dxa"/>
            <w:vAlign w:val="bottom"/>
          </w:tcPr>
          <w:p>
            <w:pPr>
              <w:spacing w:after="0"/>
              <w:rPr>
                <w:sz w:val="16"/>
                <w:szCs w:val="16"/>
                <w:color w:val="auto"/>
              </w:rPr>
            </w:pPr>
          </w:p>
        </w:tc>
        <w:tc>
          <w:tcPr>
            <w:tcW w:w="1340" w:type="dxa"/>
            <w:vAlign w:val="bottom"/>
            <w:gridSpan w:val="2"/>
          </w:tcPr>
          <w:p>
            <w:pPr>
              <w:jc w:val="right"/>
              <w:ind w:right="868"/>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92"/>
        </w:trPr>
        <w:tc>
          <w:tcPr>
            <w:tcW w:w="2020" w:type="dxa"/>
            <w:vAlign w:val="bottom"/>
          </w:tcPr>
          <w:p>
            <w:pPr>
              <w:ind w:left="240"/>
              <w:spacing w:after="0"/>
              <w:rPr>
                <w:sz w:val="20"/>
                <w:szCs w:val="20"/>
                <w:color w:val="auto"/>
              </w:rPr>
            </w:pPr>
            <w:r>
              <w:rPr>
                <w:rFonts w:ascii="Arial" w:cs="Arial" w:eastAsia="Arial" w:hAnsi="Arial"/>
                <w:sz w:val="14"/>
                <w:szCs w:val="14"/>
                <w:color w:val="auto"/>
              </w:rPr>
              <w:t>Electric generation plants</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60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203</w:t>
            </w:r>
          </w:p>
        </w:tc>
        <w:tc>
          <w:tcPr>
            <w:tcW w:w="62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203</w:t>
            </w:r>
          </w:p>
        </w:tc>
        <w:tc>
          <w:tcPr>
            <w:tcW w:w="18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6"/>
        </w:trPr>
        <w:tc>
          <w:tcPr>
            <w:tcW w:w="2020" w:type="dxa"/>
            <w:vAlign w:val="bottom"/>
          </w:tcPr>
          <w:p>
            <w:pPr>
              <w:ind w:left="240"/>
              <w:spacing w:after="0"/>
              <w:rPr>
                <w:sz w:val="20"/>
                <w:szCs w:val="20"/>
                <w:color w:val="auto"/>
              </w:rPr>
            </w:pPr>
            <w:r>
              <w:rPr>
                <w:rFonts w:ascii="Arial" w:cs="Arial" w:eastAsia="Arial" w:hAnsi="Arial"/>
                <w:sz w:val="14"/>
                <w:szCs w:val="14"/>
                <w:color w:val="auto"/>
              </w:rPr>
              <w:t>Wholesale</w:t>
            </w: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w:t>
            </w: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1"/>
        </w:trPr>
        <w:tc>
          <w:tcPr>
            <w:tcW w:w="2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272</w:t>
            </w:r>
          </w:p>
        </w:tc>
        <w:tc>
          <w:tcPr>
            <w:tcW w:w="580" w:type="dxa"/>
            <w:vAlign w:val="bottom"/>
          </w:tcPr>
          <w:p>
            <w:pPr>
              <w:spacing w:after="0"/>
              <w:rPr>
                <w:sz w:val="20"/>
                <w:szCs w:val="20"/>
                <w:color w:val="auto"/>
              </w:rPr>
            </w:pPr>
            <w:r>
              <w:rPr>
                <w:rFonts w:ascii="Arial" w:cs="Arial" w:eastAsia="Arial" w:hAnsi="Arial"/>
                <w:sz w:val="19"/>
                <w:szCs w:val="19"/>
                <w:color w:val="auto"/>
              </w:rPr>
              <w:t>&lt; /td&gt;</w:t>
            </w:r>
          </w:p>
        </w:tc>
        <w:tc>
          <w:tcPr>
            <w:tcW w:w="600" w:type="dxa"/>
            <w:vAlign w:val="bottom"/>
          </w:tcPr>
          <w:p>
            <w:pPr>
              <w:jc w:val="right"/>
              <w:ind w:right="26"/>
              <w:spacing w:after="0"/>
              <w:rPr>
                <w:sz w:val="20"/>
                <w:szCs w:val="20"/>
                <w:color w:val="auto"/>
              </w:rPr>
            </w:pPr>
            <w:r>
              <w:rPr>
                <w:rFonts w:ascii="Arial" w:cs="Arial" w:eastAsia="Arial" w:hAnsi="Arial"/>
                <w:sz w:val="14"/>
                <w:szCs w:val="14"/>
                <w:color w:val="auto"/>
              </w:rPr>
              <w:t>2,177</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421</w:t>
            </w:r>
          </w:p>
        </w:tc>
        <w:tc>
          <w:tcPr>
            <w:tcW w:w="62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693</w:t>
            </w:r>
          </w:p>
        </w:tc>
        <w:tc>
          <w:tcPr>
            <w:tcW w:w="18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2,396</w:t>
            </w:r>
          </w:p>
        </w:tc>
        <w:tc>
          <w:tcPr>
            <w:tcW w:w="0" w:type="dxa"/>
            <w:vAlign w:val="bottom"/>
          </w:tcPr>
          <w:p>
            <w:pPr>
              <w:spacing w:after="0"/>
              <w:rPr>
                <w:sz w:val="1"/>
                <w:szCs w:val="1"/>
                <w:color w:val="auto"/>
              </w:rPr>
            </w:pPr>
          </w:p>
        </w:tc>
      </w:tr>
      <w:tr>
        <w:trPr>
          <w:trHeight w:val="190"/>
        </w:trPr>
        <w:tc>
          <w:tcPr>
            <w:tcW w:w="2020" w:type="dxa"/>
            <w:vAlign w:val="bottom"/>
          </w:tcPr>
          <w:p>
            <w:pPr>
              <w:ind w:left="240"/>
              <w:spacing w:after="0"/>
              <w:rPr>
                <w:sz w:val="20"/>
                <w:szCs w:val="20"/>
                <w:color w:val="auto"/>
              </w:rPr>
            </w:pPr>
            <w:r>
              <w:rPr>
                <w:rFonts w:ascii="Arial" w:cs="Arial" w:eastAsia="Arial" w:hAnsi="Arial"/>
                <w:sz w:val="14"/>
                <w:szCs w:val="14"/>
                <w:color w:val="auto"/>
              </w:rPr>
              <w:t>Other revenues</w:t>
            </w: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6"/>
        </w:trPr>
        <w:tc>
          <w:tcPr>
            <w:tcW w:w="2020" w:type="dxa"/>
            <w:vAlign w:val="bottom"/>
          </w:tcPr>
          <w:p>
            <w:pPr>
              <w:ind w:left="240"/>
              <w:spacing w:after="0"/>
              <w:rPr>
                <w:sz w:val="20"/>
                <w:szCs w:val="20"/>
                <w:color w:val="auto"/>
              </w:rPr>
            </w:pPr>
            <w:r>
              <w:rPr>
                <w:rFonts w:ascii="Arial" w:cs="Arial" w:eastAsia="Arial" w:hAnsi="Arial"/>
                <w:sz w:val="14"/>
                <w:szCs w:val="14"/>
                <w:color w:val="auto"/>
              </w:rPr>
              <w:t>Balancing accounts(1)</w:t>
            </w: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76"/>
        </w:trPr>
        <w:tc>
          <w:tcPr>
            <w:tcW w:w="20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2,604</w:t>
            </w:r>
          </w:p>
        </w:tc>
        <w:tc>
          <w:tcPr>
            <w:tcW w:w="0" w:type="dxa"/>
            <w:vAlign w:val="bottom"/>
          </w:tcPr>
          <w:p>
            <w:pPr>
              <w:spacing w:after="0"/>
              <w:rPr>
                <w:sz w:val="1"/>
                <w:szCs w:val="1"/>
                <w:color w:val="auto"/>
              </w:rPr>
            </w:pPr>
          </w:p>
        </w:tc>
      </w:tr>
    </w:tbl>
    <w:p>
      <w:pPr>
        <w:ind w:left="84"/>
        <w:spacing w:after="0"/>
        <w:rPr>
          <w:sz w:val="20"/>
          <w:szCs w:val="20"/>
          <w:color w:val="auto"/>
        </w:rPr>
      </w:pPr>
      <w:r>
        <w:rPr>
          <w:rFonts w:ascii="Arial" w:cs="Arial" w:eastAsia="Arial" w:hAnsi="Arial"/>
          <w:sz w:val="13"/>
          <w:szCs w:val="13"/>
          <w:i w:val="1"/>
          <w:iCs w:val="1"/>
          <w:color w:val="auto"/>
        </w:rPr>
        <w:t>(1) We discuss balancing accounts and their effects in Note 1 of the Notes to Consolidated Financial Statements in the Annual Report.</w:t>
      </w:r>
    </w:p>
    <w:p>
      <w:pPr>
        <w:spacing w:after="0" w:line="226" w:lineRule="exact"/>
        <w:rPr>
          <w:sz w:val="20"/>
          <w:szCs w:val="20"/>
          <w:color w:val="auto"/>
        </w:rPr>
      </w:pPr>
    </w:p>
    <w:p>
      <w:pPr>
        <w:ind w:left="4" w:right="40"/>
        <w:spacing w:after="0" w:line="305" w:lineRule="auto"/>
        <w:rPr>
          <w:sz w:val="20"/>
          <w:szCs w:val="20"/>
          <w:color w:val="auto"/>
        </w:rPr>
      </w:pPr>
      <w:r>
        <w:rPr>
          <w:rFonts w:ascii="Arial" w:cs="Arial" w:eastAsia="Arial" w:hAnsi="Arial"/>
          <w:sz w:val="14"/>
          <w:szCs w:val="14"/>
          <w:color w:val="auto"/>
        </w:rPr>
        <w:t>During the three months ended September 30, 2010, our natural gas revenues increased by $127 million (17%) to $858 million, and the cost of natural gas increased by $77 million (37%) to $285 million. During the nine months ended September 30, 2010, our natural gas revenues increased by $530 million (20%) to $3.1 billion, and the cost of natural gas increased by $405 million (41%) to $1.4 billion. The primary factor contributing to the increased natural gas revenues and cost of natural gas in both the third-quarter and year-to-date periods was higher natural gas pr ices in 2010. We discuss the increase in the cost of natural gas individually for SDG&amp;E and SoCalGas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4114800" cy="434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1480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SDG&amp;E</w:t>
      </w:r>
    </w:p>
    <w:p>
      <w:pPr>
        <w:spacing w:after="0" w:line="31" w:lineRule="exact"/>
        <w:rPr>
          <w:sz w:val="20"/>
          <w:szCs w:val="20"/>
          <w:color w:val="auto"/>
        </w:rPr>
      </w:pPr>
    </w:p>
    <w:p>
      <w:pPr>
        <w:ind w:left="84"/>
        <w:spacing w:after="0"/>
        <w:rPr>
          <w:sz w:val="20"/>
          <w:szCs w:val="20"/>
          <w:color w:val="auto"/>
        </w:rPr>
      </w:pPr>
      <w:r>
        <w:rPr>
          <w:rFonts w:ascii="Arial" w:cs="Arial" w:eastAsia="Arial" w:hAnsi="Arial"/>
          <w:sz w:val="14"/>
          <w:szCs w:val="14"/>
          <w:b w:val="1"/>
          <w:bCs w:val="1"/>
          <w:color w:val="auto"/>
        </w:rPr>
        <w:t>NATURAL GAS SALES AND TRANSPORTATION</w:t>
      </w:r>
    </w:p>
    <w:p>
      <w:pPr>
        <w:spacing w:after="0" w:line="136"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2820" w:type="dxa"/>
            <w:vAlign w:val="bottom"/>
            <w:gridSpan w:val="2"/>
          </w:tcPr>
          <w:p>
            <w:pPr>
              <w:ind w:left="80"/>
              <w:spacing w:after="0"/>
              <w:rPr>
                <w:sz w:val="20"/>
                <w:szCs w:val="20"/>
                <w:color w:val="auto"/>
              </w:rPr>
            </w:pPr>
            <w:r>
              <w:rPr>
                <w:rFonts w:ascii="Arial" w:cs="Arial" w:eastAsia="Arial" w:hAnsi="Arial"/>
                <w:sz w:val="13"/>
                <w:szCs w:val="13"/>
                <w:i w:val="1"/>
                <w:iCs w:val="1"/>
                <w:color w:val="auto"/>
                <w:w w:val="98"/>
              </w:rPr>
              <w:t>(Volumes in billion cubic feet, dollars in millions)</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020" w:type="dxa"/>
            <w:vAlign w:val="bottom"/>
          </w:tcPr>
          <w:p>
            <w:pPr>
              <w:spacing w:after="0"/>
              <w:rPr>
                <w:sz w:val="14"/>
                <w:szCs w:val="14"/>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color w:val="auto"/>
              </w:rPr>
              <w:t>Natural Gas Sales</w:t>
            </w:r>
          </w:p>
        </w:tc>
        <w:tc>
          <w:tcPr>
            <w:tcW w:w="152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color w:val="auto"/>
              </w:rPr>
              <w:t>Transportation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Total</w:t>
            </w:r>
          </w:p>
        </w:tc>
        <w:tc>
          <w:tcPr>
            <w:tcW w:w="780" w:type="dxa"/>
            <w:vAlign w:val="bottom"/>
          </w:tcPr>
          <w:p>
            <w:pPr>
              <w:spacing w:after="0"/>
              <w:rPr>
                <w:sz w:val="14"/>
                <w:szCs w:val="14"/>
                <w:color w:val="auto"/>
              </w:rPr>
            </w:pPr>
          </w:p>
        </w:tc>
      </w:tr>
      <w:tr>
        <w:trPr>
          <w:trHeight w:val="148"/>
        </w:trPr>
        <w:tc>
          <w:tcPr>
            <w:tcW w:w="202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color w:val="auto"/>
              </w:rPr>
              <w:t>Customer class</w:t>
            </w:r>
          </w:p>
        </w:tc>
        <w:tc>
          <w:tcPr>
            <w:tcW w:w="80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color w:val="auto"/>
              </w:rPr>
              <w:t>Volumes</w:t>
            </w:r>
          </w:p>
        </w:tc>
        <w:tc>
          <w:tcPr>
            <w:tcW w:w="68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3"/>
                <w:szCs w:val="13"/>
                <w:color w:val="auto"/>
              </w:rPr>
              <w:t>Revenue</w:t>
            </w:r>
          </w:p>
        </w:tc>
        <w:tc>
          <w:tcPr>
            <w:tcW w:w="780" w:type="dxa"/>
            <w:vAlign w:val="bottom"/>
            <w:tcBorders>
              <w:bottom w:val="single" w:sz="8" w:color="auto"/>
            </w:tcBorders>
          </w:tcPr>
          <w:p>
            <w:pPr>
              <w:ind w:left="160"/>
              <w:spacing w:after="0" w:line="148" w:lineRule="exact"/>
              <w:rPr>
                <w:sz w:val="20"/>
                <w:szCs w:val="20"/>
                <w:color w:val="auto"/>
              </w:rPr>
            </w:pPr>
            <w:r>
              <w:rPr>
                <w:rFonts w:ascii="Arial" w:cs="Arial" w:eastAsia="Arial" w:hAnsi="Arial"/>
                <w:sz w:val="13"/>
                <w:szCs w:val="13"/>
                <w:color w:val="auto"/>
              </w:rPr>
              <w:t>Volumes</w:t>
            </w:r>
          </w:p>
        </w:tc>
        <w:tc>
          <w:tcPr>
            <w:tcW w:w="740" w:type="dxa"/>
            <w:vAlign w:val="bottom"/>
            <w:tcBorders>
              <w:bottom w:val="single" w:sz="8" w:color="auto"/>
            </w:tcBorders>
          </w:tcPr>
          <w:p>
            <w:pPr>
              <w:ind w:left="120"/>
              <w:spacing w:after="0" w:line="148" w:lineRule="exact"/>
              <w:rPr>
                <w:sz w:val="20"/>
                <w:szCs w:val="20"/>
                <w:color w:val="auto"/>
              </w:rPr>
            </w:pPr>
            <w:r>
              <w:rPr>
                <w:rFonts w:ascii="Arial" w:cs="Arial" w:eastAsia="Arial" w:hAnsi="Arial"/>
                <w:sz w:val="13"/>
                <w:szCs w:val="13"/>
                <w:color w:val="auto"/>
              </w:rPr>
              <w:t>Revenue</w:t>
            </w:r>
          </w:p>
        </w:tc>
        <w:tc>
          <w:tcPr>
            <w:tcW w:w="6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8"/>
              </w:rPr>
              <w:t>Volumes</w:t>
            </w:r>
          </w:p>
        </w:tc>
        <w:tc>
          <w:tcPr>
            <w:tcW w:w="780" w:type="dxa"/>
            <w:vAlign w:val="bottom"/>
            <w:tcBorders>
              <w:bottom w:val="single" w:sz="8" w:color="auto"/>
            </w:tcBorders>
          </w:tcPr>
          <w:p>
            <w:pPr>
              <w:ind w:left="160"/>
              <w:spacing w:after="0" w:line="148" w:lineRule="exact"/>
              <w:rPr>
                <w:sz w:val="20"/>
                <w:szCs w:val="20"/>
                <w:color w:val="auto"/>
              </w:rPr>
            </w:pPr>
            <w:r>
              <w:rPr>
                <w:rFonts w:ascii="Arial" w:cs="Arial" w:eastAsia="Arial" w:hAnsi="Arial"/>
                <w:sz w:val="13"/>
                <w:szCs w:val="13"/>
                <w:color w:val="auto"/>
              </w:rPr>
              <w:t>Revenue</w:t>
            </w:r>
          </w:p>
        </w:tc>
      </w:tr>
    </w:tbl>
    <w:p>
      <w:pPr>
        <w:spacing w:after="0" w:line="14" w:lineRule="exact"/>
        <w:rPr>
          <w:sz w:val="20"/>
          <w:szCs w:val="20"/>
          <w:color w:val="auto"/>
        </w:rPr>
      </w:pPr>
    </w:p>
    <w:p>
      <w:pPr>
        <w:sectPr>
          <w:pgSz w:w="11900" w:h="16838" w:orient="portrait"/>
          <w:cols w:equalWidth="0" w:num="1">
            <w:col w:w="11424"/>
          </w:cols>
          <w:pgMar w:left="236" w:top="131" w:right="239" w:bottom="0" w:gutter="0" w:footer="0" w:header="0"/>
        </w:sectPr>
      </w:pPr>
    </w:p>
    <w:p>
      <w:pPr>
        <w:ind w:left="84"/>
        <w:spacing w:after="0"/>
        <w:rPr>
          <w:sz w:val="20"/>
          <w:szCs w:val="20"/>
          <w:color w:val="auto"/>
        </w:rPr>
      </w:pPr>
      <w:r>
        <w:rPr>
          <w:rFonts w:ascii="Arial" w:cs="Arial" w:eastAsia="Arial" w:hAnsi="Arial"/>
          <w:sz w:val="14"/>
          <w:szCs w:val="14"/>
          <w:color w:val="auto"/>
        </w:rPr>
        <w:t>2010:</w:t>
      </w:r>
    </w:p>
    <w:p>
      <w:pPr>
        <w:sectPr>
          <w:pgSz w:w="11900" w:h="16838" w:orient="portrait"/>
          <w:cols w:equalWidth="0" w:num="1">
            <w:col w:w="11424"/>
          </w:cols>
          <w:pgMar w:left="236" w:top="131" w:right="239" w:bottom="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68"/>
        </w:trPr>
        <w:tc>
          <w:tcPr>
            <w:tcW w:w="2020" w:type="dxa"/>
            <w:vAlign w:val="bottom"/>
          </w:tcPr>
          <w:p>
            <w:pPr>
              <w:ind w:left="240"/>
              <w:spacing w:after="0"/>
              <w:rPr>
                <w:sz w:val="20"/>
                <w:szCs w:val="20"/>
                <w:color w:val="auto"/>
              </w:rPr>
            </w:pPr>
            <w:r>
              <w:rPr>
                <w:rFonts w:ascii="Arial" w:cs="Arial" w:eastAsia="Arial" w:hAnsi="Arial"/>
                <w:sz w:val="14"/>
                <w:szCs w:val="14"/>
                <w:color w:val="auto"/>
              </w:rPr>
              <w:t>Residential</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260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260</w:t>
            </w:r>
          </w:p>
        </w:tc>
      </w:tr>
      <w:tr>
        <w:trPr>
          <w:trHeight w:val="172"/>
        </w:trPr>
        <w:tc>
          <w:tcPr>
            <w:tcW w:w="2020" w:type="dxa"/>
            <w:vAlign w:val="bottom"/>
          </w:tcPr>
          <w:p>
            <w:pPr>
              <w:ind w:left="240"/>
              <w:spacing w:after="0"/>
              <w:rPr>
                <w:sz w:val="20"/>
                <w:szCs w:val="20"/>
                <w:color w:val="auto"/>
              </w:rPr>
            </w:pPr>
            <w:r>
              <w:rPr>
                <w:rFonts w:ascii="Arial" w:cs="Arial" w:eastAsia="Arial" w:hAnsi="Arial"/>
                <w:sz w:val="14"/>
                <w:szCs w:val="14"/>
                <w:color w:val="auto"/>
              </w:rPr>
              <w:t>Commercial and industrial</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82</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 &lt; /font&gt;</w:t>
            </w:r>
          </w:p>
        </w:tc>
        <w:tc>
          <w:tcPr>
            <w:tcW w:w="26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91</w:t>
            </w:r>
          </w:p>
        </w:tc>
      </w:tr>
      <w:tr>
        <w:trPr>
          <w:trHeight w:val="186"/>
        </w:trPr>
        <w:tc>
          <w:tcPr>
            <w:tcW w:w="2020" w:type="dxa"/>
            <w:vAlign w:val="bottom"/>
          </w:tcPr>
          <w:p>
            <w:pPr>
              <w:ind w:left="240"/>
              <w:spacing w:after="0"/>
              <w:rPr>
                <w:sz w:val="20"/>
                <w:szCs w:val="20"/>
                <w:color w:val="auto"/>
              </w:rPr>
            </w:pPr>
            <w:r>
              <w:rPr>
                <w:rFonts w:ascii="Arial" w:cs="Arial" w:eastAsia="Arial" w:hAnsi="Arial"/>
                <w:sz w:val="14"/>
                <w:szCs w:val="14"/>
                <w:color w:val="auto"/>
              </w:rPr>
              <w:t>Electric generation plants</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w:t>
            </w: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r>
      <w:tr>
        <w:trPr>
          <w:trHeight w:val="178"/>
        </w:trPr>
        <w:tc>
          <w:tcPr>
            <w:tcW w:w="20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342</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280" w:type="dxa"/>
            <w:vAlign w:val="bottom"/>
          </w:tcPr>
          <w:p>
            <w:pPr>
              <w:spacing w:after="0"/>
              <w:rPr>
                <w:sz w:val="15"/>
                <w:szCs w:val="15"/>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356</w:t>
            </w:r>
          </w:p>
        </w:tc>
      </w:tr>
      <w:tr>
        <w:trPr>
          <w:trHeight w:val="192"/>
        </w:trPr>
        <w:tc>
          <w:tcPr>
            <w:tcW w:w="2020" w:type="dxa"/>
            <w:vAlign w:val="bottom"/>
          </w:tcPr>
          <w:p>
            <w:pPr>
              <w:ind w:left="240"/>
              <w:spacing w:after="0"/>
              <w:rPr>
                <w:sz w:val="20"/>
                <w:szCs w:val="20"/>
                <w:color w:val="auto"/>
              </w:rPr>
            </w:pPr>
            <w:r>
              <w:rPr>
                <w:rFonts w:ascii="Arial" w:cs="Arial" w:eastAsia="Arial" w:hAnsi="Arial"/>
                <w:sz w:val="14"/>
                <w:szCs w:val="14"/>
                <w:color w:val="auto"/>
              </w:rPr>
              <w:t>Other revenues</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27</w:t>
            </w:r>
          </w:p>
        </w:tc>
      </w:tr>
      <w:tr>
        <w:trPr>
          <w:trHeight w:val="186"/>
        </w:trPr>
        <w:tc>
          <w:tcPr>
            <w:tcW w:w="2020" w:type="dxa"/>
            <w:vAlign w:val="bottom"/>
          </w:tcPr>
          <w:p>
            <w:pPr>
              <w:ind w:left="240"/>
              <w:spacing w:after="0"/>
              <w:rPr>
                <w:sz w:val="20"/>
                <w:szCs w:val="20"/>
                <w:color w:val="auto"/>
              </w:rPr>
            </w:pPr>
            <w:r>
              <w:rPr>
                <w:rFonts w:ascii="Arial" w:cs="Arial" w:eastAsia="Arial" w:hAnsi="Arial"/>
                <w:sz w:val="14"/>
                <w:szCs w:val="14"/>
                <w:color w:val="auto"/>
              </w:rPr>
              <w:t>Balancing accounts</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r>
      <w:tr>
        <w:trPr>
          <w:trHeight w:val="176"/>
        </w:trPr>
        <w:tc>
          <w:tcPr>
            <w:tcW w:w="20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Total(1)</w:t>
            </w: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375</w:t>
            </w:r>
          </w:p>
        </w:tc>
      </w:tr>
      <w:tr>
        <w:trPr>
          <w:trHeight w:val="172"/>
        </w:trPr>
        <w:tc>
          <w:tcPr>
            <w:tcW w:w="2020" w:type="dxa"/>
            <w:vAlign w:val="bottom"/>
          </w:tcPr>
          <w:p>
            <w:pPr>
              <w:ind w:left="80"/>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4"/>
        </w:trPr>
        <w:tc>
          <w:tcPr>
            <w:tcW w:w="2020" w:type="dxa"/>
            <w:vAlign w:val="bottom"/>
          </w:tcPr>
          <w:p>
            <w:pPr>
              <w:ind w:left="240"/>
              <w:spacing w:after="0"/>
              <w:rPr>
                <w:sz w:val="20"/>
                <w:szCs w:val="20"/>
                <w:color w:val="auto"/>
              </w:rPr>
            </w:pPr>
            <w:r>
              <w:rPr>
                <w:rFonts w:ascii="Arial" w:cs="Arial" w:eastAsia="Arial" w:hAnsi="Arial"/>
                <w:sz w:val="14"/>
                <w:szCs w:val="14"/>
                <w:color w:val="auto"/>
              </w:rPr>
              <w:t>Residential</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230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230</w:t>
            </w:r>
          </w:p>
        </w:tc>
      </w:tr>
      <w:tr>
        <w:trPr>
          <w:trHeight w:val="192"/>
        </w:trPr>
        <w:tc>
          <w:tcPr>
            <w:tcW w:w="2020" w:type="dxa"/>
            <w:vAlign w:val="bottom"/>
          </w:tcPr>
          <w:p>
            <w:pPr>
              <w:ind w:left="240"/>
              <w:spacing w:after="0"/>
              <w:rPr>
                <w:sz w:val="20"/>
                <w:szCs w:val="20"/>
                <w:color w:val="auto"/>
              </w:rPr>
            </w:pPr>
            <w:r>
              <w:rPr>
                <w:rFonts w:ascii="Arial" w:cs="Arial" w:eastAsia="Arial" w:hAnsi="Arial"/>
                <w:sz w:val="14"/>
                <w:szCs w:val="14"/>
                <w:color w:val="auto"/>
              </w:rPr>
              <w:t>Commercial and industrial</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76</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83</w:t>
            </w:r>
          </w:p>
        </w:tc>
      </w:tr>
      <w:tr>
        <w:trPr>
          <w:trHeight w:val="210"/>
        </w:trPr>
        <w:tc>
          <w:tcPr>
            <w:tcW w:w="2020" w:type="dxa"/>
            <w:vAlign w:val="bottom"/>
          </w:tcPr>
          <w:p>
            <w:pPr>
              <w:ind w:left="240"/>
              <w:spacing w:after="0"/>
              <w:rPr>
                <w:sz w:val="20"/>
                <w:szCs w:val="20"/>
                <w:color w:val="auto"/>
              </w:rPr>
            </w:pPr>
            <w:r>
              <w:rPr>
                <w:rFonts w:ascii="Arial" w:cs="Arial" w:eastAsia="Arial" w:hAnsi="Arial"/>
                <w:sz w:val="14"/>
                <w:szCs w:val="14"/>
                <w:color w:val="auto"/>
              </w:rPr>
              <w:t>Electric generation plants</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w:t>
            </w: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r>
      <w:tr>
        <w:trPr>
          <w:trHeight w:val="178"/>
        </w:trPr>
        <w:tc>
          <w:tcPr>
            <w:tcW w:w="20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306</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280" w:type="dxa"/>
            <w:vAlign w:val="bottom"/>
          </w:tcPr>
          <w:p>
            <w:pPr>
              <w:spacing w:after="0"/>
              <w:rPr>
                <w:sz w:val="15"/>
                <w:szCs w:val="15"/>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326</w:t>
            </w:r>
          </w:p>
        </w:tc>
      </w:tr>
      <w:tr>
        <w:trPr>
          <w:trHeight w:val="216"/>
        </w:trPr>
        <w:tc>
          <w:tcPr>
            <w:tcW w:w="2020" w:type="dxa"/>
            <w:vAlign w:val="bottom"/>
          </w:tcPr>
          <w:p>
            <w:pPr>
              <w:ind w:left="240"/>
              <w:spacing w:after="0"/>
              <w:rPr>
                <w:sz w:val="20"/>
                <w:szCs w:val="20"/>
                <w:color w:val="auto"/>
              </w:rPr>
            </w:pPr>
            <w:r>
              <w:rPr>
                <w:rFonts w:ascii="Arial" w:cs="Arial" w:eastAsia="Arial" w:hAnsi="Arial"/>
                <w:sz w:val="14"/>
                <w:szCs w:val="14"/>
                <w:color w:val="auto"/>
              </w:rPr>
              <w:t>Other revenues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25</w:t>
            </w:r>
          </w:p>
        </w:tc>
      </w:tr>
      <w:tr>
        <w:trPr>
          <w:trHeight w:val="186"/>
        </w:trPr>
        <w:tc>
          <w:tcPr>
            <w:tcW w:w="2020" w:type="dxa"/>
            <w:vAlign w:val="bottom"/>
          </w:tcPr>
          <w:p>
            <w:pPr>
              <w:ind w:left="240"/>
              <w:spacing w:after="0"/>
              <w:rPr>
                <w:sz w:val="20"/>
                <w:szCs w:val="20"/>
                <w:color w:val="auto"/>
              </w:rPr>
            </w:pPr>
            <w:r>
              <w:rPr>
                <w:rFonts w:ascii="Arial" w:cs="Arial" w:eastAsia="Arial" w:hAnsi="Arial"/>
                <w:sz w:val="14"/>
                <w:szCs w:val="14"/>
                <w:color w:val="auto"/>
              </w:rPr>
              <w:t>Balancing accounts</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r>
      <w:tr>
        <w:trPr>
          <w:trHeight w:val="176"/>
        </w:trPr>
        <w:tc>
          <w:tcPr>
            <w:tcW w:w="2020" w:type="dxa"/>
            <w:vAlign w:val="bottom"/>
          </w:tcPr>
          <w:p>
            <w:pPr>
              <w:ind w:left="400"/>
              <w:spacing w:after="0"/>
              <w:rPr>
                <w:sz w:val="20"/>
                <w:szCs w:val="20"/>
                <w:color w:val="auto"/>
              </w:rPr>
            </w:pPr>
            <w:r>
              <w:rPr>
                <w:rFonts w:ascii="Arial" w:cs="Arial" w:eastAsia="Arial" w:hAnsi="Arial"/>
                <w:sz w:val="14"/>
                <w:szCs w:val="14"/>
                <w:color w:val="auto"/>
              </w:rPr>
              <w:t>Total(1)</w:t>
            </w: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r>
    </w:tbl>
    <w:p>
      <w:pPr>
        <w:spacing w:after="0" w:line="16"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(1) Includes sales to affiliates of $1 million in each of 2010 and 2009.</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During the three months ended September 30, 2010, SDG&amp;E's natural gas revenues increased by $15 million (19%) to $93 million, and the cost of natural gas increased by $7 million (23%) to $37 million. During the nine months ended September 30, 2010, SDG&amp;E's natural gas revenues increased by $22 million (6%) to $375 million, and the cost of natural gas increased by $16 million (10%) to $170 million. The average cost of natural gas for the three months ended September 30, 2010 was $4.86 per thousand cubic feet (Mcf) compared to $4.27 per Mcf for the corresponding period in 2009, a 14-percent increase of $0.59 per Mcf, resulting in higher revenues and cost of $5 million. For the nine months ended September 30 , 2010, SDG&amp;E’s average cost of natural gas was $4.98 per Mcf compared to $4.52 per Mcf for the corresponding period in 2009, a 10-percent increase of $0.46 per Mcf, resulting in higher revenues and cost of $16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color w:val="auto"/>
        </w:rPr>
        <w:t>&lt; /tr&gt;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328160" cy="434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28160" cy="434340"/>
                    </a:xfrm>
                    <a:prstGeom prst="rect">
                      <a:avLst/>
                    </a:prstGeom>
                    <a:noFill/>
                  </pic:spPr>
                </pic:pic>
              </a:graphicData>
            </a:graphic>
          </wp:anchor>
        </w:drawing>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SOCALGAS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NATURAL GAS SALES AND TRANSPORTATION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80" w:type="dxa"/>
            <w:vAlign w:val="bottom"/>
            <w:gridSpan w:val="3"/>
          </w:tcPr>
          <w:p>
            <w:pPr>
              <w:ind w:left="80"/>
              <w:spacing w:after="0"/>
              <w:rPr>
                <w:sz w:val="20"/>
                <w:szCs w:val="20"/>
                <w:color w:val="auto"/>
              </w:rPr>
            </w:pPr>
            <w:r>
              <w:rPr>
                <w:rFonts w:ascii="Arial" w:cs="Arial" w:eastAsia="Arial" w:hAnsi="Arial"/>
                <w:sz w:val="13"/>
                <w:szCs w:val="13"/>
                <w:i w:val="1"/>
                <w:iCs w:val="1"/>
                <w:color w:val="auto"/>
              </w:rPr>
              <w:t>(Volumes in billion cubic feet, dollars in millions)</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54"/>
        </w:trPr>
        <w:tc>
          <w:tcPr>
            <w:tcW w:w="202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3"/>
                <w:szCs w:val="13"/>
                <w:color w:val="auto"/>
              </w:rPr>
              <w:t>Natural Gas Sales</w:t>
            </w:r>
          </w:p>
        </w:tc>
        <w:tc>
          <w:tcPr>
            <w:tcW w:w="144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3"/>
                <w:szCs w:val="13"/>
                <w:color w:val="auto"/>
              </w:rPr>
              <w:t>Transportation</w:t>
            </w:r>
          </w:p>
        </w:tc>
        <w:tc>
          <w:tcPr>
            <w:tcW w:w="7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667"/>
              <w:spacing w:after="0"/>
              <w:rPr>
                <w:sz w:val="20"/>
                <w:szCs w:val="20"/>
                <w:color w:val="auto"/>
              </w:rPr>
            </w:pPr>
            <w:r>
              <w:rPr>
                <w:rFonts w:ascii="Arial" w:cs="Arial" w:eastAsia="Arial" w:hAnsi="Arial"/>
                <w:sz w:val="13"/>
                <w:szCs w:val="13"/>
                <w:color w:val="auto"/>
              </w:rPr>
              <w:t>Total</w:t>
            </w:r>
          </w:p>
        </w:tc>
      </w:tr>
      <w:tr>
        <w:trPr>
          <w:trHeight w:val="148"/>
        </w:trPr>
        <w:tc>
          <w:tcPr>
            <w:tcW w:w="202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color w:val="auto"/>
              </w:rPr>
              <w:t>Customer class</w:t>
            </w:r>
          </w:p>
        </w:tc>
        <w:tc>
          <w:tcPr>
            <w:tcW w:w="680" w:type="dxa"/>
            <w:vAlign w:val="bottom"/>
            <w:tcBorders>
              <w:bottom w:val="single" w:sz="8" w:color="auto"/>
            </w:tcBorders>
          </w:tcPr>
          <w:p>
            <w:pPr>
              <w:jc w:val="right"/>
              <w:ind w:right="27"/>
              <w:spacing w:after="0" w:line="148" w:lineRule="exact"/>
              <w:rPr>
                <w:sz w:val="20"/>
                <w:szCs w:val="20"/>
                <w:color w:val="auto"/>
              </w:rPr>
            </w:pPr>
            <w:r>
              <w:rPr>
                <w:rFonts w:ascii="Arial" w:cs="Arial" w:eastAsia="Arial" w:hAnsi="Arial"/>
                <w:sz w:val="13"/>
                <w:szCs w:val="13"/>
                <w:color w:val="auto"/>
              </w:rPr>
              <w:t>Volumes</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9"/>
              <w:spacing w:after="0" w:line="148" w:lineRule="exact"/>
              <w:rPr>
                <w:sz w:val="20"/>
                <w:szCs w:val="20"/>
                <w:color w:val="auto"/>
              </w:rPr>
            </w:pPr>
            <w:r>
              <w:rPr>
                <w:rFonts w:ascii="Arial" w:cs="Arial" w:eastAsia="Arial" w:hAnsi="Arial"/>
                <w:sz w:val="13"/>
                <w:szCs w:val="13"/>
                <w:color w:val="auto"/>
                <w:w w:val="96"/>
              </w:rPr>
              <w:t>Revenue</w:t>
            </w:r>
          </w:p>
        </w:tc>
        <w:tc>
          <w:tcPr>
            <w:tcW w:w="680" w:type="dxa"/>
            <w:vAlign w:val="bottom"/>
            <w:tcBorders>
              <w:bottom w:val="single" w:sz="8" w:color="auto"/>
            </w:tcBorders>
          </w:tcPr>
          <w:p>
            <w:pPr>
              <w:jc w:val="right"/>
              <w:ind w:right="29"/>
              <w:spacing w:after="0" w:line="148" w:lineRule="exact"/>
              <w:rPr>
                <w:sz w:val="20"/>
                <w:szCs w:val="20"/>
                <w:color w:val="auto"/>
              </w:rPr>
            </w:pPr>
            <w:r>
              <w:rPr>
                <w:rFonts w:ascii="Arial" w:cs="Arial" w:eastAsia="Arial" w:hAnsi="Arial"/>
                <w:sz w:val="13"/>
                <w:szCs w:val="13"/>
                <w:color w:val="auto"/>
              </w:rPr>
              <w:t>Volumes</w:t>
            </w:r>
          </w:p>
        </w:tc>
        <w:tc>
          <w:tcPr>
            <w:tcW w:w="760" w:type="dxa"/>
            <w:vAlign w:val="bottom"/>
            <w:tcBorders>
              <w:bottom w:val="single" w:sz="8" w:color="auto"/>
            </w:tcBorders>
            <w:gridSpan w:val="2"/>
          </w:tcPr>
          <w:p>
            <w:pPr>
              <w:jc w:val="right"/>
              <w:ind w:right="46"/>
              <w:spacing w:after="0" w:line="148" w:lineRule="exact"/>
              <w:rPr>
                <w:sz w:val="20"/>
                <w:szCs w:val="20"/>
                <w:color w:val="auto"/>
              </w:rPr>
            </w:pPr>
            <w:r>
              <w:rPr>
                <w:rFonts w:ascii="Arial" w:cs="Arial" w:eastAsia="Arial" w:hAnsi="Arial"/>
                <w:sz w:val="13"/>
                <w:szCs w:val="13"/>
                <w:color w:val="auto"/>
              </w:rPr>
              <w:t>Revenue</w:t>
            </w:r>
          </w:p>
        </w:tc>
        <w:tc>
          <w:tcPr>
            <w:tcW w:w="700" w:type="dxa"/>
            <w:vAlign w:val="bottom"/>
            <w:tcBorders>
              <w:bottom w:val="single" w:sz="8" w:color="auto"/>
            </w:tcBorders>
          </w:tcPr>
          <w:p>
            <w:pPr>
              <w:ind w:left="120"/>
              <w:spacing w:after="0" w:line="148" w:lineRule="exact"/>
              <w:rPr>
                <w:sz w:val="20"/>
                <w:szCs w:val="20"/>
                <w:color w:val="auto"/>
              </w:rPr>
            </w:pPr>
            <w:r>
              <w:rPr>
                <w:rFonts w:ascii="Arial" w:cs="Arial" w:eastAsia="Arial" w:hAnsi="Arial"/>
                <w:sz w:val="13"/>
                <w:szCs w:val="13"/>
                <w:color w:val="auto"/>
              </w:rPr>
              <w:t>Volumes</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07"/>
              <w:spacing w:after="0" w:line="148" w:lineRule="exact"/>
              <w:rPr>
                <w:sz w:val="20"/>
                <w:szCs w:val="20"/>
                <w:color w:val="auto"/>
              </w:rPr>
            </w:pPr>
            <w:r>
              <w:rPr>
                <w:rFonts w:ascii="Arial" w:cs="Arial" w:eastAsia="Arial" w:hAnsi="Arial"/>
                <w:sz w:val="13"/>
                <w:szCs w:val="13"/>
                <w:color w:val="auto"/>
              </w:rPr>
              <w:t>Revenue</w:t>
            </w:r>
          </w:p>
        </w:tc>
      </w:tr>
      <w:tr>
        <w:trPr>
          <w:trHeight w:val="186"/>
        </w:trPr>
        <w:tc>
          <w:tcPr>
            <w:tcW w:w="2020" w:type="dxa"/>
            <w:vAlign w:val="bottom"/>
          </w:tcPr>
          <w:p>
            <w:pPr>
              <w:ind w:left="80"/>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Arial" w:cs="Arial" w:eastAsia="Arial" w:hAnsi="Arial"/>
                <w:sz w:val="13"/>
                <w:szCs w:val="13"/>
                <w:color w:val="auto"/>
              </w:rPr>
              <w:t>&amp; nbsp;</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2"/>
        </w:trPr>
        <w:tc>
          <w:tcPr>
            <w:tcW w:w="2020" w:type="dxa"/>
            <w:vAlign w:val="bottom"/>
          </w:tcPr>
          <w:p>
            <w:pPr>
              <w:ind w:left="240"/>
              <w:spacing w:after="0"/>
              <w:rPr>
                <w:sz w:val="20"/>
                <w:szCs w:val="20"/>
                <w:color w:val="auto"/>
              </w:rPr>
            </w:pPr>
            <w:r>
              <w:rPr>
                <w:rFonts w:ascii="Arial" w:cs="Arial" w:eastAsia="Arial" w:hAnsi="Arial"/>
                <w:sz w:val="14"/>
                <w:szCs w:val="14"/>
                <w:color w:val="auto"/>
              </w:rPr>
              <w:t>Residential</w:t>
            </w:r>
          </w:p>
        </w:tc>
        <w:tc>
          <w:tcPr>
            <w:tcW w:w="680" w:type="dxa"/>
            <w:vAlign w:val="bottom"/>
          </w:tcPr>
          <w:p>
            <w:pPr>
              <w:jc w:val="right"/>
              <w:ind w:right="67"/>
              <w:spacing w:after="0"/>
              <w:rPr>
                <w:sz w:val="20"/>
                <w:szCs w:val="20"/>
                <w:color w:val="auto"/>
              </w:rPr>
            </w:pPr>
            <w:r>
              <w:rPr>
                <w:rFonts w:ascii="Arial" w:cs="Arial" w:eastAsia="Arial" w:hAnsi="Arial"/>
                <w:sz w:val="14"/>
                <w:szCs w:val="14"/>
                <w:color w:val="auto"/>
              </w:rPr>
              <w:t>172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1,683</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6"/>
              <w:spacing w:after="0"/>
              <w:rPr>
                <w:sz w:val="20"/>
                <w:szCs w:val="20"/>
                <w:color w:val="auto"/>
              </w:rPr>
            </w:pPr>
            <w:r>
              <w:rPr>
                <w:rFonts w:ascii="Arial" w:cs="Arial" w:eastAsia="Arial" w:hAnsi="Arial"/>
                <w:sz w:val="14"/>
                <w:szCs w:val="14"/>
                <w:color w:val="auto"/>
              </w:rPr>
              <w:t>2</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173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1,685</w:t>
            </w:r>
          </w:p>
        </w:tc>
      </w:tr>
      <w:tr>
        <w:trPr>
          <w:trHeight w:val="230"/>
        </w:trPr>
        <w:tc>
          <w:tcPr>
            <w:tcW w:w="2020" w:type="dxa"/>
            <w:vAlign w:val="bottom"/>
          </w:tcPr>
          <w:p>
            <w:pPr>
              <w:ind w:left="240"/>
              <w:spacing w:after="0"/>
              <w:rPr>
                <w:sz w:val="20"/>
                <w:szCs w:val="20"/>
                <w:color w:val="auto"/>
              </w:rPr>
            </w:pPr>
            <w:r>
              <w:rPr>
                <w:rFonts w:ascii="Arial" w:cs="Arial" w:eastAsia="Arial" w:hAnsi="Arial"/>
                <w:sz w:val="14"/>
                <w:szCs w:val="14"/>
                <w:color w:val="auto"/>
              </w:rPr>
              <w:t>Commercial and industrial</w:t>
            </w:r>
          </w:p>
        </w:tc>
        <w:tc>
          <w:tcPr>
            <w:tcW w:w="680" w:type="dxa"/>
            <w:vAlign w:val="bottom"/>
          </w:tcPr>
          <w:p>
            <w:pPr>
              <w:jc w:val="right"/>
              <w:ind w:right="67"/>
              <w:spacing w:after="0"/>
              <w:rPr>
                <w:sz w:val="20"/>
                <w:szCs w:val="20"/>
                <w:color w:val="auto"/>
              </w:rPr>
            </w:pPr>
            <w:r>
              <w:rPr>
                <w:rFonts w:ascii="Arial" w:cs="Arial" w:eastAsia="Arial" w:hAnsi="Arial"/>
                <w:sz w:val="19"/>
                <w:szCs w:val="19"/>
                <w:color w:val="auto"/>
              </w:rPr>
              <w:t>75</w:t>
            </w:r>
          </w:p>
        </w:tc>
        <w:tc>
          <w:tcPr>
            <w:tcW w:w="180" w:type="dxa"/>
            <w:vAlign w:val="bottom"/>
          </w:tcPr>
          <w:p>
            <w:pPr>
              <w:spacing w:after="0"/>
              <w:rPr>
                <w:sz w:val="19"/>
                <w:szCs w:val="19"/>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575</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197</w:t>
            </w:r>
          </w:p>
        </w:tc>
        <w:tc>
          <w:tcPr>
            <w:tcW w:w="300" w:type="dxa"/>
            <w:vAlign w:val="bottom"/>
          </w:tcPr>
          <w:p>
            <w:pPr>
              <w:spacing w:after="0"/>
              <w:rPr>
                <w:sz w:val="19"/>
                <w:szCs w:val="19"/>
                <w:color w:val="auto"/>
              </w:rPr>
            </w:pPr>
          </w:p>
        </w:tc>
        <w:tc>
          <w:tcPr>
            <w:tcW w:w="460" w:type="dxa"/>
            <w:vAlign w:val="bottom"/>
          </w:tcPr>
          <w:p>
            <w:pPr>
              <w:jc w:val="right"/>
              <w:ind w:right="46"/>
              <w:spacing w:after="0"/>
              <w:rPr>
                <w:sz w:val="20"/>
                <w:szCs w:val="20"/>
                <w:color w:val="auto"/>
              </w:rPr>
            </w:pPr>
            <w:r>
              <w:rPr>
                <w:rFonts w:ascii="Arial" w:cs="Arial" w:eastAsia="Arial" w:hAnsi="Arial"/>
                <w:sz w:val="14"/>
                <w:szCs w:val="14"/>
                <w:color w:val="auto"/>
              </w:rPr>
              <w:t>169</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272</w:t>
            </w:r>
          </w:p>
        </w:tc>
        <w:tc>
          <w:tcPr>
            <w:tcW w:w="220" w:type="dxa"/>
            <w:vAlign w:val="bottom"/>
          </w:tcPr>
          <w:p>
            <w:pPr>
              <w:spacing w:after="0"/>
              <w:rPr>
                <w:sz w:val="19"/>
                <w:szCs w:val="19"/>
                <w:color w:val="auto"/>
              </w:rPr>
            </w:pPr>
          </w:p>
        </w:tc>
        <w:tc>
          <w:tcPr>
            <w:tcW w:w="860" w:type="dxa"/>
            <w:vAlign w:val="bottom"/>
          </w:tcPr>
          <w:p>
            <w:pPr>
              <w:jc w:val="right"/>
              <w:ind w:right="67"/>
              <w:spacing w:after="0"/>
              <w:rPr>
                <w:sz w:val="20"/>
                <w:szCs w:val="20"/>
                <w:color w:val="auto"/>
              </w:rPr>
            </w:pPr>
            <w:r>
              <w:rPr>
                <w:rFonts w:ascii="Arial" w:cs="Arial" w:eastAsia="Arial" w:hAnsi="Arial"/>
                <w:sz w:val="14"/>
                <w:szCs w:val="14"/>
                <w:color w:val="auto"/>
              </w:rPr>
              <w:t>744</w:t>
            </w:r>
          </w:p>
        </w:tc>
      </w:tr>
      <w:tr>
        <w:trPr>
          <w:trHeight w:val="190"/>
        </w:trPr>
        <w:tc>
          <w:tcPr>
            <w:tcW w:w="2020" w:type="dxa"/>
            <w:vAlign w:val="bottom"/>
          </w:tcPr>
          <w:p>
            <w:pPr>
              <w:ind w:left="240"/>
              <w:spacing w:after="0"/>
              <w:rPr>
                <w:sz w:val="20"/>
                <w:szCs w:val="20"/>
                <w:color w:val="auto"/>
              </w:rPr>
            </w:pPr>
            <w:r>
              <w:rPr>
                <w:rFonts w:ascii="Arial" w:cs="Arial" w:eastAsia="Arial" w:hAnsi="Arial"/>
                <w:sz w:val="14"/>
                <w:szCs w:val="14"/>
                <w:color w:val="auto"/>
              </w:rPr>
              <w:t>Electric generation plants</w:t>
            </w:r>
          </w:p>
        </w:tc>
        <w:tc>
          <w:tcPr>
            <w:tcW w:w="6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132</w:t>
            </w:r>
          </w:p>
        </w:tc>
        <w:tc>
          <w:tcPr>
            <w:tcW w:w="300" w:type="dxa"/>
            <w:vAlign w:val="bottom"/>
          </w:tcPr>
          <w:p>
            <w:pPr>
              <w:spacing w:after="0"/>
              <w:rPr>
                <w:sz w:val="16"/>
                <w:szCs w:val="16"/>
                <w:color w:val="auto"/>
              </w:rPr>
            </w:pPr>
          </w:p>
        </w:tc>
        <w:tc>
          <w:tcPr>
            <w:tcW w:w="460" w:type="dxa"/>
            <w:vAlign w:val="bottom"/>
          </w:tcPr>
          <w:p>
            <w:pPr>
              <w:jc w:val="right"/>
              <w:ind w:right="46"/>
              <w:spacing w:after="0"/>
              <w:rPr>
                <w:sz w:val="20"/>
                <w:szCs w:val="20"/>
                <w:color w:val="auto"/>
              </w:rPr>
            </w:pPr>
            <w:r>
              <w:rPr>
                <w:rFonts w:ascii="Arial" w:cs="Arial" w:eastAsia="Arial" w:hAnsi="Arial"/>
                <w:sz w:val="14"/>
                <w:szCs w:val="14"/>
                <w:color w:val="auto"/>
              </w:rPr>
              <w:t>31</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6"/>
                <w:szCs w:val="16"/>
                <w:color w:val="auto"/>
              </w:rPr>
            </w:pPr>
          </w:p>
        </w:tc>
        <w:tc>
          <w:tcPr>
            <w:tcW w:w="860" w:type="dxa"/>
            <w:vAlign w:val="bottom"/>
          </w:tcPr>
          <w:p>
            <w:pPr>
              <w:jc w:val="right"/>
              <w:ind w:right="67"/>
              <w:spacing w:after="0"/>
              <w:rPr>
                <w:sz w:val="20"/>
                <w:szCs w:val="20"/>
                <w:color w:val="auto"/>
              </w:rPr>
            </w:pPr>
            <w:r>
              <w:rPr>
                <w:rFonts w:ascii="Arial" w:cs="Arial" w:eastAsia="Arial" w:hAnsi="Arial"/>
                <w:sz w:val="14"/>
                <w:szCs w:val="14"/>
                <w:color w:val="auto"/>
              </w:rPr>
              <w:t>31</w:t>
            </w:r>
          </w:p>
        </w:tc>
      </w:tr>
      <w:tr>
        <w:trPr>
          <w:trHeight w:val="186"/>
        </w:trPr>
        <w:tc>
          <w:tcPr>
            <w:tcW w:w="2020" w:type="dxa"/>
            <w:vAlign w:val="bottom"/>
          </w:tcPr>
          <w:p>
            <w:pPr>
              <w:ind w:left="240"/>
              <w:spacing w:after="0"/>
              <w:rPr>
                <w:sz w:val="20"/>
                <w:szCs w:val="20"/>
                <w:color w:val="auto"/>
              </w:rPr>
            </w:pPr>
            <w:r>
              <w:rPr>
                <w:rFonts w:ascii="Arial" w:cs="Arial" w:eastAsia="Arial" w:hAnsi="Arial"/>
                <w:sz w:val="14"/>
                <w:szCs w:val="14"/>
                <w:color w:val="auto"/>
              </w:rPr>
              <w:t>Wholesale</w:t>
            </w:r>
          </w:p>
        </w:tc>
        <w:tc>
          <w:tcPr>
            <w:tcW w:w="6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108</w:t>
            </w:r>
          </w:p>
        </w:tc>
        <w:tc>
          <w:tcPr>
            <w:tcW w:w="3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11</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108</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11</w:t>
            </w:r>
          </w:p>
        </w:tc>
      </w:tr>
      <w:tr>
        <w:trPr>
          <w:trHeight w:val="178"/>
        </w:trPr>
        <w:tc>
          <w:tcPr>
            <w:tcW w:w="2020" w:type="dxa"/>
            <w:vAlign w:val="bottom"/>
          </w:tcPr>
          <w:p>
            <w:pPr>
              <w:spacing w:after="0"/>
              <w:rPr>
                <w:sz w:val="15"/>
                <w:szCs w:val="15"/>
                <w:color w:val="auto"/>
              </w:rPr>
            </w:pPr>
          </w:p>
        </w:tc>
        <w:tc>
          <w:tcPr>
            <w:tcW w:w="680" w:type="dxa"/>
            <w:vAlign w:val="bottom"/>
          </w:tcPr>
          <w:p>
            <w:pPr>
              <w:jc w:val="right"/>
              <w:ind w:right="67"/>
              <w:spacing w:after="0"/>
              <w:rPr>
                <w:sz w:val="20"/>
                <w:szCs w:val="20"/>
                <w:color w:val="auto"/>
              </w:rPr>
            </w:pPr>
            <w:r>
              <w:rPr>
                <w:rFonts w:ascii="Arial" w:cs="Arial" w:eastAsia="Arial" w:hAnsi="Arial"/>
                <w:sz w:val="14"/>
                <w:szCs w:val="14"/>
                <w:color w:val="auto"/>
              </w:rPr>
              <w:t>247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2,258</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438</w:t>
            </w:r>
          </w:p>
        </w:tc>
        <w:tc>
          <w:tcPr>
            <w:tcW w:w="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6"/>
              <w:spacing w:after="0"/>
              <w:rPr>
                <w:sz w:val="20"/>
                <w:szCs w:val="20"/>
                <w:color w:val="auto"/>
              </w:rPr>
            </w:pPr>
            <w:r>
              <w:rPr>
                <w:rFonts w:ascii="Arial" w:cs="Arial" w:eastAsia="Arial" w:hAnsi="Arial"/>
                <w:sz w:val="14"/>
                <w:szCs w:val="14"/>
                <w:color w:val="auto"/>
              </w:rPr>
              <w:t>213</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685</w:t>
            </w:r>
          </w:p>
        </w:tc>
        <w:tc>
          <w:tcPr>
            <w:tcW w:w="220" w:type="dxa"/>
            <w:vAlign w:val="bottom"/>
          </w:tcPr>
          <w:p>
            <w:pPr>
              <w:spacing w:after="0"/>
              <w:rPr>
                <w:sz w:val="15"/>
                <w:szCs w:val="15"/>
                <w:color w:val="auto"/>
              </w:rPr>
            </w:pPr>
          </w:p>
        </w:tc>
        <w:tc>
          <w:tcPr>
            <w:tcW w:w="860" w:type="dxa"/>
            <w:vAlign w:val="bottom"/>
          </w:tcPr>
          <w:p>
            <w:pPr>
              <w:jc w:val="right"/>
              <w:ind w:right="67"/>
              <w:spacing w:after="0"/>
              <w:rPr>
                <w:sz w:val="20"/>
                <w:szCs w:val="20"/>
                <w:color w:val="auto"/>
              </w:rPr>
            </w:pPr>
            <w:r>
              <w:rPr>
                <w:rFonts w:ascii="Arial" w:cs="Arial" w:eastAsia="Arial" w:hAnsi="Arial"/>
                <w:sz w:val="14"/>
                <w:szCs w:val="14"/>
                <w:color w:val="auto"/>
              </w:rPr>
              <w:t>2,471</w:t>
            </w:r>
          </w:p>
        </w:tc>
      </w:tr>
      <w:tr>
        <w:trPr>
          <w:trHeight w:val="192"/>
        </w:trPr>
        <w:tc>
          <w:tcPr>
            <w:tcW w:w="2020" w:type="dxa"/>
            <w:vAlign w:val="bottom"/>
          </w:tcPr>
          <w:p>
            <w:pPr>
              <w:ind w:left="240"/>
              <w:spacing w:after="0"/>
              <w:rPr>
                <w:sz w:val="20"/>
                <w:szCs w:val="20"/>
                <w:color w:val="auto"/>
              </w:rPr>
            </w:pPr>
            <w:r>
              <w:rPr>
                <w:rFonts w:ascii="Arial" w:cs="Arial" w:eastAsia="Arial" w:hAnsi="Arial"/>
                <w:sz w:val="14"/>
                <w:szCs w:val="14"/>
                <w:color w:val="auto"/>
              </w:rPr>
              <w:t>Other revenues&lt; /font&gt;</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gridSpan w:val="2"/>
          </w:tcPr>
          <w:p>
            <w:pPr>
              <w:jc w:val="right"/>
              <w:ind w:right="707"/>
              <w:spacing w:after="0"/>
              <w:rPr>
                <w:sz w:val="20"/>
                <w:szCs w:val="20"/>
                <w:color w:val="auto"/>
              </w:rPr>
            </w:pPr>
            <w:r>
              <w:rPr>
                <w:rFonts w:ascii="Arial" w:cs="Arial" w:eastAsia="Arial" w:hAnsi="Arial"/>
                <w:sz w:val="14"/>
                <w:szCs w:val="14"/>
                <w:color w:val="auto"/>
              </w:rPr>
              <w:t>67</w:t>
            </w:r>
          </w:p>
        </w:tc>
      </w:tr>
      <w:tr>
        <w:trPr>
          <w:trHeight w:val="186"/>
        </w:trPr>
        <w:tc>
          <w:tcPr>
            <w:tcW w:w="2020" w:type="dxa"/>
            <w:vAlign w:val="bottom"/>
          </w:tcPr>
          <w:p>
            <w:pPr>
              <w:ind w:left="240"/>
              <w:spacing w:after="0"/>
              <w:rPr>
                <w:sz w:val="20"/>
                <w:szCs w:val="20"/>
                <w:color w:val="auto"/>
              </w:rPr>
            </w:pPr>
            <w:r>
              <w:rPr>
                <w:rFonts w:ascii="Arial" w:cs="Arial" w:eastAsia="Arial" w:hAnsi="Arial"/>
                <w:sz w:val="14"/>
                <w:szCs w:val="14"/>
                <w:color w:val="auto"/>
              </w:rPr>
              <w:t>Balancing accounts</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254</w:t>
            </w:r>
          </w:p>
        </w:tc>
      </w:tr>
      <w:tr>
        <w:trPr>
          <w:trHeight w:val="176"/>
        </w:trPr>
        <w:tc>
          <w:tcPr>
            <w:tcW w:w="20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Total(1)</w:t>
            </w: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2,792</w:t>
            </w:r>
          </w:p>
        </w:tc>
      </w:tr>
      <w:tr>
        <w:trPr>
          <w:trHeight w:val="174"/>
        </w:trPr>
        <w:tc>
          <w:tcPr>
            <w:tcW w:w="2020" w:type="dxa"/>
            <w:vAlign w:val="bottom"/>
          </w:tcPr>
          <w:p>
            <w:pPr>
              <w:ind w:left="80"/>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2"/>
        </w:trPr>
        <w:tc>
          <w:tcPr>
            <w:tcW w:w="2020" w:type="dxa"/>
            <w:vAlign w:val="bottom"/>
          </w:tcPr>
          <w:p>
            <w:pPr>
              <w:ind w:left="240"/>
              <w:spacing w:after="0"/>
              <w:rPr>
                <w:sz w:val="20"/>
                <w:szCs w:val="20"/>
                <w:color w:val="auto"/>
              </w:rPr>
            </w:pPr>
            <w:r>
              <w:rPr>
                <w:rFonts w:ascii="Arial" w:cs="Arial" w:eastAsia="Arial" w:hAnsi="Arial"/>
                <w:sz w:val="14"/>
                <w:szCs w:val="14"/>
                <w:color w:val="auto"/>
              </w:rPr>
              <w:t>Residential</w:t>
            </w:r>
          </w:p>
        </w:tc>
        <w:tc>
          <w:tcPr>
            <w:tcW w:w="680" w:type="dxa"/>
            <w:vAlign w:val="bottom"/>
          </w:tcPr>
          <w:p>
            <w:pPr>
              <w:jc w:val="right"/>
              <w:ind w:right="67"/>
              <w:spacing w:after="0"/>
              <w:rPr>
                <w:sz w:val="20"/>
                <w:szCs w:val="20"/>
                <w:color w:val="auto"/>
              </w:rPr>
            </w:pPr>
            <w:r>
              <w:rPr>
                <w:rFonts w:ascii="Arial" w:cs="Arial" w:eastAsia="Arial" w:hAnsi="Arial"/>
                <w:sz w:val="14"/>
                <w:szCs w:val="14"/>
                <w:color w:val="auto"/>
              </w:rPr>
              <w:t>164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1,394</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6"/>
              <w:spacing w:after="0"/>
              <w:rPr>
                <w:sz w:val="20"/>
                <w:szCs w:val="20"/>
                <w:color w:val="auto"/>
              </w:rPr>
            </w:pPr>
            <w:r>
              <w:rPr>
                <w:rFonts w:ascii="Arial" w:cs="Arial" w:eastAsia="Arial" w:hAnsi="Arial"/>
                <w:sz w:val="14"/>
                <w:szCs w:val="14"/>
                <w:color w:val="auto"/>
              </w:rPr>
              <w:t>2</w:t>
            </w:r>
          </w:p>
        </w:tc>
        <w:tc>
          <w:tcPr>
            <w:tcW w:w="700" w:type="dxa"/>
            <w:vAlign w:val="bottom"/>
          </w:tcPr>
          <w:p>
            <w:pPr>
              <w:jc w:val="right"/>
              <w:spacing w:after="0"/>
              <w:rPr>
                <w:sz w:val="20"/>
                <w:szCs w:val="20"/>
                <w:color w:val="auto"/>
              </w:rPr>
            </w:pPr>
            <w:r>
              <w:rPr>
                <w:rFonts w:ascii="Arial" w:cs="Arial" w:eastAsia="Arial" w:hAnsi="Arial"/>
                <w:sz w:val="14"/>
                <w:szCs w:val="14"/>
                <w:color w:val="auto"/>
              </w:rPr>
              <w:t>165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7"/>
              <w:spacing w:after="0"/>
              <w:rPr>
                <w:sz w:val="20"/>
                <w:szCs w:val="20"/>
                <w:color w:val="auto"/>
              </w:rPr>
            </w:pPr>
            <w:r>
              <w:rPr>
                <w:rFonts w:ascii="Arial" w:cs="Arial" w:eastAsia="Arial" w:hAnsi="Arial"/>
                <w:sz w:val="14"/>
                <w:szCs w:val="14"/>
                <w:color w:val="auto"/>
              </w:rPr>
              <w:t>1,396</w:t>
            </w:r>
          </w:p>
        </w:tc>
      </w:tr>
      <w:tr>
        <w:trPr>
          <w:trHeight w:val="180"/>
        </w:trPr>
        <w:tc>
          <w:tcPr>
            <w:tcW w:w="2020" w:type="dxa"/>
            <w:vAlign w:val="bottom"/>
          </w:tcPr>
          <w:p>
            <w:pPr>
              <w:ind w:left="240"/>
              <w:spacing w:after="0"/>
              <w:rPr>
                <w:sz w:val="20"/>
                <w:szCs w:val="20"/>
                <w:color w:val="auto"/>
              </w:rPr>
            </w:pPr>
            <w:r>
              <w:rPr>
                <w:rFonts w:ascii="Arial" w:cs="Arial" w:eastAsia="Arial" w:hAnsi="Arial"/>
                <w:sz w:val="14"/>
                <w:szCs w:val="14"/>
                <w:color w:val="auto"/>
              </w:rPr>
              <w:t>Commercial and industrial</w:t>
            </w:r>
          </w:p>
        </w:tc>
        <w:tc>
          <w:tcPr>
            <w:tcW w:w="680" w:type="dxa"/>
            <w:vAlign w:val="bottom"/>
          </w:tcPr>
          <w:p>
            <w:pPr>
              <w:jc w:val="right"/>
              <w:ind w:right="67"/>
              <w:spacing w:after="0"/>
              <w:rPr>
                <w:sz w:val="20"/>
                <w:szCs w:val="20"/>
                <w:color w:val="auto"/>
              </w:rPr>
            </w:pPr>
            <w:r>
              <w:rPr>
                <w:rFonts w:ascii="Arial" w:cs="Arial" w:eastAsia="Arial" w:hAnsi="Arial"/>
                <w:sz w:val="14"/>
                <w:szCs w:val="14"/>
                <w:color w:val="auto"/>
              </w:rPr>
              <w:t>74</w:t>
            </w:r>
          </w:p>
        </w:tc>
        <w:tc>
          <w:tcPr>
            <w:tcW w:w="180" w:type="dxa"/>
            <w:vAlign w:val="bottom"/>
          </w:tcPr>
          <w:p>
            <w:pPr>
              <w:spacing w:after="0"/>
              <w:rPr>
                <w:sz w:val="15"/>
                <w:szCs w:val="15"/>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477</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200</w:t>
            </w:r>
          </w:p>
        </w:tc>
        <w:tc>
          <w:tcPr>
            <w:tcW w:w="300" w:type="dxa"/>
            <w:vAlign w:val="bottom"/>
          </w:tcPr>
          <w:p>
            <w:pPr>
              <w:spacing w:after="0"/>
              <w:rPr>
                <w:sz w:val="15"/>
                <w:szCs w:val="15"/>
                <w:color w:val="auto"/>
              </w:rPr>
            </w:pPr>
          </w:p>
        </w:tc>
        <w:tc>
          <w:tcPr>
            <w:tcW w:w="460" w:type="dxa"/>
            <w:vAlign w:val="bottom"/>
          </w:tcPr>
          <w:p>
            <w:pPr>
              <w:jc w:val="right"/>
              <w:ind w:right="46"/>
              <w:spacing w:after="0"/>
              <w:rPr>
                <w:sz w:val="20"/>
                <w:szCs w:val="20"/>
                <w:color w:val="auto"/>
              </w:rPr>
            </w:pPr>
            <w:r>
              <w:rPr>
                <w:rFonts w:ascii="Arial" w:cs="Arial" w:eastAsia="Arial" w:hAnsi="Arial"/>
                <w:sz w:val="14"/>
                <w:szCs w:val="14"/>
                <w:color w:val="auto"/>
              </w:rPr>
              <w:t>157</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274</w:t>
            </w:r>
          </w:p>
        </w:tc>
        <w:tc>
          <w:tcPr>
            <w:tcW w:w="220" w:type="dxa"/>
            <w:vAlign w:val="bottom"/>
          </w:tcPr>
          <w:p>
            <w:pPr>
              <w:spacing w:after="0"/>
              <w:rPr>
                <w:sz w:val="15"/>
                <w:szCs w:val="15"/>
                <w:color w:val="auto"/>
              </w:rPr>
            </w:pPr>
          </w:p>
        </w:tc>
        <w:tc>
          <w:tcPr>
            <w:tcW w:w="860" w:type="dxa"/>
            <w:vAlign w:val="bottom"/>
          </w:tcPr>
          <w:p>
            <w:pPr>
              <w:jc w:val="right"/>
              <w:ind w:right="67"/>
              <w:spacing w:after="0"/>
              <w:rPr>
                <w:sz w:val="20"/>
                <w:szCs w:val="20"/>
                <w:color w:val="auto"/>
              </w:rPr>
            </w:pPr>
            <w:r>
              <w:rPr>
                <w:rFonts w:ascii="Arial" w:cs="Arial" w:eastAsia="Arial" w:hAnsi="Arial"/>
                <w:sz w:val="14"/>
                <w:szCs w:val="14"/>
                <w:color w:val="auto"/>
              </w:rPr>
              <w:t>634</w:t>
            </w:r>
          </w:p>
        </w:tc>
      </w:tr>
      <w:tr>
        <w:trPr>
          <w:trHeight w:val="230"/>
        </w:trPr>
        <w:tc>
          <w:tcPr>
            <w:tcW w:w="2020" w:type="dxa"/>
            <w:vAlign w:val="bottom"/>
          </w:tcPr>
          <w:p>
            <w:pPr>
              <w:ind w:left="240"/>
              <w:spacing w:after="0"/>
              <w:rPr>
                <w:sz w:val="20"/>
                <w:szCs w:val="20"/>
                <w:color w:val="auto"/>
              </w:rPr>
            </w:pPr>
            <w:r>
              <w:rPr>
                <w:rFonts w:ascii="Arial" w:cs="Arial" w:eastAsia="Arial" w:hAnsi="Arial"/>
                <w:sz w:val="14"/>
                <w:szCs w:val="14"/>
                <w:color w:val="auto"/>
              </w:rPr>
              <w:t>Electric generation plants</w:t>
            </w:r>
          </w:p>
        </w:tc>
        <w:tc>
          <w:tcPr>
            <w:tcW w:w="6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158</w:t>
            </w:r>
          </w:p>
        </w:tc>
        <w:tc>
          <w:tcPr>
            <w:tcW w:w="300" w:type="dxa"/>
            <w:vAlign w:val="bottom"/>
          </w:tcPr>
          <w:p>
            <w:pPr>
              <w:spacing w:after="0"/>
              <w:rPr>
                <w:sz w:val="19"/>
                <w:szCs w:val="19"/>
                <w:color w:val="auto"/>
              </w:rPr>
            </w:pPr>
          </w:p>
        </w:tc>
        <w:tc>
          <w:tcPr>
            <w:tcW w:w="460" w:type="dxa"/>
            <w:vAlign w:val="bottom"/>
          </w:tcPr>
          <w:p>
            <w:pPr>
              <w:jc w:val="right"/>
              <w:ind w:right="46"/>
              <w:spacing w:after="0"/>
              <w:rPr>
                <w:sz w:val="20"/>
                <w:szCs w:val="20"/>
                <w:color w:val="auto"/>
              </w:rPr>
            </w:pPr>
            <w:r>
              <w:rPr>
                <w:rFonts w:ascii="Arial" w:cs="Arial" w:eastAsia="Arial" w:hAnsi="Arial"/>
                <w:sz w:val="19"/>
                <w:szCs w:val="19"/>
                <w:color w:val="auto"/>
              </w:rPr>
              <w:t>38</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158</w:t>
            </w:r>
          </w:p>
        </w:tc>
        <w:tc>
          <w:tcPr>
            <w:tcW w:w="220" w:type="dxa"/>
            <w:vAlign w:val="bottom"/>
          </w:tcPr>
          <w:p>
            <w:pPr>
              <w:spacing w:after="0"/>
              <w:rPr>
                <w:sz w:val="19"/>
                <w:szCs w:val="19"/>
                <w:color w:val="auto"/>
              </w:rPr>
            </w:pPr>
          </w:p>
        </w:tc>
        <w:tc>
          <w:tcPr>
            <w:tcW w:w="860" w:type="dxa"/>
            <w:vAlign w:val="bottom"/>
          </w:tcPr>
          <w:p>
            <w:pPr>
              <w:jc w:val="right"/>
              <w:ind w:right="67"/>
              <w:spacing w:after="0"/>
              <w:rPr>
                <w:sz w:val="20"/>
                <w:szCs w:val="20"/>
                <w:color w:val="auto"/>
              </w:rPr>
            </w:pPr>
            <w:r>
              <w:rPr>
                <w:rFonts w:ascii="Arial" w:cs="Arial" w:eastAsia="Arial" w:hAnsi="Arial"/>
                <w:sz w:val="14"/>
                <w:szCs w:val="14"/>
                <w:color w:val="auto"/>
              </w:rPr>
              <w:t>38</w:t>
            </w:r>
          </w:p>
        </w:tc>
      </w:tr>
      <w:tr>
        <w:trPr>
          <w:trHeight w:val="184"/>
        </w:trPr>
        <w:tc>
          <w:tcPr>
            <w:tcW w:w="2020" w:type="dxa"/>
            <w:vAlign w:val="bottom"/>
          </w:tcPr>
          <w:p>
            <w:pPr>
              <w:ind w:left="240"/>
              <w:spacing w:after="0"/>
              <w:rPr>
                <w:sz w:val="20"/>
                <w:szCs w:val="20"/>
                <w:color w:val="auto"/>
              </w:rPr>
            </w:pPr>
            <w:r>
              <w:rPr>
                <w:rFonts w:ascii="Arial" w:cs="Arial" w:eastAsia="Arial" w:hAnsi="Arial"/>
                <w:sz w:val="14"/>
                <w:szCs w:val="14"/>
                <w:color w:val="auto"/>
              </w:rPr>
              <w:t>Wholesale</w:t>
            </w:r>
          </w:p>
        </w:tc>
        <w:tc>
          <w:tcPr>
            <w:tcW w:w="6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99</w:t>
            </w:r>
          </w:p>
        </w:tc>
        <w:tc>
          <w:tcPr>
            <w:tcW w:w="3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10</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99</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10</w:t>
            </w:r>
          </w:p>
        </w:tc>
      </w:tr>
      <w:tr>
        <w:trPr>
          <w:trHeight w:val="178"/>
        </w:trPr>
        <w:tc>
          <w:tcPr>
            <w:tcW w:w="2020" w:type="dxa"/>
            <w:vAlign w:val="bottom"/>
          </w:tcPr>
          <w:p>
            <w:pPr>
              <w:spacing w:after="0"/>
              <w:rPr>
                <w:sz w:val="15"/>
                <w:szCs w:val="15"/>
                <w:color w:val="auto"/>
              </w:rPr>
            </w:pPr>
          </w:p>
        </w:tc>
        <w:tc>
          <w:tcPr>
            <w:tcW w:w="680" w:type="dxa"/>
            <w:vAlign w:val="bottom"/>
          </w:tcPr>
          <w:p>
            <w:pPr>
              <w:jc w:val="right"/>
              <w:ind w:right="67"/>
              <w:spacing w:after="0"/>
              <w:rPr>
                <w:sz w:val="20"/>
                <w:szCs w:val="20"/>
                <w:color w:val="auto"/>
              </w:rPr>
            </w:pPr>
            <w:r>
              <w:rPr>
                <w:rFonts w:ascii="Arial" w:cs="Arial" w:eastAsia="Arial" w:hAnsi="Arial"/>
                <w:sz w:val="14"/>
                <w:szCs w:val="14"/>
                <w:color w:val="auto"/>
              </w:rPr>
              <w:t>238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1,871</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458</w:t>
            </w:r>
          </w:p>
        </w:tc>
        <w:tc>
          <w:tcPr>
            <w:tcW w:w="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6"/>
              <w:spacing w:after="0"/>
              <w:rPr>
                <w:sz w:val="20"/>
                <w:szCs w:val="20"/>
                <w:color w:val="auto"/>
              </w:rPr>
            </w:pPr>
            <w:r>
              <w:rPr>
                <w:rFonts w:ascii="Arial" w:cs="Arial" w:eastAsia="Arial" w:hAnsi="Arial"/>
                <w:sz w:val="14"/>
                <w:szCs w:val="14"/>
                <w:color w:val="auto"/>
              </w:rPr>
              <w:t>207</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696</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2,078</w:t>
            </w:r>
          </w:p>
        </w:tc>
      </w:tr>
      <w:tr>
        <w:trPr>
          <w:trHeight w:val="180"/>
        </w:trPr>
        <w:tc>
          <w:tcPr>
            <w:tcW w:w="2020" w:type="dxa"/>
            <w:vAlign w:val="bottom"/>
          </w:tcPr>
          <w:p>
            <w:pPr>
              <w:ind w:left="240"/>
              <w:spacing w:after="0"/>
              <w:rPr>
                <w:sz w:val="20"/>
                <w:szCs w:val="20"/>
                <w:color w:val="auto"/>
              </w:rPr>
            </w:pPr>
            <w:r>
              <w:rPr>
                <w:rFonts w:ascii="Arial" w:cs="Arial" w:eastAsia="Arial" w:hAnsi="Arial"/>
                <w:sz w:val="14"/>
                <w:szCs w:val="14"/>
                <w:color w:val="auto"/>
              </w:rPr>
              <w:t>Other revenues</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67"/>
              <w:spacing w:after="0"/>
              <w:rPr>
                <w:sz w:val="20"/>
                <w:szCs w:val="20"/>
                <w:color w:val="auto"/>
              </w:rPr>
            </w:pPr>
            <w:r>
              <w:rPr>
                <w:rFonts w:ascii="Arial" w:cs="Arial" w:eastAsia="Arial" w:hAnsi="Arial"/>
                <w:sz w:val="14"/>
                <w:szCs w:val="14"/>
                <w:color w:val="auto"/>
              </w:rPr>
              <w:t>67</w:t>
            </w:r>
          </w:p>
        </w:tc>
      </w:tr>
      <w:tr>
        <w:trPr>
          <w:trHeight w:val="222"/>
        </w:trPr>
        <w:tc>
          <w:tcPr>
            <w:tcW w:w="2020" w:type="dxa"/>
            <w:vAlign w:val="bottom"/>
          </w:tcPr>
          <w:p>
            <w:pPr>
              <w:ind w:left="240"/>
              <w:spacing w:after="0"/>
              <w:rPr>
                <w:sz w:val="20"/>
                <w:szCs w:val="20"/>
                <w:color w:val="auto"/>
              </w:rPr>
            </w:pPr>
            <w:r>
              <w:rPr>
                <w:rFonts w:ascii="Arial" w:cs="Arial" w:eastAsia="Arial" w:hAnsi="Arial"/>
                <w:sz w:val="14"/>
                <w:szCs w:val="14"/>
                <w:color w:val="auto"/>
              </w:rPr>
              <w:t>Balancing accounts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7"/>
              <w:spacing w:after="0"/>
              <w:rPr>
                <w:sz w:val="20"/>
                <w:szCs w:val="20"/>
                <w:color w:val="auto"/>
              </w:rPr>
            </w:pPr>
            <w:r>
              <w:rPr>
                <w:rFonts w:ascii="Arial" w:cs="Arial" w:eastAsia="Arial" w:hAnsi="Arial"/>
                <w:sz w:val="19"/>
                <w:szCs w:val="19"/>
                <w:color w:val="auto"/>
              </w:rPr>
              <w:t>131</w:t>
            </w:r>
          </w:p>
        </w:tc>
      </w:tr>
      <w:tr>
        <w:trPr>
          <w:trHeight w:val="176"/>
        </w:trPr>
        <w:tc>
          <w:tcPr>
            <w:tcW w:w="20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Total(1)</w:t>
            </w: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2,276</w:t>
            </w:r>
          </w:p>
        </w:tc>
      </w:tr>
    </w:tbl>
    <w:p>
      <w:pPr>
        <w:ind w:left="80"/>
        <w:spacing w:after="0"/>
        <w:rPr>
          <w:sz w:val="20"/>
          <w:szCs w:val="20"/>
          <w:color w:val="auto"/>
        </w:rPr>
      </w:pPr>
      <w:r>
        <w:rPr>
          <w:rFonts w:ascii="Arial" w:cs="Arial" w:eastAsia="Arial" w:hAnsi="Arial"/>
          <w:sz w:val="13"/>
          <w:szCs w:val="13"/>
          <w:i w:val="1"/>
          <w:iCs w:val="1"/>
          <w:color w:val="auto"/>
        </w:rPr>
        <w:t>(1) Includes sales to affiliates of $32 million i n 2010 and $24 million in 2009.</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September 30, 2010, SoCalGas' revenues increased by $114 million (17%) to $776 million, and the cost of natural gas increased by $72 million (40%)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$252 million. The increase in revenues was primarily due to:</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increase in cost of natural gas, which was caused primarily by higher natural gas prices, as we discuss below;</w:t>
      </w:r>
    </w:p>
    <w:p>
      <w:pPr>
        <w:spacing w:after="0" w:line="56" w:lineRule="exact"/>
        <w:rPr>
          <w:sz w:val="20"/>
          <w:szCs w:val="20"/>
          <w:color w:val="auto"/>
        </w:rPr>
      </w:pPr>
    </w:p>
    <w:p>
      <w:pPr>
        <w:ind w:left="140" w:right="2980"/>
        <w:spacing w:after="0" w:line="414" w:lineRule="auto"/>
        <w:rPr>
          <w:sz w:val="20"/>
          <w:szCs w:val="20"/>
          <w:color w:val="auto"/>
        </w:rPr>
      </w:pPr>
      <w:r>
        <w:rPr>
          <w:rFonts w:ascii="Arial" w:cs="Arial" w:eastAsia="Arial" w:hAnsi="Arial"/>
          <w:sz w:val="14"/>
          <w:szCs w:val="14"/>
          <w:color w:val="auto"/>
        </w:rPr>
        <w:t>§$25 million higher CPUC-authorized cost recovery, for which revenues are fully offset in operation and maintenance expenses; and §$13 million higher authorized base margin in accordance with the CPUC's 2008 General Rate Case (GRC) decision.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During the nine months ended September 30, 2010, SoCalGas’ revenues increased by $516 million (23%) to $2.8 billion, and the cost of natural gas increased by $395 million (47%)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$1.2 billion. The increase in revenues was primarily due to:</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increase in cost of natural gas, which was caused primarily by higher natural gas prices, as we discuss below;</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§$60 million higher CPUC-authorized cost recovery, for which revenues are fully offset in operation and maintenance expenses; and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§$39 million higher authorized base margin in accordance with the CPUC's 2008 GRC decision.</w:t>
      </w:r>
    </w:p>
    <w:p>
      <w:pPr>
        <w:spacing w:after="0" w:line="200" w:lineRule="exact"/>
        <w:rPr>
          <w:sz w:val="20"/>
          <w:szCs w:val="20"/>
          <w:color w:val="auto"/>
        </w:rPr>
      </w:pPr>
    </w:p>
    <w:p>
      <w:pPr>
        <w:ind w:right="240"/>
        <w:spacing w:after="0" w:line="314" w:lineRule="auto"/>
        <w:rPr>
          <w:sz w:val="20"/>
          <w:szCs w:val="20"/>
          <w:color w:val="auto"/>
        </w:rPr>
      </w:pPr>
      <w:r>
        <w:rPr>
          <w:rFonts w:ascii="Arial" w:cs="Arial" w:eastAsia="Arial" w:hAnsi="Arial"/>
          <w:sz w:val="14"/>
          <w:szCs w:val="14"/>
          <w:color w:val="auto"/>
        </w:rPr>
        <w:t>SoCalGas' average cost of natural gas for the three months ended September 30, 2010 was $4.40 per Mcf compared to $3.36 per Mcf for the corresponding period in 2009, a 31-percent increase of $1.04 per Mcf, resulting in higher revenues and cost of $59 million. For the nine months ended September 30, 2010, SoCalGas' average cost of natural gas was $5.04 per Mcf compared to $3.57 per Mcf for the corresponding period in 2009, a 41-percent increase of $1.47 per Mcf, resulting in higher revenues and cost of $362 million.</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and SDG&amp;E: Electric Revenues and Cost of Electric Fuel and Purchased Power</w:t>
      </w:r>
    </w:p>
    <w:p>
      <w:pPr>
        <w:spacing w:after="0" w:line="56" w:lineRule="exact"/>
        <w:rPr>
          <w:sz w:val="20"/>
          <w:szCs w:val="20"/>
          <w:color w:val="auto"/>
        </w:rPr>
      </w:pPr>
    </w:p>
    <w:p>
      <w:pPr>
        <w:ind w:right="500"/>
        <w:spacing w:after="0" w:line="270" w:lineRule="auto"/>
        <w:rPr>
          <w:sz w:val="20"/>
          <w:szCs w:val="20"/>
          <w:color w:val="auto"/>
        </w:rPr>
      </w:pPr>
      <w:r>
        <w:rPr>
          <w:rFonts w:ascii="Arial" w:cs="Arial" w:eastAsia="Arial" w:hAnsi="Arial"/>
          <w:sz w:val="16"/>
          <w:szCs w:val="16"/>
          <w:color w:val="auto"/>
        </w:rPr>
        <w:t>The table below shows electric revenues for Sempra Energy and SDG&amp;E. Sempra Energy amounts are shown after eliminating intercompany transactions. Because the cost of electricity is substantially recovered in rates, changes in the cost are reflected in the changes in revenues.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September 30, 2010, electric revenues increased by $24 million (3%) to $717 million at Sempra Energy and by $23 million (3%) to $718 million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SDG&amp;E. The increase in revenues was primarily due to:</w:t>
      </w:r>
    </w:p>
    <w:p>
      <w:pPr>
        <w:spacing w:after="0" w:line="49" w:lineRule="exact"/>
        <w:rPr>
          <w:sz w:val="20"/>
          <w:szCs w:val="20"/>
          <w:color w:val="auto"/>
        </w:rPr>
      </w:pPr>
    </w:p>
    <w:p>
      <w:pPr>
        <w:ind w:left="140" w:right="1140"/>
        <w:spacing w:after="0" w:line="270" w:lineRule="auto"/>
        <w:rPr>
          <w:sz w:val="20"/>
          <w:szCs w:val="20"/>
          <w:color w:val="auto"/>
        </w:rPr>
      </w:pPr>
      <w:r>
        <w:rPr>
          <w:rFonts w:ascii="Arial" w:cs="Arial" w:eastAsia="Arial" w:hAnsi="Arial"/>
          <w:sz w:val="16"/>
          <w:szCs w:val="16"/>
          <w:color w:val="auto"/>
        </w:rPr>
        <w:t>§$16 million increase due to tolling payments and natural gas supply costs in 2010 associated with the power generated by Otay Mesa VIE in excess of purchased power costs in 2009 for the equivalent amount of power;</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§$15 million higher authorized transmission and electric generation margins;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§$9 million higher authorized base margin on electric distribution; and</w:t>
      </w:r>
    </w:p>
    <w:p>
      <w:pPr>
        <w:sectPr>
          <w:pgSz w:w="11900" w:h="16838" w:orient="portrait"/>
          <w:cols w:equalWidth="0" w:num="1">
            <w:col w:w="11400"/>
          </w:cols>
          <w:pgMar w:left="240" w:top="141" w:right="259" w:bottom="0" w:gutter="0" w:footer="0" w:header="0"/>
        </w:sectPr>
      </w:pPr>
    </w:p>
    <w:bookmarkStart w:id="50" w:name="page51"/>
    <w:bookmarkEnd w:id="50"/>
    <w:p>
      <w:pPr>
        <w:spacing w:after="0" w:line="31" w:lineRule="exact"/>
        <w:rPr>
          <w:sz w:val="20"/>
          <w:szCs w:val="20"/>
          <w:color w:val="auto"/>
        </w:rPr>
      </w:pPr>
    </w:p>
    <w:p>
      <w:pPr>
        <w:jc w:val="both"/>
        <w:ind w:left="140" w:right="4660"/>
        <w:spacing w:after="0" w:line="389" w:lineRule="auto"/>
        <w:rPr>
          <w:sz w:val="20"/>
          <w:szCs w:val="20"/>
          <w:color w:val="auto"/>
        </w:rPr>
      </w:pPr>
      <w:r>
        <w:rPr>
          <w:rFonts w:ascii="Arial" w:cs="Arial" w:eastAsia="Arial" w:hAnsi="Arial"/>
          <w:sz w:val="14"/>
          <w:szCs w:val="14"/>
          <w:color w:val="auto"/>
        </w:rPr>
        <w:t xml:space="preserve">§$6 million increase in the cost of electric fuel and purchased power excluding Otay Mesa VIE; </w:t>
      </w:r>
      <w:r>
        <w:rPr>
          <w:rFonts w:ascii="Arial" w:cs="Arial" w:eastAsia="Arial" w:hAnsi="Arial"/>
          <w:sz w:val="14"/>
          <w:szCs w:val="14"/>
          <w:b w:val="1"/>
          <w:bCs w:val="1"/>
          <w:color w:val="auto"/>
        </w:rPr>
        <w:t>offset by</w:t>
      </w:r>
      <w:r>
        <w:rPr>
          <w:rFonts w:ascii="Arial" w:cs="Arial" w:eastAsia="Arial" w:hAnsi="Arial"/>
          <w:sz w:val="14"/>
          <w:szCs w:val="14"/>
          <w:color w:val="auto"/>
        </w:rPr>
        <w:t xml:space="preserve"> §$16 million lower recoverable expenses that are fully offset in operation and maintenance expenses; and §$9 million resolution of regulat ory matters in 2009 that favorably impacted earnings.</w:t>
      </w:r>
    </w:p>
    <w:p>
      <w:pPr>
        <w:spacing w:after="0" w:line="37"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During the nine months ended September 30, 2010, electric revenues increased by $87 million (5%) at both Sempra Energy and SDG&amp;E to $1.9 billion. The increase in revenues was primarily due to:</w:t>
      </w:r>
    </w:p>
    <w:p>
      <w:pPr>
        <w:spacing w:after="0" w:line="18" w:lineRule="exact"/>
        <w:rPr>
          <w:sz w:val="20"/>
          <w:szCs w:val="20"/>
          <w:color w:val="auto"/>
        </w:rPr>
      </w:pPr>
    </w:p>
    <w:p>
      <w:pPr>
        <w:ind w:left="140" w:right="1140"/>
        <w:spacing w:after="0" w:line="270" w:lineRule="auto"/>
        <w:rPr>
          <w:sz w:val="20"/>
          <w:szCs w:val="20"/>
          <w:color w:val="auto"/>
        </w:rPr>
      </w:pPr>
      <w:r>
        <w:rPr>
          <w:rFonts w:ascii="Arial" w:cs="Arial" w:eastAsia="Arial" w:hAnsi="Arial"/>
          <w:sz w:val="16"/>
          <w:szCs w:val="16"/>
          <w:color w:val="auto"/>
        </w:rPr>
        <w:t>§$22 million increase due to tolling payments and natural gas supply costs in 2010 associated with the power generated by Otay Mesa VIE in excess of purchased power costs in 2009 for the equivalent amount of power;</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§$38 million higher authorized transmission and electric generation margins;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§$22 million higher authorized base margin on el ectric distribution; and</w:t>
      </w:r>
    </w:p>
    <w:p>
      <w:pPr>
        <w:spacing w:after="0" w:line="52" w:lineRule="exact"/>
        <w:rPr>
          <w:sz w:val="20"/>
          <w:szCs w:val="20"/>
          <w:color w:val="auto"/>
        </w:rPr>
      </w:pPr>
    </w:p>
    <w:p>
      <w:pPr>
        <w:ind w:left="140" w:right="4580"/>
        <w:spacing w:after="0" w:line="420" w:lineRule="auto"/>
        <w:rPr>
          <w:sz w:val="20"/>
          <w:szCs w:val="20"/>
          <w:color w:val="auto"/>
        </w:rPr>
      </w:pPr>
      <w:r>
        <w:rPr>
          <w:rFonts w:ascii="Arial" w:cs="Arial" w:eastAsia="Arial" w:hAnsi="Arial"/>
          <w:sz w:val="14"/>
          <w:szCs w:val="14"/>
          <w:color w:val="auto"/>
        </w:rPr>
        <w:t xml:space="preserve">§$12 million increase in the cost of electric fuel and purchased power excluding Otay Mesa VIE; </w:t>
      </w:r>
      <w:r>
        <w:rPr>
          <w:rFonts w:ascii="Arial" w:cs="Arial" w:eastAsia="Arial" w:hAnsi="Arial"/>
          <w:sz w:val="14"/>
          <w:szCs w:val="14"/>
          <w:b w:val="1"/>
          <w:bCs w:val="1"/>
          <w:color w:val="auto"/>
        </w:rPr>
        <w:t>offset by</w:t>
      </w:r>
      <w:r>
        <w:rPr>
          <w:rFonts w:ascii="Arial" w:cs="Arial" w:eastAsia="Arial" w:hAnsi="Arial"/>
          <w:sz w:val="14"/>
          <w:szCs w:val="14"/>
          <w:color w:val="auto"/>
        </w:rPr>
        <w:t xml:space="preserve"> §$9 million resolution of regulatory matters in 2009 that favorably impacted earnings.</w:t>
      </w:r>
    </w:p>
    <w:p>
      <w:pPr>
        <w:spacing w:after="0" w:line="1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cost of electric fuel and purchased power at both Sempra Energy and SDG&amp;E decreased in the three months ended September 30, 2010 primarily due to an $11 million decrease in the cost of power purchased from third-party generators as a result of the start up of new power generation at Otay Mesa VIE, which commenced commercial operations in the fourth quarter of 2009, offset by a $6 million increase in other fuel and purchased power costs. Associated with this decrease, SDG&amp;E’s o perating costs increased by $11 million from Otay Mesa VIE’s operations.</w:t>
      </w:r>
    </w:p>
    <w:p>
      <w:pPr>
        <w:spacing w:after="0" w:line="79"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At both Sempra Energy and SDG&amp;E, the cost of electric fuel and purchased power decreased by $28 million (6%) to $480 million for the nine months ended September 30, 2010 primarily due to a $40 million decrease in the cost of power purchased from third-party generators as a result of the start up of new power generation at Otay Mesa VIE, which commenced commercial operations in the fourth quarter of 2009, offset by a $12 million increase in other fuel and purchased power costs. Associated with this decrease, SDG&amp;E’s operating costs increased by $31 million from Otay Mesa VIE’s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1076960</wp:posOffset>
            </wp:positionV>
            <wp:extent cx="3878580" cy="289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858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ELECTRIC DISTRIBUTION AND TRANSMISSION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gridSpan w:val="3"/>
          </w:tcPr>
          <w:p>
            <w:pPr>
              <w:ind w:left="80"/>
              <w:spacing w:after="0"/>
              <w:rPr>
                <w:sz w:val="20"/>
                <w:szCs w:val="20"/>
                <w:color w:val="auto"/>
              </w:rPr>
            </w:pPr>
            <w:r>
              <w:rPr>
                <w:rFonts w:ascii="Arial" w:cs="Arial" w:eastAsia="Arial" w:hAnsi="Arial"/>
                <w:sz w:val="13"/>
                <w:szCs w:val="13"/>
                <w:i w:val="1"/>
                <w:iCs w:val="1"/>
                <w:color w:val="auto"/>
              </w:rPr>
              <w:t>(Volumes in millions of kilowatt-hours, dollars in millions)</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4"/>
        </w:trPr>
        <w:tc>
          <w:tcPr>
            <w:tcW w:w="22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2010</w:t>
            </w:r>
          </w:p>
        </w:tc>
        <w:tc>
          <w:tcPr>
            <w:tcW w:w="7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2009</w:t>
            </w:r>
          </w:p>
        </w:tc>
        <w:tc>
          <w:tcPr>
            <w:tcW w:w="640" w:type="dxa"/>
            <w:vAlign w:val="bottom"/>
            <w:tcBorders>
              <w:bottom w:val="single" w:sz="8" w:color="auto"/>
            </w:tcBorders>
          </w:tcPr>
          <w:p>
            <w:pPr>
              <w:spacing w:after="0"/>
              <w:rPr>
                <w:sz w:val="13"/>
                <w:szCs w:val="13"/>
                <w:color w:val="auto"/>
              </w:rPr>
            </w:pPr>
          </w:p>
        </w:tc>
      </w:tr>
      <w:tr>
        <w:trPr>
          <w:trHeight w:val="148"/>
        </w:trPr>
        <w:tc>
          <w:tcPr>
            <w:tcW w:w="224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color w:val="auto"/>
              </w:rPr>
              <w:t>Customer class</w:t>
            </w:r>
          </w:p>
        </w:tc>
        <w:tc>
          <w:tcPr>
            <w:tcW w:w="700" w:type="dxa"/>
            <w:vAlign w:val="bottom"/>
            <w:tcBorders>
              <w:bottom w:val="single" w:sz="8" w:color="auto"/>
            </w:tcBorders>
          </w:tcPr>
          <w:p>
            <w:pPr>
              <w:jc w:val="right"/>
              <w:ind w:right="29"/>
              <w:spacing w:after="0" w:line="148" w:lineRule="exact"/>
              <w:rPr>
                <w:sz w:val="20"/>
                <w:szCs w:val="20"/>
                <w:color w:val="auto"/>
              </w:rPr>
            </w:pPr>
            <w:r>
              <w:rPr>
                <w:rFonts w:ascii="Arial" w:cs="Arial" w:eastAsia="Arial" w:hAnsi="Arial"/>
                <w:sz w:val="13"/>
                <w:szCs w:val="13"/>
                <w:color w:val="auto"/>
              </w:rPr>
              <w:t>Volumes</w:t>
            </w:r>
          </w:p>
        </w:tc>
        <w:tc>
          <w:tcPr>
            <w:tcW w:w="700" w:type="dxa"/>
            <w:vAlign w:val="bottom"/>
            <w:tcBorders>
              <w:bottom w:val="single" w:sz="8" w:color="auto"/>
            </w:tcBorders>
          </w:tcPr>
          <w:p>
            <w:pPr>
              <w:ind w:left="100"/>
              <w:spacing w:after="0" w:line="148" w:lineRule="exact"/>
              <w:rPr>
                <w:sz w:val="20"/>
                <w:szCs w:val="20"/>
                <w:color w:val="auto"/>
              </w:rPr>
            </w:pPr>
            <w:r>
              <w:rPr>
                <w:rFonts w:ascii="Arial" w:cs="Arial" w:eastAsia="Arial" w:hAnsi="Arial"/>
                <w:sz w:val="13"/>
                <w:szCs w:val="13"/>
                <w:color w:val="auto"/>
              </w:rPr>
              <w:t>Revenue</w:t>
            </w:r>
          </w:p>
        </w:tc>
        <w:tc>
          <w:tcPr>
            <w:tcW w:w="700" w:type="dxa"/>
            <w:vAlign w:val="bottom"/>
            <w:tcBorders>
              <w:bottom w:val="single" w:sz="8" w:color="auto"/>
            </w:tcBorders>
          </w:tcPr>
          <w:p>
            <w:pPr>
              <w:jc w:val="right"/>
              <w:ind w:right="28"/>
              <w:spacing w:after="0" w:line="148" w:lineRule="exact"/>
              <w:rPr>
                <w:sz w:val="20"/>
                <w:szCs w:val="20"/>
                <w:color w:val="auto"/>
              </w:rPr>
            </w:pPr>
            <w:r>
              <w:rPr>
                <w:rFonts w:ascii="Arial" w:cs="Arial" w:eastAsia="Arial" w:hAnsi="Arial"/>
                <w:sz w:val="13"/>
                <w:szCs w:val="13"/>
                <w:color w:val="auto"/>
              </w:rPr>
              <w:t>Volumes</w:t>
            </w:r>
          </w:p>
        </w:tc>
        <w:tc>
          <w:tcPr>
            <w:tcW w:w="1120" w:type="dxa"/>
            <w:vAlign w:val="bottom"/>
            <w:tcBorders>
              <w:bottom w:val="single" w:sz="8" w:color="auto"/>
            </w:tcBorders>
            <w:gridSpan w:val="2"/>
          </w:tcPr>
          <w:p>
            <w:pPr>
              <w:jc w:val="right"/>
              <w:ind w:right="229"/>
              <w:spacing w:after="0" w:line="148" w:lineRule="exact"/>
              <w:rPr>
                <w:sz w:val="20"/>
                <w:szCs w:val="20"/>
                <w:color w:val="auto"/>
              </w:rPr>
            </w:pPr>
            <w:r>
              <w:rPr>
                <w:rFonts w:ascii="Arial" w:cs="Arial" w:eastAsia="Arial" w:hAnsi="Arial"/>
                <w:sz w:val="13"/>
                <w:szCs w:val="13"/>
                <w:color w:val="auto"/>
              </w:rPr>
              <w:t>Revenue</w:t>
            </w:r>
          </w:p>
        </w:tc>
        <w:tc>
          <w:tcPr>
            <w:tcW w:w="640" w:type="dxa"/>
            <w:vAlign w:val="bottom"/>
          </w:tcPr>
          <w:p>
            <w:pPr>
              <w:spacing w:after="0"/>
              <w:rPr>
                <w:sz w:val="12"/>
                <w:szCs w:val="12"/>
                <w:color w:val="auto"/>
              </w:rPr>
            </w:pPr>
          </w:p>
        </w:tc>
      </w:tr>
      <w:tr>
        <w:trPr>
          <w:trHeight w:val="166"/>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Sempra Energy Consolidated:</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25"/>
        </w:trPr>
        <w:tc>
          <w:tcPr>
            <w:tcW w:w="2240" w:type="dxa"/>
            <w:vAlign w:val="bottom"/>
          </w:tcPr>
          <w:p>
            <w:pPr>
              <w:ind w:left="80"/>
              <w:spacing w:after="0"/>
              <w:rPr>
                <w:sz w:val="20"/>
                <w:szCs w:val="20"/>
                <w:color w:val="auto"/>
              </w:rPr>
            </w:pPr>
            <w:r>
              <w:rPr>
                <w:rFonts w:ascii="Arial" w:cs="Arial" w:eastAsia="Arial" w:hAnsi="Arial"/>
                <w:sz w:val="19"/>
                <w:szCs w:val="19"/>
                <w:color w:val="auto"/>
              </w:rPr>
              <w:t>Residential</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5,406</w:t>
            </w:r>
          </w:p>
        </w:tc>
        <w:tc>
          <w:tcPr>
            <w:tcW w:w="700" w:type="dxa"/>
            <w:vAlign w:val="bottom"/>
          </w:tcPr>
          <w:p>
            <w:pPr>
              <w:ind w:lef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756</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5,671</w:t>
            </w:r>
          </w:p>
        </w:tc>
        <w:tc>
          <w:tcPr>
            <w:tcW w:w="4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831</w:t>
            </w:r>
          </w:p>
        </w:tc>
      </w:tr>
      <w:tr>
        <w:trPr>
          <w:trHeight w:val="194"/>
        </w:trPr>
        <w:tc>
          <w:tcPr>
            <w:tcW w:w="2240" w:type="dxa"/>
            <w:vAlign w:val="bottom"/>
          </w:tcPr>
          <w:p>
            <w:pPr>
              <w:ind w:left="80"/>
              <w:spacing w:after="0"/>
              <w:rPr>
                <w:sz w:val="20"/>
                <w:szCs w:val="20"/>
                <w:color w:val="auto"/>
              </w:rPr>
            </w:pPr>
            <w:r>
              <w:rPr>
                <w:rFonts w:ascii="Arial" w:cs="Arial" w:eastAsia="Arial" w:hAnsi="Arial"/>
                <w:sz w:val="14"/>
                <w:szCs w:val="14"/>
                <w:color w:val="auto"/>
              </w:rPr>
              <w:t>Commercial</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5,017</w:t>
            </w:r>
          </w:p>
        </w:tc>
        <w:tc>
          <w:tcPr>
            <w:tcW w:w="7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651</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5,302</w:t>
            </w:r>
          </w:p>
        </w:tc>
        <w:tc>
          <w:tcPr>
            <w:tcW w:w="4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725</w:t>
            </w:r>
          </w:p>
        </w:tc>
      </w:tr>
      <w:tr>
        <w:trPr>
          <w:trHeight w:val="192"/>
        </w:trPr>
        <w:tc>
          <w:tcPr>
            <w:tcW w:w="2240" w:type="dxa"/>
            <w:vAlign w:val="bottom"/>
          </w:tcPr>
          <w:p>
            <w:pPr>
              <w:ind w:left="80"/>
              <w:spacing w:after="0"/>
              <w:rPr>
                <w:sz w:val="20"/>
                <w:szCs w:val="20"/>
                <w:color w:val="auto"/>
              </w:rPr>
            </w:pPr>
            <w:r>
              <w:rPr>
                <w:rFonts w:ascii="Arial" w:cs="Arial" w:eastAsia="Arial" w:hAnsi="Arial"/>
                <w:sz w:val="14"/>
                <w:szCs w:val="14"/>
                <w:color w:val="auto"/>
              </w:rPr>
              <w:t>Industrial</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1,598</w:t>
            </w:r>
          </w:p>
        </w:tc>
        <w:tc>
          <w:tcPr>
            <w:tcW w:w="7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167</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1,716</w:t>
            </w:r>
          </w:p>
        </w:tc>
        <w:tc>
          <w:tcPr>
            <w:tcW w:w="4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194</w:t>
            </w:r>
          </w:p>
        </w:tc>
      </w:tr>
      <w:tr>
        <w:trPr>
          <w:trHeight w:val="192"/>
        </w:trPr>
        <w:tc>
          <w:tcPr>
            <w:tcW w:w="2240" w:type="dxa"/>
            <w:vAlign w:val="bottom"/>
          </w:tcPr>
          <w:p>
            <w:pPr>
              <w:ind w:left="80"/>
              <w:spacing w:after="0"/>
              <w:rPr>
                <w:sz w:val="20"/>
                <w:szCs w:val="20"/>
                <w:color w:val="auto"/>
              </w:rPr>
            </w:pPr>
            <w:r>
              <w:rPr>
                <w:rFonts w:ascii="Arial" w:cs="Arial" w:eastAsia="Arial" w:hAnsi="Arial"/>
                <w:sz w:val="14"/>
                <w:szCs w:val="14"/>
                <w:color w:val="auto"/>
              </w:rPr>
              <w:t>Direct access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2,365</w:t>
            </w:r>
          </w:p>
        </w:tc>
        <w:tc>
          <w:tcPr>
            <w:tcW w:w="7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90</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2,290</w:t>
            </w:r>
          </w:p>
        </w:tc>
        <w:tc>
          <w:tcPr>
            <w:tcW w:w="4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80</w:t>
            </w:r>
          </w:p>
        </w:tc>
      </w:tr>
      <w:tr>
        <w:trPr>
          <w:trHeight w:val="186"/>
        </w:trPr>
        <w:tc>
          <w:tcPr>
            <w:tcW w:w="2240" w:type="dxa"/>
            <w:vAlign w:val="bottom"/>
          </w:tcPr>
          <w:p>
            <w:pPr>
              <w:ind w:left="80"/>
              <w:spacing w:after="0"/>
              <w:rPr>
                <w:sz w:val="20"/>
                <w:szCs w:val="20"/>
                <w:color w:val="auto"/>
              </w:rPr>
            </w:pPr>
            <w:r>
              <w:rPr>
                <w:rFonts w:ascii="Arial" w:cs="Arial" w:eastAsia="Arial" w:hAnsi="Arial"/>
                <w:sz w:val="14"/>
                <w:szCs w:val="14"/>
                <w:color w:val="auto"/>
              </w:rPr>
              <w:t>Street and highway lighting</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76</w:t>
            </w: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79</w:t>
            </w: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r>
      <w:tr>
        <w:trPr>
          <w:trHeight w:val="178"/>
        </w:trPr>
        <w:tc>
          <w:tcPr>
            <w:tcW w:w="224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14,462</w:t>
            </w:r>
          </w:p>
        </w:tc>
        <w:tc>
          <w:tcPr>
            <w:tcW w:w="7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1,673</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15,058</w:t>
            </w:r>
          </w:p>
        </w:tc>
        <w:tc>
          <w:tcPr>
            <w:tcW w:w="4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1,840</w:t>
            </w:r>
          </w:p>
        </w:tc>
      </w:tr>
      <w:tr>
        <w:trPr>
          <w:trHeight w:val="192"/>
        </w:trPr>
        <w:tc>
          <w:tcPr>
            <w:tcW w:w="2240" w:type="dxa"/>
            <w:vAlign w:val="bottom"/>
          </w:tcPr>
          <w:p>
            <w:pPr>
              <w:ind w:left="80"/>
              <w:spacing w:after="0"/>
              <w:rPr>
                <w:sz w:val="20"/>
                <w:szCs w:val="20"/>
                <w:color w:val="auto"/>
              </w:rPr>
            </w:pPr>
            <w:r>
              <w:rPr>
                <w:rFonts w:ascii="Arial" w:cs="Arial" w:eastAsia="Arial" w:hAnsi="Arial"/>
                <w:sz w:val="14"/>
                <w:szCs w:val="14"/>
                <w:color w:val="auto"/>
              </w:rPr>
              <w:t>Other revenues</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77</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102</w:t>
            </w:r>
          </w:p>
        </w:tc>
      </w:tr>
      <w:tr>
        <w:trPr>
          <w:trHeight w:val="186"/>
        </w:trPr>
        <w:tc>
          <w:tcPr>
            <w:tcW w:w="2240" w:type="dxa"/>
            <w:vAlign w:val="bottom"/>
          </w:tcPr>
          <w:p>
            <w:pPr>
              <w:ind w:left="80"/>
              <w:spacing w:after="0"/>
              <w:rPr>
                <w:sz w:val="20"/>
                <w:szCs w:val="20"/>
                <w:color w:val="auto"/>
              </w:rPr>
            </w:pPr>
            <w:r>
              <w:rPr>
                <w:rFonts w:ascii="Arial" w:cs="Arial" w:eastAsia="Arial" w:hAnsi="Arial"/>
                <w:sz w:val="14"/>
                <w:szCs w:val="14"/>
                <w:color w:val="auto"/>
              </w:rPr>
              <w:t>Balancing accounts</w:t>
            </w: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w:t>
            </w:r>
          </w:p>
        </w:tc>
      </w:tr>
      <w:tr>
        <w:trPr>
          <w:trHeight w:val="176"/>
        </w:trPr>
        <w:tc>
          <w:tcPr>
            <w:tcW w:w="22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 al</w:t>
            </w: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1,865</w:t>
            </w:r>
          </w:p>
        </w:tc>
        <w:tc>
          <w:tcPr>
            <w:tcW w:w="6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1,778</w:t>
            </w:r>
          </w:p>
        </w:tc>
      </w:tr>
      <w:tr>
        <w:trPr>
          <w:trHeight w:val="172"/>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SDG&amp;E:</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2"/>
        </w:trPr>
        <w:tc>
          <w:tcPr>
            <w:tcW w:w="2240" w:type="dxa"/>
            <w:vAlign w:val="bottom"/>
          </w:tcPr>
          <w:p>
            <w:pPr>
              <w:ind w:left="80"/>
              <w:spacing w:after="0"/>
              <w:rPr>
                <w:sz w:val="20"/>
                <w:szCs w:val="20"/>
                <w:color w:val="auto"/>
              </w:rPr>
            </w:pPr>
            <w:r>
              <w:rPr>
                <w:rFonts w:ascii="Arial" w:cs="Arial" w:eastAsia="Arial" w:hAnsi="Arial"/>
                <w:sz w:val="14"/>
                <w:szCs w:val="14"/>
                <w:color w:val="auto"/>
              </w:rPr>
              <w:t>Residential</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5,406</w:t>
            </w:r>
          </w:p>
        </w:tc>
        <w:tc>
          <w:tcPr>
            <w:tcW w:w="700" w:type="dxa"/>
            <w:vAlign w:val="bottom"/>
          </w:tcPr>
          <w:p>
            <w:pPr>
              <w:ind w:lef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756</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5,671</w:t>
            </w:r>
          </w:p>
        </w:tc>
        <w:tc>
          <w:tcPr>
            <w:tcW w:w="4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831</w:t>
            </w:r>
          </w:p>
        </w:tc>
      </w:tr>
      <w:tr>
        <w:trPr>
          <w:trHeight w:val="194"/>
        </w:trPr>
        <w:tc>
          <w:tcPr>
            <w:tcW w:w="2240" w:type="dxa"/>
            <w:vAlign w:val="bottom"/>
          </w:tcPr>
          <w:p>
            <w:pPr>
              <w:ind w:left="80"/>
              <w:spacing w:after="0"/>
              <w:rPr>
                <w:sz w:val="20"/>
                <w:szCs w:val="20"/>
                <w:color w:val="auto"/>
              </w:rPr>
            </w:pPr>
            <w:r>
              <w:rPr>
                <w:rFonts w:ascii="Arial" w:cs="Arial" w:eastAsia="Arial" w:hAnsi="Arial"/>
                <w:sz w:val="14"/>
                <w:szCs w:val="14"/>
                <w:color w:val="auto"/>
              </w:rPr>
              <w:t>Commercial</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5,017</w:t>
            </w:r>
          </w:p>
        </w:tc>
        <w:tc>
          <w:tcPr>
            <w:tcW w:w="7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651</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5,302</w:t>
            </w:r>
          </w:p>
        </w:tc>
        <w:tc>
          <w:tcPr>
            <w:tcW w:w="4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725</w:t>
            </w:r>
          </w:p>
        </w:tc>
      </w:tr>
      <w:tr>
        <w:trPr>
          <w:trHeight w:val="192"/>
        </w:trPr>
        <w:tc>
          <w:tcPr>
            <w:tcW w:w="2240" w:type="dxa"/>
            <w:vAlign w:val="bottom"/>
          </w:tcPr>
          <w:p>
            <w:pPr>
              <w:ind w:left="80"/>
              <w:spacing w:after="0"/>
              <w:rPr>
                <w:sz w:val="20"/>
                <w:szCs w:val="20"/>
                <w:color w:val="auto"/>
              </w:rPr>
            </w:pPr>
            <w:r>
              <w:rPr>
                <w:rFonts w:ascii="Arial" w:cs="Arial" w:eastAsia="Arial" w:hAnsi="Arial"/>
                <w:sz w:val="14"/>
                <w:szCs w:val="14"/>
                <w:color w:val="auto"/>
              </w:rPr>
              <w:t>Industrial</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1,612</w:t>
            </w:r>
          </w:p>
        </w:tc>
        <w:tc>
          <w:tcPr>
            <w:tcW w:w="7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169</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1,724</w:t>
            </w:r>
          </w:p>
        </w:tc>
        <w:tc>
          <w:tcPr>
            <w:tcW w:w="4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195</w:t>
            </w:r>
          </w:p>
        </w:tc>
      </w:tr>
      <w:tr>
        <w:trPr>
          <w:trHeight w:val="192"/>
        </w:trPr>
        <w:tc>
          <w:tcPr>
            <w:tcW w:w="2240" w:type="dxa"/>
            <w:vAlign w:val="bottom"/>
          </w:tcPr>
          <w:p>
            <w:pPr>
              <w:ind w:left="80"/>
              <w:spacing w:after="0"/>
              <w:rPr>
                <w:sz w:val="20"/>
                <w:szCs w:val="20"/>
                <w:color w:val="auto"/>
              </w:rPr>
            </w:pPr>
            <w:r>
              <w:rPr>
                <w:rFonts w:ascii="Arial" w:cs="Arial" w:eastAsia="Arial" w:hAnsi="Arial"/>
                <w:sz w:val="14"/>
                <w:szCs w:val="14"/>
                <w:color w:val="auto"/>
              </w:rPr>
              <w:t>Direct access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2,365</w:t>
            </w:r>
          </w:p>
        </w:tc>
        <w:tc>
          <w:tcPr>
            <w:tcW w:w="7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90</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2,290</w:t>
            </w: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80</w:t>
            </w:r>
          </w:p>
        </w:tc>
        <w:tc>
          <w:tcPr>
            <w:tcW w:w="640" w:type="dxa"/>
            <w:vAlign w:val="bottom"/>
          </w:tcPr>
          <w:p>
            <w:pPr>
              <w:spacing w:after="0"/>
              <w:rPr>
                <w:sz w:val="16"/>
                <w:szCs w:val="16"/>
                <w:color w:val="auto"/>
              </w:rPr>
            </w:pPr>
          </w:p>
        </w:tc>
      </w:tr>
      <w:tr>
        <w:trPr>
          <w:trHeight w:val="186"/>
        </w:trPr>
        <w:tc>
          <w:tcPr>
            <w:tcW w:w="2240" w:type="dxa"/>
            <w:vAlign w:val="bottom"/>
          </w:tcPr>
          <w:p>
            <w:pPr>
              <w:ind w:left="80"/>
              <w:spacing w:after="0"/>
              <w:rPr>
                <w:sz w:val="20"/>
                <w:szCs w:val="20"/>
                <w:color w:val="auto"/>
              </w:rPr>
            </w:pPr>
            <w:r>
              <w:rPr>
                <w:rFonts w:ascii="Arial" w:cs="Arial" w:eastAsia="Arial" w:hAnsi="Arial"/>
                <w:sz w:val="14"/>
                <w:szCs w:val="14"/>
                <w:color w:val="auto"/>
              </w:rPr>
              <w:t>Street and highway lighting</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76</w:t>
            </w: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79</w:t>
            </w: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r>
      <w:tr>
        <w:trPr>
          <w:trHeight w:val="178"/>
        </w:trPr>
        <w:tc>
          <w:tcPr>
            <w:tcW w:w="224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14,476</w:t>
            </w:r>
          </w:p>
        </w:tc>
        <w:tc>
          <w:tcPr>
            <w:tcW w:w="7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1,675</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15,066</w:t>
            </w:r>
          </w:p>
        </w:tc>
        <w:tc>
          <w:tcPr>
            <w:tcW w:w="4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1,841</w:t>
            </w:r>
          </w:p>
        </w:tc>
      </w:tr>
      <w:tr>
        <w:trPr>
          <w:trHeight w:val="192"/>
        </w:trPr>
        <w:tc>
          <w:tcPr>
            <w:tcW w:w="2240" w:type="dxa"/>
            <w:vAlign w:val="bottom"/>
          </w:tcPr>
          <w:p>
            <w:pPr>
              <w:ind w:left="80"/>
              <w:spacing w:after="0"/>
              <w:rPr>
                <w:sz w:val="20"/>
                <w:szCs w:val="20"/>
                <w:color w:val="auto"/>
              </w:rPr>
            </w:pPr>
            <w:r>
              <w:rPr>
                <w:rFonts w:ascii="Arial" w:cs="Arial" w:eastAsia="Arial" w:hAnsi="Arial"/>
                <w:sz w:val="14"/>
                <w:szCs w:val="14"/>
                <w:color w:val="auto"/>
              </w:rPr>
              <w:t>Other revenues</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80</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106</w:t>
            </w:r>
          </w:p>
        </w:tc>
      </w:tr>
      <w:tr>
        <w:trPr>
          <w:trHeight w:val="186"/>
        </w:trPr>
        <w:tc>
          <w:tcPr>
            <w:tcW w:w="2240" w:type="dxa"/>
            <w:vAlign w:val="bottom"/>
          </w:tcPr>
          <w:p>
            <w:pPr>
              <w:ind w:left="80"/>
              <w:spacing w:after="0"/>
              <w:rPr>
                <w:sz w:val="20"/>
                <w:szCs w:val="20"/>
                <w:color w:val="auto"/>
              </w:rPr>
            </w:pPr>
            <w:r>
              <w:rPr>
                <w:rFonts w:ascii="Arial" w:cs="Arial" w:eastAsia="Arial" w:hAnsi="Arial"/>
                <w:sz w:val="14"/>
                <w:szCs w:val="14"/>
                <w:color w:val="auto"/>
              </w:rPr>
              <w:t>Balancing accounts</w:t>
            </w:r>
          </w:p>
        </w:tc>
        <w:tc>
          <w:tcPr>
            <w:tcW w:w="700" w:type="dxa"/>
            <w:vAlign w:val="bottom"/>
            <w:tcBorders>
              <w:bottom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w:t>
            </w:r>
          </w:p>
        </w:tc>
      </w:tr>
      <w:tr>
        <w:trPr>
          <w:trHeight w:val="188"/>
        </w:trPr>
        <w:tc>
          <w:tcPr>
            <w:tcW w:w="22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Total(1)</w:t>
            </w: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1,870</w:t>
            </w: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1,783</w:t>
            </w:r>
          </w:p>
        </w:tc>
      </w:tr>
    </w:tbl>
    <w:p>
      <w:pPr>
        <w:ind w:left="80"/>
        <w:spacing w:after="0"/>
        <w:rPr>
          <w:sz w:val="20"/>
          <w:szCs w:val="20"/>
          <w:color w:val="auto"/>
        </w:rPr>
      </w:pPr>
      <w:r>
        <w:rPr>
          <w:rFonts w:ascii="Arial" w:cs="Arial" w:eastAsia="Arial" w:hAnsi="Arial"/>
          <w:sz w:val="13"/>
          <w:szCs w:val="13"/>
          <w:i w:val="1"/>
          <w:iCs w:val="1"/>
          <w:color w:val="auto"/>
        </w:rPr>
        <w:t>(1) Includes sales to affiliates of $5 million in each of 2010 and 2009.</w:t>
      </w:r>
    </w:p>
    <w:p>
      <w:pPr>
        <w:spacing w:after="0" w:line="10"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We do not include in the Condensed Consolidated Statements of Operations the commodity costs (and the revenues to recover those costs) associated with long-term contracts that are allocated to SDG&amp;E by the California Department of Water Resources (DWR). However, we do include the associated volumes and distribution re venues in the table above. We provide further discussion of these contracts in Note 1 of the Notes to Consolidated Financial Statements in the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Global and Parent Revenues and Cost of Sales</w:t>
      </w:r>
    </w:p>
    <w:p>
      <w:pPr>
        <w:spacing w:after="0" w:line="56" w:lineRule="exact"/>
        <w:rPr>
          <w:sz w:val="20"/>
          <w:szCs w:val="20"/>
          <w:color w:val="auto"/>
        </w:rPr>
      </w:pPr>
    </w:p>
    <w:p>
      <w:pPr>
        <w:ind w:right="20"/>
        <w:spacing w:after="0" w:line="300" w:lineRule="auto"/>
        <w:rPr>
          <w:sz w:val="20"/>
          <w:szCs w:val="20"/>
          <w:color w:val="auto"/>
        </w:rPr>
      </w:pPr>
      <w:r>
        <w:rPr>
          <w:rFonts w:ascii="Arial" w:cs="Arial" w:eastAsia="Arial" w:hAnsi="Arial"/>
          <w:sz w:val="14"/>
          <w:szCs w:val="14"/>
          <w:color w:val="auto"/>
        </w:rPr>
        <w:t>In the three months ended September 30, 2010, our Sempra Global and Parent revenues increased by $112 million (26%) to $541 million. During the nine months ended September 30, 2010, our Sempra Global and Parent revenues increased by $391 million (31%) to $1.7 billion. The increases in both the three months and nine months ended September 30, 2010 were due to higher revenues at Sempra LNG, primarily due to increased marketing operations and the start up of operations at its Cameron LNG receipt terminal and the nitrogen-injection facility at the Energía Costa Azul receipt terminal, partially offset by lower revenues at Sempra Pipelines &amp; Storage due to the expiration of the Comis ión Federal de Electricidad (CFE) natural gas supply contract in 2009. At the expiration of the contract, Sempra LNG began supplying the CFE under a separate contract ending December 2022.</w:t>
      </w:r>
    </w:p>
    <w:p>
      <w:pPr>
        <w:spacing w:after="0" w:line="50" w:lineRule="exact"/>
        <w:rPr>
          <w:sz w:val="20"/>
          <w:szCs w:val="20"/>
          <w:color w:val="auto"/>
        </w:rPr>
      </w:pPr>
    </w:p>
    <w:p>
      <w:pPr>
        <w:ind w:right="140"/>
        <w:spacing w:after="0" w:line="314" w:lineRule="auto"/>
        <w:rPr>
          <w:sz w:val="20"/>
          <w:szCs w:val="20"/>
          <w:color w:val="auto"/>
        </w:rPr>
      </w:pPr>
      <w:r>
        <w:rPr>
          <w:rFonts w:ascii="Arial" w:cs="Arial" w:eastAsia="Arial" w:hAnsi="Arial"/>
          <w:sz w:val="14"/>
          <w:szCs w:val="14"/>
          <w:color w:val="auto"/>
        </w:rPr>
        <w:t>In the three months ended September 30, 2010, our cost of natural gas, electric fuel and purchased power increased by $72 million (33%) to $292 million. During the nine months ended September 30, 2010, our cost of natural gas, electric fuel and purchased power increased by $212 million (31%) to $887 million. The increases in both periods were primarily associated with the higher revenues at Sempra LNG, offset partially by lower costs at Sempra Pipelines &amp; Storage resulting primarily from the expiration of the CFE contract.</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Litigation Expense</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We recorded $184 million in litigation expense in the nine months ended September 30, 2010, which included $163 million related to the agreement to settle certain energy crisis litigation. We discuss this settlement agreement in Note 10 of the Notes to Condensed Consolidated Financial Statements herein.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Operation and Maintenance</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ectPr>
          <w:pgSz w:w="11900" w:h="16870" w:orient="portrait"/>
          <w:cols w:equalWidth="0" w:num="1">
            <w:col w:w="11400"/>
          </w:cols>
          <w:pgMar w:left="240" w:top="127" w:right="259" w:bottom="0" w:gutter="0" w:footer="0" w:header="0"/>
        </w:sectPr>
      </w:pPr>
    </w:p>
    <w:p>
      <w:pPr>
        <w:spacing w:after="0" w:line="104" w:lineRule="exact"/>
        <w:rPr>
          <w:sz w:val="20"/>
          <w:szCs w:val="20"/>
          <w:color w:val="auto"/>
        </w:rPr>
      </w:pPr>
    </w:p>
    <w:p>
      <w:pPr>
        <w:ind w:right="320"/>
        <w:spacing w:after="0" w:line="342" w:lineRule="auto"/>
        <w:rPr>
          <w:sz w:val="20"/>
          <w:szCs w:val="20"/>
          <w:color w:val="auto"/>
        </w:rPr>
      </w:pPr>
      <w:r>
        <w:rPr>
          <w:rFonts w:ascii="Arial" w:cs="Arial" w:eastAsia="Arial" w:hAnsi="Arial"/>
          <w:sz w:val="14"/>
          <w:szCs w:val="14"/>
          <w:color w:val="auto"/>
        </w:rPr>
        <w:t>For the three months ended September 30, 2010, our other operation and maintenance expenses increased by $22 million (4%) to $590 million, primarily due to an increase at SoCalGas. For the nine months ended September 30, 2010, our other operation and maintenance expenses increased by $109 million (7%) to $1.8 billion, primarily due to higher</w:t>
      </w:r>
    </w:p>
    <w:p>
      <w:pPr>
        <w:sectPr>
          <w:pgSz w:w="11900" w:h="16870" w:orient="portrait"/>
          <w:cols w:equalWidth="0" w:num="1">
            <w:col w:w="11400"/>
          </w:cols>
          <w:pgMar w:left="240" w:top="127" w:right="259" w:bottom="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color w:val="auto"/>
        </w:rPr>
        <w:t>operation an d maintenance expenses at both SDG&amp;E and SoCalGas.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We discuss the changes in operation and maintenance expenses at SDG&amp;E and SoCalGas below.</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Operation and Maintenance</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SDG&amp;E</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For the three months ended September 30, 2010, SDG&amp;E's operation and maintenance expenses decreased by $1 million to $235 million, primarily due to $12 million lower expenses recoverable in revenues as incurred, offset by $10 million higher litigation expense in 2010.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For the nine months ended September 30, 2010, SDG&amp;E's operation and maintenance expenses increased by $55 million (8%) to $704 million. The increase was due to:</w:t>
      </w:r>
    </w:p>
    <w:p>
      <w:pPr>
        <w:spacing w:after="0" w:line="79" w:lineRule="exact"/>
        <w:rPr>
          <w:sz w:val="20"/>
          <w:szCs w:val="20"/>
          <w:color w:val="auto"/>
        </w:rPr>
      </w:pPr>
    </w:p>
    <w:p>
      <w:pPr>
        <w:ind w:left="140" w:right="1220"/>
        <w:spacing w:after="0" w:line="322" w:lineRule="auto"/>
        <w:rPr>
          <w:sz w:val="20"/>
          <w:szCs w:val="20"/>
          <w:color w:val="auto"/>
        </w:rPr>
      </w:pPr>
      <w:r>
        <w:rPr>
          <w:rFonts w:ascii="Arial" w:cs="Arial" w:eastAsia="Arial" w:hAnsi="Arial"/>
          <w:sz w:val="14"/>
          <w:szCs w:val="14"/>
          <w:color w:val="auto"/>
        </w:rPr>
        <w:t>§$21 million higher other operational and maintenance costs (including $22 million of higher liability insurance premiums for wildfire coverage and $12 million at Otay Mesa VIE due to commencement of plant operation in October 2009, offset by $13 million lower other operational and maintenance costs);</w:t>
      </w:r>
    </w:p>
    <w:p>
      <w:pPr>
        <w:ind w:left="140" w:right="2140"/>
        <w:spacing w:after="0" w:line="332" w:lineRule="auto"/>
        <w:rPr>
          <w:sz w:val="20"/>
          <w:szCs w:val="20"/>
          <w:color w:val="auto"/>
        </w:rPr>
      </w:pPr>
      <w:r>
        <w:rPr>
          <w:rFonts w:ascii="Arial" w:cs="Arial" w:eastAsia="Arial" w:hAnsi="Arial"/>
          <w:sz w:val="16"/>
          <w:szCs w:val="16"/>
          <w:color w:val="auto"/>
        </w:rPr>
        <w:t>§$18 million net unfavorable impact from an increase in litigation reserves in 2010 compared to the favorable resolution of litigation in 2009; and §$15 million higher expenses recoverable in revenues as incurred.</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SoCalGas</w:t>
      </w:r>
    </w:p>
    <w:p>
      <w:pPr>
        <w:spacing w:after="0" w:line="104"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For the three months ended September 30, 2010, SoCalGas' operation and maintenance expenses increased by $33 million (13%) to $285 million. The increase was d ue primarily to $25 million higher expenses recoverable in revenues as incurred.</w:t>
      </w:r>
    </w:p>
    <w:p>
      <w:pPr>
        <w:spacing w:after="0" w:line="66"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For the nine months ended September 30, 2010, SoCalGas’ operation and maintenance expenses increased by $72 million (9%) to $840 million due primarily to $60 million higher expenses recoverable in revenues as incurred.</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Write-off of Long-lived Assets</w:t>
      </w:r>
    </w:p>
    <w:p>
      <w:pPr>
        <w:spacing w:after="0" w:line="56" w:lineRule="exact"/>
        <w:rPr>
          <w:sz w:val="20"/>
          <w:szCs w:val="20"/>
          <w:color w:val="auto"/>
        </w:rPr>
      </w:pPr>
    </w:p>
    <w:p>
      <w:pPr>
        <w:ind w:right="300"/>
        <w:spacing w:after="0" w:line="342" w:lineRule="auto"/>
        <w:rPr>
          <w:sz w:val="20"/>
          <w:szCs w:val="20"/>
          <w:color w:val="auto"/>
        </w:rPr>
      </w:pPr>
      <w:r>
        <w:rPr>
          <w:rFonts w:ascii="Arial" w:cs="Arial" w:eastAsia="Arial" w:hAnsi="Arial"/>
          <w:sz w:val="14"/>
          <w:szCs w:val="14"/>
          <w:color w:val="auto"/>
        </w:rPr>
        <w:t>In the second quarter of 2009, we recorded a $132 million write-off related to certain assets at one of Sempra Pipelines &amp; Storage’s Liberty natural gas storage projects. Sempra Energy's after-tax share of this write-off was $64 million. We discuss the write-off of the assets in Note 1 of the Notes to Consolidated Financial Statements in the Annual Report.</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Earnings (Losses) Before Income Taxes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200"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For the three months ended September 30, 2010, equity losses from our investment in RBS Sempra Commodities were $281 million compared to equity earnings of $105 million in the corresponding period of 2009. For the nine months ended September 30, 2010, equity losses from our investment in RBS Sempra Commodities were $290 million compared to equity earnings of $384 million in the corresponding period of 2009. Equity earnings were adversely impacted by several factors, as we discuss above in “Business Unit Results – Sempra Commodities.” Results for both periods in 2010 include a $305 million pretax write-down of our investment in RBS Sempra Commodities. We discuss the write-down further in Note 4 of the Notes to Condensed Consolidated Financial Statements herein.</w:t>
      </w:r>
    </w:p>
    <w:p>
      <w:pPr>
        <w:spacing w:after="0" w:line="50"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We provide additional information about the determination and allocation of this investment' s earnings in Note 4 of the Notes to Consolidated Financial Statements in the Annual Report.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(Expense), Net</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 the three months ended September 30, 2010, other income, net, increased by $42 million (175%) to $66 million primarily due to:</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§proceeds of $48 million from a legal settlement at Sempra Pipelines &amp; Storage; </w:t>
      </w:r>
      <w:r>
        <w:rPr>
          <w:rFonts w:ascii="Arial" w:cs="Arial" w:eastAsia="Arial" w:hAnsi="Arial"/>
          <w:sz w:val="16"/>
          <w:szCs w:val="16"/>
          <w:b w:val="1"/>
          <w:b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§$17 million in losses on interest rate instruments in 2010 at Otay Mesa VIE compared to $11 m illion in 2009; and</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 $10 million decrease in gains from investment activity related to our executive retirement and deferred compensation plans in 2010.</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2010, other income, net, decreased by $15 million (15%) to $82 million primarily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§$51 million in losses on interest rate instruments in 2010 at Otay Mesa VIE compared to $19 million in gains in 2009; and</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 $25 million decrease in gains from investment activity related to our executive retirement and deferred compensation plans in 2010; </w:t>
      </w:r>
      <w:r>
        <w:rPr>
          <w:rFonts w:ascii="Arial" w:cs="Arial" w:eastAsia="Arial" w:hAnsi="Arial"/>
          <w:sz w:val="16"/>
          <w:szCs w:val="16"/>
          <w:b w:val="1"/>
          <w:bCs w:val="1"/>
          <w:color w:val="auto"/>
        </w:rPr>
        <w:t>offset by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§proceeds of $48 million from a legal settlement at Sempra Pipelines &amp; Storage;</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§$12 million increase in allowance for equity funds used during construction; and</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 $10 million gain recognized on an interest rate instrument at Parent and Other.</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SDG&amp;E</w:t>
      </w:r>
    </w:p>
    <w:p>
      <w:pPr>
        <w:spacing w:after="0" w:line="104"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The changes in SDG&amp;E’s other income (expense), net, in the three months and nine months ended September 30, 2010, were primarily due to the losses and gains from interest rate instruments at Otay Mesa VIE, as we discuss above.</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Expense</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104" w:lineRule="exact"/>
        <w:rPr>
          <w:sz w:val="20"/>
          <w:szCs w:val="20"/>
          <w:color w:val="auto"/>
        </w:rPr>
      </w:pPr>
    </w:p>
    <w:p>
      <w:pPr>
        <w:ind w:left="140" w:right="2580" w:hanging="148"/>
        <w:spacing w:after="0" w:line="322" w:lineRule="auto"/>
        <w:rPr>
          <w:sz w:val="20"/>
          <w:szCs w:val="20"/>
          <w:color w:val="auto"/>
        </w:rPr>
      </w:pPr>
      <w:r>
        <w:rPr>
          <w:rFonts w:ascii="Arial" w:cs="Arial" w:eastAsia="Arial" w:hAnsi="Arial"/>
          <w:sz w:val="16"/>
          <w:szCs w:val="16"/>
          <w:color w:val="auto"/>
        </w:rPr>
        <w:t xml:space="preserve">For the three months ended September 30, 2010, our interest expense increased by $15 million (16%) to $111 million. The increase included: §$17 million higher interest expense, primarily from long-term debt issued in 2009 and 2010 at Parent and Other and SDG&amp;E; </w:t>
      </w:r>
      <w:r>
        <w:rPr>
          <w:rFonts w:ascii="Arial" w:cs="Arial" w:eastAsia="Arial" w:hAnsi="Arial"/>
          <w:sz w:val="16"/>
          <w:szCs w:val="16"/>
          <w:b w:val="1"/>
          <w:bCs w:val="1"/>
          <w:color w:val="auto"/>
        </w:rPr>
        <w:t>offset by</w:t>
      </w:r>
      <w:r>
        <w:rPr>
          <w:rFonts w:ascii="Arial" w:cs="Arial" w:eastAsia="Arial" w:hAnsi="Arial"/>
          <w:sz w:val="16"/>
          <w:szCs w:val="16"/>
          <w:color w:val="auto"/>
        </w:rPr>
        <w:t xml:space="preserve"> §$5 million lower interest expense from maturities of debt at Parent and Other.</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2010, our interest expense increased by $66 million (26%) to $323 million. The increase was primarily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§$70 million higher interest expense, primarily from long-term debt issued in 2009 and 2010 at Parent and Other and SDG&amp;E; and</w:t>
      </w:r>
    </w:p>
    <w:p>
      <w:pPr>
        <w:spacing w:after="0" w:line="52" w:lineRule="exact"/>
        <w:rPr>
          <w:sz w:val="20"/>
          <w:szCs w:val="20"/>
          <w:color w:val="auto"/>
        </w:rPr>
      </w:pPr>
    </w:p>
    <w:p>
      <w:pPr>
        <w:ind w:left="140" w:right="3840"/>
        <w:spacing w:after="0" w:line="315" w:lineRule="auto"/>
        <w:rPr>
          <w:sz w:val="20"/>
          <w:szCs w:val="20"/>
          <w:color w:val="auto"/>
        </w:rPr>
      </w:pPr>
      <w:r>
        <w:rPr>
          <w:rFonts w:ascii="Arial" w:cs="Arial" w:eastAsia="Arial" w:hAnsi="Arial"/>
          <w:sz w:val="16"/>
          <w:szCs w:val="16"/>
          <w:color w:val="auto"/>
        </w:rPr>
        <w:t xml:space="preserve">§$26 million lower capitalized interest, primarily at Sempra LNG due to completion of construction projects; </w:t>
      </w:r>
      <w:r>
        <w:rPr>
          <w:rFonts w:ascii="Arial" w:cs="Arial" w:eastAsia="Arial" w:hAnsi="Arial"/>
          <w:sz w:val="16"/>
          <w:szCs w:val="16"/>
          <w:b w:val="1"/>
          <w:bCs w:val="1"/>
          <w:color w:val="auto"/>
        </w:rPr>
        <w:t>offset by</w:t>
      </w:r>
      <w:r>
        <w:rPr>
          <w:rFonts w:ascii="Arial" w:cs="Arial" w:eastAsia="Arial" w:hAnsi="Arial"/>
          <w:sz w:val="16"/>
          <w:szCs w:val="16"/>
          <w:color w:val="auto"/>
        </w:rPr>
        <w:t xml:space="preserve"> §$22 million lower interest expense from maturities of debt at Parent and Other; and</w:t>
      </w:r>
    </w:p>
    <w:p>
      <w:pPr>
        <w:spacing w:after="0" w:line="1" w:lineRule="exact"/>
        <w:rPr>
          <w:sz w:val="20"/>
          <w:szCs w:val="20"/>
          <w:color w:val="auto"/>
        </w:rPr>
      </w:pPr>
    </w:p>
    <w:p>
      <w:pPr>
        <w:ind w:left="140" w:right="1220"/>
        <w:spacing w:after="0" w:line="270" w:lineRule="auto"/>
        <w:rPr>
          <w:sz w:val="20"/>
          <w:szCs w:val="20"/>
          <w:color w:val="auto"/>
        </w:rPr>
      </w:pPr>
      <w:r>
        <w:rPr>
          <w:rFonts w:ascii="Arial" w:cs="Arial" w:eastAsia="Arial" w:hAnsi="Arial"/>
          <w:sz w:val="16"/>
          <w:szCs w:val="16"/>
          <w:color w:val="auto"/>
        </w:rPr>
        <w:t>§$14 million lower short-term debt interest expense, primarily from lower average commercial paper borrowings and interest rates, and reduced interest expense related to energy crisis litigation reserves at Parent and Other.</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income tax expense (benefit) and effective income tax rates for Sempra Energy, SDG&amp;E, 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208915</wp:posOffset>
            </wp:positionV>
            <wp:extent cx="5684520" cy="1295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84520" cy="12954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INCOME TAX EXPENSE (BENEFIT) AND EFFECTIVE INCOME TAX RATES</w:t>
      </w:r>
    </w:p>
    <w:p>
      <w:pPr>
        <w:sectPr>
          <w:pgSz w:w="11900" w:h="16838" w:orient="portrait"/>
          <w:cols w:equalWidth="0" w:num="1">
            <w:col w:w="11400"/>
          </w:cols>
          <w:pgMar w:left="240" w:top="131" w:right="259" w:bottom="0" w:gutter="0" w:footer="0" w:header="0"/>
          <w:type w:val="continuous"/>
        </w:sectPr>
      </w:pPr>
    </w:p>
    <w:bookmarkStart w:id="52" w:name="page53"/>
    <w:bookmarkEnd w:id="52"/>
    <w:p>
      <w:pPr>
        <w:spacing w:after="0" w:line="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(Dollars in millions)</w:t>
      </w:r>
    </w:p>
    <w:tbl>
      <w:tblPr>
        <w:tblLayout w:type="fixed"/>
        <w:tblInd w:w="0" w:type="dxa"/>
        <w:tblCellMar>
          <w:top w:w="0" w:type="dxa"/>
          <w:left w:w="0" w:type="dxa"/>
          <w:bottom w:w="0" w:type="dxa"/>
          <w:right w:w="0" w:type="dxa"/>
        </w:tblCellMar>
      </w:tblPr>
      <w:tr>
        <w:trPr>
          <w:trHeight w:val="140"/>
        </w:trPr>
        <w:tc>
          <w:tcPr>
            <w:tcW w:w="2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right"/>
              <w:ind w:right="291"/>
              <w:spacing w:after="0" w:line="140" w:lineRule="exact"/>
              <w:rPr>
                <w:sz w:val="20"/>
                <w:szCs w:val="20"/>
                <w:color w:val="auto"/>
              </w:rPr>
            </w:pPr>
            <w:r>
              <w:rPr>
                <w:rFonts w:ascii="Arial" w:cs="Arial" w:eastAsia="Arial" w:hAnsi="Arial"/>
                <w:sz w:val="13"/>
                <w:szCs w:val="13"/>
                <w:color w:val="auto"/>
              </w:rPr>
              <w:t>Three months ended Septe mber 30,</w:t>
            </w:r>
          </w:p>
        </w:tc>
        <w:tc>
          <w:tcPr>
            <w:tcW w:w="1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r>
      <w:tr>
        <w:trPr>
          <w:trHeight w:val="148"/>
        </w:trPr>
        <w:tc>
          <w:tcPr>
            <w:tcW w:w="2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2010</w:t>
            </w:r>
          </w:p>
        </w:tc>
        <w:tc>
          <w:tcPr>
            <w:tcW w:w="1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1"/>
              <w:spacing w:after="0" w:line="148" w:lineRule="exact"/>
              <w:rPr>
                <w:sz w:val="20"/>
                <w:szCs w:val="20"/>
                <w:color w:val="auto"/>
              </w:rPr>
            </w:pPr>
            <w:r>
              <w:rPr>
                <w:rFonts w:ascii="Arial" w:cs="Arial" w:eastAsia="Arial" w:hAnsi="Arial"/>
                <w:sz w:val="13"/>
                <w:szCs w:val="13"/>
                <w:color w:val="auto"/>
              </w:rPr>
              <w:t>2009</w:t>
            </w:r>
          </w:p>
        </w:tc>
        <w:tc>
          <w:tcPr>
            <w:tcW w:w="620" w:type="dxa"/>
            <w:vAlign w:val="bottom"/>
            <w:tcBorders>
              <w:bottom w:val="single" w:sz="8" w:color="auto"/>
            </w:tcBorders>
          </w:tcPr>
          <w:p>
            <w:pPr>
              <w:spacing w:after="0"/>
              <w:rPr>
                <w:sz w:val="12"/>
                <w:szCs w:val="12"/>
                <w:color w:val="auto"/>
              </w:rPr>
            </w:pPr>
          </w:p>
        </w:tc>
      </w:tr>
      <w:tr>
        <w:trPr>
          <w:trHeight w:val="222"/>
        </w:trPr>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jc w:val="center"/>
              <w:ind w:right="11"/>
              <w:spacing w:after="0"/>
              <w:rPr>
                <w:sz w:val="20"/>
                <w:szCs w:val="20"/>
                <w:color w:val="auto"/>
              </w:rPr>
            </w:pPr>
            <w:r>
              <w:rPr>
                <w:rFonts w:ascii="Arial" w:cs="Arial" w:eastAsia="Arial" w:hAnsi="Arial"/>
                <w:sz w:val="13"/>
                <w:szCs w:val="13"/>
                <w:color w:val="auto"/>
                <w:w w:val="98"/>
              </w:rPr>
              <w:t>Income Tax Expense</w:t>
            </w:r>
          </w:p>
        </w:tc>
        <w:tc>
          <w:tcPr>
            <w:tcW w:w="6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Effective Income</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center"/>
              <w:ind w:right="31"/>
              <w:spacing w:after="0"/>
              <w:rPr>
                <w:sz w:val="20"/>
                <w:szCs w:val="20"/>
                <w:color w:val="auto"/>
              </w:rPr>
            </w:pPr>
            <w:r>
              <w:rPr>
                <w:rFonts w:ascii="Arial" w:cs="Arial" w:eastAsia="Arial" w:hAnsi="Arial"/>
                <w:sz w:val="13"/>
                <w:szCs w:val="13"/>
                <w:color w:val="auto"/>
                <w:w w:val="97"/>
              </w:rPr>
              <w:t>Income Tax</w:t>
            </w:r>
          </w:p>
        </w:tc>
        <w:tc>
          <w:tcPr>
            <w:tcW w:w="1260" w:type="dxa"/>
            <w:vAlign w:val="bottom"/>
          </w:tcPr>
          <w:p>
            <w:pPr>
              <w:jc w:val="center"/>
              <w:ind w:left="51"/>
              <w:spacing w:after="0"/>
              <w:rPr>
                <w:sz w:val="20"/>
                <w:szCs w:val="20"/>
                <w:color w:val="auto"/>
              </w:rPr>
            </w:pPr>
            <w:r>
              <w:rPr>
                <w:rFonts w:ascii="Arial" w:cs="Arial" w:eastAsia="Arial" w:hAnsi="Arial"/>
                <w:sz w:val="13"/>
                <w:szCs w:val="13"/>
                <w:color w:val="auto"/>
                <w:w w:val="97"/>
              </w:rPr>
              <w:t>Effective Income</w:t>
            </w:r>
          </w:p>
        </w:tc>
        <w:tc>
          <w:tcPr>
            <w:tcW w:w="620" w:type="dxa"/>
            <w:vAlign w:val="bottom"/>
          </w:tcPr>
          <w:p>
            <w:pPr>
              <w:spacing w:after="0"/>
              <w:rPr>
                <w:sz w:val="19"/>
                <w:szCs w:val="19"/>
                <w:color w:val="auto"/>
              </w:rPr>
            </w:pPr>
          </w:p>
        </w:tc>
      </w:tr>
      <w:tr>
        <w:trPr>
          <w:trHeight w:val="154"/>
        </w:trPr>
        <w:tc>
          <w:tcPr>
            <w:tcW w:w="2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color w:val="auto"/>
                <w:w w:val="97"/>
              </w:rPr>
              <w:t>(Benefit)</w:t>
            </w: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Tax Rate</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color w:val="auto"/>
                <w:w w:val="98"/>
              </w:rPr>
              <w:t>Expense</w:t>
            </w:r>
          </w:p>
        </w:tc>
        <w:tc>
          <w:tcPr>
            <w:tcW w:w="1260" w:type="dxa"/>
            <w:vAlign w:val="bottom"/>
            <w:tcBorders>
              <w:bottom w:val="single" w:sz="8" w:color="auto"/>
            </w:tcBorders>
          </w:tcPr>
          <w:p>
            <w:pPr>
              <w:jc w:val="center"/>
              <w:ind w:left="51"/>
              <w:spacing w:after="0"/>
              <w:rPr>
                <w:sz w:val="20"/>
                <w:szCs w:val="20"/>
                <w:color w:val="auto"/>
              </w:rPr>
            </w:pPr>
            <w:r>
              <w:rPr>
                <w:rFonts w:ascii="Arial" w:cs="Arial" w:eastAsia="Arial" w:hAnsi="Arial"/>
                <w:sz w:val="13"/>
                <w:szCs w:val="13"/>
                <w:color w:val="auto"/>
                <w:w w:val="94"/>
              </w:rPr>
              <w:t>Tax Rate</w:t>
            </w:r>
          </w:p>
        </w:tc>
        <w:tc>
          <w:tcPr>
            <w:tcW w:w="620" w:type="dxa"/>
            <w:vAlign w:val="bottom"/>
            <w:tcBorders>
              <w:bottom w:val="single" w:sz="8" w:color="auto"/>
            </w:tcBorders>
          </w:tcPr>
          <w:p>
            <w:pPr>
              <w:spacing w:after="0"/>
              <w:rPr>
                <w:sz w:val="13"/>
                <w:szCs w:val="13"/>
                <w:color w:val="auto"/>
              </w:rPr>
            </w:pPr>
          </w:p>
        </w:tc>
      </w:tr>
      <w:tr>
        <w:trPr>
          <w:trHeight w:val="222"/>
        </w:trPr>
        <w:tc>
          <w:tcPr>
            <w:tcW w:w="2080" w:type="dxa"/>
            <w:vAlign w:val="bottom"/>
          </w:tcPr>
          <w:p>
            <w:pPr>
              <w:ind w:left="80"/>
              <w:spacing w:after="0"/>
              <w:rPr>
                <w:sz w:val="20"/>
                <w:szCs w:val="20"/>
                <w:color w:val="auto"/>
              </w:rPr>
            </w:pPr>
            <w:r>
              <w:rPr>
                <w:rFonts w:ascii="Arial" w:cs="Arial" w:eastAsia="Arial" w:hAnsi="Arial"/>
                <w:sz w:val="14"/>
                <w:szCs w:val="14"/>
                <w:color w:val="auto"/>
              </w:rPr>
              <w:t>Sempra Energy Consolidated</w:t>
            </w:r>
          </w:p>
        </w:tc>
        <w:tc>
          <w:tcPr>
            <w:tcW w:w="300" w:type="dxa"/>
            <w:vAlign w:val="bottom"/>
          </w:tcPr>
          <w:p>
            <w:pPr>
              <w:jc w:val="right"/>
              <w:ind w:right="16"/>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4"/>
                <w:szCs w:val="14"/>
                <w:color w:val="auto"/>
              </w:rPr>
              <w:t>(32)</w:t>
            </w:r>
          </w:p>
        </w:tc>
        <w:tc>
          <w:tcPr>
            <w:tcW w:w="620" w:type="dxa"/>
            <w:vAlign w:val="bottom"/>
          </w:tcPr>
          <w:p>
            <w:pPr>
              <w:spacing w:after="0"/>
              <w:rPr>
                <w:sz w:val="19"/>
                <w:szCs w:val="19"/>
                <w:color w:val="auto"/>
              </w:rPr>
            </w:pPr>
          </w:p>
        </w:tc>
        <w:tc>
          <w:tcPr>
            <w:tcW w:w="1120" w:type="dxa"/>
            <w:vAlign w:val="bottom"/>
          </w:tcPr>
          <w:p>
            <w:pPr>
              <w:jc w:val="center"/>
              <w:ind w:left="631"/>
              <w:spacing w:after="0"/>
              <w:rPr>
                <w:sz w:val="20"/>
                <w:szCs w:val="20"/>
                <w:color w:val="auto"/>
              </w:rPr>
            </w:pPr>
            <w:r>
              <w:rPr>
                <w:rFonts w:ascii="Arial" w:cs="Arial" w:eastAsia="Arial" w:hAnsi="Arial"/>
                <w:sz w:val="14"/>
                <w:szCs w:val="14"/>
                <w:color w:val="auto"/>
              </w:rPr>
              <w:t>(32)</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1"/>
              <w:spacing w:after="0"/>
              <w:rPr>
                <w:sz w:val="20"/>
                <w:szCs w:val="20"/>
                <w:color w:val="auto"/>
              </w:rPr>
            </w:pPr>
            <w:r>
              <w:rPr>
                <w:rFonts w:ascii="Arial" w:cs="Arial" w:eastAsia="Arial" w:hAnsi="Arial"/>
                <w:sz w:val="14"/>
                <w:szCs w:val="14"/>
                <w:color w:val="auto"/>
              </w:rPr>
              <w:t>128</w:t>
            </w: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31</w:t>
            </w:r>
          </w:p>
        </w:tc>
        <w:tc>
          <w:tcPr>
            <w:tcW w:w="620" w:type="dxa"/>
            <w:vAlign w:val="bottom"/>
          </w:tcPr>
          <w:p>
            <w:pPr>
              <w:jc w:val="right"/>
              <w:ind w:right="320"/>
              <w:spacing w:after="0"/>
              <w:rPr>
                <w:sz w:val="20"/>
                <w:szCs w:val="20"/>
                <w:color w:val="auto"/>
              </w:rPr>
            </w:pPr>
            <w:r>
              <w:rPr>
                <w:rFonts w:ascii="Arial" w:cs="Arial" w:eastAsia="Arial" w:hAnsi="Arial"/>
                <w:sz w:val="14"/>
                <w:szCs w:val="14"/>
                <w:color w:val="auto"/>
              </w:rPr>
              <w:t>%</w:t>
            </w:r>
          </w:p>
        </w:tc>
      </w:tr>
      <w:tr>
        <w:trPr>
          <w:trHeight w:val="196"/>
        </w:trPr>
        <w:tc>
          <w:tcPr>
            <w:tcW w:w="2080" w:type="dxa"/>
            <w:vAlign w:val="bottom"/>
          </w:tcPr>
          <w:p>
            <w:pPr>
              <w:ind w:left="80"/>
              <w:spacing w:after="0"/>
              <w:rPr>
                <w:sz w:val="20"/>
                <w:szCs w:val="20"/>
                <w:color w:val="auto"/>
              </w:rPr>
            </w:pPr>
            <w:r>
              <w:rPr>
                <w:rFonts w:ascii="Arial" w:cs="Arial" w:eastAsia="Arial" w:hAnsi="Arial"/>
                <w:sz w:val="14"/>
                <w:szCs w:val="14"/>
                <w:color w:val="auto"/>
              </w:rPr>
              <w:t>SDG&amp;E</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jc w:val="right"/>
              <w:ind w:right="91"/>
              <w:spacing w:after="0"/>
              <w:rPr>
                <w:sz w:val="20"/>
                <w:szCs w:val="20"/>
                <w:color w:val="auto"/>
              </w:rPr>
            </w:pPr>
            <w:r>
              <w:rPr>
                <w:rFonts w:ascii="Arial" w:cs="Arial" w:eastAsia="Arial" w:hAnsi="Arial"/>
                <w:sz w:val="14"/>
                <w:szCs w:val="14"/>
                <w:color w:val="auto"/>
              </w:rPr>
              <w:t>56</w:t>
            </w:r>
          </w:p>
        </w:tc>
        <w:tc>
          <w:tcPr>
            <w:tcW w:w="620" w:type="dxa"/>
            <w:vAlign w:val="bottom"/>
          </w:tcPr>
          <w:p>
            <w:pPr>
              <w:spacing w:after="0"/>
              <w:rPr>
                <w:sz w:val="17"/>
                <w:szCs w:val="17"/>
                <w:color w:val="auto"/>
              </w:rPr>
            </w:pPr>
          </w:p>
        </w:tc>
        <w:tc>
          <w:tcPr>
            <w:tcW w:w="1120" w:type="dxa"/>
            <w:vAlign w:val="bottom"/>
          </w:tcPr>
          <w:p>
            <w:pPr>
              <w:jc w:val="center"/>
              <w:ind w:left="651"/>
              <w:spacing w:after="0"/>
              <w:rPr>
                <w:sz w:val="20"/>
                <w:szCs w:val="20"/>
                <w:color w:val="auto"/>
              </w:rPr>
            </w:pPr>
            <w:r>
              <w:rPr>
                <w:rFonts w:ascii="Arial" w:cs="Arial" w:eastAsia="Arial" w:hAnsi="Arial"/>
                <w:sz w:val="14"/>
                <w:szCs w:val="14"/>
                <w:color w:val="auto"/>
              </w:rPr>
              <w:t>35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71"/>
              <w:spacing w:after="0"/>
              <w:rPr>
                <w:sz w:val="20"/>
                <w:szCs w:val="20"/>
                <w:color w:val="auto"/>
              </w:rPr>
            </w:pPr>
            <w:r>
              <w:rPr>
                <w:rFonts w:ascii="Arial" w:cs="Arial" w:eastAsia="Arial" w:hAnsi="Arial"/>
                <w:sz w:val="14"/>
                <w:szCs w:val="14"/>
                <w:color w:val="auto"/>
              </w:rPr>
              <w:t>53</w:t>
            </w: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37</w:t>
            </w:r>
          </w:p>
        </w:tc>
        <w:tc>
          <w:tcPr>
            <w:tcW w:w="620" w:type="dxa"/>
            <w:vAlign w:val="bottom"/>
          </w:tcPr>
          <w:p>
            <w:pPr>
              <w:spacing w:after="0"/>
              <w:rPr>
                <w:sz w:val="17"/>
                <w:szCs w:val="17"/>
                <w:color w:val="auto"/>
              </w:rPr>
            </w:pPr>
          </w:p>
        </w:tc>
      </w:tr>
      <w:tr>
        <w:trPr>
          <w:trHeight w:val="204"/>
        </w:trPr>
        <w:tc>
          <w:tcPr>
            <w:tcW w:w="2080" w:type="dxa"/>
            <w:vAlign w:val="bottom"/>
          </w:tcPr>
          <w:p>
            <w:pPr>
              <w:ind w:left="80"/>
              <w:spacing w:after="0"/>
              <w:rPr>
                <w:sz w:val="20"/>
                <w:szCs w:val="20"/>
                <w:color w:val="auto"/>
              </w:rPr>
            </w:pPr>
            <w:r>
              <w:rPr>
                <w:rFonts w:ascii="Arial" w:cs="Arial" w:eastAsia="Arial" w:hAnsi="Arial"/>
                <w:sz w:val="14"/>
                <w:szCs w:val="14"/>
                <w:color w:val="auto"/>
              </w:rPr>
              <w:t>PE</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jc w:val="right"/>
              <w:ind w:right="91"/>
              <w:spacing w:after="0"/>
              <w:rPr>
                <w:sz w:val="20"/>
                <w:szCs w:val="20"/>
                <w:color w:val="auto"/>
              </w:rPr>
            </w:pPr>
            <w:r>
              <w:rPr>
                <w:rFonts w:ascii="Arial" w:cs="Arial" w:eastAsia="Arial" w:hAnsi="Arial"/>
                <w:sz w:val="14"/>
                <w:szCs w:val="14"/>
                <w:color w:val="auto"/>
              </w:rPr>
              <w:t>42</w:t>
            </w:r>
          </w:p>
        </w:tc>
        <w:tc>
          <w:tcPr>
            <w:tcW w:w="620" w:type="dxa"/>
            <w:vAlign w:val="bottom"/>
          </w:tcPr>
          <w:p>
            <w:pPr>
              <w:spacing w:after="0"/>
              <w:rPr>
                <w:sz w:val="17"/>
                <w:szCs w:val="17"/>
                <w:color w:val="auto"/>
              </w:rPr>
            </w:pPr>
          </w:p>
        </w:tc>
        <w:tc>
          <w:tcPr>
            <w:tcW w:w="1120" w:type="dxa"/>
            <w:vAlign w:val="bottom"/>
          </w:tcPr>
          <w:p>
            <w:pPr>
              <w:jc w:val="center"/>
              <w:ind w:left="651"/>
              <w:spacing w:after="0"/>
              <w:rPr>
                <w:sz w:val="20"/>
                <w:szCs w:val="20"/>
                <w:color w:val="auto"/>
              </w:rPr>
            </w:pPr>
            <w:r>
              <w:rPr>
                <w:rFonts w:ascii="Arial" w:cs="Arial" w:eastAsia="Arial" w:hAnsi="Arial"/>
                <w:sz w:val="14"/>
                <w:szCs w:val="14"/>
                <w:color w:val="auto"/>
              </w:rPr>
              <w:t>35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71"/>
              <w:spacing w:after="0"/>
              <w:rPr>
                <w:sz w:val="20"/>
                <w:szCs w:val="20"/>
                <w:color w:val="auto"/>
              </w:rPr>
            </w:pPr>
            <w:r>
              <w:rPr>
                <w:rFonts w:ascii="Arial" w:cs="Arial" w:eastAsia="Arial" w:hAnsi="Arial"/>
                <w:sz w:val="14"/>
                <w:szCs w:val="14"/>
                <w:color w:val="auto"/>
              </w:rPr>
              <w:t>41</w:t>
            </w: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36</w:t>
            </w:r>
          </w:p>
        </w:tc>
        <w:tc>
          <w:tcPr>
            <w:tcW w:w="620" w:type="dxa"/>
            <w:vAlign w:val="bottom"/>
          </w:tcPr>
          <w:p>
            <w:pPr>
              <w:spacing w:after="0"/>
              <w:rPr>
                <w:sz w:val="17"/>
                <w:szCs w:val="17"/>
                <w:color w:val="auto"/>
              </w:rPr>
            </w:pPr>
          </w:p>
        </w:tc>
      </w:tr>
      <w:tr>
        <w:trPr>
          <w:trHeight w:val="214"/>
        </w:trPr>
        <w:tc>
          <w:tcPr>
            <w:tcW w:w="2080" w:type="dxa"/>
            <w:vAlign w:val="bottom"/>
          </w:tcPr>
          <w:p>
            <w:pPr>
              <w:ind w:left="80"/>
              <w:spacing w:after="0"/>
              <w:rPr>
                <w:sz w:val="20"/>
                <w:szCs w:val="20"/>
                <w:color w:val="auto"/>
              </w:rPr>
            </w:pPr>
            <w:r>
              <w:rPr>
                <w:rFonts w:ascii="Arial" w:cs="Arial" w:eastAsia="Arial" w:hAnsi="Arial"/>
                <w:sz w:val="14"/>
                <w:szCs w:val="14"/>
                <w:color w:val="auto"/>
              </w:rPr>
              <w:t>SoCalGas</w:t>
            </w:r>
          </w:p>
        </w:tc>
        <w:tc>
          <w:tcPr>
            <w:tcW w:w="300" w:type="dxa"/>
            <w:vAlign w:val="bottom"/>
            <w:tcBorders>
              <w:bottom w:val="single" w:sz="8" w:color="C0C0C0"/>
            </w:tcBorders>
          </w:tcPr>
          <w:p>
            <w:pPr>
              <w:spacing w:after="0"/>
              <w:rPr>
                <w:sz w:val="18"/>
                <w:szCs w:val="18"/>
                <w:color w:val="auto"/>
              </w:rPr>
            </w:pPr>
          </w:p>
        </w:tc>
        <w:tc>
          <w:tcPr>
            <w:tcW w:w="40" w:type="dxa"/>
            <w:vAlign w:val="bottom"/>
            <w:tcBorders>
              <w:bottom w:val="single" w:sz="8" w:color="C0C0C0"/>
            </w:tcBorders>
          </w:tcPr>
          <w:p>
            <w:pPr>
              <w:spacing w:after="0"/>
              <w:rPr>
                <w:sz w:val="18"/>
                <w:szCs w:val="18"/>
                <w:color w:val="auto"/>
              </w:rPr>
            </w:pPr>
          </w:p>
        </w:tc>
        <w:tc>
          <w:tcPr>
            <w:tcW w:w="1360" w:type="dxa"/>
            <w:vAlign w:val="bottom"/>
            <w:tcBorders>
              <w:bottom w:val="single" w:sz="8" w:color="C0C0C0"/>
            </w:tcBorders>
          </w:tcPr>
          <w:p>
            <w:pPr>
              <w:jc w:val="right"/>
              <w:ind w:right="91"/>
              <w:spacing w:after="0"/>
              <w:rPr>
                <w:sz w:val="20"/>
                <w:szCs w:val="20"/>
                <w:color w:val="auto"/>
              </w:rPr>
            </w:pPr>
            <w:r>
              <w:rPr>
                <w:rFonts w:ascii="Arial" w:cs="Arial" w:eastAsia="Arial" w:hAnsi="Arial"/>
                <w:sz w:val="14"/>
                <w:szCs w:val="14"/>
                <w:color w:val="auto"/>
              </w:rPr>
              <w:t>42</w:t>
            </w:r>
          </w:p>
        </w:tc>
        <w:tc>
          <w:tcPr>
            <w:tcW w:w="620" w:type="dxa"/>
            <w:vAlign w:val="bottom"/>
            <w:tcBorders>
              <w:bottom w:val="single" w:sz="8" w:color="C0C0C0"/>
            </w:tcBorders>
          </w:tcPr>
          <w:p>
            <w:pPr>
              <w:spacing w:after="0"/>
              <w:rPr>
                <w:sz w:val="18"/>
                <w:szCs w:val="18"/>
                <w:color w:val="auto"/>
              </w:rPr>
            </w:pPr>
          </w:p>
        </w:tc>
        <w:tc>
          <w:tcPr>
            <w:tcW w:w="1120" w:type="dxa"/>
            <w:vAlign w:val="bottom"/>
            <w:tcBorders>
              <w:bottom w:val="single" w:sz="8" w:color="C0C0C0"/>
            </w:tcBorders>
          </w:tcPr>
          <w:p>
            <w:pPr>
              <w:jc w:val="center"/>
              <w:ind w:left="651"/>
              <w:spacing w:after="0"/>
              <w:rPr>
                <w:sz w:val="20"/>
                <w:szCs w:val="20"/>
                <w:color w:val="auto"/>
              </w:rPr>
            </w:pPr>
            <w:r>
              <w:rPr>
                <w:rFonts w:ascii="Arial" w:cs="Arial" w:eastAsia="Arial" w:hAnsi="Arial"/>
                <w:sz w:val="14"/>
                <w:szCs w:val="14"/>
                <w:color w:val="auto"/>
              </w:rPr>
              <w:t>35</w:t>
            </w:r>
          </w:p>
        </w:tc>
        <w:tc>
          <w:tcPr>
            <w:tcW w:w="3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c>
          <w:tcPr>
            <w:tcW w:w="960" w:type="dxa"/>
            <w:vAlign w:val="bottom"/>
            <w:tcBorders>
              <w:bottom w:val="single" w:sz="8" w:color="C0C0C0"/>
            </w:tcBorders>
          </w:tcPr>
          <w:p>
            <w:pPr>
              <w:jc w:val="right"/>
              <w:ind w:right="171"/>
              <w:spacing w:after="0"/>
              <w:rPr>
                <w:sz w:val="20"/>
                <w:szCs w:val="20"/>
                <w:color w:val="auto"/>
              </w:rPr>
            </w:pPr>
            <w:r>
              <w:rPr>
                <w:rFonts w:ascii="Arial" w:cs="Arial" w:eastAsia="Arial" w:hAnsi="Arial"/>
                <w:sz w:val="14"/>
                <w:szCs w:val="14"/>
                <w:color w:val="auto"/>
              </w:rPr>
              <w:t>42</w:t>
            </w:r>
          </w:p>
        </w:tc>
        <w:tc>
          <w:tcPr>
            <w:tcW w:w="1260" w:type="dxa"/>
            <w:vAlign w:val="bottom"/>
            <w:tcBorders>
              <w:bottom w:val="single" w:sz="8" w:color="C0C0C0"/>
            </w:tcBorders>
          </w:tcPr>
          <w:p>
            <w:pPr>
              <w:jc w:val="right"/>
              <w:ind w:right="71"/>
              <w:spacing w:after="0"/>
              <w:rPr>
                <w:sz w:val="20"/>
                <w:szCs w:val="20"/>
                <w:color w:val="auto"/>
              </w:rPr>
            </w:pPr>
            <w:r>
              <w:rPr>
                <w:rFonts w:ascii="Arial" w:cs="Arial" w:eastAsia="Arial" w:hAnsi="Arial"/>
                <w:sz w:val="14"/>
                <w:szCs w:val="14"/>
                <w:color w:val="auto"/>
              </w:rPr>
              <w:t>36</w:t>
            </w:r>
          </w:p>
        </w:tc>
        <w:tc>
          <w:tcPr>
            <w:tcW w:w="620" w:type="dxa"/>
            <w:vAlign w:val="bottom"/>
            <w:tcBorders>
              <w:bottom w:val="single" w:sz="8" w:color="C0C0C0"/>
            </w:tcBorders>
          </w:tcPr>
          <w:p>
            <w:pPr>
              <w:spacing w:after="0"/>
              <w:rPr>
                <w:sz w:val="18"/>
                <w:szCs w:val="18"/>
                <w:color w:val="auto"/>
              </w:rPr>
            </w:pPr>
          </w:p>
        </w:tc>
      </w:tr>
      <w:tr>
        <w:trPr>
          <w:trHeight w:val="192"/>
        </w:trPr>
        <w:tc>
          <w:tcPr>
            <w:tcW w:w="2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3"/>
                <w:szCs w:val="13"/>
                <w:color w:val="auto"/>
              </w:rPr>
              <w:t>Nine months ended September 30,</w:t>
            </w:r>
          </w:p>
        </w:tc>
        <w:tc>
          <w:tcPr>
            <w:tcW w:w="1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48"/>
        </w:trPr>
        <w:tc>
          <w:tcPr>
            <w:tcW w:w="2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2010</w:t>
            </w:r>
          </w:p>
        </w:tc>
        <w:tc>
          <w:tcPr>
            <w:tcW w:w="1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1"/>
              <w:spacing w:after="0" w:line="148" w:lineRule="exact"/>
              <w:rPr>
                <w:sz w:val="20"/>
                <w:szCs w:val="20"/>
                <w:color w:val="auto"/>
              </w:rPr>
            </w:pPr>
            <w:r>
              <w:rPr>
                <w:rFonts w:ascii="Arial" w:cs="Arial" w:eastAsia="Arial" w:hAnsi="Arial"/>
                <w:sz w:val="13"/>
                <w:szCs w:val="13"/>
                <w:color w:val="auto"/>
              </w:rPr>
              <w:t>2009</w:t>
            </w:r>
          </w:p>
        </w:tc>
        <w:tc>
          <w:tcPr>
            <w:tcW w:w="620" w:type="dxa"/>
            <w:vAlign w:val="bottom"/>
            <w:tcBorders>
              <w:bottom w:val="single" w:sz="8" w:color="auto"/>
            </w:tcBorders>
          </w:tcPr>
          <w:p>
            <w:pPr>
              <w:spacing w:after="0"/>
              <w:rPr>
                <w:sz w:val="12"/>
                <w:szCs w:val="12"/>
                <w:color w:val="auto"/>
              </w:rPr>
            </w:pPr>
          </w:p>
        </w:tc>
      </w:tr>
      <w:tr>
        <w:trPr>
          <w:trHeight w:val="235"/>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jc w:val="center"/>
              <w:ind w:right="11"/>
              <w:spacing w:after="0"/>
              <w:rPr>
                <w:sz w:val="20"/>
                <w:szCs w:val="20"/>
                <w:color w:val="auto"/>
              </w:rPr>
            </w:pPr>
            <w:r>
              <w:rPr>
                <w:rFonts w:ascii="Arial" w:cs="Arial" w:eastAsia="Arial" w:hAnsi="Arial"/>
                <w:sz w:val="13"/>
                <w:szCs w:val="13"/>
                <w:color w:val="auto"/>
                <w:w w:val="94"/>
              </w:rPr>
              <w:t>Income Tax</w:t>
            </w:r>
          </w:p>
        </w:tc>
        <w:tc>
          <w:tcPr>
            <w:tcW w:w="6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Effective Income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ind w:right="31"/>
              <w:spacing w:after="0"/>
              <w:rPr>
                <w:sz w:val="20"/>
                <w:szCs w:val="20"/>
                <w:color w:val="auto"/>
              </w:rPr>
            </w:pPr>
            <w:r>
              <w:rPr>
                <w:rFonts w:ascii="Arial" w:cs="Arial" w:eastAsia="Arial" w:hAnsi="Arial"/>
                <w:sz w:val="13"/>
                <w:szCs w:val="13"/>
                <w:color w:val="auto"/>
                <w:w w:val="97"/>
              </w:rPr>
              <w:t>Income Tax</w:t>
            </w:r>
          </w:p>
        </w:tc>
        <w:tc>
          <w:tcPr>
            <w:tcW w:w="1260" w:type="dxa"/>
            <w:vAlign w:val="bottom"/>
          </w:tcPr>
          <w:p>
            <w:pPr>
              <w:jc w:val="center"/>
              <w:ind w:left="51"/>
              <w:spacing w:after="0"/>
              <w:rPr>
                <w:sz w:val="20"/>
                <w:szCs w:val="20"/>
                <w:color w:val="auto"/>
              </w:rPr>
            </w:pPr>
            <w:r>
              <w:rPr>
                <w:rFonts w:ascii="Arial" w:cs="Arial" w:eastAsia="Arial" w:hAnsi="Arial"/>
                <w:sz w:val="13"/>
                <w:szCs w:val="13"/>
                <w:color w:val="auto"/>
                <w:w w:val="97"/>
              </w:rPr>
              <w:t>Effective Income</w:t>
            </w:r>
          </w:p>
        </w:tc>
        <w:tc>
          <w:tcPr>
            <w:tcW w:w="620" w:type="dxa"/>
            <w:vAlign w:val="bottom"/>
          </w:tcPr>
          <w:p>
            <w:pPr>
              <w:jc w:val="right"/>
              <w:spacing w:after="0"/>
              <w:rPr>
                <w:sz w:val="20"/>
                <w:szCs w:val="20"/>
                <w:color w:val="auto"/>
              </w:rPr>
            </w:pPr>
            <w:r>
              <w:rPr>
                <w:rFonts w:ascii="Arial" w:cs="Arial" w:eastAsia="Arial" w:hAnsi="Arial"/>
                <w:sz w:val="19"/>
                <w:szCs w:val="19"/>
                <w:color w:val="auto"/>
              </w:rPr>
              <w:t>&lt; /p&gt;</w:t>
            </w:r>
          </w:p>
        </w:tc>
      </w:tr>
      <w:tr>
        <w:trPr>
          <w:trHeight w:val="141"/>
        </w:trPr>
        <w:tc>
          <w:tcPr>
            <w:tcW w:w="20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8"/>
              </w:rPr>
              <w:t>Expense</w:t>
            </w:r>
          </w:p>
        </w:tc>
        <w:tc>
          <w:tcPr>
            <w:tcW w:w="6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360"/>
              <w:spacing w:after="0" w:line="141" w:lineRule="exact"/>
              <w:rPr>
                <w:sz w:val="20"/>
                <w:szCs w:val="20"/>
                <w:color w:val="auto"/>
              </w:rPr>
            </w:pPr>
            <w:r>
              <w:rPr>
                <w:rFonts w:ascii="Arial" w:cs="Arial" w:eastAsia="Arial" w:hAnsi="Arial"/>
                <w:sz w:val="13"/>
                <w:szCs w:val="13"/>
                <w:color w:val="auto"/>
              </w:rPr>
              <w:t>Tax Rate</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1"/>
              <w:spacing w:after="0" w:line="141" w:lineRule="exact"/>
              <w:rPr>
                <w:sz w:val="20"/>
                <w:szCs w:val="20"/>
                <w:color w:val="auto"/>
              </w:rPr>
            </w:pPr>
            <w:r>
              <w:rPr>
                <w:rFonts w:ascii="Arial" w:cs="Arial" w:eastAsia="Arial" w:hAnsi="Arial"/>
                <w:sz w:val="13"/>
                <w:szCs w:val="13"/>
                <w:color w:val="auto"/>
                <w:w w:val="98"/>
              </w:rPr>
              <w:t>Expense</w:t>
            </w:r>
          </w:p>
        </w:tc>
        <w:tc>
          <w:tcPr>
            <w:tcW w:w="1260" w:type="dxa"/>
            <w:vAlign w:val="bottom"/>
            <w:tcBorders>
              <w:bottom w:val="single" w:sz="8" w:color="auto"/>
            </w:tcBorders>
          </w:tcPr>
          <w:p>
            <w:pPr>
              <w:jc w:val="center"/>
              <w:ind w:left="51"/>
              <w:spacing w:after="0" w:line="141" w:lineRule="exact"/>
              <w:rPr>
                <w:sz w:val="20"/>
                <w:szCs w:val="20"/>
                <w:color w:val="auto"/>
              </w:rPr>
            </w:pPr>
            <w:r>
              <w:rPr>
                <w:rFonts w:ascii="Arial" w:cs="Arial" w:eastAsia="Arial" w:hAnsi="Arial"/>
                <w:sz w:val="13"/>
                <w:szCs w:val="13"/>
                <w:color w:val="auto"/>
                <w:w w:val="94"/>
              </w:rPr>
              <w:t>Tax Rate</w:t>
            </w:r>
          </w:p>
        </w:tc>
        <w:tc>
          <w:tcPr>
            <w:tcW w:w="620" w:type="dxa"/>
            <w:vAlign w:val="bottom"/>
            <w:tcBorders>
              <w:bottom w:val="single" w:sz="8" w:color="auto"/>
            </w:tcBorders>
          </w:tcPr>
          <w:p>
            <w:pPr>
              <w:spacing w:after="0"/>
              <w:rPr>
                <w:sz w:val="12"/>
                <w:szCs w:val="12"/>
                <w:color w:val="auto"/>
              </w:rPr>
            </w:pPr>
          </w:p>
        </w:tc>
      </w:tr>
      <w:tr>
        <w:trPr>
          <w:trHeight w:val="235"/>
        </w:trPr>
        <w:tc>
          <w:tcPr>
            <w:tcW w:w="2080" w:type="dxa"/>
            <w:vAlign w:val="bottom"/>
          </w:tcPr>
          <w:p>
            <w:pPr>
              <w:ind w:left="80"/>
              <w:spacing w:after="0"/>
              <w:rPr>
                <w:sz w:val="20"/>
                <w:szCs w:val="20"/>
                <w:color w:val="auto"/>
              </w:rPr>
            </w:pPr>
            <w:r>
              <w:rPr>
                <w:rFonts w:ascii="Arial" w:cs="Arial" w:eastAsia="Arial" w:hAnsi="Arial"/>
                <w:sz w:val="14"/>
                <w:szCs w:val="14"/>
                <w:color w:val="auto"/>
              </w:rPr>
              <w:t>Sempra Energy Consolidated</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91"/>
              <w:spacing w:after="0"/>
              <w:rPr>
                <w:sz w:val="20"/>
                <w:szCs w:val="20"/>
                <w:color w:val="auto"/>
              </w:rPr>
            </w:pPr>
            <w:r>
              <w:rPr>
                <w:rFonts w:ascii="Arial" w:cs="Arial" w:eastAsia="Arial" w:hAnsi="Arial"/>
                <w:sz w:val="14"/>
                <w:szCs w:val="14"/>
                <w:color w:val="auto"/>
              </w:rPr>
              <w:t>85</w:t>
            </w:r>
          </w:p>
        </w:tc>
        <w:tc>
          <w:tcPr>
            <w:tcW w:w="620" w:type="dxa"/>
            <w:vAlign w:val="bottom"/>
          </w:tcPr>
          <w:p>
            <w:pPr>
              <w:jc w:val="center"/>
              <w:spacing w:after="0"/>
              <w:rPr>
                <w:sz w:val="20"/>
                <w:szCs w:val="20"/>
                <w:color w:val="auto"/>
              </w:rPr>
            </w:pPr>
            <w:r>
              <w:rPr>
                <w:rFonts w:ascii="Arial" w:cs="Arial" w:eastAsia="Arial" w:hAnsi="Arial"/>
                <w:sz w:val="19"/>
                <w:szCs w:val="19"/>
                <w:color w:val="auto"/>
                <w:w w:val="96"/>
              </w:rPr>
              <w:t>&lt; /p&gt;</w:t>
            </w:r>
          </w:p>
        </w:tc>
        <w:tc>
          <w:tcPr>
            <w:tcW w:w="1120" w:type="dxa"/>
            <w:vAlign w:val="bottom"/>
          </w:tcPr>
          <w:p>
            <w:pPr>
              <w:jc w:val="center"/>
              <w:ind w:left="651"/>
              <w:spacing w:after="0"/>
              <w:rPr>
                <w:sz w:val="20"/>
                <w:szCs w:val="20"/>
                <w:color w:val="auto"/>
              </w:rPr>
            </w:pPr>
            <w:r>
              <w:rPr>
                <w:rFonts w:ascii="Arial" w:cs="Arial" w:eastAsia="Arial" w:hAnsi="Arial"/>
                <w:sz w:val="14"/>
                <w:szCs w:val="14"/>
                <w:color w:val="auto"/>
              </w:rPr>
              <w:t>18</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1"/>
              <w:spacing w:after="0"/>
              <w:rPr>
                <w:sz w:val="20"/>
                <w:szCs w:val="20"/>
                <w:color w:val="auto"/>
              </w:rPr>
            </w:pPr>
            <w:r>
              <w:rPr>
                <w:rFonts w:ascii="Arial" w:cs="Arial" w:eastAsia="Arial" w:hAnsi="Arial"/>
                <w:sz w:val="14"/>
                <w:szCs w:val="14"/>
                <w:color w:val="auto"/>
              </w:rPr>
              <w:t>327</w:t>
            </w: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30</w:t>
            </w:r>
          </w:p>
        </w:tc>
        <w:tc>
          <w:tcPr>
            <w:tcW w:w="620" w:type="dxa"/>
            <w:vAlign w:val="bottom"/>
          </w:tcPr>
          <w:p>
            <w:pPr>
              <w:jc w:val="right"/>
              <w:ind w:right="320"/>
              <w:spacing w:after="0"/>
              <w:rPr>
                <w:sz w:val="20"/>
                <w:szCs w:val="20"/>
                <w:color w:val="auto"/>
              </w:rPr>
            </w:pPr>
            <w:r>
              <w:rPr>
                <w:rFonts w:ascii="Arial" w:cs="Arial" w:eastAsia="Arial" w:hAnsi="Arial"/>
                <w:sz w:val="14"/>
                <w:szCs w:val="14"/>
                <w:color w:val="auto"/>
              </w:rPr>
              <w:t>%</w:t>
            </w:r>
          </w:p>
        </w:tc>
      </w:tr>
      <w:tr>
        <w:trPr>
          <w:trHeight w:val="183"/>
        </w:trPr>
        <w:tc>
          <w:tcPr>
            <w:tcW w:w="2080" w:type="dxa"/>
            <w:vAlign w:val="bottom"/>
          </w:tcPr>
          <w:p>
            <w:pPr>
              <w:ind w:left="80"/>
              <w:spacing w:after="0"/>
              <w:rPr>
                <w:sz w:val="20"/>
                <w:szCs w:val="20"/>
                <w:color w:val="auto"/>
              </w:rPr>
            </w:pPr>
            <w:r>
              <w:rPr>
                <w:rFonts w:ascii="Arial" w:cs="Arial" w:eastAsia="Arial" w:hAnsi="Arial"/>
                <w:sz w:val="14"/>
                <w:szCs w:val="14"/>
                <w:color w:val="auto"/>
              </w:rPr>
              <w:t>SDG&amp;E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jc w:val="right"/>
              <w:ind w:right="91"/>
              <w:spacing w:after="0"/>
              <w:rPr>
                <w:sz w:val="20"/>
                <w:szCs w:val="20"/>
                <w:color w:val="auto"/>
              </w:rPr>
            </w:pPr>
            <w:r>
              <w:rPr>
                <w:rFonts w:ascii="Arial" w:cs="Arial" w:eastAsia="Arial" w:hAnsi="Arial"/>
                <w:sz w:val="14"/>
                <w:szCs w:val="14"/>
                <w:color w:val="auto"/>
              </w:rPr>
              <w:t>131</w:t>
            </w:r>
          </w:p>
        </w:tc>
        <w:tc>
          <w:tcPr>
            <w:tcW w:w="620" w:type="dxa"/>
            <w:vAlign w:val="bottom"/>
          </w:tcPr>
          <w:p>
            <w:pPr>
              <w:spacing w:after="0"/>
              <w:rPr>
                <w:sz w:val="15"/>
                <w:szCs w:val="15"/>
                <w:color w:val="auto"/>
              </w:rPr>
            </w:pPr>
          </w:p>
        </w:tc>
        <w:tc>
          <w:tcPr>
            <w:tcW w:w="1120" w:type="dxa"/>
            <w:vAlign w:val="bottom"/>
          </w:tcPr>
          <w:p>
            <w:pPr>
              <w:jc w:val="center"/>
              <w:ind w:left="651"/>
              <w:spacing w:after="0"/>
              <w:rPr>
                <w:sz w:val="20"/>
                <w:szCs w:val="20"/>
                <w:color w:val="auto"/>
              </w:rPr>
            </w:pPr>
            <w:r>
              <w:rPr>
                <w:rFonts w:ascii="Arial" w:cs="Arial" w:eastAsia="Arial" w:hAnsi="Arial"/>
                <w:sz w:val="14"/>
                <w:szCs w:val="14"/>
                <w:color w:val="auto"/>
              </w:rPr>
              <w:t>36</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171"/>
              <w:spacing w:after="0"/>
              <w:rPr>
                <w:sz w:val="20"/>
                <w:szCs w:val="20"/>
                <w:color w:val="auto"/>
              </w:rPr>
            </w:pPr>
            <w:r>
              <w:rPr>
                <w:rFonts w:ascii="Arial" w:cs="Arial" w:eastAsia="Arial" w:hAnsi="Arial"/>
                <w:sz w:val="14"/>
                <w:szCs w:val="14"/>
                <w:color w:val="auto"/>
              </w:rPr>
              <w:t>141</w:t>
            </w: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33</w:t>
            </w:r>
          </w:p>
        </w:tc>
        <w:tc>
          <w:tcPr>
            <w:tcW w:w="620" w:type="dxa"/>
            <w:vAlign w:val="bottom"/>
          </w:tcPr>
          <w:p>
            <w:pPr>
              <w:spacing w:after="0"/>
              <w:rPr>
                <w:sz w:val="15"/>
                <w:szCs w:val="15"/>
                <w:color w:val="auto"/>
              </w:rPr>
            </w:pPr>
          </w:p>
        </w:tc>
      </w:tr>
      <w:tr>
        <w:trPr>
          <w:trHeight w:val="204"/>
        </w:trPr>
        <w:tc>
          <w:tcPr>
            <w:tcW w:w="2080" w:type="dxa"/>
            <w:vAlign w:val="bottom"/>
          </w:tcPr>
          <w:p>
            <w:pPr>
              <w:ind w:left="80"/>
              <w:spacing w:after="0"/>
              <w:rPr>
                <w:sz w:val="20"/>
                <w:szCs w:val="20"/>
                <w:color w:val="auto"/>
              </w:rPr>
            </w:pPr>
            <w:r>
              <w:rPr>
                <w:rFonts w:ascii="Arial" w:cs="Arial" w:eastAsia="Arial" w:hAnsi="Arial"/>
                <w:sz w:val="14"/>
                <w:szCs w:val="14"/>
                <w:color w:val="auto"/>
              </w:rPr>
              <w:t>PE</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jc w:val="right"/>
              <w:ind w:right="91"/>
              <w:spacing w:after="0"/>
              <w:rPr>
                <w:sz w:val="20"/>
                <w:szCs w:val="20"/>
                <w:color w:val="auto"/>
              </w:rPr>
            </w:pPr>
            <w:r>
              <w:rPr>
                <w:rFonts w:ascii="Arial" w:cs="Arial" w:eastAsia="Arial" w:hAnsi="Arial"/>
                <w:sz w:val="14"/>
                <w:szCs w:val="14"/>
                <w:color w:val="auto"/>
              </w:rPr>
              <w:t>132</w:t>
            </w:r>
          </w:p>
        </w:tc>
        <w:tc>
          <w:tcPr>
            <w:tcW w:w="620" w:type="dxa"/>
            <w:vAlign w:val="bottom"/>
          </w:tcPr>
          <w:p>
            <w:pPr>
              <w:spacing w:after="0"/>
              <w:rPr>
                <w:sz w:val="17"/>
                <w:szCs w:val="17"/>
                <w:color w:val="auto"/>
              </w:rPr>
            </w:pPr>
          </w:p>
        </w:tc>
        <w:tc>
          <w:tcPr>
            <w:tcW w:w="1120" w:type="dxa"/>
            <w:vAlign w:val="bottom"/>
          </w:tcPr>
          <w:p>
            <w:pPr>
              <w:jc w:val="center"/>
              <w:ind w:left="651"/>
              <w:spacing w:after="0"/>
              <w:rPr>
                <w:sz w:val="20"/>
                <w:szCs w:val="20"/>
                <w:color w:val="auto"/>
              </w:rPr>
            </w:pPr>
            <w:r>
              <w:rPr>
                <w:rFonts w:ascii="Arial" w:cs="Arial" w:eastAsia="Arial" w:hAnsi="Arial"/>
                <w:sz w:val="14"/>
                <w:szCs w:val="14"/>
                <w:color w:val="auto"/>
              </w:rPr>
              <w:t>38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71"/>
              <w:spacing w:after="0"/>
              <w:rPr>
                <w:sz w:val="20"/>
                <w:szCs w:val="20"/>
                <w:color w:val="auto"/>
              </w:rPr>
            </w:pPr>
            <w:r>
              <w:rPr>
                <w:rFonts w:ascii="Arial" w:cs="Arial" w:eastAsia="Arial" w:hAnsi="Arial"/>
                <w:sz w:val="14"/>
                <w:szCs w:val="14"/>
                <w:color w:val="auto"/>
              </w:rPr>
              <w:t>117</w:t>
            </w: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38</w:t>
            </w:r>
          </w:p>
        </w:tc>
        <w:tc>
          <w:tcPr>
            <w:tcW w:w="620" w:type="dxa"/>
            <w:vAlign w:val="bottom"/>
          </w:tcPr>
          <w:p>
            <w:pPr>
              <w:spacing w:after="0"/>
              <w:rPr>
                <w:sz w:val="17"/>
                <w:szCs w:val="17"/>
                <w:color w:val="auto"/>
              </w:rPr>
            </w:pPr>
          </w:p>
        </w:tc>
      </w:tr>
      <w:tr>
        <w:trPr>
          <w:trHeight w:val="214"/>
        </w:trPr>
        <w:tc>
          <w:tcPr>
            <w:tcW w:w="208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SoCalGas</w:t>
            </w:r>
          </w:p>
        </w:tc>
        <w:tc>
          <w:tcPr>
            <w:tcW w:w="300" w:type="dxa"/>
            <w:vAlign w:val="bottom"/>
            <w:tcBorders>
              <w:bottom w:val="single" w:sz="8" w:color="C0C0C0"/>
            </w:tcBorders>
          </w:tcPr>
          <w:p>
            <w:pPr>
              <w:spacing w:after="0"/>
              <w:rPr>
                <w:sz w:val="18"/>
                <w:szCs w:val="18"/>
                <w:color w:val="auto"/>
              </w:rPr>
            </w:pPr>
          </w:p>
        </w:tc>
        <w:tc>
          <w:tcPr>
            <w:tcW w:w="40" w:type="dxa"/>
            <w:vAlign w:val="bottom"/>
            <w:tcBorders>
              <w:bottom w:val="single" w:sz="8" w:color="C0C0C0"/>
            </w:tcBorders>
          </w:tcPr>
          <w:p>
            <w:pPr>
              <w:spacing w:after="0"/>
              <w:rPr>
                <w:sz w:val="18"/>
                <w:szCs w:val="18"/>
                <w:color w:val="auto"/>
              </w:rPr>
            </w:pPr>
          </w:p>
        </w:tc>
        <w:tc>
          <w:tcPr>
            <w:tcW w:w="1360" w:type="dxa"/>
            <w:vAlign w:val="bottom"/>
            <w:tcBorders>
              <w:bottom w:val="single" w:sz="8" w:color="C0C0C0"/>
            </w:tcBorders>
          </w:tcPr>
          <w:p>
            <w:pPr>
              <w:jc w:val="right"/>
              <w:ind w:right="91"/>
              <w:spacing w:after="0"/>
              <w:rPr>
                <w:sz w:val="20"/>
                <w:szCs w:val="20"/>
                <w:color w:val="auto"/>
              </w:rPr>
            </w:pPr>
            <w:r>
              <w:rPr>
                <w:rFonts w:ascii="Arial" w:cs="Arial" w:eastAsia="Arial" w:hAnsi="Arial"/>
                <w:sz w:val="14"/>
                <w:szCs w:val="14"/>
                <w:color w:val="auto"/>
              </w:rPr>
              <w:t>132</w:t>
            </w:r>
          </w:p>
        </w:tc>
        <w:tc>
          <w:tcPr>
            <w:tcW w:w="620" w:type="dxa"/>
            <w:vAlign w:val="bottom"/>
            <w:tcBorders>
              <w:bottom w:val="single" w:sz="8" w:color="C0C0C0"/>
            </w:tcBorders>
          </w:tcPr>
          <w:p>
            <w:pPr>
              <w:spacing w:after="0"/>
              <w:rPr>
                <w:sz w:val="18"/>
                <w:szCs w:val="18"/>
                <w:color w:val="auto"/>
              </w:rPr>
            </w:pPr>
          </w:p>
        </w:tc>
        <w:tc>
          <w:tcPr>
            <w:tcW w:w="1120" w:type="dxa"/>
            <w:vAlign w:val="bottom"/>
            <w:tcBorders>
              <w:bottom w:val="single" w:sz="8" w:color="C0C0C0"/>
            </w:tcBorders>
          </w:tcPr>
          <w:p>
            <w:pPr>
              <w:jc w:val="center"/>
              <w:ind w:left="651"/>
              <w:spacing w:after="0"/>
              <w:rPr>
                <w:sz w:val="20"/>
                <w:szCs w:val="20"/>
                <w:color w:val="auto"/>
              </w:rPr>
            </w:pPr>
            <w:r>
              <w:rPr>
                <w:rFonts w:ascii="Arial" w:cs="Arial" w:eastAsia="Arial" w:hAnsi="Arial"/>
                <w:sz w:val="14"/>
                <w:szCs w:val="14"/>
                <w:color w:val="auto"/>
              </w:rPr>
              <w:t>38</w:t>
            </w:r>
          </w:p>
        </w:tc>
        <w:tc>
          <w:tcPr>
            <w:tcW w:w="3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c>
          <w:tcPr>
            <w:tcW w:w="960" w:type="dxa"/>
            <w:vAlign w:val="bottom"/>
            <w:tcBorders>
              <w:bottom w:val="single" w:sz="8" w:color="C0C0C0"/>
            </w:tcBorders>
          </w:tcPr>
          <w:p>
            <w:pPr>
              <w:jc w:val="right"/>
              <w:ind w:right="171"/>
              <w:spacing w:after="0"/>
              <w:rPr>
                <w:sz w:val="20"/>
                <w:szCs w:val="20"/>
                <w:color w:val="auto"/>
              </w:rPr>
            </w:pPr>
            <w:r>
              <w:rPr>
                <w:rFonts w:ascii="Arial" w:cs="Arial" w:eastAsia="Arial" w:hAnsi="Arial"/>
                <w:sz w:val="14"/>
                <w:szCs w:val="14"/>
                <w:color w:val="auto"/>
              </w:rPr>
              <w:t>115</w:t>
            </w:r>
          </w:p>
        </w:tc>
        <w:tc>
          <w:tcPr>
            <w:tcW w:w="1260" w:type="dxa"/>
            <w:vAlign w:val="bottom"/>
            <w:tcBorders>
              <w:bottom w:val="single" w:sz="8" w:color="C0C0C0"/>
            </w:tcBorders>
          </w:tcPr>
          <w:p>
            <w:pPr>
              <w:jc w:val="right"/>
              <w:ind w:right="71"/>
              <w:spacing w:after="0"/>
              <w:rPr>
                <w:sz w:val="20"/>
                <w:szCs w:val="20"/>
                <w:color w:val="auto"/>
              </w:rPr>
            </w:pPr>
            <w:r>
              <w:rPr>
                <w:rFonts w:ascii="Arial" w:cs="Arial" w:eastAsia="Arial" w:hAnsi="Arial"/>
                <w:sz w:val="14"/>
                <w:szCs w:val="14"/>
                <w:color w:val="auto"/>
              </w:rPr>
              <w:t>37</w:t>
            </w:r>
          </w:p>
        </w:tc>
        <w:tc>
          <w:tcPr>
            <w:tcW w:w="620" w:type="dxa"/>
            <w:vAlign w:val="bottom"/>
            <w:tcBorders>
              <w:bottom w:val="single" w:sz="8" w:color="C0C0C0"/>
            </w:tcBorders>
          </w:tcPr>
          <w:p>
            <w:pPr>
              <w:spacing w:after="0"/>
              <w:rPr>
                <w:sz w:val="18"/>
                <w:szCs w:val="18"/>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The change in income tax expense in the three months ended September 30, 2010 was due to lower pretax income and a lower effective income tax rate primarily resulting from:</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planned investment tax credits;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exclusions from taxable income of the equity portion of AFUDC; and</w:t>
      </w:r>
    </w:p>
    <w:p>
      <w:pPr>
        <w:spacing w:after="0" w:line="56" w:lineRule="exact"/>
        <w:rPr>
          <w:sz w:val="20"/>
          <w:szCs w:val="20"/>
          <w:color w:val="auto"/>
        </w:rPr>
      </w:pPr>
    </w:p>
    <w:p>
      <w:pPr>
        <w:ind w:left="140" w:right="1160"/>
        <w:spacing w:after="0" w:line="270" w:lineRule="auto"/>
        <w:rPr>
          <w:sz w:val="20"/>
          <w:szCs w:val="20"/>
          <w:color w:val="auto"/>
        </w:rPr>
      </w:pPr>
      <w:r>
        <w:rPr>
          <w:rFonts w:ascii="Arial" w:cs="Arial" w:eastAsia="Arial" w:hAnsi="Arial"/>
          <w:sz w:val="16"/>
          <w:szCs w:val="16"/>
          <w:color w:val="auto"/>
        </w:rPr>
        <w:t xml:space="preserve">§higher pretax income (including a $175 million gain related to our share of the RBS Sempra Commodities sale to J.P. Morgan Ventures Energy Corporation on July 1, 2010) in countries with lower statutory rates; </w:t>
      </w:r>
      <w:r>
        <w:rPr>
          <w:rFonts w:ascii="Arial" w:cs="Arial" w:eastAsia="Arial" w:hAnsi="Arial"/>
          <w:sz w:val="16"/>
          <w:szCs w:val="16"/>
          <w:b w:val="1"/>
          <w:bCs w:val="1"/>
          <w:color w:val="auto"/>
        </w:rPr>
        <w:t>offset by</w:t>
      </w:r>
    </w:p>
    <w:p>
      <w:pPr>
        <w:spacing w:after="0" w:line="18" w:lineRule="exact"/>
        <w:rPr>
          <w:sz w:val="20"/>
          <w:szCs w:val="20"/>
          <w:color w:val="auto"/>
        </w:rPr>
      </w:pPr>
    </w:p>
    <w:p>
      <w:pPr>
        <w:ind w:left="140" w:right="4700"/>
        <w:spacing w:after="0" w:line="357" w:lineRule="auto"/>
        <w:rPr>
          <w:sz w:val="20"/>
          <w:szCs w:val="20"/>
          <w:color w:val="auto"/>
        </w:rPr>
      </w:pPr>
      <w:r>
        <w:rPr>
          <w:rFonts w:ascii="Arial" w:cs="Arial" w:eastAsia="Arial" w:hAnsi="Arial"/>
          <w:sz w:val="14"/>
          <w:szCs w:val="14"/>
          <w:color w:val="auto"/>
        </w:rPr>
        <w:t>§$11 million state income tax expense related to our exit from the RBS Sempra Commodities business; §lower favorable impact from the resolution of prior years' income tax issues;</w:t>
      </w:r>
    </w:p>
    <w:p>
      <w:pPr>
        <w:spacing w:after="0" w:line="1" w:lineRule="exact"/>
        <w:rPr>
          <w:sz w:val="20"/>
          <w:szCs w:val="20"/>
          <w:color w:val="auto"/>
        </w:rPr>
      </w:pPr>
    </w:p>
    <w:p>
      <w:pPr>
        <w:ind w:left="140" w:right="1080"/>
        <w:spacing w:after="0" w:line="270" w:lineRule="auto"/>
        <w:rPr>
          <w:sz w:val="20"/>
          <w:szCs w:val="20"/>
          <w:color w:val="auto"/>
        </w:rPr>
      </w:pPr>
      <w:r>
        <w:rPr>
          <w:rFonts w:ascii="Arial" w:cs="Arial" w:eastAsia="Arial" w:hAnsi="Arial"/>
          <w:sz w:val="16"/>
          <w:szCs w:val="16"/>
          <w:color w:val="auto"/>
        </w:rPr>
        <w:t>§an increase in the amount by which book depreciation exceeds normalized tax depreciation, which is not treated as a deferred tax asset for ratemaking purposes; and</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§$5 million tax expense in 2010 compared to $3 million tax benefit in 2009 due to Mexican currency translation and inflatio n adjustments.</w:t>
      </w:r>
    </w:p>
    <w:p>
      <w:pPr>
        <w:spacing w:after="0" w:line="32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the nine months ended September 30, 2010, Sempra Energy's income tax expense decreased due to lower pretax income and a lower effective income tax rate. The lower effective income tax rate was primarily due to:</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planned investment tax credits;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deductions for self-developed software costs;</w:t>
      </w:r>
    </w:p>
    <w:p>
      <w:pPr>
        <w:spacing w:after="0" w:line="56" w:lineRule="exact"/>
        <w:rPr>
          <w:sz w:val="20"/>
          <w:szCs w:val="20"/>
          <w:color w:val="auto"/>
        </w:rPr>
      </w:pPr>
    </w:p>
    <w:p>
      <w:pPr>
        <w:ind w:left="140" w:right="1160"/>
        <w:spacing w:after="0" w:line="270" w:lineRule="auto"/>
        <w:rPr>
          <w:sz w:val="20"/>
          <w:szCs w:val="20"/>
          <w:color w:val="auto"/>
        </w:rPr>
      </w:pPr>
      <w:r>
        <w:rPr>
          <w:rFonts w:ascii="Arial" w:cs="Arial" w:eastAsia="Arial" w:hAnsi="Arial"/>
          <w:sz w:val="16"/>
          <w:szCs w:val="16"/>
          <w:color w:val="auto"/>
        </w:rPr>
        <w:t>§higher pretax income (including a $175 million gain related to our share of the RBS Sempra Commodities sale to J.P. Morgan Ventures Energy Corporation on July 1, 2010) in countries with lower statutory rates; and&lt; /font&gt;</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§higher exclusions from taxable income of the equity portion of AFUDC; </w:t>
      </w:r>
      <w:r>
        <w:rPr>
          <w:rFonts w:ascii="Arial" w:cs="Arial" w:eastAsia="Arial" w:hAnsi="Arial"/>
          <w:sz w:val="16"/>
          <w:szCs w:val="16"/>
          <w:b w:val="1"/>
          <w:bCs w:val="1"/>
          <w:color w:val="auto"/>
        </w:rPr>
        <w:t>offset by</w:t>
      </w:r>
    </w:p>
    <w:p>
      <w:pPr>
        <w:spacing w:after="0" w:line="60" w:lineRule="exact"/>
        <w:rPr>
          <w:sz w:val="20"/>
          <w:szCs w:val="20"/>
          <w:color w:val="auto"/>
        </w:rPr>
      </w:pPr>
    </w:p>
    <w:p>
      <w:pPr>
        <w:ind w:left="140" w:right="4700"/>
        <w:spacing w:after="0" w:line="357" w:lineRule="auto"/>
        <w:rPr>
          <w:sz w:val="20"/>
          <w:szCs w:val="20"/>
          <w:color w:val="auto"/>
        </w:rPr>
      </w:pPr>
      <w:r>
        <w:rPr>
          <w:rFonts w:ascii="Arial" w:cs="Arial" w:eastAsia="Arial" w:hAnsi="Arial"/>
          <w:sz w:val="14"/>
          <w:szCs w:val="14"/>
          <w:color w:val="auto"/>
        </w:rPr>
        <w:t>§$11 million state income tax expense related to our exit from the RBS Sempra Commodities business; §lower favorable impact from the resolution of prior years' income tax issues;</w:t>
      </w:r>
    </w:p>
    <w:p>
      <w:pPr>
        <w:spacing w:after="0" w:line="1" w:lineRule="exact"/>
        <w:rPr>
          <w:sz w:val="20"/>
          <w:szCs w:val="20"/>
          <w:color w:val="auto"/>
        </w:rPr>
      </w:pPr>
    </w:p>
    <w:p>
      <w:pPr>
        <w:ind w:left="140" w:right="1540"/>
        <w:spacing w:after="0" w:line="270" w:lineRule="auto"/>
        <w:rPr>
          <w:sz w:val="20"/>
          <w:szCs w:val="20"/>
          <w:color w:val="auto"/>
        </w:rPr>
      </w:pPr>
      <w:r>
        <w:rPr>
          <w:rFonts w:ascii="Arial" w:cs="Arial" w:eastAsia="Arial" w:hAnsi="Arial"/>
          <w:sz w:val="16"/>
          <w:szCs w:val="16"/>
          <w:color w:val="auto"/>
        </w:rPr>
        <w:t>§a $16 million write-down of the deferred tax assets related to other postretirement benefits, as a result of a change in U.S. tax law that eliminates a future deduction, starting in 2013, for retiree healthcare funded by the Medicare Part D subs idy;</w:t>
      </w:r>
    </w:p>
    <w:p>
      <w:pPr>
        <w:spacing w:after="0" w:line="18" w:lineRule="exact"/>
        <w:rPr>
          <w:sz w:val="20"/>
          <w:szCs w:val="20"/>
          <w:color w:val="auto"/>
        </w:rPr>
      </w:pPr>
    </w:p>
    <w:p>
      <w:pPr>
        <w:ind w:left="140" w:right="1080"/>
        <w:spacing w:after="0" w:line="270" w:lineRule="auto"/>
        <w:rPr>
          <w:sz w:val="20"/>
          <w:szCs w:val="20"/>
          <w:color w:val="auto"/>
        </w:rPr>
      </w:pPr>
      <w:r>
        <w:rPr>
          <w:rFonts w:ascii="Arial" w:cs="Arial" w:eastAsia="Arial" w:hAnsi="Arial"/>
          <w:sz w:val="16"/>
          <w:szCs w:val="16"/>
          <w:color w:val="auto"/>
        </w:rPr>
        <w:t>§an increase in the amount by which book depreciation exceeds normalized tax depreciation, which is not treated as a deferred tax asset for ratemaking purposes; and</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 million higher tax expense in 2010 due to Mexican currency translation and inflation adjustments.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SDG&amp;E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SDG&amp;E's income tax expense in the three months ended September 30, 2010 was primarily due to higher pretax income, offset by a lower effective income tax rate.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lower effective income tax rate was primarily due to:</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impact of Otay Mesa VIE;</w:t>
      </w:r>
    </w:p>
    <w:p>
      <w:pPr>
        <w:spacing w:after="0" w:line="56" w:lineRule="exact"/>
        <w:rPr>
          <w:sz w:val="20"/>
          <w:szCs w:val="20"/>
          <w:color w:val="auto"/>
        </w:rPr>
      </w:pPr>
    </w:p>
    <w:p>
      <w:pPr>
        <w:ind w:left="140" w:right="1140"/>
        <w:spacing w:after="0" w:line="310" w:lineRule="auto"/>
        <w:rPr>
          <w:sz w:val="20"/>
          <w:szCs w:val="20"/>
          <w:color w:val="auto"/>
        </w:rPr>
      </w:pPr>
      <w:r>
        <w:rPr>
          <w:rFonts w:ascii="Arial" w:cs="Arial" w:eastAsia="Arial" w:hAnsi="Arial"/>
          <w:sz w:val="16"/>
          <w:szCs w:val="16"/>
          <w:color w:val="auto"/>
        </w:rPr>
        <w:t>§a decrease in the amount by which book depreciation exceeds normalized tax depreciation, which is not treated as a deferred tax asset for ratemaking purposes; §higher exclusions from taxable income of the equity portion of AFUDC; and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§higher favorable impact from the resolution of prior years' income tax issues; </w:t>
      </w:r>
      <w:r>
        <w:rPr>
          <w:rFonts w:ascii="Arial" w:cs="Arial" w:eastAsia="Arial" w:hAnsi="Arial"/>
          <w:sz w:val="16"/>
          <w:szCs w:val="16"/>
          <w:b w:val="1"/>
          <w:b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§lower deductions for self-developed software costs;</w:t>
      </w:r>
    </w:p>
    <w:p>
      <w:pPr>
        <w:spacing w:after="0" w:line="56" w:lineRule="exact"/>
        <w:rPr>
          <w:sz w:val="20"/>
          <w:szCs w:val="20"/>
          <w:color w:val="auto"/>
        </w:rPr>
      </w:pPr>
    </w:p>
    <w:p>
      <w:pPr>
        <w:ind w:left="140" w:right="7600" w:firstLine="5"/>
        <w:spacing w:after="0" w:line="332" w:lineRule="auto"/>
        <w:tabs>
          <w:tab w:leader="none" w:pos="257"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lower deductions for other postretirement benefits; and §lower utility repair allowance.</w:t>
      </w:r>
    </w:p>
    <w:p>
      <w:pPr>
        <w:spacing w:after="0" w:line="67"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In the nine months ended September 30, 2010, SDG&amp;E's income tax expense decreased primarily from lower pretax income, partially offset by a higher effective income tax rate resulting primarily from:</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impact of Otay Mesa VIE;</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 $3 million write-down of the deferred tax assets related to other postretirement benefits as a result of a change in U.S. tax law, as we discuss above;</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§an increase in the amount by which book depreciation exceeds normalized tax depreciation, which is not treated as a deferred tax asset for ratemaking purposes;</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§lower deductions for other postretirement benefits; and</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§lower utility repair allowance; </w:t>
      </w:r>
      <w:r>
        <w:rPr>
          <w:rFonts w:ascii="Arial" w:cs="Arial" w:eastAsia="Arial" w:hAnsi="Arial"/>
          <w:sz w:val="16"/>
          <w:szCs w:val="16"/>
          <w:b w:val="1"/>
          <w:b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exclusions from taxable income of the equity portion of AFUDC; and</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favorable impact from the resolution of prior years' income tax issues.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SDG&amp;E's results include Otay Mesa VIE, which is consolidated, and therefore, SDG&amp;E's effective income tax rate is impacted by the VIE’s stand-alone effective income tax rate.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 and SoCalGas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PE’s and SoCalGas’ effective income tax rates in the three months ended September 30, 2010 was primarily due to:</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§higher deductions for self-developed software costs; </w:t>
      </w:r>
      <w:r>
        <w:rPr>
          <w:rFonts w:ascii="Arial" w:cs="Arial" w:eastAsia="Arial" w:hAnsi="Arial"/>
          <w:sz w:val="16"/>
          <w:szCs w:val="16"/>
          <w:b w:val="1"/>
          <w:b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§lower deductions for other postretirement benefits; and</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§an increase in the amount by which book depreciation exceeds no rmalized tax depreciation, which is not treated as a deferred tax asset for ratemaking purposes.</w:t>
      </w:r>
    </w:p>
    <w:p>
      <w:pPr>
        <w:spacing w:after="0" w:line="175"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In the nine months ended September 30, 2010, income tax expense increased at PE and SoCalGas primarily due to higher pretax income. The effective income tax rate at SoCalGas increased slightly primarily due to:</w:t>
      </w:r>
    </w:p>
    <w:p>
      <w:pPr>
        <w:sectPr>
          <w:pgSz w:w="11900" w:h="16861" w:orient="portrait"/>
          <w:cols w:equalWidth="0" w:num="1">
            <w:col w:w="11300"/>
          </w:cols>
          <w:pgMar w:left="240" w:top="126" w:right="359" w:bottom="0" w:gutter="0" w:footer="0" w:header="0"/>
        </w:sectPr>
      </w:pPr>
    </w:p>
    <w:bookmarkStart w:id="53" w:name="page54"/>
    <w:bookmarkEnd w:id="53"/>
    <w:p>
      <w:pPr>
        <w:spacing w:after="0" w:line="31" w:lineRule="exact"/>
        <w:rPr>
          <w:sz w:val="20"/>
          <w:szCs w:val="20"/>
          <w:color w:val="auto"/>
        </w:rPr>
      </w:pPr>
    </w:p>
    <w:p>
      <w:pPr>
        <w:ind w:left="140" w:right="1820"/>
        <w:spacing w:after="0" w:line="313" w:lineRule="auto"/>
        <w:rPr>
          <w:sz w:val="20"/>
          <w:szCs w:val="20"/>
          <w:color w:val="auto"/>
        </w:rPr>
      </w:pPr>
      <w:r>
        <w:rPr>
          <w:rFonts w:ascii="Arial" w:cs="Arial" w:eastAsia="Arial" w:hAnsi="Arial"/>
          <w:sz w:val="16"/>
          <w:szCs w:val="16"/>
          <w:color w:val="auto"/>
        </w:rPr>
        <w:t>§a $13 million write-down of the deferred tax assets related to other postretirement benefits as a result of a change in U.S. tax law, as we discuss above; §lower deductions for other postretirement benefits; and</w:t>
      </w:r>
    </w:p>
    <w:p>
      <w:pPr>
        <w:ind w:left="140" w:right="1180"/>
        <w:spacing w:after="0" w:line="270" w:lineRule="auto"/>
        <w:rPr>
          <w:sz w:val="20"/>
          <w:szCs w:val="20"/>
          <w:color w:val="auto"/>
        </w:rPr>
      </w:pPr>
      <w:r>
        <w:rPr>
          <w:rFonts w:ascii="Arial" w:cs="Arial" w:eastAsia="Arial" w:hAnsi="Arial"/>
          <w:sz w:val="16"/>
          <w:szCs w:val="16"/>
          <w:color w:val="auto"/>
        </w:rPr>
        <w:t xml:space="preserve">§an increase in the amount by which book depreciation exceeds no rmalized tax depreciation, which is not treated as a deferred tax asset for ratemaking purposes; </w:t>
      </w:r>
      <w:r>
        <w:rPr>
          <w:rFonts w:ascii="Arial" w:cs="Arial" w:eastAsia="Arial" w:hAnsi="Arial"/>
          <w:sz w:val="16"/>
          <w:szCs w:val="16"/>
          <w:b w:val="1"/>
          <w:bCs w:val="1"/>
          <w:color w:val="auto"/>
        </w:rPr>
        <w:t>offset by</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deductions for self-developed software costs; and</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§higher exclusions from taxable income of the equity portion of AFUDC.</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Although it did not change year-over-year, these fluctuations are also reflected in PE’s effective income tax rate.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Earnings (Losses), Net of Income Tax</w:t>
      </w:r>
    </w:p>
    <w:p>
      <w:pPr>
        <w:spacing w:after="0" w:line="56" w:lineRule="exact"/>
        <w:rPr>
          <w:sz w:val="20"/>
          <w:szCs w:val="20"/>
          <w:color w:val="auto"/>
        </w:rPr>
      </w:pPr>
    </w:p>
    <w:p>
      <w:pPr>
        <w:ind w:right="300"/>
        <w:spacing w:after="0" w:line="314" w:lineRule="auto"/>
        <w:rPr>
          <w:sz w:val="20"/>
          <w:szCs w:val="20"/>
          <w:color w:val="auto"/>
        </w:rPr>
      </w:pPr>
      <w:r>
        <w:rPr>
          <w:rFonts w:ascii="Arial" w:cs="Arial" w:eastAsia="Arial" w:hAnsi="Arial"/>
          <w:sz w:val="14"/>
          <w:szCs w:val="14"/>
          <w:color w:val="auto"/>
        </w:rPr>
        <w:t>Equity losses, net of income tax, were $4 million i n the three months ended September 30, 2010 compared to equity earnings of $20 million for the corresponding period in 2009. Equity earnings, net of income tax, decreased by $17 million (29%) to $42 million in the nine months ended September 30, 2010. The change in both the three months and nine months was primarily due to a $24 million write-down of Sempra Pipelines &amp; Storage’s investment in Argentina.</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Losses (Earnings) Attributable to Noncontrolling Interests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Sempra Energy Consolidated</w:t>
      </w:r>
    </w:p>
    <w:p>
      <w:pPr>
        <w:spacing w:after="0" w:line="104" w:lineRule="exact"/>
        <w:rPr>
          <w:sz w:val="20"/>
          <w:szCs w:val="20"/>
          <w:color w:val="auto"/>
        </w:rPr>
      </w:pPr>
    </w:p>
    <w:p>
      <w:pPr>
        <w:ind w:right="520"/>
        <w:spacing w:after="0" w:line="270" w:lineRule="auto"/>
        <w:rPr>
          <w:sz w:val="20"/>
          <w:szCs w:val="20"/>
          <w:color w:val="auto"/>
        </w:rPr>
      </w:pPr>
      <w:r>
        <w:rPr>
          <w:rFonts w:ascii="Arial" w:cs="Arial" w:eastAsia="Arial" w:hAnsi="Arial"/>
          <w:sz w:val="16"/>
          <w:szCs w:val="16"/>
          <w:color w:val="auto"/>
        </w:rPr>
        <w:t>Losses attributable to noncontrolling interests decreased by $11 million (65%) in the three months ended September 30, 2010. The decrease was primarily due to a $13 million decrease in losses attributable to noncontrolling interests at SDG&amp;E, which we discuss below.</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Losses attributable to noncontrol ling interests increased by $12 million (55%) in the nine months ended September 30, 2010. The change was primarily due to:</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§$43 million increase in losses attributable to noncontrolling interests at SDG&amp;E, which we discuss below; </w:t>
      </w:r>
      <w:r>
        <w:rPr>
          <w:rFonts w:ascii="Arial" w:cs="Arial" w:eastAsia="Arial" w:hAnsi="Arial"/>
          <w:sz w:val="16"/>
          <w:szCs w:val="16"/>
          <w:b w:val="1"/>
          <w:b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§$33 million associated with the write-off of assets at Liberty in 2009.</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SDG&amp;E</w:t>
      </w:r>
    </w:p>
    <w:p>
      <w:pPr>
        <w:spacing w:after="0" w:line="104" w:lineRule="exact"/>
        <w:rPr>
          <w:sz w:val="20"/>
          <w:szCs w:val="20"/>
          <w:color w:val="auto"/>
        </w:rPr>
      </w:pPr>
    </w:p>
    <w:p>
      <w:pPr>
        <w:ind w:right="740"/>
        <w:spacing w:after="0" w:line="270" w:lineRule="auto"/>
        <w:rPr>
          <w:sz w:val="20"/>
          <w:szCs w:val="20"/>
          <w:color w:val="auto"/>
        </w:rPr>
      </w:pPr>
      <w:r>
        <w:rPr>
          <w:rFonts w:ascii="Arial" w:cs="Arial" w:eastAsia="Arial" w:hAnsi="Arial"/>
          <w:sz w:val="16"/>
          <w:szCs w:val="16"/>
          <w:color w:val="auto"/>
        </w:rPr>
        <w:t>Losses attributable to noncontrolling interests, all related to Otay Mesa VIE, were $5 million in the three months ended September 30, 2010 compared to $18 million in the corresponding period of 2009. The change was primarily due to:</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 $20 million increase in operating income; </w:t>
      </w:r>
      <w:r>
        <w:rPr>
          <w:rFonts w:ascii="Arial" w:cs="Arial" w:eastAsia="Arial" w:hAnsi="Arial"/>
          <w:sz w:val="16"/>
          <w:szCs w:val="16"/>
          <w:b w:val="1"/>
          <w:bCs w:val="1"/>
          <w:color w:val="auto"/>
        </w:rPr>
        <w:t>offset by</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 $6 million increase in losses on interest rate instruments in 2010.</w:t>
      </w:r>
    </w:p>
    <w:p>
      <w:pPr>
        <w:spacing w:after="0" w:line="152"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Losses attributable to noncontrolling interests, all related to Otay Mesa VIE, were $34 million in the nine months ended September 30, 2010 compared to earnings of $9 million in the corresponding period of 2009. The change was primarily due to:</w:t>
      </w:r>
    </w:p>
    <w:p>
      <w:pPr>
        <w:spacing w:after="0" w:line="14" w:lineRule="exact"/>
        <w:rPr>
          <w:sz w:val="20"/>
          <w:szCs w:val="20"/>
          <w:color w:val="auto"/>
        </w:rPr>
      </w:pPr>
    </w:p>
    <w:p>
      <w:pPr>
        <w:ind w:left="140" w:right="4400"/>
        <w:spacing w:after="0" w:line="337" w:lineRule="auto"/>
        <w:rPr>
          <w:sz w:val="20"/>
          <w:szCs w:val="20"/>
          <w:color w:val="auto"/>
        </w:rPr>
      </w:pPr>
      <w:r>
        <w:rPr>
          <w:rFonts w:ascii="Arial" w:cs="Arial" w:eastAsia="Arial" w:hAnsi="Arial"/>
          <w:sz w:val="16"/>
          <w:szCs w:val="16"/>
          <w:color w:val="auto"/>
        </w:rPr>
        <w:t xml:space="preserve">§$51 million in losses on interest rate instruments in 2010 compared to $19 million in gains in 2009; </w:t>
      </w:r>
      <w:r>
        <w:rPr>
          <w:rFonts w:ascii="Arial" w:cs="Arial" w:eastAsia="Arial" w:hAnsi="Arial"/>
          <w:sz w:val="16"/>
          <w:szCs w:val="16"/>
          <w:b w:val="1"/>
          <w:bCs w:val="1"/>
          <w:color w:val="auto"/>
        </w:rPr>
        <w:t>offset by</w:t>
      </w:r>
      <w:r>
        <w:rPr>
          <w:rFonts w:ascii="Arial" w:cs="Arial" w:eastAsia="Arial" w:hAnsi="Arial"/>
          <w:sz w:val="16"/>
          <w:szCs w:val="16"/>
          <w:color w:val="auto"/>
        </w:rPr>
        <w:t xml:space="preserve"> §a $36 million increase in operating income.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Earnings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We discuss variations in Sempra Energy's earnings by business unit above in "Business Unit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460375</wp:posOffset>
            </wp:positionV>
            <wp:extent cx="726186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CAPITAL RESOURCES AND LIQUIDITY</w:t>
      </w:r>
    </w:p>
    <w:p>
      <w:pPr>
        <w:spacing w:after="0" w:line="80" w:lineRule="exact"/>
        <w:rPr>
          <w:sz w:val="20"/>
          <w:szCs w:val="20"/>
          <w:color w:val="auto"/>
        </w:rPr>
      </w:pPr>
    </w:p>
    <w:p>
      <w:pPr>
        <w:ind w:right="520"/>
        <w:spacing w:after="0" w:line="342" w:lineRule="auto"/>
        <w:rPr>
          <w:sz w:val="20"/>
          <w:szCs w:val="20"/>
          <w:color w:val="auto"/>
        </w:rPr>
      </w:pPr>
      <w:r>
        <w:rPr>
          <w:rFonts w:ascii="Arial" w:cs="Arial" w:eastAsia="Arial" w:hAnsi="Arial"/>
          <w:sz w:val="14"/>
          <w:szCs w:val="14"/>
          <w:color w:val="auto"/>
        </w:rPr>
        <w:t>We expect our cash flows from operations to fund a substantial portion of our capital expenditures and dividends. In addition, we may meet our cash requirements through the issuance of short-term and long-term debt and the proceeds from the transactions to sell the businesses within RBS Sempra Commodities, as we discuss below.</w:t>
      </w:r>
    </w:p>
    <w:p>
      <w:pPr>
        <w:spacing w:after="0" w:line="21" w:lineRule="exact"/>
        <w:rPr>
          <w:sz w:val="20"/>
          <w:szCs w:val="20"/>
          <w:color w:val="auto"/>
        </w:rPr>
      </w:pPr>
    </w:p>
    <w:p>
      <w:pPr>
        <w:ind w:right="20"/>
        <w:spacing w:after="0" w:line="300" w:lineRule="auto"/>
        <w:rPr>
          <w:sz w:val="20"/>
          <w:szCs w:val="20"/>
          <w:color w:val="auto"/>
        </w:rPr>
      </w:pPr>
      <w:r>
        <w:rPr>
          <w:rFonts w:ascii="Arial" w:cs="Arial" w:eastAsia="Arial" w:hAnsi="Arial"/>
          <w:sz w:val="14"/>
          <w:szCs w:val="14"/>
          <w:color w:val="auto"/>
        </w:rPr>
        <w:t>Our committed lines of credit provide liquidity and support commercial paper. As we discuss in Note 6 of the Notes to Condensed Consolidated Financial Statements herein, in October 2010, Sempra Energy, Sempra Global and the Sempra Utilities entered into agreements for new credit facilities, to replace the previous principal credit agreements that were scheduled to expire in 2011. The new agreements have a longer term (four years) and, in light of our exit from the commodities joint venture, a lower total credit commitment by $500 million at Sempra Global. At Sempra Energy and Sempra Global, the new agreements are syndicated broadly among 23 different lenders and at the Sempra Utilities, among 22 different lenders. No single lender has greater than a 7-percent share in any agreement.</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amount of available funds at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7261860" cy="289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1860" cy="289560"/>
                    </a:xfrm>
                    <a:prstGeom prst="rect">
                      <a:avLst/>
                    </a:prstGeom>
                    <a:noFill/>
                  </pic:spPr>
                </pic:pic>
              </a:graphicData>
            </a:graphic>
          </wp:anchor>
        </w:drawing>
      </w:r>
    </w:p>
    <w:p>
      <w:pPr>
        <w:spacing w:after="0" w:line="34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AVAILABLE FUNDS AT SEPTEMBER 30, 2010</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9"/>
          <w:szCs w:val="19"/>
          <w:i w:val="1"/>
          <w:iCs w:val="1"/>
          <w:color w:val="auto"/>
        </w:rPr>
        <w:t>(Dollars in millions)</w:t>
      </w:r>
    </w:p>
    <w:tbl>
      <w:tblPr>
        <w:tblLayout w:type="fixed"/>
        <w:tblInd w:w="0" w:type="dxa"/>
        <w:tblCellMar>
          <w:top w:w="0" w:type="dxa"/>
          <w:left w:w="0" w:type="dxa"/>
          <w:bottom w:w="0" w:type="dxa"/>
          <w:right w:w="0" w:type="dxa"/>
        </w:tblCellMar>
      </w:tblPr>
      <w:tr>
        <w:trPr>
          <w:trHeight w:val="243"/>
        </w:trPr>
        <w:tc>
          <w:tcPr>
            <w:tcW w:w="2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180" w:type="dxa"/>
            <w:vAlign w:val="bottom"/>
          </w:tcPr>
          <w:p>
            <w:pPr>
              <w:ind w:left="120"/>
              <w:spacing w:after="0"/>
              <w:rPr>
                <w:sz w:val="20"/>
                <w:szCs w:val="20"/>
                <w:color w:val="auto"/>
              </w:rPr>
            </w:pPr>
            <w:r>
              <w:rPr>
                <w:rFonts w:ascii="Arial" w:cs="Arial" w:eastAsia="Arial" w:hAnsi="Arial"/>
                <w:sz w:val="19"/>
                <w:szCs w:val="19"/>
                <w:color w:val="auto"/>
              </w:rPr>
              <w:t>&lt; p style="MARGIN:0in 0in 0pt; TEXT-ALIGN:center" align=center&gt;</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2"/>
              <w:spacing w:after="0"/>
              <w:rPr>
                <w:sz w:val="20"/>
                <w:szCs w:val="20"/>
                <w:color w:val="auto"/>
              </w:rPr>
            </w:pPr>
            <w:r>
              <w:rPr>
                <w:rFonts w:ascii="Arial" w:cs="Arial" w:eastAsia="Arial" w:hAnsi="Arial"/>
                <w:sz w:val="13"/>
                <w:szCs w:val="13"/>
                <w:color w:val="auto"/>
                <w:w w:val="97"/>
              </w:rPr>
              <w:t>Sempra Energy</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color w:val="auto"/>
              </w:rPr>
              <w:t>Consolidated</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color w:val="auto"/>
              </w:rPr>
              <w:t>SDG&amp;E</w:t>
            </w:r>
          </w:p>
        </w:tc>
        <w:tc>
          <w:tcPr>
            <w:tcW w:w="6180" w:type="dxa"/>
            <w:vAlign w:val="bottom"/>
            <w:tcBorders>
              <w:bottom w:val="single" w:sz="8" w:color="auto"/>
            </w:tcBorders>
          </w:tcPr>
          <w:p>
            <w:pPr>
              <w:ind w:left="3200"/>
              <w:spacing w:after="0"/>
              <w:rPr>
                <w:sz w:val="20"/>
                <w:szCs w:val="20"/>
                <w:color w:val="auto"/>
              </w:rPr>
            </w:pPr>
            <w:r>
              <w:rPr>
                <w:rFonts w:ascii="Arial" w:cs="Arial" w:eastAsia="Arial" w:hAnsi="Arial"/>
                <w:sz w:val="13"/>
                <w:szCs w:val="13"/>
                <w:color w:val="auto"/>
              </w:rPr>
              <w:t>PE/SoCalGas</w:t>
            </w: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80"/>
              <w:spacing w:after="0"/>
              <w:rPr>
                <w:sz w:val="20"/>
                <w:szCs w:val="20"/>
                <w:color w:val="auto"/>
              </w:rPr>
            </w:pPr>
            <w:r>
              <w:rPr>
                <w:rFonts w:ascii="Arial" w:cs="Arial" w:eastAsia="Arial" w:hAnsi="Arial"/>
                <w:sz w:val="14"/>
                <w:szCs w:val="14"/>
                <w:color w:val="auto"/>
              </w:rPr>
              <w:t>Unrestricted cash and cash</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rPr>
              <w:t>332</w:t>
            </w:r>
          </w:p>
        </w:tc>
        <w:tc>
          <w:tcPr>
            <w:tcW w:w="6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80"/>
              <w:spacing w:after="0"/>
              <w:rPr>
                <w:sz w:val="20"/>
                <w:szCs w:val="20"/>
                <w:color w:val="auto"/>
              </w:rPr>
            </w:pPr>
            <w:r>
              <w:rPr>
                <w:rFonts w:ascii="Arial" w:cs="Arial" w:eastAsia="Arial" w:hAnsi="Arial"/>
                <w:sz w:val="14"/>
                <w:szCs w:val="14"/>
                <w:color w:val="auto"/>
              </w:rPr>
              <w:t>equivalents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547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continue"/>
          </w:tcPr>
          <w:p>
            <w:pPr>
              <w:spacing w:after="0"/>
              <w:rPr>
                <w:sz w:val="14"/>
                <w:szCs w:val="14"/>
                <w:color w:val="auto"/>
              </w:rPr>
            </w:pPr>
          </w:p>
        </w:tc>
        <w:tc>
          <w:tcPr>
            <w:tcW w:w="618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0"/>
        </w:trPr>
        <w:tc>
          <w:tcPr>
            <w:tcW w:w="202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Available unused credit(1)</w:t>
            </w:r>
          </w:p>
        </w:tc>
        <w:tc>
          <w:tcPr>
            <w:tcW w:w="280" w:type="dxa"/>
            <w:vAlign w:val="bottom"/>
            <w:tcBorders>
              <w:bottom w:val="single" w:sz="8" w:color="C0C0C0"/>
            </w:tcBorders>
          </w:tcPr>
          <w:p>
            <w:pPr>
              <w:spacing w:after="0"/>
              <w:rPr>
                <w:sz w:val="16"/>
                <w:szCs w:val="16"/>
                <w:color w:val="auto"/>
              </w:rPr>
            </w:pPr>
          </w:p>
        </w:tc>
        <w:tc>
          <w:tcPr>
            <w:tcW w:w="1000" w:type="dxa"/>
            <w:vAlign w:val="bottom"/>
            <w:tcBorders>
              <w:bottom w:val="single" w:sz="8" w:color="C0C0C0"/>
            </w:tcBorders>
          </w:tcPr>
          <w:p>
            <w:pPr>
              <w:jc w:val="right"/>
              <w:ind w:right="52"/>
              <w:spacing w:after="0"/>
              <w:rPr>
                <w:sz w:val="20"/>
                <w:szCs w:val="20"/>
                <w:color w:val="auto"/>
              </w:rPr>
            </w:pPr>
            <w:r>
              <w:rPr>
                <w:rFonts w:ascii="Arial" w:cs="Arial" w:eastAsia="Arial" w:hAnsi="Arial"/>
                <w:sz w:val="14"/>
                <w:szCs w:val="14"/>
                <w:color w:val="auto"/>
              </w:rPr>
              <w:t>3,419</w:t>
            </w:r>
          </w:p>
        </w:tc>
        <w:tc>
          <w:tcPr>
            <w:tcW w:w="240" w:type="dxa"/>
            <w:vAlign w:val="bottom"/>
            <w:tcBorders>
              <w:bottom w:val="single" w:sz="8" w:color="C0C0C0"/>
            </w:tcBorders>
          </w:tcPr>
          <w:p>
            <w:pPr>
              <w:spacing w:after="0"/>
              <w:rPr>
                <w:sz w:val="16"/>
                <w:szCs w:val="16"/>
                <w:color w:val="auto"/>
              </w:rPr>
            </w:pPr>
          </w:p>
        </w:tc>
        <w:tc>
          <w:tcPr>
            <w:tcW w:w="720" w:type="dxa"/>
            <w:vAlign w:val="bottom"/>
            <w:tcBorders>
              <w:bottom w:val="single" w:sz="8" w:color="C0C0C0"/>
            </w:tcBorders>
          </w:tcPr>
          <w:p>
            <w:pPr>
              <w:jc w:val="right"/>
              <w:ind w:right="51"/>
              <w:spacing w:after="0"/>
              <w:rPr>
                <w:sz w:val="20"/>
                <w:szCs w:val="20"/>
                <w:color w:val="auto"/>
              </w:rPr>
            </w:pPr>
            <w:r>
              <w:rPr>
                <w:rFonts w:ascii="Arial" w:cs="Arial" w:eastAsia="Arial" w:hAnsi="Arial"/>
                <w:sz w:val="14"/>
                <w:szCs w:val="14"/>
                <w:color w:val="auto"/>
              </w:rPr>
              <w:t>338</w:t>
            </w:r>
          </w:p>
        </w:tc>
        <w:tc>
          <w:tcPr>
            <w:tcW w:w="6180" w:type="dxa"/>
            <w:vAlign w:val="bottom"/>
            <w:tcBorders>
              <w:bottom w:val="single" w:sz="8" w:color="C0C0C0"/>
            </w:tcBorders>
          </w:tcPr>
          <w:p>
            <w:pPr>
              <w:spacing w:after="0"/>
              <w:rPr>
                <w:sz w:val="16"/>
                <w:szCs w:val="16"/>
                <w:color w:val="auto"/>
              </w:rPr>
            </w:pPr>
          </w:p>
        </w:tc>
        <w:tc>
          <w:tcPr>
            <w:tcW w:w="1000" w:type="dxa"/>
            <w:vAlign w:val="bottom"/>
            <w:tcBorders>
              <w:bottom w:val="single" w:sz="8" w:color="C0C0C0"/>
            </w:tcBorders>
          </w:tcPr>
          <w:p>
            <w:pPr>
              <w:jc w:val="right"/>
              <w:ind w:right="6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bl>
    <w:p>
      <w:pPr>
        <w:ind w:left="860" w:right="200" w:hanging="558"/>
        <w:spacing w:after="0" w:line="238" w:lineRule="auto"/>
        <w:tabs>
          <w:tab w:leader="none" w:pos="860"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Borrowings on the shared line of credit at SDG&amp;E and SoCalGas are limited to $600 million for each utility and $800 million in total. SDG&amp;E's available funds reflect letters of credit outstanding of $25 million and variable-rate demand notes outstanding of $237 million supported by the line. SoCalGas' availability reflects the impact of SDG&amp;E's use of the combined credit available on the line.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Energy Consolidated</w:t>
      </w:r>
    </w:p>
    <w:p>
      <w:pPr>
        <w:spacing w:after="0" w:line="56"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believe that these available funds and cash flows from operations, distributions from equity method investments and security issuances, combined with current cash balances, will be adequate to:</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§finance capital expenditur es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§meet liquidity requirements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§fund shareholder dividends and common stock repurchases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§fund new business acquisitions or start-ups</w:t>
      </w:r>
    </w:p>
    <w:p>
      <w:pPr>
        <w:spacing w:after="0" w:line="152" w:lineRule="exact"/>
        <w:rPr>
          <w:sz w:val="20"/>
          <w:szCs w:val="20"/>
          <w:color w:val="auto"/>
        </w:rPr>
      </w:pPr>
    </w:p>
    <w:p>
      <w:pPr>
        <w:ind w:right="260"/>
        <w:spacing w:after="0" w:line="305" w:lineRule="auto"/>
        <w:rPr>
          <w:sz w:val="20"/>
          <w:szCs w:val="20"/>
          <w:color w:val="auto"/>
        </w:rPr>
      </w:pPr>
      <w:r>
        <w:rPr>
          <w:rFonts w:ascii="Arial" w:cs="Arial" w:eastAsia="Arial" w:hAnsi="Arial"/>
          <w:sz w:val="14"/>
          <w:szCs w:val="14"/>
          <w:color w:val="auto"/>
        </w:rPr>
        <w:t>As we discuss in Note 4 of the Notes to Condensed Consolidated Financial Statements herein, in July 2010, RBS Sempra Commodities sold its global metals and oil businesses, as well as the European natural gas and power business. Our share of the proceeds from this transaction approximated $1 billion, including a $134 million distribution of 2009 partnership earnings related to the businesses sold. In September 2010, Noble Group Ltd. agreed to acquire the U.S. retail commodity marketing business of RBS Sempra Commodities for $318 million in cash, plus assumption of all debt, which agreement was consummated on November 1, 2010. In October 2010, the joint venture entered into an</w:t>
      </w:r>
    </w:p>
    <w:p>
      <w:pPr>
        <w:sectPr>
          <w:pgSz w:w="11900" w:h="16869" w:orient="portrait"/>
          <w:cols w:equalWidth="0" w:num="1">
            <w:col w:w="11440"/>
          </w:cols>
          <w:pgMar w:left="240" w:top="131" w:right="219" w:bottom="0" w:gutter="0" w:footer="0" w:header="0"/>
        </w:sectPr>
      </w:pPr>
    </w:p>
    <w:bookmarkStart w:id="54" w:name="page55"/>
    <w:bookmarkEnd w:id="54"/>
    <w:p>
      <w:pPr>
        <w:ind w:right="80"/>
        <w:spacing w:after="0" w:line="270" w:lineRule="auto"/>
        <w:rPr>
          <w:sz w:val="20"/>
          <w:szCs w:val="20"/>
          <w:color w:val="auto"/>
        </w:rPr>
      </w:pPr>
      <w:r>
        <w:rPr>
          <w:rFonts w:ascii="Arial" w:cs="Arial" w:eastAsia="Arial" w:hAnsi="Arial"/>
          <w:sz w:val="16"/>
          <w:szCs w:val="16"/>
          <w:color w:val="auto"/>
        </w:rPr>
        <w:t>agreement to sell most of its remaining assets to J.P. Morgan Ventures Energy Corporation (J.P. Morgan Ventures), a unit of J.P. Morgan Chase &amp; Co. (JP Morgan), for approximately $220 million. This transaction is expected to close by year-end.</w:t>
      </w:r>
    </w:p>
    <w:p>
      <w:pPr>
        <w:spacing w:after="0" w:line="66"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We expect our share of the proceeds from the sales of all of the partnership’s businesses and related cash distributions to total $1.8 billion to $1.9 billion. This includes approximately $1.3 billion expected from the announced transactions, plus $500 million to $600 million consisting primarily of cash and accounts receivable, as well as net margin that is expected to be collected as customers are transferred to JP Morgan. The transfer of all accounts to JP Morgan will be done as soo n as possible, but is expected to continue into 2011. We are using $500 million of the proceeds to repurchase shares of our common stock under a Collared Accelerated Share Acquisition Program, which began in September 2010. We discuss the share repurchase program further in Note 5 of the Notes to Condensed Consolidated Financial Statements herein.</w:t>
      </w:r>
    </w:p>
    <w:p>
      <w:pPr>
        <w:spacing w:after="0" w:line="50"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color w:val="auto"/>
        </w:rPr>
        <w:t>SDG&amp;E has issued long-term debt in 2010 and both Sempra Energy and SDG&amp;E issued long-term debt in 2009. Changing economic conditions could affect the availability and cost of both short-term and long-term financing. If cash flows from operations were to be significantly reduced or we were to be unable to borrow under acceptable terms, we would reduce or postpone discretionary capital expenditures and investments in new businesses. If these measures were necessary, they would primarily impact our Sempra Global businesses, as credit availability for the Sempra Utilities has not been significantly impacted by the credit crisis. Discretionary expenditures at Sempra Global include projects that we have not yet made firm commitments to build, primarily renewable generation facilities. We continuously monitor our ability to finance the needs of our operating, investing and financing activities in a manner consistent with our intention to maintain strong, investment-quality ratings.</w:t>
      </w:r>
    </w:p>
    <w:p>
      <w:pPr>
        <w:spacing w:after="0" w:line="53"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We have significant investments in several trusts to provide for future payments of pensions and other postretirement benefits, and nuclear decommissioning. The value of the trust funds’ investments declined in 2008 and the first quarter of 2009 due to a decrease in the equity market and volatility in the fixed income market. Values increased from favorable market activity later in 2009 and in 2010. However, these markets continue to be volatile. The changes in asset values have not affected the funds’ abilities to make required payments, but may impact funding requirem ents for pension and other postretirement benefit plans. At the Sempra Utilities, funding requirements are generally recoverable in rates.</w:t>
      </w:r>
    </w:p>
    <w:p>
      <w:pPr>
        <w:spacing w:after="0" w:line="46"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We discuss our principal credit agreements more fully in Note 6 of the Notes to Condensed Consolidated Financial Statements herein and in Note 6 of the Notes to Consolidated Financial Statements in the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Utilities</w:t>
      </w:r>
    </w:p>
    <w:p>
      <w:pPr>
        <w:spacing w:after="0" w:line="56" w:lineRule="exact"/>
        <w:rPr>
          <w:sz w:val="20"/>
          <w:szCs w:val="20"/>
          <w:color w:val="auto"/>
        </w:rPr>
      </w:pPr>
    </w:p>
    <w:p>
      <w:pPr>
        <w:ind w:right="80"/>
        <w:spacing w:after="0" w:line="300" w:lineRule="auto"/>
        <w:rPr>
          <w:sz w:val="20"/>
          <w:szCs w:val="20"/>
          <w:color w:val="auto"/>
        </w:rPr>
      </w:pPr>
      <w:r>
        <w:rPr>
          <w:rFonts w:ascii="Arial" w:cs="Arial" w:eastAsia="Arial" w:hAnsi="Arial"/>
          <w:sz w:val="14"/>
          <w:szCs w:val="14"/>
          <w:color w:val="auto"/>
        </w:rPr>
        <w:t>The Sempra Utilities expect that cash flows from operations and debt issuances will continue to be adequate to meet operating and capital expenditure requirements. Due to the extended review period associated with the Sunrise Powerlink project and the resultant delay in initiating construction activities, SDG&amp;E declared and paid a $150 million common dividend to Sempra Energy in the first quarter of 2009. However, the level of future common dividends from SDG&amp;E and SoCa lGas may be reduced or eliminated during periods of increased capital expenditures. The level of future common dividends from PE is dependent upon common dividends paid by SoCalGas. Sempra Energy may from time to time make additional equity contributions to SDG&amp;E or SoCalGas to support the Sempra Utilities' capital expenditure programs.</w:t>
      </w:r>
    </w:p>
    <w:p>
      <w:pPr>
        <w:spacing w:after="0" w:line="50" w:lineRule="exact"/>
        <w:rPr>
          <w:sz w:val="20"/>
          <w:szCs w:val="20"/>
          <w:color w:val="auto"/>
        </w:rPr>
      </w:pPr>
    </w:p>
    <w:p>
      <w:pPr>
        <w:ind w:right="520"/>
        <w:spacing w:after="0" w:line="270" w:lineRule="auto"/>
        <w:rPr>
          <w:sz w:val="20"/>
          <w:szCs w:val="20"/>
          <w:color w:val="auto"/>
        </w:rPr>
      </w:pPr>
      <w:r>
        <w:rPr>
          <w:rFonts w:ascii="Arial" w:cs="Arial" w:eastAsia="Arial" w:hAnsi="Arial"/>
          <w:sz w:val="16"/>
          <w:szCs w:val="16"/>
          <w:color w:val="auto"/>
        </w:rPr>
        <w:t>As we discuss in Note 10 of the Notes to Condensed Consolidated Financial Statements herein, SDG&amp;E’s and therefore Sempra Energy’s cash flows are likely to be adversely impacted by cash flows related to the 2007 wildfire litigation.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Commodities</w:t>
      </w:r>
    </w:p>
    <w:p>
      <w:pPr>
        <w:spacing w:after="0" w:line="56" w:lineRule="exact"/>
        <w:rPr>
          <w:sz w:val="20"/>
          <w:szCs w:val="20"/>
          <w:color w:val="auto"/>
        </w:rPr>
      </w:pPr>
    </w:p>
    <w:p>
      <w:pPr>
        <w:ind w:right="120"/>
        <w:spacing w:after="0" w:line="300" w:lineRule="auto"/>
        <w:rPr>
          <w:sz w:val="20"/>
          <w:szCs w:val="20"/>
          <w:color w:val="auto"/>
        </w:rPr>
      </w:pPr>
      <w:r>
        <w:rPr>
          <w:rFonts w:ascii="Arial" w:cs="Arial" w:eastAsia="Arial" w:hAnsi="Arial"/>
          <w:sz w:val="14"/>
          <w:szCs w:val="14"/>
          <w:color w:val="auto"/>
        </w:rPr>
        <w:t>We discuss above the completed and pending transactions and anticipated cash flows related to the dissolution of the RBS Sempra Commodities joint venture, which generally comprises the Sempra Commodities business unit. The impact of the sale transactions on cash flow will depend on many factors, including the final proceeds received from the transactions, potential changes to the partnership agreement, and any sales of residual assets. Our partner in the joint venture, RBS, is obligated to provide the joint venture with all working-capital requirements and credit support. However, we are providing transitional back-up guarantees, some of which may continue for a prolonged period of time. RBS or JP Morgan have fully indemnified us for any claims or losses in connection with these arrangements.</w:t>
      </w:r>
    </w:p>
    <w:p>
      <w:pPr>
        <w:spacing w:after="0" w:line="50" w:lineRule="exact"/>
        <w:rPr>
          <w:sz w:val="20"/>
          <w:szCs w:val="20"/>
          <w:color w:val="auto"/>
        </w:rPr>
      </w:pPr>
    </w:p>
    <w:p>
      <w:pPr>
        <w:ind w:right="100"/>
        <w:spacing w:after="0" w:line="300" w:lineRule="auto"/>
        <w:rPr>
          <w:sz w:val="20"/>
          <w:szCs w:val="20"/>
          <w:color w:val="auto"/>
        </w:rPr>
      </w:pPr>
      <w:r>
        <w:rPr>
          <w:rFonts w:ascii="Arial" w:cs="Arial" w:eastAsia="Arial" w:hAnsi="Arial"/>
          <w:sz w:val="14"/>
          <w:szCs w:val="14"/>
          <w:color w:val="auto"/>
        </w:rPr>
        <w:t>We account for our investment in the partnership under the equity method. RBS Sempra Commodities intends to distribute all of its net income on an annual basis, although the distributions are within the discretion of the board of directors of the partnership. In limited cases, the partnership may retain earnings allocable to the partners to replenish capital depleted through losses. In the first nine months of 2010, we received cash distributions from the partnership of $1 billion, which includes our share of proceeds from the transaction with J.P. Morgan Ventures. In the first nine months of 2009, we received cash distributions from the partnership of $407 million. Based on the joint venture’s results through the third quarter of 2010, we currently do not expect distributions for 2010 results to be material.</w:t>
      </w:r>
    </w:p>
    <w:p>
      <w:pPr>
        <w:spacing w:after="0" w:line="50"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We provide additional information about RBS Sempra Commodities and the sales transactions in Notes 4 and 6 of the Notes to Condensed Consolidated Financial Statements herein and in Notes 3, 4, 6 and 20 of the Notes to Consolidated Financial Statements in the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Generation</w:t>
      </w:r>
    </w:p>
    <w:p>
      <w:pPr>
        <w:spacing w:after="0" w:line="56"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We expect Sempra Generation to require funds for the development of electric generation facilities, primarily renewable energy projects. Projects at Sempra Generation may be financed through a combination of operating cash flow, project financing, funds from the parent and external borrowings. Cash flows from operations at Sempra Generation are expected to decrease upon the expiration of their contract with the DWR in late 2011 due to less favorable pricing on replacement contracts. Also, Sempra Generation may not be able to replace all of the lost revenue. We expect the litigation settlement recorded in the first quarter of 2010 related to the DWR litigation to be funded from operations.</w:t>
      </w:r>
    </w:p>
    <w:p>
      <w:pPr>
        <w:spacing w:after="0" w:line="46"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Sempra Generation's long-term power sale contracts may contain collateral requirements, although the DWR contract does not contain such requirements. The collateral arrangements require Sempra Generation and/or the counterparty to post cash, guarantees or letters of credit to the other party for exposure in excess of established thresholds. Sempra Generation may be required t o provide collateral when market price movements adversely affect the counterparty's cost of replacement energy supplies if Sempra Generation fails to deliver the contracted amounts. Sempra Generation had no outstanding collateral requirements under such contracts at September 30, 2010.</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Pipelines &amp; Storage</w:t>
      </w:r>
    </w:p>
    <w:p>
      <w:pPr>
        <w:spacing w:after="0" w:line="56" w:lineRule="exact"/>
        <w:rPr>
          <w:sz w:val="20"/>
          <w:szCs w:val="20"/>
          <w:color w:val="auto"/>
        </w:rPr>
      </w:pPr>
    </w:p>
    <w:p>
      <w:pPr>
        <w:ind w:right="420"/>
        <w:spacing w:after="0" w:line="270" w:lineRule="auto"/>
        <w:rPr>
          <w:sz w:val="20"/>
          <w:szCs w:val="20"/>
          <w:color w:val="auto"/>
        </w:rPr>
      </w:pPr>
      <w:r>
        <w:rPr>
          <w:rFonts w:ascii="Arial" w:cs="Arial" w:eastAsia="Arial" w:hAnsi="Arial"/>
          <w:sz w:val="16"/>
          <w:szCs w:val="16"/>
          <w:color w:val="auto"/>
        </w:rPr>
        <w:t>Sempra Pipelines &amp; Storage is expected to require funding from the parent or from external sources to fund projects, including the development and expansion of its natural gas storage projects.</w:t>
      </w:r>
    </w:p>
    <w:p>
      <w:pPr>
        <w:spacing w:after="0" w:line="66" w:lineRule="exact"/>
        <w:rPr>
          <w:sz w:val="20"/>
          <w:szCs w:val="20"/>
          <w:color w:val="auto"/>
        </w:rPr>
      </w:pPr>
    </w:p>
    <w:p>
      <w:pPr>
        <w:ind w:right="120"/>
        <w:spacing w:after="0" w:line="342" w:lineRule="auto"/>
        <w:rPr>
          <w:sz w:val="20"/>
          <w:szCs w:val="20"/>
          <w:color w:val="auto"/>
        </w:rPr>
      </w:pPr>
      <w:r>
        <w:rPr>
          <w:rFonts w:ascii="Arial" w:cs="Arial" w:eastAsia="Arial" w:hAnsi="Arial"/>
          <w:sz w:val="14"/>
          <w:szCs w:val="14"/>
          <w:color w:val="auto"/>
        </w:rPr>
        <w:t>Also, on April 30, 2010, Sempra Pipelines &amp; Storage completed an acquisition resulting in the purchase of the Mexican pipeline and natural gas infrastructure assets of El Paso Corporation for $307 million ($292 million, net of cash acquired). We discuss the acquisition further in Note 3 o f the Notes to Condensed Consolidated Financial Statements herein.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LNG</w:t>
      </w:r>
    </w:p>
    <w:p>
      <w:pPr>
        <w:spacing w:after="0" w:line="56" w:lineRule="exact"/>
        <w:rPr>
          <w:sz w:val="20"/>
          <w:szCs w:val="20"/>
          <w:color w:val="auto"/>
        </w:rPr>
      </w:pPr>
    </w:p>
    <w:p>
      <w:pPr>
        <w:ind w:right="340"/>
        <w:spacing w:after="0" w:line="270" w:lineRule="auto"/>
        <w:rPr>
          <w:sz w:val="20"/>
          <w:szCs w:val="20"/>
          <w:color w:val="auto"/>
        </w:rPr>
      </w:pPr>
      <w:r>
        <w:rPr>
          <w:rFonts w:ascii="Arial" w:cs="Arial" w:eastAsia="Arial" w:hAnsi="Arial"/>
          <w:sz w:val="16"/>
          <w:szCs w:val="16"/>
          <w:color w:val="auto"/>
        </w:rPr>
        <w:t>Sempra LNG required funding from 2004 through 2009 for its development of the Energía Costa Azul and Cameron LNG receipt terminals. As both of these facilities are now in service, Sempra LNG is expected to provide operating cash flow for further development within Sempra Global.</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3482340" cy="289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82340" cy="28956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PROVIDED BY OPERATING ACTIVITIES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30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8"/>
        </w:trPr>
        <w:tc>
          <w:tcPr>
            <w:tcW w:w="23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3"/>
                <w:szCs w:val="13"/>
                <w:color w:val="auto"/>
              </w:rPr>
              <w:t>2010</w:t>
            </w:r>
          </w:p>
        </w:tc>
        <w:tc>
          <w:tcPr>
            <w:tcW w:w="1620" w:type="dxa"/>
            <w:vAlign w:val="bottom"/>
            <w:tcBorders>
              <w:bottom w:val="single" w:sz="8" w:color="auto"/>
              <w:right w:val="single" w:sz="8" w:color="auto"/>
            </w:tcBorders>
            <w:gridSpan w:val="2"/>
          </w:tcPr>
          <w:p>
            <w:pPr>
              <w:jc w:val="right"/>
              <w:ind w:right="368"/>
              <w:spacing w:after="0"/>
              <w:rPr>
                <w:sz w:val="20"/>
                <w:szCs w:val="20"/>
                <w:color w:val="auto"/>
              </w:rPr>
            </w:pPr>
            <w:r>
              <w:rPr>
                <w:rFonts w:ascii="Arial" w:cs="Arial" w:eastAsia="Arial" w:hAnsi="Arial"/>
                <w:sz w:val="13"/>
                <w:szCs w:val="13"/>
                <w:color w:val="auto"/>
              </w:rPr>
              <w:t>2010 Change</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color w:val="auto"/>
              </w:rPr>
              <w:t>2009</w:t>
            </w:r>
          </w:p>
        </w:tc>
      </w:tr>
      <w:tr>
        <w:trPr>
          <w:trHeight w:val="178"/>
        </w:trPr>
        <w:tc>
          <w:tcPr>
            <w:tcW w:w="2300" w:type="dxa"/>
            <w:vAlign w:val="bottom"/>
          </w:tcPr>
          <w:p>
            <w:pPr>
              <w:ind w:left="80"/>
              <w:spacing w:after="0"/>
              <w:rPr>
                <w:sz w:val="20"/>
                <w:szCs w:val="20"/>
                <w:color w:val="auto"/>
              </w:rPr>
            </w:pPr>
            <w:r>
              <w:rPr>
                <w:rFonts w:ascii="Arial" w:cs="Arial" w:eastAsia="Arial" w:hAnsi="Arial"/>
                <w:sz w:val="14"/>
                <w:szCs w:val="14"/>
                <w:color w:val="auto"/>
              </w:rPr>
              <w:t>Sempra Energy Consolidated   $</w:t>
            </w:r>
          </w:p>
        </w:tc>
        <w:tc>
          <w:tcPr>
            <w:tcW w:w="660" w:type="dxa"/>
            <w:vAlign w:val="bottom"/>
            <w:tcBorders>
              <w:right w:val="single" w:sz="8" w:color="auto"/>
            </w:tcBorders>
          </w:tcPr>
          <w:p>
            <w:pPr>
              <w:jc w:val="right"/>
              <w:ind w:right="90"/>
              <w:spacing w:after="0"/>
              <w:rPr>
                <w:sz w:val="20"/>
                <w:szCs w:val="20"/>
                <w:color w:val="auto"/>
              </w:rPr>
            </w:pPr>
            <w:r>
              <w:rPr>
                <w:rFonts w:ascii="Arial" w:cs="Arial" w:eastAsia="Arial" w:hAnsi="Arial"/>
                <w:sz w:val="14"/>
                <w:szCs w:val="14"/>
                <w:color w:val="auto"/>
              </w:rPr>
              <w:t>1,602</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   (282)</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(15)   %</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   1,884</w:t>
            </w:r>
          </w:p>
        </w:tc>
      </w:tr>
      <w:tr>
        <w:trPr>
          <w:trHeight w:val="190"/>
        </w:trPr>
        <w:tc>
          <w:tcPr>
            <w:tcW w:w="2300" w:type="dxa"/>
            <w:vAlign w:val="bottom"/>
          </w:tcPr>
          <w:p>
            <w:pPr>
              <w:ind w:left="80"/>
              <w:spacing w:after="0"/>
              <w:rPr>
                <w:sz w:val="20"/>
                <w:szCs w:val="20"/>
                <w:color w:val="auto"/>
              </w:rPr>
            </w:pPr>
            <w:r>
              <w:rPr>
                <w:rFonts w:ascii="Arial" w:cs="Arial" w:eastAsia="Arial" w:hAnsi="Arial"/>
                <w:sz w:val="14"/>
                <w:szCs w:val="14"/>
                <w:color w:val="auto"/>
              </w:rPr>
              <w:t>SDG&amp;E</w:t>
            </w:r>
          </w:p>
        </w:tc>
        <w:tc>
          <w:tcPr>
            <w:tcW w:w="660" w:type="dxa"/>
            <w:vAlign w:val="bottom"/>
            <w:tcBorders>
              <w:right w:val="single" w:sz="8" w:color="auto"/>
            </w:tcBorders>
          </w:tcPr>
          <w:p>
            <w:pPr>
              <w:jc w:val="right"/>
              <w:ind w:right="90"/>
              <w:spacing w:after="0"/>
              <w:rPr>
                <w:sz w:val="20"/>
                <w:szCs w:val="20"/>
                <w:color w:val="auto"/>
              </w:rPr>
            </w:pPr>
            <w:r>
              <w:rPr>
                <w:rFonts w:ascii="Arial" w:cs="Arial" w:eastAsia="Arial" w:hAnsi="Arial"/>
                <w:sz w:val="14"/>
                <w:szCs w:val="14"/>
                <w:color w:val="auto"/>
              </w:rPr>
              <w:t>416</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(203)</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(33)</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619</w:t>
            </w:r>
          </w:p>
        </w:tc>
      </w:tr>
      <w:tr>
        <w:trPr>
          <w:trHeight w:val="194"/>
        </w:trPr>
        <w:tc>
          <w:tcPr>
            <w:tcW w:w="2300" w:type="dxa"/>
            <w:vAlign w:val="bottom"/>
          </w:tcPr>
          <w:p>
            <w:pPr>
              <w:spacing w:after="0"/>
              <w:rPr>
                <w:sz w:val="20"/>
                <w:szCs w:val="20"/>
                <w:color w:val="auto"/>
              </w:rPr>
            </w:pPr>
            <w:r>
              <w:rPr>
                <w:rFonts w:ascii="Arial" w:cs="Arial" w:eastAsia="Arial" w:hAnsi="Arial"/>
                <w:sz w:val="14"/>
                <w:szCs w:val="14"/>
                <w:color w:val="auto"/>
              </w:rPr>
              <w:t>PE</w:t>
            </w:r>
          </w:p>
        </w:tc>
        <w:tc>
          <w:tcPr>
            <w:tcW w:w="660" w:type="dxa"/>
            <w:vAlign w:val="bottom"/>
            <w:tcBorders>
              <w:right w:val="single" w:sz="8" w:color="auto"/>
            </w:tcBorders>
          </w:tcPr>
          <w:p>
            <w:pPr>
              <w:jc w:val="right"/>
              <w:ind w:right="90"/>
              <w:spacing w:after="0"/>
              <w:rPr>
                <w:sz w:val="20"/>
                <w:szCs w:val="20"/>
                <w:color w:val="auto"/>
              </w:rPr>
            </w:pPr>
            <w:r>
              <w:rPr>
                <w:rFonts w:ascii="Arial" w:cs="Arial" w:eastAsia="Arial" w:hAnsi="Arial"/>
                <w:sz w:val="14"/>
                <w:szCs w:val="14"/>
                <w:color w:val="auto"/>
              </w:rPr>
              <w:t>562</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17</w:t>
            </w:r>
          </w:p>
        </w:tc>
        <w:tc>
          <w:tcPr>
            <w:tcW w:w="78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color w:val="auto"/>
              </w:rPr>
              <w:t>3</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545</w:t>
            </w:r>
          </w:p>
        </w:tc>
      </w:tr>
      <w:tr>
        <w:trPr>
          <w:trHeight w:val="190"/>
        </w:trPr>
        <w:tc>
          <w:tcPr>
            <w:tcW w:w="230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SoCalGas</w:t>
            </w:r>
          </w:p>
        </w:tc>
        <w:tc>
          <w:tcPr>
            <w:tcW w:w="660" w:type="dxa"/>
            <w:vAlign w:val="bottom"/>
            <w:tcBorders>
              <w:bottom w:val="single" w:sz="8" w:color="C0C0C0"/>
              <w:right w:val="single" w:sz="8" w:color="auto"/>
            </w:tcBorders>
          </w:tcPr>
          <w:p>
            <w:pPr>
              <w:jc w:val="right"/>
              <w:ind w:right="90"/>
              <w:spacing w:after="0"/>
              <w:rPr>
                <w:sz w:val="20"/>
                <w:szCs w:val="20"/>
                <w:color w:val="auto"/>
              </w:rPr>
            </w:pPr>
            <w:r>
              <w:rPr>
                <w:rFonts w:ascii="Arial" w:cs="Arial" w:eastAsia="Arial" w:hAnsi="Arial"/>
                <w:sz w:val="14"/>
                <w:szCs w:val="14"/>
                <w:color w:val="auto"/>
              </w:rPr>
              <w:t>569</w:t>
            </w:r>
          </w:p>
        </w:tc>
        <w:tc>
          <w:tcPr>
            <w:tcW w:w="840" w:type="dxa"/>
            <w:vAlign w:val="bottom"/>
            <w:tcBorders>
              <w:bottom w:val="single" w:sz="8" w:color="C0C0C0"/>
            </w:tcBorders>
          </w:tcPr>
          <w:p>
            <w:pPr>
              <w:jc w:val="right"/>
              <w:ind w:right="90"/>
              <w:spacing w:after="0"/>
              <w:rPr>
                <w:sz w:val="20"/>
                <w:szCs w:val="20"/>
                <w:color w:val="auto"/>
              </w:rPr>
            </w:pPr>
            <w:r>
              <w:rPr>
                <w:rFonts w:ascii="Arial" w:cs="Arial" w:eastAsia="Arial" w:hAnsi="Arial"/>
                <w:sz w:val="14"/>
                <w:szCs w:val="14"/>
                <w:color w:val="auto"/>
              </w:rPr>
              <w:t>20</w:t>
            </w:r>
          </w:p>
        </w:tc>
        <w:tc>
          <w:tcPr>
            <w:tcW w:w="780" w:type="dxa"/>
            <w:vAlign w:val="bottom"/>
            <w:tcBorders>
              <w:bottom w:val="single" w:sz="8" w:color="C0C0C0"/>
              <w:right w:val="single" w:sz="8" w:color="auto"/>
            </w:tcBorders>
          </w:tcPr>
          <w:p>
            <w:pPr>
              <w:jc w:val="right"/>
              <w:ind w:right="388"/>
              <w:spacing w:after="0"/>
              <w:rPr>
                <w:sz w:val="20"/>
                <w:szCs w:val="20"/>
                <w:color w:val="auto"/>
              </w:rPr>
            </w:pPr>
            <w:r>
              <w:rPr>
                <w:rFonts w:ascii="Arial" w:cs="Arial" w:eastAsia="Arial" w:hAnsi="Arial"/>
                <w:sz w:val="14"/>
                <w:szCs w:val="14"/>
                <w:color w:val="auto"/>
              </w:rPr>
              <w:t>4</w:t>
            </w:r>
          </w:p>
        </w:tc>
        <w:tc>
          <w:tcPr>
            <w:tcW w:w="900" w:type="dxa"/>
            <w:vAlign w:val="bottom"/>
            <w:tcBorders>
              <w:bottom w:val="single" w:sz="8" w:color="C0C0C0"/>
            </w:tcBorders>
          </w:tcPr>
          <w:p>
            <w:pPr>
              <w:jc w:val="right"/>
              <w:ind w:right="70"/>
              <w:spacing w:after="0"/>
              <w:rPr>
                <w:sz w:val="20"/>
                <w:szCs w:val="20"/>
                <w:color w:val="auto"/>
              </w:rPr>
            </w:pPr>
            <w:r>
              <w:rPr>
                <w:rFonts w:ascii="Arial" w:cs="Arial" w:eastAsia="Arial" w:hAnsi="Arial"/>
                <w:sz w:val="14"/>
                <w:szCs w:val="14"/>
                <w:color w:val="auto"/>
              </w:rPr>
              <w:t>549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Energy Consolidated</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Cash provided by operating activities at Sempra Energy decreased in 2010 primarily due to $209 million lower distributions received from RBS Sempra Commodities.</w:t>
      </w:r>
    </w:p>
    <w:p>
      <w:pPr>
        <w:sectPr>
          <w:pgSz w:w="11900" w:h="16838" w:orient="portrait"/>
          <w:cols w:equalWidth="0" w:num="1">
            <w:col w:w="11420"/>
          </w:cols>
          <w:pgMar w:left="240" w:top="131" w:right="239" w:bottom="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i w:val="1"/>
          <w:iCs w:val="1"/>
          <w:color w:val="auto"/>
        </w:rPr>
        <w:t>SDG&amp;E</w:t>
      </w:r>
    </w:p>
    <w:p>
      <w:pPr>
        <w:spacing w:after="0" w:line="56" w:lineRule="exact"/>
        <w:rPr>
          <w:sz w:val="20"/>
          <w:szCs w:val="20"/>
          <w:color w:val="auto"/>
        </w:rPr>
      </w:pPr>
    </w:p>
    <w:p>
      <w:pPr>
        <w:ind w:right="160"/>
        <w:spacing w:after="0" w:line="342" w:lineRule="auto"/>
        <w:rPr>
          <w:sz w:val="20"/>
          <w:szCs w:val="20"/>
          <w:color w:val="auto"/>
        </w:rPr>
      </w:pPr>
      <w:r>
        <w:rPr>
          <w:rFonts w:ascii="Arial" w:cs="Arial" w:eastAsia="Arial" w:hAnsi="Arial"/>
          <w:sz w:val="14"/>
          <w:szCs w:val="14"/>
          <w:color w:val="auto"/>
        </w:rPr>
        <w:t>Cash provided by operating activities at SDG&amp;E decreased in 2010 primarily due to $117 million of settlement payments in 2010, net of cash received from liability insurance, compared to $36 million of cash received from liability insurance in 2 009, net of settlement payments, related to the 2007 wildfire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 and SoCalGas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at PE and SoCalGas increased in 2010 primarily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§$60 million higher net income, net of noncash adjustments, at SoCalGas; and</w:t>
      </w:r>
    </w:p>
    <w:p>
      <w:pPr>
        <w:spacing w:after="0" w:line="56" w:lineRule="exact"/>
        <w:rPr>
          <w:sz w:val="20"/>
          <w:szCs w:val="20"/>
          <w:color w:val="auto"/>
        </w:rPr>
      </w:pPr>
    </w:p>
    <w:p>
      <w:pPr>
        <w:ind w:left="140" w:right="1040"/>
        <w:spacing w:after="0" w:line="270" w:lineRule="auto"/>
        <w:rPr>
          <w:sz w:val="20"/>
          <w:szCs w:val="20"/>
          <w:color w:val="auto"/>
        </w:rPr>
      </w:pPr>
      <w:r>
        <w:rPr>
          <w:rFonts w:ascii="Arial" w:cs="Arial" w:eastAsia="Arial" w:hAnsi="Arial"/>
          <w:sz w:val="16"/>
          <w:szCs w:val="16"/>
          <w:color w:val="auto"/>
        </w:rPr>
        <w:t xml:space="preserve">§a $71 million accounts payable decrease in 2010 compared to a $185 million decrease in 2009, primarily due to higher natural gas prices in 2010 compared to 2009; </w:t>
      </w:r>
      <w:r>
        <w:rPr>
          <w:rFonts w:ascii="Arial" w:cs="Arial" w:eastAsia="Arial" w:hAnsi="Arial"/>
          <w:sz w:val="16"/>
          <w:szCs w:val="16"/>
          <w:b w:val="1"/>
          <w:bCs w:val="1"/>
          <w:color w:val="auto"/>
        </w:rPr>
        <w:t>offset by</w:t>
      </w:r>
    </w:p>
    <w:p>
      <w:pPr>
        <w:spacing w:after="0" w:line="18" w:lineRule="exact"/>
        <w:rPr>
          <w:sz w:val="20"/>
          <w:szCs w:val="20"/>
          <w:color w:val="auto"/>
        </w:rPr>
      </w:pPr>
    </w:p>
    <w:p>
      <w:pPr>
        <w:ind w:left="140" w:right="1180"/>
        <w:spacing w:after="0" w:line="322" w:lineRule="auto"/>
        <w:rPr>
          <w:sz w:val="20"/>
          <w:szCs w:val="20"/>
          <w:color w:val="auto"/>
        </w:rPr>
      </w:pPr>
      <w:r>
        <w:rPr>
          <w:rFonts w:ascii="Arial" w:cs="Arial" w:eastAsia="Arial" w:hAnsi="Arial"/>
          <w:sz w:val="14"/>
          <w:szCs w:val="14"/>
          <w:color w:val="auto"/>
        </w:rPr>
        <w:t>§a $66 million decrease in regulatory balancing accounts in 2010 compared to a $52 million increase in 2009. Over- and undercollected regulatory balancing accounts reflect the difference between billings and recorded or CPUC-authorized costs. These differences are required to be balanced over time; and</w:t>
      </w:r>
    </w:p>
    <w:p>
      <w:pPr>
        <w:ind w:left="140" w:right="1260"/>
        <w:spacing w:after="0" w:line="270" w:lineRule="auto"/>
        <w:rPr>
          <w:sz w:val="20"/>
          <w:szCs w:val="20"/>
          <w:color w:val="auto"/>
        </w:rPr>
      </w:pPr>
      <w:r>
        <w:rPr>
          <w:rFonts w:ascii="Arial" w:cs="Arial" w:eastAsia="Arial" w:hAnsi="Arial"/>
          <w:sz w:val="16"/>
          <w:szCs w:val="16"/>
          <w:color w:val="auto"/>
        </w:rPr>
        <w:t>§a $272 million accounts receivable decrease in 2010 compared to a $306 million decrease in 2009, primarily due to higher natural gas volumes and cost of natural gas in 2010 compared to 2009.</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contributions to pension and other postretirement benefit plans for the nine months ended September 30, 2010.</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ind w:right="131"/>
              <w:spacing w:after="0"/>
              <w:rPr>
                <w:sz w:val="20"/>
                <w:szCs w:val="20"/>
                <w:color w:val="auto"/>
              </w:rPr>
            </w:pPr>
            <w:r>
              <w:rPr>
                <w:rFonts w:ascii="Arial" w:cs="Arial" w:eastAsia="Arial" w:hAnsi="Arial"/>
                <w:sz w:val="13"/>
                <w:szCs w:val="13"/>
                <w:color w:val="auto"/>
                <w:w w:val="98"/>
              </w:rPr>
              <w:t>Other</w:t>
            </w:r>
          </w:p>
        </w:tc>
      </w:tr>
      <w:tr>
        <w:trPr>
          <w:trHeight w:val="168"/>
        </w:trPr>
        <w:tc>
          <w:tcPr>
            <w:tcW w:w="2100" w:type="dxa"/>
            <w:vAlign w:val="bottom"/>
          </w:tcPr>
          <w:p>
            <w:pPr>
              <w:spacing w:after="0"/>
              <w:rPr>
                <w:sz w:val="14"/>
                <w:szCs w:val="14"/>
                <w:color w:val="auto"/>
              </w:rPr>
            </w:pPr>
          </w:p>
        </w:tc>
        <w:tc>
          <w:tcPr>
            <w:tcW w:w="700" w:type="dxa"/>
            <w:vAlign w:val="bottom"/>
          </w:tcPr>
          <w:p>
            <w:pPr>
              <w:jc w:val="right"/>
              <w:ind w:right="51"/>
              <w:spacing w:after="0"/>
              <w:rPr>
                <w:sz w:val="20"/>
                <w:szCs w:val="20"/>
                <w:color w:val="auto"/>
              </w:rPr>
            </w:pPr>
            <w:r>
              <w:rPr>
                <w:rFonts w:ascii="Arial" w:cs="Arial" w:eastAsia="Arial" w:hAnsi="Arial"/>
                <w:sz w:val="13"/>
                <w:szCs w:val="13"/>
                <w:color w:val="auto"/>
              </w:rPr>
              <w:t>Pension</w:t>
            </w:r>
          </w:p>
        </w:tc>
        <w:tc>
          <w:tcPr>
            <w:tcW w:w="1020" w:type="dxa"/>
            <w:vAlign w:val="bottom"/>
            <w:gridSpan w:val="2"/>
          </w:tcPr>
          <w:p>
            <w:pPr>
              <w:jc w:val="center"/>
              <w:spacing w:after="0"/>
              <w:rPr>
                <w:sz w:val="20"/>
                <w:szCs w:val="20"/>
                <w:color w:val="auto"/>
              </w:rPr>
            </w:pPr>
            <w:r>
              <w:rPr>
                <w:rFonts w:ascii="Arial" w:cs="Arial" w:eastAsia="Arial" w:hAnsi="Arial"/>
                <w:sz w:val="13"/>
                <w:szCs w:val="13"/>
                <w:color w:val="auto"/>
                <w:w w:val="96"/>
              </w:rPr>
              <w:t>Postretirement</w:t>
            </w:r>
          </w:p>
        </w:tc>
      </w:tr>
      <w:tr>
        <w:trPr>
          <w:trHeight w:val="154"/>
        </w:trPr>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Benefits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color w:val="auto"/>
                <w:w w:val="97"/>
              </w:rPr>
              <w:t>Benefits</w:t>
            </w:r>
          </w:p>
        </w:tc>
      </w:tr>
      <w:tr>
        <w:trPr>
          <w:trHeight w:val="178"/>
        </w:trPr>
        <w:tc>
          <w:tcPr>
            <w:tcW w:w="2100" w:type="dxa"/>
            <w:vAlign w:val="bottom"/>
          </w:tcPr>
          <w:p>
            <w:pPr>
              <w:ind w:left="80"/>
              <w:spacing w:after="0"/>
              <w:rPr>
                <w:sz w:val="20"/>
                <w:szCs w:val="20"/>
                <w:color w:val="auto"/>
              </w:rPr>
            </w:pPr>
            <w:r>
              <w:rPr>
                <w:rFonts w:ascii="Arial" w:cs="Arial" w:eastAsia="Arial" w:hAnsi="Arial"/>
                <w:sz w:val="14"/>
                <w:szCs w:val="14"/>
                <w:color w:val="auto"/>
              </w:rPr>
              <w:t>Sempra Energy Consolida ted</w:t>
            </w: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   91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39</w:t>
            </w:r>
          </w:p>
        </w:tc>
      </w:tr>
      <w:tr>
        <w:trPr>
          <w:trHeight w:val="178"/>
        </w:trPr>
        <w:tc>
          <w:tcPr>
            <w:tcW w:w="2100" w:type="dxa"/>
            <w:vAlign w:val="bottom"/>
          </w:tcPr>
          <w:p>
            <w:pPr>
              <w:ind w:left="80"/>
              <w:spacing w:after="0"/>
              <w:rPr>
                <w:sz w:val="20"/>
                <w:szCs w:val="20"/>
                <w:color w:val="auto"/>
              </w:rPr>
            </w:pPr>
            <w:r>
              <w:rPr>
                <w:rFonts w:ascii="Arial" w:cs="Arial" w:eastAsia="Arial" w:hAnsi="Arial"/>
                <w:sz w:val="14"/>
                <w:szCs w:val="14"/>
                <w:color w:val="auto"/>
              </w:rPr>
              <w:t>SDG&amp;E</w:t>
            </w: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15"/>
                <w:szCs w:val="15"/>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12</w:t>
            </w:r>
          </w:p>
        </w:tc>
      </w:tr>
      <w:tr>
        <w:trPr>
          <w:trHeight w:val="204"/>
        </w:trPr>
        <w:tc>
          <w:tcPr>
            <w:tcW w:w="210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PE/SoCalGas</w:t>
            </w:r>
          </w:p>
        </w:tc>
        <w:tc>
          <w:tcPr>
            <w:tcW w:w="700" w:type="dxa"/>
            <w:vAlign w:val="bottom"/>
            <w:tcBorders>
              <w:bottom w:val="single" w:sz="8" w:color="C0C0C0"/>
            </w:tcBorders>
          </w:tcPr>
          <w:p>
            <w:pPr>
              <w:jc w:val="right"/>
              <w:ind w:right="51"/>
              <w:spacing w:after="0"/>
              <w:rPr>
                <w:sz w:val="20"/>
                <w:szCs w:val="20"/>
                <w:color w:val="auto"/>
              </w:rPr>
            </w:pPr>
            <w:r>
              <w:rPr>
                <w:rFonts w:ascii="Arial" w:cs="Arial" w:eastAsia="Arial" w:hAnsi="Arial"/>
                <w:sz w:val="14"/>
                <w:szCs w:val="14"/>
                <w:color w:val="auto"/>
              </w:rPr>
              <w:t>37</w:t>
            </w:r>
          </w:p>
        </w:tc>
        <w:tc>
          <w:tcPr>
            <w:tcW w:w="220" w:type="dxa"/>
            <w:vAlign w:val="bottom"/>
            <w:tcBorders>
              <w:bottom w:val="single" w:sz="8" w:color="C0C0C0"/>
            </w:tcBorders>
          </w:tcPr>
          <w:p>
            <w:pPr>
              <w:spacing w:after="0"/>
              <w:rPr>
                <w:sz w:val="17"/>
                <w:szCs w:val="17"/>
                <w:color w:val="auto"/>
              </w:rPr>
            </w:pPr>
          </w:p>
        </w:tc>
        <w:tc>
          <w:tcPr>
            <w:tcW w:w="800" w:type="dxa"/>
            <w:vAlign w:val="bottom"/>
            <w:tcBorders>
              <w:bottom w:val="single" w:sz="8" w:color="C0C0C0"/>
            </w:tcBorders>
          </w:tcPr>
          <w:p>
            <w:pPr>
              <w:jc w:val="right"/>
              <w:ind w:right="51"/>
              <w:spacing w:after="0"/>
              <w:rPr>
                <w:sz w:val="20"/>
                <w:szCs w:val="20"/>
                <w:color w:val="auto"/>
              </w:rPr>
            </w:pPr>
            <w:r>
              <w:rPr>
                <w:rFonts w:ascii="Arial" w:cs="Arial" w:eastAsia="Arial" w:hAnsi="Arial"/>
                <w:sz w:val="14"/>
                <w:szCs w:val="14"/>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3550920" cy="289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50920" cy="289560"/>
                    </a:xfrm>
                    <a:prstGeom prst="rect">
                      <a:avLst/>
                    </a:prstGeom>
                    <a:noFill/>
                  </pic:spPr>
                </pic:pic>
              </a:graphicData>
            </a:graphic>
          </wp:anchor>
        </w:drawing>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CASH USED IN INVESTING ACTIVITIES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30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8"/>
        </w:trPr>
        <w:tc>
          <w:tcPr>
            <w:tcW w:w="23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3"/>
                <w:szCs w:val="13"/>
                <w:color w:val="auto"/>
              </w:rPr>
              <w:t>2010</w:t>
            </w: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gridSpan w:val="2"/>
          </w:tcPr>
          <w:p>
            <w:pPr>
              <w:jc w:val="right"/>
              <w:ind w:right="408"/>
              <w:spacing w:after="0"/>
              <w:rPr>
                <w:sz w:val="20"/>
                <w:szCs w:val="20"/>
                <w:color w:val="auto"/>
              </w:rPr>
            </w:pPr>
            <w:r>
              <w:rPr>
                <w:rFonts w:ascii="Arial" w:cs="Arial" w:eastAsia="Arial" w:hAnsi="Arial"/>
                <w:sz w:val="13"/>
                <w:szCs w:val="13"/>
                <w:color w:val="auto"/>
              </w:rPr>
              <w:t>2010 Change</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2009</w:t>
            </w:r>
          </w:p>
        </w:tc>
      </w:tr>
      <w:tr>
        <w:trPr>
          <w:trHeight w:val="208"/>
        </w:trPr>
        <w:tc>
          <w:tcPr>
            <w:tcW w:w="2300" w:type="dxa"/>
            <w:vAlign w:val="bottom"/>
          </w:tcPr>
          <w:p>
            <w:pPr>
              <w:ind w:left="80"/>
              <w:spacing w:after="0"/>
              <w:rPr>
                <w:sz w:val="20"/>
                <w:szCs w:val="20"/>
                <w:color w:val="auto"/>
              </w:rPr>
            </w:pPr>
            <w:r>
              <w:rPr>
                <w:rFonts w:ascii="Arial" w:cs="Arial" w:eastAsia="Arial" w:hAnsi="Arial"/>
                <w:sz w:val="14"/>
                <w:szCs w:val="14"/>
                <w:color w:val="auto"/>
              </w:rPr>
              <w:t>Sempra Energy Consolidated   $</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(633)</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(1,337)</w:t>
            </w:r>
          </w:p>
        </w:tc>
        <w:tc>
          <w:tcPr>
            <w:tcW w:w="76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(68)   %</w:t>
            </w:r>
          </w:p>
        </w:tc>
        <w:tc>
          <w:tcPr>
            <w:tcW w:w="260" w:type="dxa"/>
            <w:vAlign w:val="bottom"/>
          </w:tcPr>
          <w:p>
            <w:pPr>
              <w:jc w:val="right"/>
              <w:spacing w:after="0" w:line="208" w:lineRule="exact"/>
              <w:rPr>
                <w:sz w:val="20"/>
                <w:szCs w:val="20"/>
                <w:color w:val="auto"/>
              </w:rPr>
            </w:pPr>
            <w:r>
              <w:rPr>
                <w:rFonts w:ascii="Arial" w:cs="Arial" w:eastAsia="Arial" w:hAnsi="Arial"/>
                <w:sz w:val="19"/>
                <w:szCs w:val="19"/>
                <w:color w:val="auto"/>
              </w:rPr>
              <w:t>$</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(1,970)</w:t>
            </w:r>
          </w:p>
        </w:tc>
      </w:tr>
      <w:tr>
        <w:trPr>
          <w:trHeight w:val="198"/>
        </w:trPr>
        <w:tc>
          <w:tcPr>
            <w:tcW w:w="2300" w:type="dxa"/>
            <w:vAlign w:val="bottom"/>
          </w:tcPr>
          <w:p>
            <w:pPr>
              <w:ind w:left="80"/>
              <w:spacing w:after="0"/>
              <w:rPr>
                <w:sz w:val="20"/>
                <w:szCs w:val="20"/>
                <w:color w:val="auto"/>
              </w:rPr>
            </w:pPr>
            <w:r>
              <w:rPr>
                <w:rFonts w:ascii="Arial" w:cs="Arial" w:eastAsia="Arial" w:hAnsi="Arial"/>
                <w:sz w:val="14"/>
                <w:szCs w:val="14"/>
                <w:color w:val="auto"/>
              </w:rPr>
              <w:t>SDG&amp;E</w:t>
            </w: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(813)</w:t>
            </w:r>
          </w:p>
        </w:tc>
        <w:tc>
          <w:tcPr>
            <w:tcW w:w="240" w:type="dxa"/>
            <w:vAlign w:val="bottom"/>
          </w:tcPr>
          <w:p>
            <w:pPr>
              <w:spacing w:after="0"/>
              <w:rPr>
                <w:sz w:val="17"/>
                <w:szCs w:val="17"/>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233</w:t>
            </w:r>
          </w:p>
        </w:tc>
        <w:tc>
          <w:tcPr>
            <w:tcW w:w="76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17"/>
                <w:szCs w:val="17"/>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(580)</w:t>
            </w:r>
          </w:p>
        </w:tc>
      </w:tr>
      <w:tr>
        <w:trPr>
          <w:trHeight w:val="192"/>
        </w:trPr>
        <w:tc>
          <w:tcPr>
            <w:tcW w:w="2300" w:type="dxa"/>
            <w:vAlign w:val="bottom"/>
          </w:tcPr>
          <w:p>
            <w:pPr>
              <w:ind w:left="80"/>
              <w:spacing w:after="0"/>
              <w:rPr>
                <w:sz w:val="20"/>
                <w:szCs w:val="20"/>
                <w:color w:val="auto"/>
              </w:rPr>
            </w:pPr>
            <w:r>
              <w:rPr>
                <w:rFonts w:ascii="Arial" w:cs="Arial" w:eastAsia="Arial" w:hAnsi="Arial"/>
                <w:sz w:val="14"/>
                <w:szCs w:val="14"/>
                <w:color w:val="auto"/>
              </w:rPr>
              <w:t>PE</w:t>
            </w: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(435)</w:t>
            </w:r>
          </w:p>
        </w:tc>
        <w:tc>
          <w:tcPr>
            <w:tcW w:w="24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106</w:t>
            </w:r>
          </w:p>
        </w:tc>
        <w:tc>
          <w:tcPr>
            <w:tcW w:w="76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(329)</w:t>
            </w:r>
          </w:p>
        </w:tc>
      </w:tr>
      <w:tr>
        <w:trPr>
          <w:trHeight w:val="190"/>
        </w:trPr>
        <w:tc>
          <w:tcPr>
            <w:tcW w:w="230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SoCalGas</w:t>
            </w:r>
          </w:p>
        </w:tc>
        <w:tc>
          <w:tcPr>
            <w:tcW w:w="620" w:type="dxa"/>
            <w:vAlign w:val="bottom"/>
            <w:tcBorders>
              <w:bottom w:val="single" w:sz="8" w:color="C0C0C0"/>
              <w:right w:val="single" w:sz="8" w:color="auto"/>
            </w:tcBorders>
          </w:tcPr>
          <w:p>
            <w:pPr>
              <w:jc w:val="right"/>
              <w:ind w:right="50"/>
              <w:spacing w:after="0"/>
              <w:rPr>
                <w:sz w:val="20"/>
                <w:szCs w:val="20"/>
                <w:color w:val="auto"/>
              </w:rPr>
            </w:pPr>
            <w:r>
              <w:rPr>
                <w:rFonts w:ascii="Arial" w:cs="Arial" w:eastAsia="Arial" w:hAnsi="Arial"/>
                <w:sz w:val="14"/>
                <w:szCs w:val="14"/>
                <w:color w:val="auto"/>
              </w:rPr>
              <w:t>(445)</w:t>
            </w:r>
          </w:p>
        </w:tc>
        <w:tc>
          <w:tcPr>
            <w:tcW w:w="240" w:type="dxa"/>
            <w:vAlign w:val="bottom"/>
          </w:tcPr>
          <w:p>
            <w:pPr>
              <w:spacing w:after="0"/>
              <w:rPr>
                <w:sz w:val="16"/>
                <w:szCs w:val="16"/>
                <w:color w:val="auto"/>
              </w:rPr>
            </w:pPr>
          </w:p>
        </w:tc>
        <w:tc>
          <w:tcPr>
            <w:tcW w:w="700" w:type="dxa"/>
            <w:vAlign w:val="bottom"/>
            <w:tcBorders>
              <w:bottom w:val="single" w:sz="8" w:color="C0C0C0"/>
            </w:tcBorders>
          </w:tcPr>
          <w:p>
            <w:pPr>
              <w:jc w:val="right"/>
              <w:ind w:right="110"/>
              <w:spacing w:after="0"/>
              <w:rPr>
                <w:sz w:val="20"/>
                <w:szCs w:val="20"/>
                <w:color w:val="auto"/>
              </w:rPr>
            </w:pPr>
            <w:r>
              <w:rPr>
                <w:rFonts w:ascii="Arial" w:cs="Arial" w:eastAsia="Arial" w:hAnsi="Arial"/>
                <w:sz w:val="14"/>
                <w:szCs w:val="14"/>
                <w:color w:val="auto"/>
              </w:rPr>
              <w:t>109</w:t>
            </w:r>
          </w:p>
        </w:tc>
        <w:tc>
          <w:tcPr>
            <w:tcW w:w="760" w:type="dxa"/>
            <w:vAlign w:val="bottom"/>
            <w:tcBorders>
              <w:bottom w:val="single" w:sz="8" w:color="C0C0C0"/>
              <w:right w:val="single" w:sz="8" w:color="auto"/>
            </w:tcBorders>
          </w:tcPr>
          <w:p>
            <w:pPr>
              <w:jc w:val="right"/>
              <w:ind w:right="388"/>
              <w:spacing w:after="0"/>
              <w:rPr>
                <w:sz w:val="20"/>
                <w:szCs w:val="20"/>
                <w:color w:val="auto"/>
              </w:rPr>
            </w:pPr>
            <w:r>
              <w:rPr>
                <w:rFonts w:ascii="Arial" w:cs="Arial" w:eastAsia="Arial" w:hAnsi="Arial"/>
                <w:sz w:val="14"/>
                <w:szCs w:val="14"/>
                <w:color w:val="auto"/>
              </w:rPr>
              <w:t>32</w:t>
            </w:r>
          </w:p>
        </w:tc>
        <w:tc>
          <w:tcPr>
            <w:tcW w:w="260" w:type="dxa"/>
            <w:vAlign w:val="bottom"/>
            <w:tcBorders>
              <w:bottom w:val="single" w:sz="8" w:color="C0C0C0"/>
            </w:tcBorders>
          </w:tcPr>
          <w:p>
            <w:pPr>
              <w:spacing w:after="0"/>
              <w:rPr>
                <w:sz w:val="16"/>
                <w:szCs w:val="16"/>
                <w:color w:val="auto"/>
              </w:rPr>
            </w:pPr>
          </w:p>
        </w:tc>
        <w:tc>
          <w:tcPr>
            <w:tcW w:w="700" w:type="dxa"/>
            <w:vAlign w:val="bottom"/>
            <w:tcBorders>
              <w:bottom w:val="single" w:sz="8" w:color="C0C0C0"/>
            </w:tcBorders>
          </w:tcPr>
          <w:p>
            <w:pPr>
              <w:jc w:val="right"/>
              <w:ind w:right="10"/>
              <w:spacing w:after="0"/>
              <w:rPr>
                <w:sz w:val="20"/>
                <w:szCs w:val="20"/>
                <w:color w:val="auto"/>
              </w:rPr>
            </w:pPr>
            <w:r>
              <w:rPr>
                <w:rFonts w:ascii="Arial" w:cs="Arial" w:eastAsia="Arial" w:hAnsi="Arial"/>
                <w:sz w:val="14"/>
                <w:szCs w:val="14"/>
                <w:color w:val="auto"/>
              </w:rPr>
              <w:t>(336)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SempraEnergy Consolidated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at Sempra Energy decreased in 2010 primarily due to:</w:t>
      </w:r>
    </w:p>
    <w:p>
      <w:pPr>
        <w:spacing w:after="0" w:line="56" w:lineRule="exact"/>
        <w:rPr>
          <w:sz w:val="20"/>
          <w:szCs w:val="20"/>
          <w:color w:val="auto"/>
        </w:rPr>
      </w:pPr>
    </w:p>
    <w:p>
      <w:pPr>
        <w:ind w:left="140" w:right="960"/>
        <w:spacing w:after="0" w:line="270" w:lineRule="auto"/>
        <w:rPr>
          <w:sz w:val="20"/>
          <w:szCs w:val="20"/>
          <w:color w:val="auto"/>
        </w:rPr>
      </w:pPr>
      <w:r>
        <w:rPr>
          <w:rFonts w:ascii="Arial" w:cs="Arial" w:eastAsia="Arial" w:hAnsi="Arial"/>
          <w:sz w:val="16"/>
          <w:szCs w:val="16"/>
          <w:color w:val="auto"/>
        </w:rPr>
        <w:t>§$849 million of distributions from RBS Sempra Commodities LLP at Sempra Commodities in 2010 related to the sale of businesses within the joint venture, as we discuss in Note 4 of the Notes to Condensed Consolidated Financial Statements herein;</w:t>
      </w:r>
    </w:p>
    <w:p>
      <w:pPr>
        <w:spacing w:after="0" w:line="18" w:lineRule="exact"/>
        <w:rPr>
          <w:sz w:val="20"/>
          <w:szCs w:val="20"/>
          <w:color w:val="auto"/>
        </w:rPr>
      </w:pPr>
    </w:p>
    <w:p>
      <w:pPr>
        <w:ind w:left="140" w:right="4040"/>
        <w:spacing w:after="0" w:line="357" w:lineRule="auto"/>
        <w:rPr>
          <w:sz w:val="20"/>
          <w:szCs w:val="20"/>
          <w:color w:val="auto"/>
        </w:rPr>
      </w:pPr>
      <w:r>
        <w:rPr>
          <w:rFonts w:ascii="Arial" w:cs="Arial" w:eastAsia="Arial" w:hAnsi="Arial"/>
          <w:sz w:val="14"/>
          <w:szCs w:val="14"/>
          <w:color w:val="auto"/>
        </w:rPr>
        <w:t>§$180 million of distributions from Fowler Ridge II Wind Farm (Fowler Ridge) at Sempra Generation in 2010; §a $182 million investment in Fowler Ridge b y Sempra Generation in 2009; and</w:t>
      </w:r>
    </w:p>
    <w:p>
      <w:pPr>
        <w:spacing w:after="0" w:line="1" w:lineRule="exact"/>
        <w:rPr>
          <w:sz w:val="20"/>
          <w:szCs w:val="20"/>
          <w:color w:val="auto"/>
        </w:rPr>
      </w:pPr>
    </w:p>
    <w:p>
      <w:pPr>
        <w:ind w:left="140" w:right="840"/>
        <w:spacing w:after="0" w:line="270" w:lineRule="auto"/>
        <w:rPr>
          <w:sz w:val="20"/>
          <w:szCs w:val="20"/>
          <w:color w:val="auto"/>
        </w:rPr>
      </w:pPr>
      <w:r>
        <w:rPr>
          <w:rFonts w:ascii="Arial" w:cs="Arial" w:eastAsia="Arial" w:hAnsi="Arial"/>
          <w:sz w:val="16"/>
          <w:szCs w:val="16"/>
          <w:color w:val="auto"/>
        </w:rPr>
        <w:t xml:space="preserve">§$462 million lower contributions to Rockies Express. The $65 million contribution in the first quarter of 2010 was the last required for the construction phase of the project; </w:t>
      </w:r>
      <w:r>
        <w:rPr>
          <w:rFonts w:ascii="Arial" w:cs="Arial" w:eastAsia="Arial" w:hAnsi="Arial"/>
          <w:sz w:val="16"/>
          <w:szCs w:val="16"/>
          <w:b w:val="1"/>
          <w:bCs w:val="1"/>
          <w:color w:val="auto"/>
        </w:rPr>
        <w:t>offset by</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§$176 million proceeds from remarketing of industrial development bonds in 2009; and</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§Sempra Pipelines &amp; Storage’s $292 million acquisition (net of cash acquired) resulting in the purchase of Mexican pipeline and natural gas infrastructure assets.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SDG&amp;E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cash used in investing activities at SDG&amp;E in 2010 was due to:</w:t>
      </w:r>
    </w:p>
    <w:p>
      <w:pPr>
        <w:spacing w:after="0" w:line="56" w:lineRule="exact"/>
        <w:rPr>
          <w:sz w:val="20"/>
          <w:szCs w:val="20"/>
          <w:color w:val="auto"/>
        </w:rPr>
      </w:pPr>
    </w:p>
    <w:p>
      <w:pPr>
        <w:ind w:left="140" w:right="1980"/>
        <w:spacing w:after="0" w:line="322" w:lineRule="auto"/>
        <w:rPr>
          <w:sz w:val="20"/>
          <w:szCs w:val="20"/>
          <w:color w:val="auto"/>
        </w:rPr>
      </w:pPr>
      <w:r>
        <w:rPr>
          <w:rFonts w:ascii="Arial" w:cs="Arial" w:eastAsia="Arial" w:hAnsi="Arial"/>
          <w:sz w:val="16"/>
          <w:szCs w:val="16"/>
          <w:color w:val="auto"/>
        </w:rPr>
        <w:t>§a $189 million net increase in capital expenditures (a $265 million increase at SDG&amp;E, offset by a decrease of $76 million at Otay Mesa VIE); §net proceeds of $24 million related to industrial development bonds in 2009; and §$20 million lower decrease in loans to affiliates.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 and SoCalGas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Cash used in investing activities at PE and SoCalGas increased in 2010 primarily due to a $108 millio n increase in advances from SoCalGas to Sempra Energy in 2010.</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CONSTRUCTION EXPENDITURES AND INVESTMENTS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amounts and timing of capital expenditures are generally subject to approvals by the CPUC, the Federal Energy Regulatory Commission (FERC) and other regulatory bodies.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in 2010, we expect to make capital expenditures and investments of $3 billion, including:</w:t>
      </w:r>
    </w:p>
    <w:p>
      <w:pPr>
        <w:spacing w:after="0" w:line="49" w:lineRule="exact"/>
        <w:rPr>
          <w:sz w:val="20"/>
          <w:szCs w:val="20"/>
          <w:color w:val="auto"/>
        </w:rPr>
      </w:pPr>
    </w:p>
    <w:p>
      <w:pPr>
        <w:ind w:left="140" w:right="1420"/>
        <w:spacing w:after="0" w:line="270" w:lineRule="auto"/>
        <w:rPr>
          <w:sz w:val="20"/>
          <w:szCs w:val="20"/>
          <w:color w:val="auto"/>
        </w:rPr>
      </w:pPr>
      <w:r>
        <w:rPr>
          <w:rFonts w:ascii="Arial" w:cs="Arial" w:eastAsia="Arial" w:hAnsi="Arial"/>
          <w:sz w:val="16"/>
          <w:szCs w:val="16"/>
          <w:color w:val="auto"/>
        </w:rPr>
        <w:t>§$1.9 billion at the Sempra Utilities (excluding Otay Mesa VIE) for capital projects and plant improvements ($1.4 billion at SDG&amp;E and $500 million at SoCalGas)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§$1.1 billion at our other subsidiaries for the development of natural gas stor age facilities and pipelines, and renewable generation projects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Sempra Utilities expect the capital expenditures to include:</w:t>
      </w:r>
    </w:p>
    <w:p>
      <w:pPr>
        <w:spacing w:after="0" w:line="56" w:lineRule="exact"/>
        <w:rPr>
          <w:sz w:val="20"/>
          <w:szCs w:val="20"/>
          <w:color w:val="auto"/>
        </w:rPr>
      </w:pPr>
    </w:p>
    <w:p>
      <w:pPr>
        <w:ind w:left="140" w:right="1400"/>
        <w:spacing w:after="0" w:line="270" w:lineRule="auto"/>
        <w:rPr>
          <w:sz w:val="20"/>
          <w:szCs w:val="20"/>
          <w:color w:val="auto"/>
        </w:rPr>
      </w:pPr>
      <w:r>
        <w:rPr>
          <w:rFonts w:ascii="Arial" w:cs="Arial" w:eastAsia="Arial" w:hAnsi="Arial"/>
          <w:sz w:val="16"/>
          <w:szCs w:val="16"/>
          <w:color w:val="auto"/>
        </w:rPr>
        <w:t>§$780 million for additions to SDG&amp;E’s natural gas and electric distribution systems, advanced metering infrastructure, and electric generation plant and equipment</w:t>
      </w:r>
    </w:p>
    <w:p>
      <w:pPr>
        <w:spacing w:after="0" w:line="18" w:lineRule="exact"/>
        <w:rPr>
          <w:sz w:val="20"/>
          <w:szCs w:val="20"/>
          <w:color w:val="auto"/>
        </w:rPr>
      </w:pPr>
    </w:p>
    <w:p>
      <w:pPr>
        <w:ind w:left="140" w:right="2960"/>
        <w:spacing w:after="0" w:line="313" w:lineRule="auto"/>
        <w:rPr>
          <w:sz w:val="20"/>
          <w:szCs w:val="20"/>
          <w:color w:val="auto"/>
        </w:rPr>
      </w:pPr>
      <w:r>
        <w:rPr>
          <w:rFonts w:ascii="Arial" w:cs="Arial" w:eastAsia="Arial" w:hAnsi="Arial"/>
          <w:sz w:val="16"/>
          <w:szCs w:val="16"/>
          <w:color w:val="auto"/>
        </w:rPr>
        <w:t>§$500 million at SoCalGas for improvements to distribution and transmission systems, and for advanced metering infrastructure §$400 million at SDG&amp;E for the Sunrise Powerlink transmission line</w:t>
      </w:r>
    </w:p>
    <w:p>
      <w:pPr>
        <w:ind w:left="140"/>
        <w:spacing w:after="0"/>
        <w:rPr>
          <w:sz w:val="20"/>
          <w:szCs w:val="20"/>
          <w:color w:val="auto"/>
        </w:rPr>
      </w:pPr>
      <w:r>
        <w:rPr>
          <w:rFonts w:ascii="Arial" w:cs="Arial" w:eastAsia="Arial" w:hAnsi="Arial"/>
          <w:sz w:val="16"/>
          <w:szCs w:val="16"/>
          <w:color w:val="auto"/>
        </w:rPr>
        <w:t>&amp;# 167;$190 million for improvements to SDG&amp;E’s electric transmission infrastructure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Sempra Utilities expect to finance these expenditures and investments with cash flows from operations, cash on hand and debt issuances.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expected capital expenditures of $1.1 billion at our other subsidiaries include:</w:t>
      </w:r>
    </w:p>
    <w:p>
      <w:pPr>
        <w:spacing w:after="0" w:line="56" w:lineRule="exact"/>
        <w:rPr>
          <w:sz w:val="20"/>
          <w:szCs w:val="20"/>
          <w:color w:val="auto"/>
        </w:rPr>
      </w:pPr>
    </w:p>
    <w:p>
      <w:pPr>
        <w:ind w:left="140" w:right="1540"/>
        <w:spacing w:after="0" w:line="270" w:lineRule="auto"/>
        <w:rPr>
          <w:sz w:val="20"/>
          <w:szCs w:val="20"/>
          <w:color w:val="auto"/>
        </w:rPr>
      </w:pPr>
      <w:r>
        <w:rPr>
          <w:rFonts w:ascii="Arial" w:cs="Arial" w:eastAsia="Arial" w:hAnsi="Arial"/>
          <w:sz w:val="16"/>
          <w:szCs w:val="16"/>
          <w:color w:val="auto"/>
        </w:rPr>
        <w:t>§approximately $150 million to $250 million for Copper Mountain Solar (a 48-megawatt (MW) solar generation facility under construction by Sempra Generation in Boulder City, Nevada);</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§approximately $230 million for investments in Cedar Creek II Wind Farm, a 250-MW project in northern Colorado;</w:t>
      </w:r>
    </w:p>
    <w:p>
      <w:pPr>
        <w:sectPr>
          <w:pgSz w:w="11900" w:h="16838" w:orient="portrait"/>
          <w:cols w:equalWidth="0" w:num="1">
            <w:col w:w="11120"/>
          </w:cols>
          <w:pgMar w:left="240" w:top="131" w:right="539" w:bottom="0" w:gutter="0" w:footer="0" w:header="0"/>
        </w:sectPr>
      </w:pPr>
    </w:p>
    <w:bookmarkStart w:id="56" w:name="page57"/>
    <w:bookmarkEnd w:id="56"/>
    <w:p>
      <w:pPr>
        <w:ind w:left="140" w:right="1600"/>
        <w:spacing w:after="0" w:line="270" w:lineRule="auto"/>
        <w:rPr>
          <w:sz w:val="20"/>
          <w:szCs w:val="20"/>
          <w:color w:val="auto"/>
        </w:rPr>
      </w:pPr>
      <w:r>
        <w:rPr>
          <w:rFonts w:ascii="Arial" w:cs="Arial" w:eastAsia="Arial" w:hAnsi="Arial"/>
          <w:sz w:val="16"/>
          <w:szCs w:val="16"/>
          <w:color w:val="auto"/>
        </w:rPr>
        <w:t>§approximately $250 million to $300 million for Sempra Pipelines &amp; Storage’s contribution to Rockies Express and the development of natural gas storage projects at Bay Gas and Mississippi Hub; and</w:t>
      </w:r>
    </w:p>
    <w:p>
      <w:pPr>
        <w:spacing w:after="0" w:line="18" w:lineRule="exact"/>
        <w:rPr>
          <w:sz w:val="20"/>
          <w:szCs w:val="20"/>
          <w:color w:val="auto"/>
        </w:rPr>
      </w:pPr>
    </w:p>
    <w:p>
      <w:pPr>
        <w:ind w:left="140" w:right="1420"/>
        <w:spacing w:after="0" w:line="270" w:lineRule="auto"/>
        <w:rPr>
          <w:sz w:val="20"/>
          <w:szCs w:val="20"/>
          <w:color w:val="auto"/>
        </w:rPr>
      </w:pPr>
      <w:r>
        <w:rPr>
          <w:rFonts w:ascii="Arial" w:cs="Arial" w:eastAsia="Arial" w:hAnsi="Arial"/>
          <w:sz w:val="16"/>
          <w:szCs w:val="16"/>
          <w:color w:val="auto"/>
        </w:rPr>
        <w:t>§$307 million for Sempra Pipelines &amp; Storage’s acquisition resulting in the purchase of Mexican pipeline and natural gas infrastructure assets which closed in April 2010 and that we discuss in Note 3 of the Notes to Condensed Consolidated Financial Statements herein.</w:t>
      </w:r>
    </w:p>
    <w:p>
      <w:pPr>
        <w:spacing w:after="0" w:line="11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Our level of capital expenditures and investments in the next few years may vary substantially and will depend on the cost and availability of financing, regulatory approvals and business opportunities providing desirable rates of return. We intend to finance our capital expenditures in a manner that will maintain our strong investment-grade ratings and capital structure.</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3642360" cy="289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42360" cy="289560"/>
                    </a:xfrm>
                    <a:prstGeom prst="rect">
                      <a:avLst/>
                    </a:prstGeom>
                    <a:noFill/>
                  </pic:spPr>
                </pic:pic>
              </a:graphicData>
            </a:graphic>
          </wp:anchor>
        </w:drawing>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280" w:type="dxa"/>
            <w:vAlign w:val="bottom"/>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8"/>
        </w:trPr>
        <w:tc>
          <w:tcPr>
            <w:tcW w:w="22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3"/>
                <w:szCs w:val="13"/>
                <w:color w:val="auto"/>
              </w:rPr>
              <w:t>2010</w:t>
            </w: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3"/>
                <w:szCs w:val="13"/>
                <w:color w:val="auto"/>
              </w:rPr>
              <w:t>2010 Change</w:t>
            </w:r>
          </w:p>
        </w:tc>
        <w:tc>
          <w:tcPr>
            <w:tcW w:w="3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color w:val="auto"/>
              </w:rPr>
              <w:t>2009</w:t>
            </w:r>
          </w:p>
        </w:tc>
      </w:tr>
      <w:tr>
        <w:trPr>
          <w:trHeight w:val="178"/>
        </w:trPr>
        <w:tc>
          <w:tcPr>
            <w:tcW w:w="2280" w:type="dxa"/>
            <w:vAlign w:val="bottom"/>
          </w:tcPr>
          <w:p>
            <w:pPr>
              <w:ind w:left="80"/>
              <w:spacing w:after="0"/>
              <w:rPr>
                <w:sz w:val="20"/>
                <w:szCs w:val="20"/>
                <w:color w:val="auto"/>
              </w:rPr>
            </w:pPr>
            <w:r>
              <w:rPr>
                <w:rFonts w:ascii="Arial" w:cs="Arial" w:eastAsia="Arial" w:hAnsi="Arial"/>
                <w:sz w:val="14"/>
                <w:szCs w:val="14"/>
                <w:color w:val="auto"/>
              </w:rPr>
              <w:t>Sempra Energy Consolidated   $</w:t>
            </w:r>
          </w:p>
        </w:tc>
        <w:tc>
          <w:tcPr>
            <w:tcW w:w="6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(532)</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(1,043)</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3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   511</w:t>
            </w:r>
          </w:p>
        </w:tc>
      </w:tr>
      <w:tr>
        <w:trPr>
          <w:trHeight w:val="192"/>
        </w:trPr>
        <w:tc>
          <w:tcPr>
            <w:tcW w:w="2280" w:type="dxa"/>
            <w:vAlign w:val="bottom"/>
          </w:tcPr>
          <w:p>
            <w:pPr>
              <w:ind w:left="80"/>
              <w:spacing w:after="0"/>
              <w:rPr>
                <w:sz w:val="20"/>
                <w:szCs w:val="20"/>
                <w:color w:val="auto"/>
              </w:rPr>
            </w:pPr>
            <w:r>
              <w:rPr>
                <w:rFonts w:ascii="Arial" w:cs="Arial" w:eastAsia="Arial" w:hAnsi="Arial"/>
                <w:sz w:val="14"/>
                <w:szCs w:val="14"/>
                <w:color w:val="auto"/>
              </w:rPr>
              <w:t>SDG&amp;E</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716</w:t>
            </w:r>
          </w:p>
        </w:tc>
        <w:tc>
          <w:tcPr>
            <w:tcW w:w="280" w:type="dxa"/>
            <w:vAlign w:val="bottom"/>
          </w:tcPr>
          <w:p>
            <w:pPr>
              <w:spacing w:after="0"/>
              <w:rPr>
                <w:sz w:val="16"/>
                <w:szCs w:val="16"/>
                <w:color w:val="auto"/>
              </w:rPr>
            </w:pPr>
          </w:p>
        </w:tc>
        <w:tc>
          <w:tcPr>
            <w:tcW w:w="680" w:type="dxa"/>
            <w:vAlign w:val="bottom"/>
          </w:tcPr>
          <w:p>
            <w:pPr>
              <w:jc w:val="right"/>
              <w:ind w:right="90"/>
              <w:spacing w:after="0"/>
              <w:rPr>
                <w:sz w:val="20"/>
                <w:szCs w:val="20"/>
                <w:color w:val="auto"/>
              </w:rPr>
            </w:pPr>
            <w:r>
              <w:rPr>
                <w:rFonts w:ascii="Arial" w:cs="Arial" w:eastAsia="Arial" w:hAnsi="Arial"/>
                <w:sz w:val="14"/>
                <w:szCs w:val="14"/>
                <w:color w:val="auto"/>
              </w:rPr>
              <w:t>483</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340" w:type="dxa"/>
            <w:vAlign w:val="bottom"/>
            <w:tcBorders>
              <w:right w:val="single" w:sz="8" w:color="auto"/>
            </w:tcBorders>
          </w:tcPr>
          <w:p>
            <w:pPr>
              <w:spacing w:after="0"/>
              <w:rPr>
                <w:sz w:val="16"/>
                <w:szCs w:val="16"/>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233</w:t>
            </w:r>
          </w:p>
        </w:tc>
      </w:tr>
      <w:tr>
        <w:trPr>
          <w:trHeight w:val="216"/>
        </w:trPr>
        <w:tc>
          <w:tcPr>
            <w:tcW w:w="2280" w:type="dxa"/>
            <w:vAlign w:val="bottom"/>
          </w:tcPr>
          <w:p>
            <w:pPr>
              <w:ind w:left="80"/>
              <w:spacing w:after="0"/>
              <w:rPr>
                <w:sz w:val="20"/>
                <w:szCs w:val="20"/>
                <w:color w:val="auto"/>
              </w:rPr>
            </w:pPr>
            <w:r>
              <w:rPr>
                <w:rFonts w:ascii="Arial" w:cs="Arial" w:eastAsia="Arial" w:hAnsi="Arial"/>
                <w:sz w:val="14"/>
                <w:szCs w:val="14"/>
                <w:color w:val="auto"/>
              </w:rPr>
              <w:t>PE</w:t>
            </w:r>
          </w:p>
        </w:tc>
        <w:tc>
          <w:tcPr>
            <w:tcW w:w="6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(104)</w:t>
            </w:r>
          </w:p>
        </w:tc>
        <w:tc>
          <w:tcPr>
            <w:tcW w:w="28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(100)</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(2,500)</w:t>
            </w:r>
          </w:p>
        </w:tc>
        <w:tc>
          <w:tcPr>
            <w:tcW w:w="340" w:type="dxa"/>
            <w:vAlign w:val="bottom"/>
            <w:tcBorders>
              <w:right w:val="single" w:sz="8" w:color="auto"/>
            </w:tcBorders>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w:t>
            </w:r>
          </w:p>
        </w:tc>
      </w:tr>
      <w:tr>
        <w:trPr>
          <w:trHeight w:val="190"/>
        </w:trPr>
        <w:tc>
          <w:tcPr>
            <w:tcW w:w="2280" w:type="dxa"/>
            <w:vAlign w:val="bottom"/>
            <w:tcBorders>
              <w:bottom w:val="single" w:sz="8" w:color="C0C0C0"/>
            </w:tcBorders>
          </w:tcPr>
          <w:p>
            <w:pPr>
              <w:ind w:left="80"/>
              <w:spacing w:after="0"/>
              <w:rPr>
                <w:sz w:val="20"/>
                <w:szCs w:val="20"/>
                <w:color w:val="auto"/>
              </w:rPr>
            </w:pPr>
            <w:r>
              <w:rPr>
                <w:rFonts w:ascii="Arial" w:cs="Arial" w:eastAsia="Arial" w:hAnsi="Arial"/>
                <w:sz w:val="14"/>
                <w:szCs w:val="14"/>
                <w:color w:val="auto"/>
              </w:rPr>
              <w:t>SoCalGas</w:t>
            </w:r>
          </w:p>
        </w:tc>
        <w:tc>
          <w:tcPr>
            <w:tcW w:w="640" w:type="dxa"/>
            <w:vAlign w:val="bottom"/>
            <w:tcBorders>
              <w:bottom w:val="single" w:sz="8" w:color="C0C0C0"/>
              <w:right w:val="single" w:sz="8" w:color="auto"/>
            </w:tcBorders>
          </w:tcPr>
          <w:p>
            <w:pPr>
              <w:jc w:val="right"/>
              <w:ind w:right="50"/>
              <w:spacing w:after="0"/>
              <w:rPr>
                <w:sz w:val="20"/>
                <w:szCs w:val="20"/>
                <w:color w:val="auto"/>
              </w:rPr>
            </w:pPr>
            <w:r>
              <w:rPr>
                <w:rFonts w:ascii="Arial" w:cs="Arial" w:eastAsia="Arial" w:hAnsi="Arial"/>
                <w:sz w:val="14"/>
                <w:szCs w:val="14"/>
                <w:color w:val="auto"/>
              </w:rPr>
              <w:t>(101)</w:t>
            </w:r>
          </w:p>
        </w:tc>
        <w:tc>
          <w:tcPr>
            <w:tcW w:w="280" w:type="dxa"/>
            <w:vAlign w:val="bottom"/>
            <w:tcBorders>
              <w:bottom w:val="single" w:sz="8" w:color="C0C0C0"/>
            </w:tcBorders>
          </w:tcPr>
          <w:p>
            <w:pPr>
              <w:spacing w:after="0"/>
              <w:rPr>
                <w:sz w:val="16"/>
                <w:szCs w:val="16"/>
                <w:color w:val="auto"/>
              </w:rPr>
            </w:pPr>
          </w:p>
        </w:tc>
        <w:tc>
          <w:tcPr>
            <w:tcW w:w="680" w:type="dxa"/>
            <w:vAlign w:val="bottom"/>
            <w:tcBorders>
              <w:bottom w:val="single" w:sz="8" w:color="C0C0C0"/>
            </w:tcBorders>
          </w:tcPr>
          <w:p>
            <w:pPr>
              <w:jc w:val="right"/>
              <w:ind w:right="50"/>
              <w:spacing w:after="0"/>
              <w:rPr>
                <w:sz w:val="20"/>
                <w:szCs w:val="20"/>
                <w:color w:val="auto"/>
              </w:rPr>
            </w:pPr>
            <w:r>
              <w:rPr>
                <w:rFonts w:ascii="Arial" w:cs="Arial" w:eastAsia="Arial" w:hAnsi="Arial"/>
                <w:sz w:val="14"/>
                <w:szCs w:val="14"/>
                <w:color w:val="auto"/>
              </w:rPr>
              <w:t>(100)</w:t>
            </w:r>
          </w:p>
        </w:tc>
        <w:tc>
          <w:tcPr>
            <w:tcW w:w="740" w:type="dxa"/>
            <w:vAlign w:val="bottom"/>
            <w:tcBorders>
              <w:bottom w:val="single" w:sz="8" w:color="C0C0C0"/>
            </w:tcBorders>
          </w:tcPr>
          <w:p>
            <w:pPr>
              <w:jc w:val="right"/>
              <w:ind w:right="8"/>
              <w:spacing w:after="0"/>
              <w:rPr>
                <w:sz w:val="20"/>
                <w:szCs w:val="20"/>
                <w:color w:val="auto"/>
              </w:rPr>
            </w:pPr>
            <w:r>
              <w:rPr>
                <w:rFonts w:ascii="Arial" w:cs="Arial" w:eastAsia="Arial" w:hAnsi="Arial"/>
                <w:sz w:val="14"/>
                <w:szCs w:val="14"/>
                <w:color w:val="auto"/>
              </w:rPr>
              <w:t>(10,000)</w:t>
            </w:r>
          </w:p>
        </w:tc>
        <w:tc>
          <w:tcPr>
            <w:tcW w:w="340" w:type="dxa"/>
            <w:vAlign w:val="bottom"/>
            <w:tcBorders>
              <w:bottom w:val="single" w:sz="8" w:color="C0C0C0"/>
              <w:right w:val="single" w:sz="8" w:color="auto"/>
            </w:tcBorders>
          </w:tcPr>
          <w:p>
            <w:pPr>
              <w:spacing w:after="0"/>
              <w:rPr>
                <w:sz w:val="16"/>
                <w:szCs w:val="16"/>
                <w:color w:val="auto"/>
              </w:rPr>
            </w:pPr>
          </w:p>
        </w:tc>
        <w:tc>
          <w:tcPr>
            <w:tcW w:w="780" w:type="dxa"/>
            <w:vAlign w:val="bottom"/>
            <w:tcBorders>
              <w:bottom w:val="single" w:sz="8" w:color="C0C0C0"/>
            </w:tcBorders>
          </w:tcPr>
          <w:p>
            <w:pPr>
              <w:jc w:val="right"/>
              <w:ind w:right="30"/>
              <w:spacing w:after="0"/>
              <w:rPr>
                <w:sz w:val="20"/>
                <w:szCs w:val="20"/>
                <w:color w:val="auto"/>
              </w:rPr>
            </w:pPr>
            <w:r>
              <w:rPr>
                <w:rFonts w:ascii="Arial" w:cs="Arial" w:eastAsia="Arial" w:hAnsi="Arial"/>
                <w:sz w:val="14"/>
                <w:szCs w:val="14"/>
                <w:color w:val="auto"/>
              </w:rPr>
              <w:t>(1)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Energy Consolidated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At Sempra Energy, financing acti vities used cash in 2010 compared to providing cash in 2009, primarily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§$502 million repurchases of common stock in 2010;</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§$410 million lower issuances of debt; and</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§$402 million higher debt payments; </w:t>
      </w:r>
      <w:r>
        <w:rPr>
          <w:rFonts w:ascii="Arial" w:cs="Arial" w:eastAsia="Arial" w:hAnsi="Arial"/>
          <w:sz w:val="16"/>
          <w:szCs w:val="16"/>
          <w:b w:val="1"/>
          <w:bCs w:val="1"/>
          <w:color w:val="auto"/>
        </w:rPr>
        <w:t>offset by</w:t>
      </w:r>
    </w:p>
    <w:p>
      <w:pPr>
        <w:spacing w:after="0" w:line="60" w:lineRule="exact"/>
        <w:rPr>
          <w:sz w:val="20"/>
          <w:szCs w:val="20"/>
          <w:color w:val="auto"/>
        </w:rPr>
      </w:pPr>
    </w:p>
    <w:p>
      <w:pPr>
        <w:ind w:left="140" w:right="4440"/>
        <w:spacing w:after="0" w:line="414" w:lineRule="auto"/>
        <w:rPr>
          <w:sz w:val="20"/>
          <w:szCs w:val="20"/>
          <w:color w:val="auto"/>
        </w:rPr>
      </w:pPr>
      <w:r>
        <w:rPr>
          <w:rFonts w:ascii="Arial" w:cs="Arial" w:eastAsia="Arial" w:hAnsi="Arial"/>
          <w:sz w:val="14"/>
          <w:szCs w:val="14"/>
          <w:color w:val="auto"/>
        </w:rPr>
        <w:t>§$94 million for the purchase of the remaining 40-percent ownership interest in Mississippi Hub in 2009; and §$184 million increase in short-term debt in 2010 co mpared to a $52 million decrease in 2009.</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SDG&amp;E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financing activities at SDG&amp;E increased primarily due to:</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§$150 million common dividends paid to Sempra Energy in 2009; and</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§$358 million higher issuances of long-term debt.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 and SoCalGas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Cash used in financing activities at PE and SoCalGas in 2010 increased due to $100 million common dividends paid to Sempra Energy and PE, respectively.</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COMMITMENTS</w:t>
      </w:r>
    </w:p>
    <w:p>
      <w:pPr>
        <w:spacing w:after="0" w:line="158"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We discuss significant changes to contractual commitments at Sempra Energy, SDG&amp;E, PE and SoCalGas in Note 10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443865</wp:posOffset>
            </wp:positionV>
            <wp:extent cx="726186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FACTORS INFLUENCING FUTURE PERFORMANCE</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OVERVIEW</w:t>
      </w:r>
    </w:p>
    <w:p>
      <w:pPr>
        <w:spacing w:after="0" w:line="98"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Sempra Utilities' operations generally provide relatively stable earnings and liquidity. However, for the next few years, SDG&amp;E and SoCalGas intend to limit their common stock dividends to reinvest their earnings in significant capital projects.</w:t>
      </w:r>
    </w:p>
    <w:p>
      <w:pPr>
        <w:spacing w:after="0" w:line="66"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Sempra Global's long-term contracts also generally provide relatively stable earnings and liquidity, but are subject to variability due to fluctuations in commodity prices. Also, Sempra Generation's contract with the DWR, which provides a significant portion of Sempra Generation's revenues, ends in late 2011. Because it is unable to forecast with certainty future electricity prices and the cost of natural gas, contracts it enters into to replace the DWR contract, if obtained, or merchant (daily) sales may provide substantially lower earnings. Sempra Generation is also undertaking several projects for the construction of renewable generation facilities, with planned in-service dates ranging from late 2010 to 2012.</w:t>
      </w:r>
    </w:p>
    <w:p>
      <w:pPr>
        <w:spacing w:after="0" w:line="4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Sempra Pipelines &amp; Storage is also expected to provide earnings from construction programs when completed and other investments, but will require substantial funding for these investments. At Sempra LNG, until there are firm LNG supply or capacity services contracts from third parties that would subscribe to 100 percent of the capacity of Sempra LNG's Cameron receipt terminal, Sempra LNG will seek to purchase and market short-term LNG supplies and sell short-term capacity, which may result in greater variability in revenues and earnings.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Sempra Utilities' performance will depend primarily on the ratemaking and regulatory process, environmental regulations, economic conditions, actions by the California</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legislature to address the state budget crisis and the changing energy marketplace. Their performance will also depend on the successful completion of capital projects that we discuss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in various sections of this report. As the 2008 General Rate Case provides for fixed annual increases through 2011 rather than adjustments based on inflation indices as in the past,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performance will depend on the Sempra Utilit ies' ability to manage costs, including bad debts. Starting in the third quarter of 2009, SDG&amp;E's liability insurance premiums increased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significantly, by approximately $40 million annually, due to the increased costs of wildfire coverage as compared to the previous policy year. Starting in the third quarter of 2010,</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SDG&amp;E has secured additional insurance coverage of approximately $560 million with respect to any future wildfire liabilities. SDG&amp;E's maximum loss recovery due to a wildfire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incident from insurance carriers is now approximately $960 million, with the remainder of Sempra Energy's business units' maximum coverage for a wildfire incident remaining at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$400 million, the same as in the previous policy year. Starting in the third quarter of 2010, SDG&amp;E's insurance premiums increase by approximately $30 million (pretax) annually for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increased coverage.</w:t>
      </w:r>
    </w:p>
    <w:p>
      <w:pPr>
        <w:spacing w:after="0" w:line="97"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In regard to the 2007 wildfire litigation, SDG&amp;E has exceeded its $1.1 billion of liability in surance coverage in settling wildfire claims. However, it has concluded that it is probable that it will be permitted to recover from its utility customers substantially all reasonably incurred costs of resolving wildfire claims in excess of its liability insurance coverage and any amounts recovered from other potentially responsible parties. Consequently, Sempra Energy and SDG&amp;E expect no significant earnings impact from the resolution of the remaining wildfire claims. However, SDG&amp;E’s cash flow will be adversely affected by timing differences between the resolution of claims and recoveries from other potentially responsible parties and utility customers, which may extend over a number of years. In addition, recovery from customers will require future regulatory actions, and a failure to obtain recovery, or any negative assessment of the likelihood of recovery, would likely have a material adverse effect on Sempra Energy's and SDG&amp;E's cash flows and results of operations.</w:t>
      </w:r>
    </w:p>
    <w:p>
      <w:pPr>
        <w:spacing w:after="0" w:line="113" w:lineRule="exact"/>
        <w:rPr>
          <w:sz w:val="20"/>
          <w:szCs w:val="20"/>
          <w:color w:val="auto"/>
        </w:rPr>
      </w:pPr>
    </w:p>
    <w:p>
      <w:pPr>
        <w:ind w:right="180"/>
        <w:spacing w:after="0" w:line="314" w:lineRule="auto"/>
        <w:rPr>
          <w:sz w:val="20"/>
          <w:szCs w:val="20"/>
          <w:color w:val="auto"/>
        </w:rPr>
      </w:pPr>
      <w:r>
        <w:rPr>
          <w:rFonts w:ascii="Arial" w:cs="Arial" w:eastAsia="Arial" w:hAnsi="Arial"/>
          <w:sz w:val="14"/>
          <w:szCs w:val="14"/>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 We provide additional information concerning these matters in Notes 9 and 10 of the Notes to Condensed Consolidated Financial Statements herein.</w:t>
      </w:r>
    </w:p>
    <w:p>
      <w:pPr>
        <w:sectPr>
          <w:pgSz w:w="11900" w:h="16838" w:orient="portrait"/>
          <w:cols w:equalWidth="0" w:num="1">
            <w:col w:w="11440"/>
          </w:cols>
          <w:pgMar w:left="240" w:top="131" w:right="219" w:bottom="0" w:gutter="0" w:footer="0" w:header="0"/>
        </w:sectPr>
      </w:pPr>
    </w:p>
    <w:bookmarkStart w:id="57" w:name="page58"/>
    <w:bookmarkEnd w:id="57"/>
    <w:p>
      <w:pPr>
        <w:spacing w:after="0" w:line="32"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color w:val="auto"/>
        </w:rPr>
        <w:t>SDG&amp;E has a 20-percent ownership interest in San Onofre Nuclear Generating Station (SONGS), a 2,150-MW nuclear generating facility near San Clemente, California. SONGS is operated by Southern California Edison (SCE) and is subject to the jurisdiction of the Nuclear Regulatory Commission (NRC). SCE is currently addressing a number of regulatory and performance issues at SONGS, and the NRC has required SCE to take actions to provide greater assurance of compliance by SONGS personnel. SCE continues to implement plans and address the identified issues, however a number of these issues remain outstanding. To the extent that these issues persist, the likelihood of further required action by SCE persists, which may result in increased SONGS operating costs and/or adversely impacted operations. Currently, SDG&amp;E is allowed to fully offset its share of SONGS operating costs in revenue. If further action is required, it may result in an increase in SDG&amp;E’s Operation and Maintenance Expense, with any increase being fully offset in Operating Revenues – Electric or, if electric generation is adversely impacted, require SDG&amp;E to procure additional electricity supply from other sources. We provide more information about SONGS in Notes 7, 15 and 17 of the Notes to Consolidated Financial Statements in the Annual Report, and in Items 1 and 1A of our 2009 Annual Report on Form 10-K.</w:t>
      </w:r>
    </w:p>
    <w:p>
      <w:pPr>
        <w:spacing w:after="0" w:line="54"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Both SDG&amp;E's an d SoCalGas' cost of capital decisions include provisions that can result in adjustments, upwards or downwards, to their return on capital in periods between cost of capital filings. As a result of the worldwide recession, interest rates have remained at relatively low levels for an extended period of time. If the cost of capital benchmark interest rates, for either company, recorded in the third quarter of 2010 were to continue at the same levels through the second quarter of 2011, one or both companies’ authorized return on capital could be adjusted downward effective January 1, 2012. It is estimated that if such a downward adjustment were to occur, it would result in an adverse impact to earnings in 2012 of $15 million at SDG&amp;E and $23 million at SoCalGas. Both SDG&amp;E and SoCalGas are planning to file a cost of capital application with the CPUC in April 2012. Once approved by the CPUC, the applications would establish return on capital and cost of debt recovery for both SDG&amp;E and SoCalGas starting in J anuary 2013.</w:t>
      </w:r>
    </w:p>
    <w:p>
      <w:pPr>
        <w:spacing w:after="0" w:line="53"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In 2008, we completed the formation of a partnership, RBS Sempra Commodities, to own and operate our commodities-marketing businesses, which generally comprised our Sempra Commodities segment. In November 2009, RBS announced its intention to divest its interest in the joint venture following a directive from the European Commission to dispose of certain assets. In February 2010, Sempra Energy, RBS and the partnership entered into an agreement to sell certain businesses within the partnership, which agreement was consummated on July 1, 2010. In September 2010, the parties announced an agreement to sell the U.S. retail commodity marketing business of RBS Sempra Commodities, which closed on November 1, 2010. In October 2010, the joint venture entered into an agreement to sell most of its remaining assets to J.P. Morgan Ventures. This transaction is expected to close by year-end. Our joint venture partner, RBS, continues to be obligated to provid e the partnership with all working-capital requirements and credit support.</w:t>
      </w:r>
    </w:p>
    <w:p>
      <w:pPr>
        <w:spacing w:after="0" w:line="53"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We expect our share of the proceeds from the sales of all of the joint venture's businesses and related cash distributions to total $1.8 billion to $1.9 billion. These distributions are net of expected transition costs and are not expected to fully recover the goodwill included in the carrying value of our investment in the joint venture. Accordingly, in the third quarter of 2010, we recorded an after-tax charge of $139 million to reduce our investment in RBS Sempra Commodities.</w:t>
      </w:r>
    </w:p>
    <w:p>
      <w:pPr>
        <w:spacing w:after="0" w:line="74"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Future earnings and distributions from the partnership will depend on the profitability achieved in the partnership's remaining businesses through their final disposition dates and the continued ability of RBS to provide capital and credit support for the partnership. Results of the joint venture in the first three quarters of 2010 were adversely impac ted by the sale on July 1, 2010, of the global metals and oil businesses and the European natural gas and power business; lower volatility in the U.S. natural gas and power business; and the disruptions caused by the process to sell the partnership's businesses. We provide additional information in Notes 4 and 6 of the Notes to Condensed Consolidated Financial Statements herein and in Notes 3, 4, 6 and 20 of the Notes to Consolidated Financial Statements in the Annual Report.</w:t>
      </w:r>
    </w:p>
    <w:p>
      <w:pPr>
        <w:spacing w:after="0" w:line="50" w:lineRule="exact"/>
        <w:rPr>
          <w:sz w:val="20"/>
          <w:szCs w:val="20"/>
          <w:color w:val="auto"/>
        </w:rPr>
      </w:pPr>
    </w:p>
    <w:p>
      <w:pPr>
        <w:ind w:right="100"/>
        <w:spacing w:after="0" w:line="314" w:lineRule="auto"/>
        <w:rPr>
          <w:sz w:val="20"/>
          <w:szCs w:val="20"/>
          <w:color w:val="auto"/>
        </w:rPr>
      </w:pPr>
      <w:r>
        <w:rPr>
          <w:rFonts w:ascii="Arial" w:cs="Arial" w:eastAsia="Arial" w:hAnsi="Arial"/>
          <w:sz w:val="14"/>
          <w:szCs w:val="14"/>
          <w:color w:val="auto"/>
        </w:rPr>
        <w:t>We may be further impacted by depressed and rapidly changing economic conditions. Moreover, the dollar has fluctuated significantly compared to some foreign currencies, especially in Mexico and South America where we have significant operations. North American natural gas prices, which affect profitability at Sempra Generation and Sempra LNG, are currently significantly below Asian and European prices. These factors could, if they remain unchanged, adversely affect profitability.</w:t>
      </w:r>
    </w:p>
    <w:p>
      <w:pPr>
        <w:spacing w:after="0" w:line="4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We discuss additional matters that could affect our future performance in Notes 9 and 10 of the Notes to Condensed Consolidated Financial Statements herein and in Notes 15 through 17 of the Notes to Consolidated Financial Statements in the Annual Report.</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DERIVATIVES REFORMS</w:t>
      </w:r>
    </w:p>
    <w:p>
      <w:pPr>
        <w:spacing w:after="0" w:line="98"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 ume and position limits. The law gives the CFTC authority to exempt end users of energy commodities which could reduce, but not eliminate, the applicability of these measures to us and other end users. These requirements could cause our OTC transactions to be more costly and have an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protect.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We describe legal proceedings which could adversely affect our future performance in Note 10 of the Notes to Condensed Consolidated Financial Statements herein.</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UTILITIES – INDUSTRY DEVELOPMENTS AND CAPITAL PROJECTS</w:t>
      </w:r>
    </w:p>
    <w:p>
      <w:pPr>
        <w:spacing w:after="0" w:line="98" w:lineRule="exact"/>
        <w:rPr>
          <w:sz w:val="20"/>
          <w:szCs w:val="20"/>
          <w:color w:val="auto"/>
        </w:rPr>
      </w:pPr>
    </w:p>
    <w:p>
      <w:pPr>
        <w:ind w:right="680"/>
        <w:spacing w:after="0" w:line="342" w:lineRule="auto"/>
        <w:rPr>
          <w:sz w:val="20"/>
          <w:szCs w:val="20"/>
          <w:color w:val="auto"/>
        </w:rPr>
      </w:pPr>
      <w:r>
        <w:rPr>
          <w:rFonts w:ascii="Arial" w:cs="Arial" w:eastAsia="Arial" w:hAnsi="Arial"/>
          <w:sz w:val="14"/>
          <w:szCs w:val="14"/>
          <w:color w:val="auto"/>
        </w:rPr>
        <w:t>We describe capital projects, electric and natural gas regulation and rates, and other pending proceedings and investigations that affect our business in Note 9 of the Notes to Condensed Consolidated Financial Statements herein and in Notes 15 and 16 of the Notes to Consolidated Financial Statements in the Annual Report.</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GLOBAL INVESTMENTS</w:t>
      </w:r>
    </w:p>
    <w:p>
      <w:pPr>
        <w:spacing w:after="0" w:line="9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As we discuss in "Cash Flows From Investing Activities," our investments will significantly impact our future performance. In addition to the discussion below, we provide information about these investments in "Capital Resources and Liquidity" herein and “Capital Resources and Liquidity” and “Factors Influencing Future Performance” in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Sempra Generation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Copper Mountain Solar</w:t>
      </w:r>
    </w:p>
    <w:p>
      <w:pPr>
        <w:spacing w:after="0" w:line="104"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Pacific Gas and Electric has contracted for 48 MW of solar power from Copper Mountain Solar, a new plant under development in Boulder City, Nevada by Sempra Generation on land adjacent to the 10-MW El Dorado Energy Solar plant. Construction has begun and we expect it to be completed in late 2010.</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Mesquite Solar</w:t>
      </w:r>
    </w:p>
    <w:p>
      <w:pPr>
        <w:spacing w:after="0" w:line="10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Mesquite Solar is a photovoltaic generation facility under development by Sempra Generation in Maricopa County, Arizona. When fully developed, the project will be capable of producing approximately 400 MW to 600 MW of solar power. Mesquite Solar will connect to the 500-kilovolt Hassayampa switchyard via our existing Mesquite Power natural gas generation plant.</w:t>
      </w:r>
    </w:p>
    <w:p>
      <w:pPr>
        <w:spacing w:after="0" w:line="7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Construction of the first phase (Mesquite Sola r I) of 150 MW is expected to begin in 2011 and be completed in 2013. In October 2010, Sempra Generation announced that PG&amp;E has contracted, subject to CPUC approval, for 150 MW of solar power at Mesquite Solar I for 20 years.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Cedar Creek II Wind Farm</w:t>
      </w:r>
    </w:p>
    <w:p>
      <w:pPr>
        <w:spacing w:after="0" w:line="10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In October 2010, Sempra Generation invested $209 million for a 50 percent-ownership interest in Cedar Creek II Wind Farm LLC, a joint venture with BP Wind Energy for the development of a 250-MW wind farm in northern Colorado expected to be operational in mid-2011. Public Service Company of Colorado, an Xcel Energy company, has contracted for all of the power from the facility for 25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Pipelines &amp; Storage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Natural Gas Storage Projects</w:t>
      </w:r>
    </w:p>
    <w:p>
      <w:pPr>
        <w:spacing w:after="0" w:line="104" w:lineRule="exact"/>
        <w:rPr>
          <w:sz w:val="20"/>
          <w:szCs w:val="20"/>
          <w:color w:val="auto"/>
        </w:rPr>
      </w:pPr>
    </w:p>
    <w:p>
      <w:pPr>
        <w:ind w:right="340"/>
        <w:spacing w:after="0" w:line="342" w:lineRule="auto"/>
        <w:rPr>
          <w:sz w:val="20"/>
          <w:szCs w:val="20"/>
          <w:color w:val="auto"/>
        </w:rPr>
      </w:pPr>
      <w:r>
        <w:rPr>
          <w:rFonts w:ascii="Arial" w:cs="Arial" w:eastAsia="Arial" w:hAnsi="Arial"/>
          <w:sz w:val="14"/>
          <w:szCs w:val="14"/>
          <w:color w:val="auto"/>
        </w:rPr>
        <w:t>Currently, Sempra Pipelines &amp; Storage has 23 billion cubic feet (Bcf) of operational working natural gas storage capacity, including approximately 12 Bcf which recently became operational at its Mississippi Hub and Bay Gas natural gas storage facilities. We plan to develop as much as 75 Bcf of total storage capacity by 2015.</w:t>
      </w:r>
    </w:p>
    <w:p>
      <w:pPr>
        <w:sectPr>
          <w:pgSz w:w="11900" w:h="16870" w:orient="portrait"/>
          <w:cols w:equalWidth="0" w:num="1">
            <w:col w:w="11440"/>
          </w:cols>
          <w:pgMar w:left="240" w:top="131" w:right="219" w:bottom="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Sempra Pipelines &amp; Storage’s natural gas storage facilities and projects include</w:t>
      </w:r>
    </w:p>
    <w:p>
      <w:pPr>
        <w:spacing w:after="0" w:line="56" w:lineRule="exact"/>
        <w:rPr>
          <w:sz w:val="20"/>
          <w:szCs w:val="20"/>
          <w:color w:val="auto"/>
        </w:rPr>
      </w:pPr>
    </w:p>
    <w:p>
      <w:pPr>
        <w:ind w:left="140" w:right="1240"/>
        <w:spacing w:after="0" w:line="260" w:lineRule="auto"/>
        <w:rPr>
          <w:sz w:val="20"/>
          <w:szCs w:val="20"/>
          <w:color w:val="auto"/>
        </w:rPr>
      </w:pPr>
      <w:r>
        <w:rPr>
          <w:rFonts w:ascii="Arial" w:cs="Arial" w:eastAsia="Arial" w:hAnsi="Arial"/>
          <w:sz w:val="16"/>
          <w:szCs w:val="16"/>
          <w:color w:val="auto"/>
        </w:rPr>
        <w:t>§Bay Gas Storage Company, a facility located 40 miles north of Mobile, Alabama, that provides underground storage and delivery of natural gas. Sempra Pipelines &amp; Storage owns 91 percent of the project. It is the easternmost salt dome storage facility on the gulf coast, with direct service to the Florida market and markets across the Southeast, Mid-Atlantic and Northeast regions.</w:t>
      </w:r>
    </w:p>
    <w:p>
      <w:pPr>
        <w:spacing w:after="0" w:line="26" w:lineRule="exact"/>
        <w:rPr>
          <w:sz w:val="20"/>
          <w:szCs w:val="20"/>
          <w:color w:val="auto"/>
        </w:rPr>
      </w:pPr>
    </w:p>
    <w:p>
      <w:pPr>
        <w:ind w:left="140" w:right="1420"/>
        <w:spacing w:after="0" w:line="322" w:lineRule="auto"/>
        <w:rPr>
          <w:sz w:val="20"/>
          <w:szCs w:val="20"/>
          <w:color w:val="auto"/>
        </w:rPr>
      </w:pPr>
      <w:r>
        <w:rPr>
          <w:rFonts w:ascii="Arial" w:cs="Arial" w:eastAsia="Arial" w:hAnsi="Arial"/>
          <w:sz w:val="14"/>
          <w:szCs w:val="14"/>
          <w:color w:val="auto"/>
        </w:rPr>
        <w:t>§Mississippi Hub storage facility, located in Simpson County, Mississippi, an underground salt dome natural gas storage project with access to shale basins of East Texas and Louisiana, traditional gulf supplies and LNG, with multiple interconnections to serve the Southeast and Northeast regions.</w:t>
      </w:r>
    </w:p>
    <w:p>
      <w:pPr>
        <w:ind w:left="140" w:right="1260"/>
        <w:spacing w:after="0" w:line="342" w:lineRule="auto"/>
        <w:rPr>
          <w:sz w:val="20"/>
          <w:szCs w:val="20"/>
          <w:color w:val="auto"/>
        </w:rPr>
      </w:pPr>
      <w:r>
        <w:rPr>
          <w:rFonts w:ascii="Arial" w:cs="Arial" w:eastAsia="Arial" w:hAnsi="Arial"/>
          <w:sz w:val="14"/>
          <w:szCs w:val="14"/>
          <w:color w:val="auto"/>
        </w:rPr>
        <w:t>§Liberty Gas Storage Expansion, a salt cavern facility in Cameron Parish, Louisiana. Sempra Pipelines &amp; Storage owns 75 percent of the project and ProLiance Transportation LLC owns the remaining 25 percent. The project’s location provides access to several LNG facilities in the area.</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Mexican Pipeline and Natural Gas Infrastructure</w:t>
      </w:r>
    </w:p>
    <w:p>
      <w:pPr>
        <w:spacing w:after="0" w:line="104"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On April 30, 2010, Sempra Pipelines &amp; Storage completed the acquisition resulting in a purchase of the Mexican pipeline an d natural gas infrastructure assets of El Paso Corporation for $307 million ($292 million, net of cash acquired).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We discuss the acquisition more fully in Note 3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467995</wp:posOffset>
            </wp:positionV>
            <wp:extent cx="726186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CRITICAL ACCOUNTING POLICIES AND ESTIMATES</w:t>
      </w:r>
    </w:p>
    <w:p>
      <w:pPr>
        <w:spacing w:after="0" w:line="8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view certain accounting policies as critical because their application is the most relevant, judgmental and/or material to our financial position and results of operations, and/or because they require the use of material judgments and estimates. We discus s these accounting policies in "Management's Discussion and Analysis of Financial Condition and Results of Operations" in the Annual Report.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We describe our significant accounting policies in Note 1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467995</wp:posOffset>
            </wp:positionV>
            <wp:extent cx="726186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NEW ACCOUNTING STANDARDS</w:t>
      </w:r>
    </w:p>
    <w:p>
      <w:pPr>
        <w:spacing w:after="0" w:line="80"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We discuss the relevant pronouncements that have recently become effective and have had or may have an impact on our financial statements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443865</wp:posOffset>
            </wp:positionV>
            <wp:extent cx="726186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ITEM 3. QUANTITATIVE AND QUALITATIVE DISCLOSURES ABOUT MARKET RISK</w:t>
      </w:r>
    </w:p>
    <w:p>
      <w:pPr>
        <w:spacing w:after="0" w:line="368"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shows the nominal amount and the one-year VaR for long-term debt, excluding capital lease obligations, at September 30, 2010 and December 31, 2009:</w:t>
      </w:r>
    </w:p>
    <w:p>
      <w:pPr>
        <w:spacing w:after="0" w:line="322" w:lineRule="exact"/>
        <w:rPr>
          <w:sz w:val="20"/>
          <w:szCs w:val="20"/>
          <w:color w:val="auto"/>
        </w:rPr>
      </w:pPr>
    </w:p>
    <w:p>
      <w:pPr>
        <w:ind w:left="2980"/>
        <w:spacing w:after="0"/>
        <w:rPr>
          <w:sz w:val="20"/>
          <w:szCs w:val="20"/>
          <w:color w:val="auto"/>
        </w:rPr>
      </w:pPr>
      <w:r>
        <w:rPr>
          <w:rFonts w:ascii="Arial" w:cs="Arial" w:eastAsia="Arial" w:hAnsi="Arial"/>
          <w:sz w:val="19"/>
          <w:szCs w:val="19"/>
          <w:color w:val="auto"/>
        </w:rPr>
        <w:t>Sempra Energy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3"/>
                <w:szCs w:val="13"/>
                <w:color w:val="auto"/>
              </w:rPr>
              <w:t>Consolidated</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color w:val="auto"/>
              </w:rPr>
              <w:t>SDG&amp;E</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center"/>
              <w:ind w:right="129"/>
              <w:spacing w:after="0"/>
              <w:rPr>
                <w:sz w:val="20"/>
                <w:szCs w:val="20"/>
                <w:color w:val="auto"/>
              </w:rPr>
            </w:pPr>
            <w:r>
              <w:rPr>
                <w:rFonts w:ascii="Arial" w:cs="Arial" w:eastAsia="Arial" w:hAnsi="Arial"/>
                <w:sz w:val="13"/>
                <w:szCs w:val="13"/>
                <w:color w:val="auto"/>
                <w:w w:val="99"/>
              </w:rPr>
              <w:t>PE/SoCalGas</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131"/>
              <w:spacing w:after="0"/>
              <w:rPr>
                <w:sz w:val="20"/>
                <w:szCs w:val="20"/>
                <w:color w:val="auto"/>
              </w:rPr>
            </w:pPr>
            <w:r>
              <w:rPr>
                <w:rFonts w:ascii="Arial" w:cs="Arial" w:eastAsia="Arial" w:hAnsi="Arial"/>
                <w:sz w:val="13"/>
                <w:szCs w:val="13"/>
                <w:color w:val="auto"/>
              </w:rPr>
              <w:t>Nominal</w:t>
            </w:r>
          </w:p>
        </w:tc>
        <w:tc>
          <w:tcPr>
            <w:tcW w:w="780" w:type="dxa"/>
            <w:vAlign w:val="bottom"/>
            <w:gridSpan w:val="2"/>
          </w:tcPr>
          <w:p>
            <w:pPr>
              <w:jc w:val="right"/>
              <w:ind w:right="29"/>
              <w:spacing w:after="0"/>
              <w:rPr>
                <w:sz w:val="20"/>
                <w:szCs w:val="20"/>
                <w:color w:val="auto"/>
              </w:rPr>
            </w:pPr>
            <w:r>
              <w:rPr>
                <w:rFonts w:ascii="Arial" w:cs="Arial" w:eastAsia="Arial" w:hAnsi="Arial"/>
                <w:sz w:val="13"/>
                <w:szCs w:val="13"/>
                <w:color w:val="auto"/>
              </w:rPr>
              <w:t>One-Year</w:t>
            </w:r>
          </w:p>
        </w:tc>
        <w:tc>
          <w:tcPr>
            <w:tcW w:w="28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Arial" w:cs="Arial" w:eastAsia="Arial" w:hAnsi="Arial"/>
                <w:sz w:val="13"/>
                <w:szCs w:val="13"/>
                <w:color w:val="auto"/>
              </w:rPr>
              <w:t>Nominal</w:t>
            </w:r>
          </w:p>
        </w:tc>
        <w:tc>
          <w:tcPr>
            <w:tcW w:w="740" w:type="dxa"/>
            <w:vAlign w:val="bottom"/>
            <w:gridSpan w:val="2"/>
          </w:tcPr>
          <w:p>
            <w:pPr>
              <w:jc w:val="right"/>
              <w:ind w:right="28"/>
              <w:spacing w:after="0"/>
              <w:rPr>
                <w:sz w:val="20"/>
                <w:szCs w:val="20"/>
                <w:color w:val="auto"/>
              </w:rPr>
            </w:pPr>
            <w:r>
              <w:rPr>
                <w:rFonts w:ascii="Arial" w:cs="Arial" w:eastAsia="Arial" w:hAnsi="Arial"/>
                <w:sz w:val="13"/>
                <w:szCs w:val="13"/>
                <w:color w:val="auto"/>
              </w:rPr>
              <w:t>One-Year</w:t>
            </w:r>
          </w:p>
        </w:tc>
        <w:tc>
          <w:tcPr>
            <w:tcW w:w="220" w:type="dxa"/>
            <w:vAlign w:val="bottom"/>
          </w:tcPr>
          <w:p>
            <w:pPr>
              <w:spacing w:after="0"/>
              <w:rPr>
                <w:sz w:val="16"/>
                <w:szCs w:val="16"/>
                <w:color w:val="auto"/>
              </w:rPr>
            </w:pPr>
          </w:p>
        </w:tc>
        <w:tc>
          <w:tcPr>
            <w:tcW w:w="720" w:type="dxa"/>
            <w:vAlign w:val="bottom"/>
          </w:tcPr>
          <w:p>
            <w:pPr>
              <w:jc w:val="right"/>
              <w:ind w:right="171"/>
              <w:spacing w:after="0"/>
              <w:rPr>
                <w:sz w:val="20"/>
                <w:szCs w:val="20"/>
                <w:color w:val="auto"/>
              </w:rPr>
            </w:pPr>
            <w:r>
              <w:rPr>
                <w:rFonts w:ascii="Arial" w:cs="Arial" w:eastAsia="Arial" w:hAnsi="Arial"/>
                <w:sz w:val="13"/>
                <w:szCs w:val="13"/>
                <w:color w:val="auto"/>
                <w:w w:val="96"/>
              </w:rPr>
              <w:t>Nominal</w:t>
            </w:r>
          </w:p>
        </w:tc>
        <w:tc>
          <w:tcPr>
            <w:tcW w:w="1120" w:type="dxa"/>
            <w:vAlign w:val="bottom"/>
            <w:gridSpan w:val="2"/>
          </w:tcPr>
          <w:p>
            <w:pPr>
              <w:jc w:val="right"/>
              <w:ind w:right="89"/>
              <w:spacing w:after="0" w:line="189" w:lineRule="exact"/>
              <w:rPr>
                <w:sz w:val="20"/>
                <w:szCs w:val="20"/>
                <w:color w:val="auto"/>
              </w:rPr>
            </w:pPr>
            <w:r>
              <w:rPr>
                <w:rFonts w:ascii="Arial" w:cs="Arial" w:eastAsia="Arial" w:hAnsi="Arial"/>
                <w:sz w:val="19"/>
                <w:szCs w:val="19"/>
                <w:color w:val="auto"/>
              </w:rPr>
              <w:t>One-Year</w:t>
            </w:r>
          </w:p>
        </w:tc>
        <w:tc>
          <w:tcPr>
            <w:tcW w:w="0" w:type="dxa"/>
            <w:vAlign w:val="bottom"/>
          </w:tcPr>
          <w:p>
            <w:pPr>
              <w:spacing w:after="0"/>
              <w:rPr>
                <w:sz w:val="1"/>
                <w:szCs w:val="1"/>
                <w:color w:val="auto"/>
              </w:rPr>
            </w:pPr>
          </w:p>
        </w:tc>
      </w:tr>
      <w:tr>
        <w:trPr>
          <w:trHeight w:val="235"/>
        </w:trPr>
        <w:tc>
          <w:tcPr>
            <w:tcW w:w="2820" w:type="dxa"/>
            <w:vAlign w:val="bottom"/>
            <w:tcBorders>
              <w:bottom w:val="single" w:sz="8" w:color="auto"/>
            </w:tcBorders>
          </w:tcPr>
          <w:p>
            <w:pPr>
              <w:ind w:left="80"/>
              <w:spacing w:after="0"/>
              <w:rPr>
                <w:sz w:val="20"/>
                <w:szCs w:val="20"/>
                <w:color w:val="auto"/>
              </w:rPr>
            </w:pPr>
            <w:r>
              <w:rPr>
                <w:rFonts w:ascii="Arial" w:cs="Arial" w:eastAsia="Arial" w:hAnsi="Arial"/>
                <w:sz w:val="13"/>
                <w:szCs w:val="13"/>
                <w:i w:val="1"/>
                <w:iCs w:val="1"/>
                <w:color w:val="auto"/>
              </w:rPr>
              <w:t>(Dollars in millions)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color w:val="auto"/>
              </w:rPr>
              <w:t>Debt</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w w:val="97"/>
              </w:rPr>
              <w:t>VaR(1)</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3"/>
                <w:szCs w:val="13"/>
                <w:color w:val="auto"/>
              </w:rPr>
              <w:t>Debt</w:t>
            </w:r>
          </w:p>
        </w:tc>
        <w:tc>
          <w:tcPr>
            <w:tcW w:w="7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9"/>
                <w:szCs w:val="19"/>
                <w:color w:val="auto"/>
              </w:rPr>
              <w:t>VaR(1)</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color w:val="auto"/>
              </w:rPr>
              <w:t>Debt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color w:val="auto"/>
              </w:rPr>
              <w:t>VaR(1)</w:t>
            </w:r>
          </w:p>
        </w:tc>
        <w:tc>
          <w:tcPr>
            <w:tcW w:w="0" w:type="dxa"/>
            <w:vAlign w:val="bottom"/>
          </w:tcPr>
          <w:p>
            <w:pPr>
              <w:spacing w:after="0"/>
              <w:rPr>
                <w:sz w:val="1"/>
                <w:szCs w:val="1"/>
                <w:color w:val="auto"/>
              </w:rPr>
            </w:pPr>
          </w:p>
        </w:tc>
      </w:tr>
      <w:tr>
        <w:trPr>
          <w:trHeight w:val="178"/>
        </w:trPr>
        <w:tc>
          <w:tcPr>
            <w:tcW w:w="2820" w:type="dxa"/>
            <w:vAlign w:val="bottom"/>
          </w:tcPr>
          <w:p>
            <w:pPr>
              <w:ind w:left="80"/>
              <w:spacing w:after="0"/>
              <w:rPr>
                <w:sz w:val="20"/>
                <w:szCs w:val="20"/>
                <w:color w:val="auto"/>
              </w:rPr>
            </w:pPr>
            <w:r>
              <w:rPr>
                <w:rFonts w:ascii="Arial" w:cs="Arial" w:eastAsia="Arial" w:hAnsi="Arial"/>
                <w:sz w:val="14"/>
                <w:szCs w:val="14"/>
                <w:color w:val="auto"/>
              </w:rPr>
              <w:t>At September 30, 2010:</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20" w:type="dxa"/>
            <w:vAlign w:val="bottom"/>
          </w:tcPr>
          <w:p>
            <w:pPr>
              <w:ind w:left="240"/>
              <w:spacing w:after="0"/>
              <w:rPr>
                <w:sz w:val="20"/>
                <w:szCs w:val="20"/>
                <w:color w:val="auto"/>
              </w:rPr>
            </w:pPr>
            <w:r>
              <w:rPr>
                <w:rFonts w:ascii="Arial" w:cs="Arial" w:eastAsia="Arial" w:hAnsi="Arial"/>
                <w:sz w:val="14"/>
                <w:szCs w:val="14"/>
                <w:color w:val="auto"/>
              </w:rPr>
              <w:t>Utility fixed-rate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3,817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701</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&amp; nbsp;2,704</w:t>
            </w:r>
          </w:p>
        </w:tc>
        <w:tc>
          <w:tcPr>
            <w:tcW w:w="280" w:type="dxa"/>
            <w:vAlign w:val="bottom"/>
          </w:tcPr>
          <w:p>
            <w:pPr>
              <w:jc w:val="right"/>
              <w:ind w:right="44"/>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585</w:t>
            </w:r>
          </w:p>
        </w:tc>
        <w:tc>
          <w:tcPr>
            <w:tcW w:w="220" w:type="dxa"/>
            <w:vAlign w:val="bottom"/>
            <w:vMerge w:val="continue"/>
          </w:tcPr>
          <w:p>
            <w:pPr>
              <w:spacing w:after="0"/>
              <w:rPr>
                <w:sz w:val="16"/>
                <w:szCs w:val="16"/>
                <w:color w:val="auto"/>
              </w:rPr>
            </w:pPr>
          </w:p>
        </w:tc>
        <w:tc>
          <w:tcPr>
            <w:tcW w:w="720" w:type="dxa"/>
            <w:vAlign w:val="bottom"/>
          </w:tcPr>
          <w:p>
            <w:pPr>
              <w:jc w:val="right"/>
              <w:ind w:right="91"/>
              <w:spacing w:after="0"/>
              <w:rPr>
                <w:sz w:val="20"/>
                <w:szCs w:val="20"/>
                <w:color w:val="auto"/>
              </w:rPr>
            </w:pPr>
            <w:r>
              <w:rPr>
                <w:rFonts w:ascii="Arial" w:cs="Arial" w:eastAsia="Arial" w:hAnsi="Arial"/>
                <w:sz w:val="14"/>
                <w:szCs w:val="14"/>
                <w:color w:val="auto"/>
              </w:rPr>
              <w:t>1,113</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92"/>
        </w:trPr>
        <w:tc>
          <w:tcPr>
            <w:tcW w:w="2820" w:type="dxa"/>
            <w:vAlign w:val="bottom"/>
          </w:tcPr>
          <w:p>
            <w:pPr>
              <w:ind w:left="240"/>
              <w:spacing w:after="0"/>
              <w:rPr>
                <w:sz w:val="20"/>
                <w:szCs w:val="20"/>
                <w:color w:val="auto"/>
              </w:rPr>
            </w:pPr>
            <w:r>
              <w:rPr>
                <w:rFonts w:ascii="Arial" w:cs="Arial" w:eastAsia="Arial" w:hAnsi="Arial"/>
                <w:sz w:val="14"/>
                <w:szCs w:val="14"/>
                <w:color w:val="auto"/>
              </w:rPr>
              <w:t>Utility variable-rate</w:t>
            </w:r>
          </w:p>
        </w:tc>
        <w:tc>
          <w:tcPr>
            <w:tcW w:w="18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754</w:t>
            </w:r>
          </w:p>
        </w:tc>
        <w:tc>
          <w:tcPr>
            <w:tcW w:w="22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44</w:t>
            </w:r>
          </w:p>
        </w:tc>
        <w:tc>
          <w:tcPr>
            <w:tcW w:w="280" w:type="dxa"/>
            <w:vAlign w:val="bottom"/>
          </w:tcPr>
          <w:p>
            <w:pPr>
              <w:spacing w:after="0"/>
              <w:rPr>
                <w:sz w:val="16"/>
                <w:szCs w:val="16"/>
                <w:color w:val="auto"/>
              </w:rPr>
            </w:pP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604</w:t>
            </w:r>
          </w:p>
        </w:tc>
        <w:tc>
          <w:tcPr>
            <w:tcW w:w="28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16"/>
                <w:szCs w:val="16"/>
                <w:color w:val="auto"/>
              </w:rPr>
            </w:pPr>
          </w:p>
        </w:tc>
        <w:tc>
          <w:tcPr>
            <w:tcW w:w="720" w:type="dxa"/>
            <w:vAlign w:val="bottom"/>
          </w:tcPr>
          <w:p>
            <w:pPr>
              <w:jc w:val="right"/>
              <w:ind w:right="91"/>
              <w:spacing w:after="0"/>
              <w:rPr>
                <w:sz w:val="20"/>
                <w:szCs w:val="20"/>
                <w:color w:val="auto"/>
              </w:rPr>
            </w:pPr>
            <w:r>
              <w:rPr>
                <w:rFonts w:ascii="Arial" w:cs="Arial" w:eastAsia="Arial" w:hAnsi="Arial"/>
                <w:sz w:val="14"/>
                <w:szCs w:val="14"/>
                <w:color w:val="auto"/>
              </w:rPr>
              <w:t>150</w:t>
            </w:r>
          </w:p>
        </w:tc>
        <w:tc>
          <w:tcPr>
            <w:tcW w:w="26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820" w:type="dxa"/>
            <w:vAlign w:val="bottom"/>
          </w:tcPr>
          <w:p>
            <w:pPr>
              <w:ind w:left="240"/>
              <w:spacing w:after="0"/>
              <w:rPr>
                <w:sz w:val="20"/>
                <w:szCs w:val="20"/>
                <w:color w:val="auto"/>
              </w:rPr>
            </w:pPr>
            <w:r>
              <w:rPr>
                <w:rFonts w:ascii="Arial" w:cs="Arial" w:eastAsia="Arial" w:hAnsi="Arial"/>
                <w:sz w:val="14"/>
                <w:szCs w:val="14"/>
                <w:color w:val="auto"/>
              </w:rPr>
              <w:t>Non-util ity, fixed-rate and variable-rate</w:t>
            </w:r>
          </w:p>
        </w:tc>
        <w:tc>
          <w:tcPr>
            <w:tcW w:w="18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3,578</w:t>
            </w:r>
          </w:p>
        </w:tc>
        <w:tc>
          <w:tcPr>
            <w:tcW w:w="220" w:type="dxa"/>
            <w:vAlign w:val="bottom"/>
          </w:tcPr>
          <w:p>
            <w:pPr>
              <w:spacing w:after="0"/>
              <w:rPr>
                <w:sz w:val="18"/>
                <w:szCs w:val="18"/>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481</w:t>
            </w:r>
          </w:p>
        </w:tc>
        <w:tc>
          <w:tcPr>
            <w:tcW w:w="2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820" w:type="dxa"/>
            <w:vAlign w:val="bottom"/>
          </w:tcPr>
          <w:p>
            <w:pPr>
              <w:ind w:left="80"/>
              <w:spacing w:after="0"/>
              <w:rPr>
                <w:sz w:val="20"/>
                <w:szCs w:val="20"/>
                <w:color w:val="auto"/>
              </w:rPr>
            </w:pPr>
            <w:r>
              <w:rPr>
                <w:rFonts w:ascii="Arial" w:cs="Arial" w:eastAsia="Arial" w:hAnsi="Arial"/>
                <w:sz w:val="14"/>
                <w:szCs w:val="14"/>
                <w:color w:val="auto"/>
              </w:rPr>
              <w:t>At December 31, 2009:</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20" w:type="dxa"/>
            <w:vAlign w:val="bottom"/>
          </w:tcPr>
          <w:p>
            <w:pPr>
              <w:ind w:left="240"/>
              <w:spacing w:after="0"/>
              <w:rPr>
                <w:sz w:val="20"/>
                <w:szCs w:val="20"/>
                <w:color w:val="auto"/>
              </w:rPr>
            </w:pPr>
            <w:r>
              <w:rPr>
                <w:rFonts w:ascii="Arial" w:cs="Arial" w:eastAsia="Arial" w:hAnsi="Arial"/>
                <w:sz w:val="14"/>
                <w:szCs w:val="14"/>
                <w:color w:val="auto"/>
              </w:rPr>
              <w:t>Utility fixed-rate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3,067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369</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1,954</w:t>
            </w:r>
          </w:p>
        </w:tc>
        <w:tc>
          <w:tcPr>
            <w:tcW w:w="280" w:type="dxa"/>
            <w:vAlign w:val="bottom"/>
          </w:tcPr>
          <w:p>
            <w:pPr>
              <w:jc w:val="right"/>
              <w:ind w:right="44"/>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273</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1,113</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97&amp;nb sp;</w:t>
            </w:r>
          </w:p>
        </w:tc>
        <w:tc>
          <w:tcPr>
            <w:tcW w:w="0" w:type="dxa"/>
            <w:vAlign w:val="bottom"/>
          </w:tcPr>
          <w:p>
            <w:pPr>
              <w:spacing w:after="0"/>
              <w:rPr>
                <w:sz w:val="1"/>
                <w:szCs w:val="1"/>
                <w:color w:val="auto"/>
              </w:rPr>
            </w:pPr>
          </w:p>
        </w:tc>
      </w:tr>
      <w:tr>
        <w:trPr>
          <w:trHeight w:val="192"/>
        </w:trPr>
        <w:tc>
          <w:tcPr>
            <w:tcW w:w="2820" w:type="dxa"/>
            <w:vAlign w:val="bottom"/>
          </w:tcPr>
          <w:p>
            <w:pPr>
              <w:ind w:left="240"/>
              <w:spacing w:after="0"/>
              <w:rPr>
                <w:sz w:val="20"/>
                <w:szCs w:val="20"/>
                <w:color w:val="auto"/>
              </w:rPr>
            </w:pPr>
            <w:r>
              <w:rPr>
                <w:rFonts w:ascii="Arial" w:cs="Arial" w:eastAsia="Arial" w:hAnsi="Arial"/>
                <w:sz w:val="14"/>
                <w:szCs w:val="14"/>
                <w:color w:val="auto"/>
              </w:rPr>
              <w:t>Utility variable-rate</w:t>
            </w:r>
          </w:p>
        </w:tc>
        <w:tc>
          <w:tcPr>
            <w:tcW w:w="18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848</w:t>
            </w:r>
          </w:p>
        </w:tc>
        <w:tc>
          <w:tcPr>
            <w:tcW w:w="22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43</w:t>
            </w:r>
          </w:p>
        </w:tc>
        <w:tc>
          <w:tcPr>
            <w:tcW w:w="280" w:type="dxa"/>
            <w:vAlign w:val="bottom"/>
          </w:tcPr>
          <w:p>
            <w:pPr>
              <w:spacing w:after="0"/>
              <w:rPr>
                <w:sz w:val="16"/>
                <w:szCs w:val="16"/>
                <w:color w:val="auto"/>
              </w:rPr>
            </w:pP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698</w:t>
            </w:r>
          </w:p>
        </w:tc>
        <w:tc>
          <w:tcPr>
            <w:tcW w:w="28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6"/>
                <w:szCs w:val="16"/>
                <w:color w:val="auto"/>
              </w:rPr>
            </w:pPr>
          </w:p>
        </w:tc>
        <w:tc>
          <w:tcPr>
            <w:tcW w:w="720" w:type="dxa"/>
            <w:vAlign w:val="bottom"/>
          </w:tcPr>
          <w:p>
            <w:pPr>
              <w:jc w:val="right"/>
              <w:ind w:right="91"/>
              <w:spacing w:after="0"/>
              <w:rPr>
                <w:sz w:val="20"/>
                <w:szCs w:val="20"/>
                <w:color w:val="auto"/>
              </w:rPr>
            </w:pPr>
            <w:r>
              <w:rPr>
                <w:rFonts w:ascii="Arial" w:cs="Arial" w:eastAsia="Arial" w:hAnsi="Arial"/>
                <w:sz w:val="14"/>
                <w:szCs w:val="14"/>
                <w:color w:val="auto"/>
              </w:rPr>
              <w:t>150</w:t>
            </w:r>
          </w:p>
        </w:tc>
        <w:tc>
          <w:tcPr>
            <w:tcW w:w="26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820" w:type="dxa"/>
            <w:vAlign w:val="bottom"/>
            <w:tcBorders>
              <w:bottom w:val="single" w:sz="8" w:color="C0C0C0"/>
            </w:tcBorders>
          </w:tcPr>
          <w:p>
            <w:pPr>
              <w:ind w:left="240"/>
              <w:spacing w:after="0"/>
              <w:rPr>
                <w:sz w:val="20"/>
                <w:szCs w:val="20"/>
                <w:color w:val="auto"/>
              </w:rPr>
            </w:pPr>
            <w:r>
              <w:rPr>
                <w:rFonts w:ascii="Arial" w:cs="Arial" w:eastAsia="Arial" w:hAnsi="Arial"/>
                <w:sz w:val="14"/>
                <w:szCs w:val="14"/>
                <w:color w:val="auto"/>
              </w:rPr>
              <w:t>Non-utility, fixed-rate and variable-rate</w:t>
            </w:r>
          </w:p>
        </w:tc>
        <w:tc>
          <w:tcPr>
            <w:tcW w:w="180" w:type="dxa"/>
            <w:vAlign w:val="bottom"/>
            <w:tcBorders>
              <w:bottom w:val="single" w:sz="8" w:color="C0C0C0"/>
            </w:tcBorders>
          </w:tcPr>
          <w:p>
            <w:pPr>
              <w:spacing w:after="0"/>
              <w:rPr>
                <w:sz w:val="16"/>
                <w:szCs w:val="16"/>
                <w:color w:val="auto"/>
              </w:rPr>
            </w:pPr>
          </w:p>
        </w:tc>
        <w:tc>
          <w:tcPr>
            <w:tcW w:w="700" w:type="dxa"/>
            <w:vAlign w:val="bottom"/>
            <w:tcBorders>
              <w:bottom w:val="single" w:sz="8" w:color="C0C0C0"/>
            </w:tcBorders>
          </w:tcPr>
          <w:p>
            <w:pPr>
              <w:jc w:val="right"/>
              <w:ind w:right="51"/>
              <w:spacing w:after="0"/>
              <w:rPr>
                <w:sz w:val="20"/>
                <w:szCs w:val="20"/>
                <w:color w:val="auto"/>
              </w:rPr>
            </w:pPr>
            <w:r>
              <w:rPr>
                <w:rFonts w:ascii="Arial" w:cs="Arial" w:eastAsia="Arial" w:hAnsi="Arial"/>
                <w:sz w:val="14"/>
                <w:szCs w:val="14"/>
                <w:color w:val="auto"/>
              </w:rPr>
              <w:t>4,075</w:t>
            </w:r>
          </w:p>
        </w:tc>
        <w:tc>
          <w:tcPr>
            <w:tcW w:w="220" w:type="dxa"/>
            <w:vAlign w:val="bottom"/>
            <w:tcBorders>
              <w:bottom w:val="single" w:sz="8" w:color="C0C0C0"/>
            </w:tcBorders>
          </w:tcPr>
          <w:p>
            <w:pPr>
              <w:spacing w:after="0"/>
              <w:rPr>
                <w:sz w:val="16"/>
                <w:szCs w:val="16"/>
                <w:color w:val="auto"/>
              </w:rPr>
            </w:pPr>
          </w:p>
        </w:tc>
        <w:tc>
          <w:tcPr>
            <w:tcW w:w="560" w:type="dxa"/>
            <w:vAlign w:val="bottom"/>
            <w:tcBorders>
              <w:bottom w:val="single" w:sz="8" w:color="C0C0C0"/>
            </w:tcBorders>
          </w:tcPr>
          <w:p>
            <w:pPr>
              <w:jc w:val="right"/>
              <w:ind w:right="49"/>
              <w:spacing w:after="0"/>
              <w:rPr>
                <w:sz w:val="20"/>
                <w:szCs w:val="20"/>
                <w:color w:val="auto"/>
              </w:rPr>
            </w:pPr>
            <w:r>
              <w:rPr>
                <w:rFonts w:ascii="Arial" w:cs="Arial" w:eastAsia="Arial" w:hAnsi="Arial"/>
                <w:sz w:val="14"/>
                <w:szCs w:val="14"/>
                <w:color w:val="auto"/>
              </w:rPr>
              <w:t>392</w:t>
            </w:r>
          </w:p>
        </w:tc>
        <w:tc>
          <w:tcPr>
            <w:tcW w:w="280" w:type="dxa"/>
            <w:vAlign w:val="bottom"/>
            <w:tcBorders>
              <w:bottom w:val="single" w:sz="8" w:color="C0C0C0"/>
            </w:tcBorders>
          </w:tcPr>
          <w:p>
            <w:pPr>
              <w:spacing w:after="0"/>
              <w:rPr>
                <w:sz w:val="16"/>
                <w:szCs w:val="16"/>
                <w:color w:val="auto"/>
              </w:rPr>
            </w:pPr>
          </w:p>
        </w:tc>
        <w:tc>
          <w:tcPr>
            <w:tcW w:w="1100" w:type="dxa"/>
            <w:vAlign w:val="bottom"/>
            <w:tcBorders>
              <w:bottom w:val="single" w:sz="8" w:color="C0C0C0"/>
            </w:tcBorders>
          </w:tcPr>
          <w:p>
            <w:pPr>
              <w:jc w:val="right"/>
              <w:ind w:right="9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tcPr>
          <w:p>
            <w:pPr>
              <w:spacing w:after="0"/>
              <w:rPr>
                <w:sz w:val="16"/>
                <w:szCs w:val="16"/>
                <w:color w:val="auto"/>
              </w:rPr>
            </w:pPr>
          </w:p>
        </w:tc>
        <w:tc>
          <w:tcPr>
            <w:tcW w:w="460" w:type="dxa"/>
            <w:vAlign w:val="bottom"/>
            <w:tcBorders>
              <w:bottom w:val="single" w:sz="8" w:color="C0C0C0"/>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0C0C0"/>
            </w:tcBorders>
          </w:tcPr>
          <w:p>
            <w:pPr>
              <w:spacing w:after="0"/>
              <w:rPr>
                <w:sz w:val="16"/>
                <w:szCs w:val="16"/>
                <w:color w:val="auto"/>
              </w:rPr>
            </w:pPr>
          </w:p>
        </w:tc>
        <w:tc>
          <w:tcPr>
            <w:tcW w:w="720" w:type="dxa"/>
            <w:vAlign w:val="bottom"/>
            <w:tcBorders>
              <w:bottom w:val="single" w:sz="8" w:color="C0C0C0"/>
            </w:tcBorders>
          </w:tcPr>
          <w:p>
            <w:pPr>
              <w:jc w:val="right"/>
              <w:ind w:right="9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tcPr>
          <w:p>
            <w:pPr>
              <w:spacing w:after="0"/>
              <w:rPr>
                <w:sz w:val="16"/>
                <w:szCs w:val="16"/>
                <w:color w:val="auto"/>
              </w:rPr>
            </w:pPr>
          </w:p>
        </w:tc>
        <w:tc>
          <w:tcPr>
            <w:tcW w:w="860" w:type="dxa"/>
            <w:vAlign w:val="bottom"/>
            <w:tcBorders>
              <w:bottom w:val="single" w:sz="8" w:color="C0C0C0"/>
            </w:tcBorders>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(1) After the effects of interest rate swaps.</w:t>
      </w:r>
    </w:p>
    <w:p>
      <w:pPr>
        <w:spacing w:after="0" w:line="185" w:lineRule="exact"/>
        <w:rPr>
          <w:sz w:val="20"/>
          <w:szCs w:val="20"/>
          <w:color w:val="auto"/>
        </w:rPr>
      </w:pPr>
    </w:p>
    <w:p>
      <w:pPr>
        <w:ind w:right="180"/>
        <w:spacing w:after="0" w:line="342" w:lineRule="auto"/>
        <w:rPr>
          <w:sz w:val="20"/>
          <w:szCs w:val="20"/>
          <w:color w:val="auto"/>
        </w:rPr>
      </w:pPr>
      <w:r>
        <w:rPr>
          <w:rFonts w:ascii="Arial" w:cs="Arial" w:eastAsia="Arial" w:hAnsi="Arial"/>
          <w:sz w:val="14"/>
          <w:szCs w:val="14"/>
          <w:color w:val="auto"/>
        </w:rPr>
        <w:t>At September 30, 2010, the net notional amount of intere st rate swap transactions ranged from $215 million to $355 million at Sempra Energy (ranges relate to amortizing notional amounts). We provide additional information about interest rate swap transactions in Note 7 of the Notes to Condensed Consolidated Financial Statements herein.</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RATE RISK</w:t>
      </w:r>
    </w:p>
    <w:p>
      <w:pPr>
        <w:spacing w:after="0" w:line="95" w:lineRule="exact"/>
        <w:rPr>
          <w:sz w:val="20"/>
          <w:szCs w:val="20"/>
          <w:color w:val="auto"/>
        </w:rPr>
      </w:pPr>
    </w:p>
    <w:p>
      <w:pPr>
        <w:ind w:right="560"/>
        <w:spacing w:after="0" w:line="277" w:lineRule="auto"/>
        <w:rPr>
          <w:sz w:val="20"/>
          <w:szCs w:val="20"/>
          <w:color w:val="auto"/>
        </w:rPr>
      </w:pPr>
      <w:r>
        <w:rPr>
          <w:rFonts w:ascii="Arial" w:cs="Arial" w:eastAsia="Arial" w:hAnsi="Arial"/>
          <w:sz w:val="16"/>
          <w:szCs w:val="16"/>
          <w:color w:val="auto"/>
        </w:rPr>
        <w:t>We discuss our foreign currency rate risk in detail in "Management's Discussion and Analysis of Financial Condition and Results of Operations" in the Annual Report. At September 30, 2010, there were no significant changes to our exposure to foreign currency rate risk since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439420</wp:posOffset>
            </wp:positionV>
            <wp:extent cx="726186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ITEM 4. CONTROLS AND PROCEDURES</w:t>
      </w:r>
    </w:p>
    <w:p>
      <w:pPr>
        <w:sectPr>
          <w:pgSz w:w="11900" w:h="16838" w:orient="portrait"/>
          <w:cols w:equalWidth="0" w:num="1">
            <w:col w:w="11420"/>
          </w:cols>
          <w:pgMar w:left="240" w:top="131" w:right="239" w:bottom="0" w:gutter="0" w:footer="0" w:header="0"/>
        </w:sect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ectPr>
          <w:pgSz w:w="11900" w:h="16838" w:orient="portrait"/>
          <w:cols w:equalWidth="0" w:num="1">
            <w:col w:w="11420"/>
          </w:cols>
          <w:pgMar w:left="240" w:top="131" w:right="239" w:bottom="0" w:gutter="0" w:footer="0" w:header="0"/>
          <w:type w:val="continuous"/>
        </w:sectPr>
      </w:pPr>
    </w:p>
    <w:bookmarkStart w:id="59" w:name="page60"/>
    <w:bookmarkEnd w:id="59"/>
    <w:p>
      <w:pPr>
        <w:ind w:right="80"/>
        <w:spacing w:after="0" w:line="297" w:lineRule="auto"/>
        <w:rPr>
          <w:sz w:val="20"/>
          <w:szCs w:val="20"/>
          <w:color w:val="auto"/>
        </w:rPr>
      </w:pPr>
      <w:r>
        <w:rPr>
          <w:rFonts w:ascii="Arial" w:cs="Arial" w:eastAsia="Arial" w:hAnsi="Arial"/>
          <w:sz w:val="14"/>
          <w:szCs w:val="14"/>
          <w:color w:val="auto"/>
        </w:rPr>
        <w:t>Sempra Energy, SDG&amp;E, 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 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5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Under the supervision and with the participation of management, including the Chief Executive Officers and Chief Financial Officers of Sempra Energy, SDG&amp;E, PE and SoCalGas, each company evaluated the effectiveness of the design and operation of its disclosure controls and procedures as of September 30, 2010, the end of the period covered by this report. Based on these evaluations, the Chief Executive Officers and Chief Financial Officers of Sempra Energy, SDG&amp;E, PE and SoCalGas concluded that their respective company's dis closure controls and procedures were effective at the reasonable assurance level.</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CONTROL OVER FINANCIAL REPORTING</w:t>
      </w:r>
    </w:p>
    <w:p>
      <w:pPr>
        <w:spacing w:after="0" w:line="98"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603885</wp:posOffset>
            </wp:positionV>
            <wp:extent cx="726186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ITEM 1. LEGAL PROCEEDINGS</w:t>
      </w:r>
    </w:p>
    <w:p>
      <w:pPr>
        <w:spacing w:after="0" w:line="8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or 2) referred to in "Management's Discussion and Analysis of Financial Condition and Results of Operations" herein and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448945</wp:posOffset>
            </wp:positionV>
            <wp:extent cx="726186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ITEM 1A. RISK FACTORS</w:t>
      </w:r>
    </w:p>
    <w:p>
      <w:pPr>
        <w:spacing w:after="0" w:line="104" w:lineRule="exact"/>
        <w:rPr>
          <w:sz w:val="20"/>
          <w:szCs w:val="20"/>
          <w:color w:val="auto"/>
        </w:rPr>
      </w:pPr>
    </w:p>
    <w:p>
      <w:pPr>
        <w:ind w:right="520"/>
        <w:spacing w:after="0" w:line="270" w:lineRule="auto"/>
        <w:rPr>
          <w:sz w:val="20"/>
          <w:szCs w:val="20"/>
          <w:color w:val="auto"/>
        </w:rPr>
      </w:pPr>
      <w:r>
        <w:rPr>
          <w:rFonts w:ascii="Arial" w:cs="Arial" w:eastAsia="Arial" w:hAnsi="Arial"/>
          <w:sz w:val="16"/>
          <w:szCs w:val="16"/>
          <w:color w:val="auto"/>
        </w:rPr>
        <w:t>There have not been any material changes from the risk factors previously disclosed in our Annual Report on Form 10-K for the year ended December 31, 2009, except for the following additional risk that was disclosed in our Quarterly Report on Form 10-Q for the quarter ended March 31, 2010:</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RECOVERY OF 2007 WILDFIRE LITIGATION COSTS</w:t>
      </w:r>
    </w:p>
    <w:p>
      <w:pPr>
        <w:spacing w:after="0" w:line="98" w:lineRule="exact"/>
        <w:rPr>
          <w:sz w:val="20"/>
          <w:szCs w:val="20"/>
          <w:color w:val="auto"/>
        </w:rPr>
      </w:pPr>
    </w:p>
    <w:p>
      <w:pPr>
        <w:ind w:right="60"/>
        <w:spacing w:after="0" w:line="305" w:lineRule="auto"/>
        <w:rPr>
          <w:sz w:val="20"/>
          <w:szCs w:val="20"/>
          <w:color w:val="auto"/>
        </w:rPr>
      </w:pPr>
      <w:r>
        <w:rPr>
          <w:rFonts w:ascii="Arial" w:cs="Arial" w:eastAsia="Arial" w:hAnsi="Arial"/>
          <w:sz w:val="14"/>
          <w:szCs w:val="14"/>
          <w:color w:val="auto"/>
        </w:rPr>
        <w:t>As we discuss in Note 10 of the Notes to Condensed Consolidated Financial Statements herein, SDG&amp;E is subject to numerous lawsuits arising out of the San Diego County wildfires in 2007. It expects that substantially all reasonably incurred costs of resolving 2007 wildfire claims that exceed its liability insurance coverage and any amounts recovered from other potentially responsible parties will be recovered from utility customers. However, recovery from cu stomers will require future regulatory actions, and a failure to obtain recovery, or any negative assessment of the likelihood of recovery, would likely have a material adverse effect on Sempra Energy’s and SDG&amp;E’s cash flows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553085</wp:posOffset>
            </wp:positionV>
            <wp:extent cx="726186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ITEM 2. UNREGISTERED SALES OF EQUITY SECURITIES AND USE OF PROCEEDS</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Purchases of Equity Securities by the Issuer and Affiliated Purchasers</w:t>
      </w:r>
      <w:r>
        <w:rPr>
          <w:rFonts w:ascii="Arial" w:cs="Arial" w:eastAsia="Arial" w:hAnsi="Arial"/>
          <w:sz w:val="16"/>
          <w:szCs w:val="16"/>
          <w:color w:val="auto"/>
        </w:rPr>
        <w:t>&lt; /p&gt;</w:t>
      </w:r>
    </w:p>
    <w:p>
      <w:pPr>
        <w:spacing w:after="0" w:line="110"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On September 21, 2010, we entered into a Collared Accelerated Share Acquisition Program with JPMorgan Chase Bank, National Association under which we prepaid $500 million to repurchase shares of our common stock, as we discuss in our Current Report on Form 8-K dated September 21, 2010 and in Note 5 of the Notes to Condensed Consolidated Financial Statements herein.</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concerning purchases made by us, from the program authorized above, of our common stock during the third quarter of 2010: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0" w:type="dxa"/>
            <w:vAlign w:val="bottom"/>
          </w:tcPr>
          <w:p>
            <w:pPr>
              <w:jc w:val="center"/>
              <w:spacing w:after="0"/>
              <w:rPr>
                <w:sz w:val="20"/>
                <w:szCs w:val="20"/>
                <w:color w:val="auto"/>
              </w:rPr>
            </w:pPr>
            <w:r>
              <w:rPr>
                <w:rFonts w:ascii="Arial" w:cs="Arial" w:eastAsia="Arial" w:hAnsi="Arial"/>
                <w:sz w:val="13"/>
                <w:szCs w:val="13"/>
                <w:color w:val="auto"/>
                <w:w w:val="99"/>
              </w:rPr>
              <w:t>Maximum</w:t>
            </w:r>
          </w:p>
        </w:tc>
      </w:tr>
      <w:tr>
        <w:trPr>
          <w:trHeight w:val="148"/>
        </w:trPr>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700" w:type="dxa"/>
            <w:vAlign w:val="bottom"/>
          </w:tcPr>
          <w:p>
            <w:pPr>
              <w:jc w:val="center"/>
              <w:ind w:left="730"/>
              <w:spacing w:after="0" w:line="148" w:lineRule="exact"/>
              <w:rPr>
                <w:sz w:val="20"/>
                <w:szCs w:val="20"/>
                <w:color w:val="auto"/>
              </w:rPr>
            </w:pPr>
            <w:r>
              <w:rPr>
                <w:rFonts w:ascii="Arial" w:cs="Arial" w:eastAsia="Arial" w:hAnsi="Arial"/>
                <w:sz w:val="13"/>
                <w:szCs w:val="13"/>
                <w:color w:val="auto"/>
                <w:w w:val="96"/>
              </w:rPr>
              <w:t>Total Number of</w:t>
            </w:r>
          </w:p>
        </w:tc>
        <w:tc>
          <w:tcPr>
            <w:tcW w:w="800" w:type="dxa"/>
            <w:vAlign w:val="bottom"/>
          </w:tcPr>
          <w:p>
            <w:pPr>
              <w:spacing w:after="0"/>
              <w:rPr>
                <w:sz w:val="12"/>
                <w:szCs w:val="12"/>
                <w:color w:val="auto"/>
              </w:rPr>
            </w:pPr>
          </w:p>
        </w:tc>
        <w:tc>
          <w:tcPr>
            <w:tcW w:w="3200" w:type="dxa"/>
            <w:vAlign w:val="bottom"/>
          </w:tcPr>
          <w:p>
            <w:pPr>
              <w:jc w:val="center"/>
              <w:spacing w:after="0" w:line="148" w:lineRule="exact"/>
              <w:rPr>
                <w:sz w:val="20"/>
                <w:szCs w:val="20"/>
                <w:color w:val="auto"/>
              </w:rPr>
            </w:pPr>
            <w:r>
              <w:rPr>
                <w:rFonts w:ascii="Arial" w:cs="Arial" w:eastAsia="Arial" w:hAnsi="Arial"/>
                <w:sz w:val="13"/>
                <w:szCs w:val="13"/>
                <w:color w:val="auto"/>
                <w:w w:val="98"/>
              </w:rPr>
              <w:t>Dollar Value of</w:t>
            </w:r>
          </w:p>
        </w:tc>
      </w:tr>
      <w:tr>
        <w:trPr>
          <w:trHeight w:val="236"/>
        </w:trPr>
        <w:tc>
          <w:tcPr>
            <w:tcW w:w="1400" w:type="dxa"/>
            <w:vAlign w:val="bottom"/>
          </w:tcPr>
          <w:p>
            <w:pPr>
              <w:spacing w:after="0"/>
              <w:rPr>
                <w:sz w:val="20"/>
                <w:szCs w:val="20"/>
                <w:color w:val="auto"/>
              </w:rPr>
            </w:pPr>
          </w:p>
        </w:tc>
        <w:tc>
          <w:tcPr>
            <w:tcW w:w="1860" w:type="dxa"/>
            <w:vAlign w:val="bottom"/>
          </w:tcPr>
          <w:p>
            <w:pPr>
              <w:jc w:val="center"/>
              <w:ind w:right="93"/>
              <w:spacing w:after="0"/>
              <w:rPr>
                <w:sz w:val="20"/>
                <w:szCs w:val="20"/>
                <w:color w:val="auto"/>
              </w:rPr>
            </w:pPr>
            <w:r>
              <w:rPr>
                <w:rFonts w:ascii="Arial" w:cs="Arial" w:eastAsia="Arial" w:hAnsi="Arial"/>
                <w:sz w:val="13"/>
                <w:szCs w:val="13"/>
                <w:color w:val="auto"/>
                <w:w w:val="89"/>
              </w:rPr>
              <w:t>Total</w:t>
            </w:r>
          </w:p>
        </w:tc>
        <w:tc>
          <w:tcPr>
            <w:tcW w:w="1480" w:type="dxa"/>
            <w:vAlign w:val="bottom"/>
          </w:tcPr>
          <w:p>
            <w:pPr>
              <w:spacing w:after="0"/>
              <w:rPr>
                <w:sz w:val="20"/>
                <w:szCs w:val="20"/>
                <w:color w:val="auto"/>
              </w:rPr>
            </w:pPr>
          </w:p>
        </w:tc>
        <w:tc>
          <w:tcPr>
            <w:tcW w:w="2700" w:type="dxa"/>
            <w:vAlign w:val="bottom"/>
          </w:tcPr>
          <w:p>
            <w:pPr>
              <w:jc w:val="center"/>
              <w:ind w:left="750"/>
              <w:spacing w:after="0"/>
              <w:rPr>
                <w:sz w:val="20"/>
                <w:szCs w:val="20"/>
                <w:color w:val="auto"/>
              </w:rPr>
            </w:pPr>
            <w:r>
              <w:rPr>
                <w:rFonts w:ascii="Arial" w:cs="Arial" w:eastAsia="Arial" w:hAnsi="Arial"/>
                <w:sz w:val="19"/>
                <w:szCs w:val="19"/>
                <w:color w:val="auto"/>
              </w:rPr>
              <w:t>Shares Purchased as</w:t>
            </w:r>
          </w:p>
        </w:tc>
        <w:tc>
          <w:tcPr>
            <w:tcW w:w="80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3"/>
                <w:szCs w:val="13"/>
                <w:color w:val="auto"/>
                <w:w w:val="97"/>
              </w:rPr>
              <w:t>Shares that May</w:t>
            </w:r>
          </w:p>
        </w:tc>
      </w:tr>
      <w:tr>
        <w:trPr>
          <w:trHeight w:val="168"/>
        </w:trPr>
        <w:tc>
          <w:tcPr>
            <w:tcW w:w="1400" w:type="dxa"/>
            <w:vAlign w:val="bottom"/>
          </w:tcPr>
          <w:p>
            <w:pPr>
              <w:spacing w:after="0"/>
              <w:rPr>
                <w:sz w:val="14"/>
                <w:szCs w:val="14"/>
                <w:color w:val="auto"/>
              </w:rPr>
            </w:pPr>
          </w:p>
        </w:tc>
        <w:tc>
          <w:tcPr>
            <w:tcW w:w="1860" w:type="dxa"/>
            <w:vAlign w:val="bottom"/>
          </w:tcPr>
          <w:p>
            <w:pPr>
              <w:jc w:val="center"/>
              <w:ind w:right="93"/>
              <w:spacing w:after="0"/>
              <w:rPr>
                <w:sz w:val="20"/>
                <w:szCs w:val="20"/>
                <w:color w:val="auto"/>
              </w:rPr>
            </w:pPr>
            <w:r>
              <w:rPr>
                <w:rFonts w:ascii="Arial" w:cs="Arial" w:eastAsia="Arial" w:hAnsi="Arial"/>
                <w:sz w:val="13"/>
                <w:szCs w:val="13"/>
                <w:color w:val="auto"/>
                <w:w w:val="99"/>
              </w:rPr>
              <w:t>Number</w:t>
            </w:r>
          </w:p>
        </w:tc>
        <w:tc>
          <w:tcPr>
            <w:tcW w:w="1480" w:type="dxa"/>
            <w:vAlign w:val="bottom"/>
          </w:tcPr>
          <w:p>
            <w:pPr>
              <w:jc w:val="center"/>
              <w:ind w:right="96"/>
              <w:spacing w:after="0"/>
              <w:rPr>
                <w:sz w:val="20"/>
                <w:szCs w:val="20"/>
                <w:color w:val="auto"/>
              </w:rPr>
            </w:pPr>
            <w:r>
              <w:rPr>
                <w:rFonts w:ascii="Arial" w:cs="Arial" w:eastAsia="Arial" w:hAnsi="Arial"/>
                <w:sz w:val="13"/>
                <w:szCs w:val="13"/>
                <w:color w:val="auto"/>
                <w:w w:val="99"/>
              </w:rPr>
              <w:t>Average</w:t>
            </w:r>
          </w:p>
        </w:tc>
        <w:tc>
          <w:tcPr>
            <w:tcW w:w="2700" w:type="dxa"/>
            <w:vAlign w:val="bottom"/>
          </w:tcPr>
          <w:p>
            <w:pPr>
              <w:jc w:val="center"/>
              <w:ind w:left="730"/>
              <w:spacing w:after="0"/>
              <w:rPr>
                <w:sz w:val="20"/>
                <w:szCs w:val="20"/>
                <w:color w:val="auto"/>
              </w:rPr>
            </w:pPr>
            <w:r>
              <w:rPr>
                <w:rFonts w:ascii="Arial" w:cs="Arial" w:eastAsia="Arial" w:hAnsi="Arial"/>
                <w:sz w:val="13"/>
                <w:szCs w:val="13"/>
                <w:color w:val="auto"/>
                <w:w w:val="99"/>
              </w:rPr>
              <w:t>Part of Publicly</w:t>
            </w:r>
          </w:p>
        </w:tc>
        <w:tc>
          <w:tcPr>
            <w:tcW w:w="800" w:type="dxa"/>
            <w:vAlign w:val="bottom"/>
          </w:tcPr>
          <w:p>
            <w:pPr>
              <w:spacing w:after="0"/>
              <w:rPr>
                <w:sz w:val="14"/>
                <w:szCs w:val="14"/>
                <w:color w:val="auto"/>
              </w:rPr>
            </w:pPr>
          </w:p>
        </w:tc>
        <w:tc>
          <w:tcPr>
            <w:tcW w:w="3200" w:type="dxa"/>
            <w:vAlign w:val="bottom"/>
          </w:tcPr>
          <w:p>
            <w:pPr>
              <w:jc w:val="center"/>
              <w:spacing w:after="0"/>
              <w:rPr>
                <w:sz w:val="20"/>
                <w:szCs w:val="20"/>
                <w:color w:val="auto"/>
              </w:rPr>
            </w:pPr>
            <w:r>
              <w:rPr>
                <w:rFonts w:ascii="Arial" w:cs="Arial" w:eastAsia="Arial" w:hAnsi="Arial"/>
                <w:sz w:val="13"/>
                <w:szCs w:val="13"/>
                <w:color w:val="auto"/>
                <w:w w:val="97"/>
              </w:rPr>
              <w:t>Yet Be Purchased</w:t>
            </w:r>
          </w:p>
        </w:tc>
      </w:tr>
      <w:tr>
        <w:trPr>
          <w:trHeight w:val="168"/>
        </w:trPr>
        <w:tc>
          <w:tcPr>
            <w:tcW w:w="1400" w:type="dxa"/>
            <w:vAlign w:val="bottom"/>
          </w:tcPr>
          <w:p>
            <w:pPr>
              <w:spacing w:after="0"/>
              <w:rPr>
                <w:sz w:val="14"/>
                <w:szCs w:val="14"/>
                <w:color w:val="auto"/>
              </w:rPr>
            </w:pPr>
          </w:p>
        </w:tc>
        <w:tc>
          <w:tcPr>
            <w:tcW w:w="1860" w:type="dxa"/>
            <w:vAlign w:val="bottom"/>
          </w:tcPr>
          <w:p>
            <w:pPr>
              <w:jc w:val="center"/>
              <w:ind w:right="93"/>
              <w:spacing w:after="0"/>
              <w:rPr>
                <w:sz w:val="20"/>
                <w:szCs w:val="20"/>
                <w:color w:val="auto"/>
              </w:rPr>
            </w:pPr>
            <w:r>
              <w:rPr>
                <w:rFonts w:ascii="Arial" w:cs="Arial" w:eastAsia="Arial" w:hAnsi="Arial"/>
                <w:sz w:val="13"/>
                <w:szCs w:val="13"/>
                <w:color w:val="auto"/>
                <w:w w:val="96"/>
              </w:rPr>
              <w:t>of Shares</w:t>
            </w:r>
          </w:p>
        </w:tc>
        <w:tc>
          <w:tcPr>
            <w:tcW w:w="1480" w:type="dxa"/>
            <w:vAlign w:val="bottom"/>
          </w:tcPr>
          <w:p>
            <w:pPr>
              <w:jc w:val="center"/>
              <w:ind w:right="76"/>
              <w:spacing w:after="0"/>
              <w:rPr>
                <w:sz w:val="20"/>
                <w:szCs w:val="20"/>
                <w:color w:val="auto"/>
              </w:rPr>
            </w:pPr>
            <w:r>
              <w:rPr>
                <w:rFonts w:ascii="Arial" w:cs="Arial" w:eastAsia="Arial" w:hAnsi="Arial"/>
                <w:sz w:val="13"/>
                <w:szCs w:val="13"/>
                <w:color w:val="auto"/>
                <w:w w:val="97"/>
              </w:rPr>
              <w:t>Price Paid</w:t>
            </w:r>
          </w:p>
        </w:tc>
        <w:tc>
          <w:tcPr>
            <w:tcW w:w="2700" w:type="dxa"/>
            <w:vAlign w:val="bottom"/>
          </w:tcPr>
          <w:p>
            <w:pPr>
              <w:jc w:val="center"/>
              <w:ind w:left="750"/>
              <w:spacing w:after="0"/>
              <w:rPr>
                <w:sz w:val="20"/>
                <w:szCs w:val="20"/>
                <w:color w:val="auto"/>
              </w:rPr>
            </w:pPr>
            <w:r>
              <w:rPr>
                <w:rFonts w:ascii="Arial" w:cs="Arial" w:eastAsia="Arial" w:hAnsi="Arial"/>
                <w:sz w:val="13"/>
                <w:szCs w:val="13"/>
                <w:color w:val="auto"/>
                <w:w w:val="98"/>
              </w:rPr>
              <w:t>Announced Plans</w:t>
            </w:r>
          </w:p>
        </w:tc>
        <w:tc>
          <w:tcPr>
            <w:tcW w:w="800" w:type="dxa"/>
            <w:vAlign w:val="bottom"/>
          </w:tcPr>
          <w:p>
            <w:pPr>
              <w:spacing w:after="0"/>
              <w:rPr>
                <w:sz w:val="14"/>
                <w:szCs w:val="14"/>
                <w:color w:val="auto"/>
              </w:rPr>
            </w:pPr>
          </w:p>
        </w:tc>
        <w:tc>
          <w:tcPr>
            <w:tcW w:w="3200" w:type="dxa"/>
            <w:vAlign w:val="bottom"/>
          </w:tcPr>
          <w:p>
            <w:pPr>
              <w:jc w:val="center"/>
              <w:spacing w:after="0"/>
              <w:rPr>
                <w:sz w:val="20"/>
                <w:szCs w:val="20"/>
                <w:color w:val="auto"/>
              </w:rPr>
            </w:pPr>
            <w:r>
              <w:rPr>
                <w:rFonts w:ascii="Arial" w:cs="Arial" w:eastAsia="Arial" w:hAnsi="Arial"/>
                <w:sz w:val="13"/>
                <w:szCs w:val="13"/>
                <w:color w:val="auto"/>
                <w:w w:val="98"/>
              </w:rPr>
              <w:t>Under the Plans</w:t>
            </w:r>
          </w:p>
        </w:tc>
      </w:tr>
      <w:tr>
        <w:trPr>
          <w:trHeight w:val="154"/>
        </w:trPr>
        <w:tc>
          <w:tcPr>
            <w:tcW w:w="14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color w:val="auto"/>
                <w:w w:val="97"/>
              </w:rPr>
              <w:t>Purchased (1)</w:t>
            </w:r>
          </w:p>
        </w:tc>
        <w:tc>
          <w:tcPr>
            <w:tcW w:w="148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color w:val="auto"/>
                <w:w w:val="97"/>
              </w:rPr>
              <w:t>Per Share (1)</w:t>
            </w:r>
          </w:p>
        </w:tc>
        <w:tc>
          <w:tcPr>
            <w:tcW w:w="2700" w:type="dxa"/>
            <w:vAlign w:val="bottom"/>
          </w:tcPr>
          <w:p>
            <w:pPr>
              <w:jc w:val="center"/>
              <w:ind w:left="730"/>
              <w:spacing w:after="0"/>
              <w:rPr>
                <w:sz w:val="20"/>
                <w:szCs w:val="20"/>
                <w:color w:val="auto"/>
              </w:rPr>
            </w:pPr>
            <w:r>
              <w:rPr>
                <w:rFonts w:ascii="Arial" w:cs="Arial" w:eastAsia="Arial" w:hAnsi="Arial"/>
                <w:sz w:val="13"/>
                <w:szCs w:val="13"/>
                <w:color w:val="auto"/>
                <w:w w:val="98"/>
              </w:rPr>
              <w:t>or Programs (1)</w:t>
            </w:r>
          </w:p>
        </w:tc>
        <w:tc>
          <w:tcPr>
            <w:tcW w:w="800" w:type="dxa"/>
            <w:vAlign w:val="bottom"/>
          </w:tcPr>
          <w:p>
            <w:pPr>
              <w:spacing w:after="0"/>
              <w:rPr>
                <w:sz w:val="13"/>
                <w:szCs w:val="13"/>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or Programs</w:t>
            </w:r>
          </w:p>
        </w:tc>
      </w:tr>
      <w:tr>
        <w:trPr>
          <w:trHeight w:val="352"/>
        </w:trPr>
        <w:tc>
          <w:tcPr>
            <w:tcW w:w="1400" w:type="dxa"/>
            <w:vAlign w:val="bottom"/>
          </w:tcPr>
          <w:p>
            <w:pPr>
              <w:ind w:left="80"/>
              <w:spacing w:after="0"/>
              <w:rPr>
                <w:sz w:val="20"/>
                <w:szCs w:val="20"/>
                <w:color w:val="auto"/>
              </w:rPr>
            </w:pPr>
            <w:r>
              <w:rPr>
                <w:rFonts w:ascii="Arial" w:cs="Arial" w:eastAsia="Arial" w:hAnsi="Arial"/>
                <w:sz w:val="14"/>
                <w:szCs w:val="14"/>
                <w:color w:val="auto"/>
              </w:rPr>
              <w:t>September 2010</w:t>
            </w:r>
          </w:p>
        </w:tc>
        <w:tc>
          <w:tcPr>
            <w:tcW w:w="1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5,670,006</w:t>
            </w:r>
          </w:p>
        </w:tc>
        <w:tc>
          <w:tcPr>
            <w:tcW w:w="14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5,670,006</w:t>
            </w:r>
          </w:p>
        </w:tc>
        <w:tc>
          <w:tcPr>
            <w:tcW w:w="3200" w:type="dxa"/>
            <w:vAlign w:val="bottom"/>
            <w:tcBorders>
              <w:bottom w:val="single" w:sz="8" w:color="auto"/>
            </w:tcBorders>
          </w:tcPr>
          <w:p>
            <w:pPr>
              <w:spacing w:after="0"/>
              <w:rPr>
                <w:sz w:val="24"/>
                <w:szCs w:val="24"/>
                <w:color w:val="auto"/>
              </w:rPr>
            </w:pPr>
          </w:p>
        </w:tc>
      </w:tr>
      <w:tr>
        <w:trPr>
          <w:trHeight w:val="166"/>
        </w:trPr>
        <w:tc>
          <w:tcPr>
            <w:tcW w:w="1400" w:type="dxa"/>
            <w:vAlign w:val="bottom"/>
          </w:tcPr>
          <w:p>
            <w:pPr>
              <w:spacing w:after="0"/>
              <w:rPr>
                <w:sz w:val="14"/>
                <w:szCs w:val="14"/>
                <w:color w:val="auto"/>
              </w:rPr>
            </w:pPr>
          </w:p>
        </w:tc>
        <w:tc>
          <w:tcPr>
            <w:tcW w:w="1860" w:type="dxa"/>
            <w:vAlign w:val="bottom"/>
          </w:tcPr>
          <w:p>
            <w:pPr>
              <w:jc w:val="right"/>
              <w:ind w:right="213"/>
              <w:spacing w:after="0"/>
              <w:rPr>
                <w:sz w:val="20"/>
                <w:szCs w:val="20"/>
                <w:color w:val="auto"/>
              </w:rPr>
            </w:pPr>
            <w:r>
              <w:rPr>
                <w:rFonts w:ascii="Arial" w:cs="Arial" w:eastAsia="Arial" w:hAnsi="Arial"/>
                <w:sz w:val="14"/>
                <w:szCs w:val="14"/>
                <w:color w:val="auto"/>
              </w:rPr>
              <w:t>5,670,006</w:t>
            </w:r>
          </w:p>
        </w:tc>
        <w:tc>
          <w:tcPr>
            <w:tcW w:w="1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5,670,006</w:t>
            </w:r>
          </w:p>
        </w:tc>
        <w:tc>
          <w:tcPr>
            <w:tcW w:w="3200" w:type="dxa"/>
            <w:vAlign w:val="bottom"/>
          </w:tcPr>
          <w:p>
            <w:pPr>
              <w:jc w:val="center"/>
              <w:spacing w:after="0"/>
              <w:rPr>
                <w:sz w:val="20"/>
                <w:szCs w:val="20"/>
                <w:color w:val="auto"/>
              </w:rPr>
            </w:pPr>
            <w:r>
              <w:rPr>
                <w:rFonts w:ascii="Arial" w:cs="Arial" w:eastAsia="Arial" w:hAnsi="Arial"/>
                <w:sz w:val="14"/>
                <w:szCs w:val="14"/>
                <w:color w:val="auto"/>
              </w:rPr>
              <w:t>$500 million remaining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61860" cy="22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ind w:left="620" w:right="220" w:hanging="344"/>
        <w:spacing w:after="0" w:line="222" w:lineRule="auto"/>
        <w:tabs>
          <w:tab w:leader="none" w:pos="620" w:val="left"/>
        </w:tabs>
        <w:numPr>
          <w:ilvl w:val="0"/>
          <w:numId w:val="41"/>
        </w:numPr>
        <w:rPr>
          <w:rFonts w:ascii="Arial" w:cs="Arial" w:eastAsia="Arial" w:hAnsi="Arial"/>
          <w:sz w:val="13"/>
          <w:szCs w:val="13"/>
          <w:i w:val="1"/>
          <w:iCs w:val="1"/>
          <w:color w:val="auto"/>
        </w:rPr>
      </w:pPr>
      <w:r>
        <w:rPr>
          <w:rFonts w:ascii="Arial" w:cs="Arial" w:eastAsia="Arial" w:hAnsi="Arial"/>
          <w:sz w:val="13"/>
          <w:szCs w:val="13"/>
          <w:i w:val="1"/>
          <w:iCs w:val="1"/>
          <w:color w:val="auto"/>
        </w:rPr>
        <w:t>All shares were purchased under the Collared Accelerated Share Acquisition Program entered into on September 21, 2010. The weighted average cost to us of shares purchased under the program will not be determinable until the completion of the program, which is expected to extend into the first quarter of 2011. Additional information regarding the program is provided in Note 5 of the Notes to Condensed Consolidated Financial Statements herein.</w:t>
      </w:r>
    </w:p>
    <w:p>
      <w:pPr>
        <w:spacing w:after="0" w:line="1" w:lineRule="exact"/>
        <w:rPr>
          <w:rFonts w:ascii="Arial" w:cs="Arial" w:eastAsia="Arial" w:hAnsi="Arial"/>
          <w:sz w:val="13"/>
          <w:szCs w:val="13"/>
          <w:i w:val="1"/>
          <w:iCs w:val="1"/>
          <w:color w:val="auto"/>
        </w:rPr>
      </w:pPr>
    </w:p>
    <w:p>
      <w:pPr>
        <w:ind w:left="620" w:right="120" w:hanging="344"/>
        <w:spacing w:after="0" w:line="234" w:lineRule="auto"/>
        <w:tabs>
          <w:tab w:leader="none" w:pos="620" w:val="left"/>
        </w:tabs>
        <w:numPr>
          <w:ilvl w:val="0"/>
          <w:numId w:val="41"/>
        </w:numPr>
        <w:rPr>
          <w:rFonts w:ascii="Arial" w:cs="Arial" w:eastAsia="Arial" w:hAnsi="Arial"/>
          <w:sz w:val="13"/>
          <w:szCs w:val="13"/>
          <w:i w:val="1"/>
          <w:iCs w:val="1"/>
          <w:color w:val="auto"/>
        </w:rPr>
      </w:pPr>
      <w:r>
        <w:rPr>
          <w:rFonts w:ascii="Arial" w:cs="Arial" w:eastAsia="Arial" w:hAnsi="Arial"/>
          <w:sz w:val="13"/>
          <w:szCs w:val="13"/>
          <w:i w:val="1"/>
          <w:iCs w:val="1"/>
          <w:color w:val="auto"/>
        </w:rPr>
        <w:t>Our board of directors has authorized the repurchase of shares of our common stock provided that the amounts expended for such purposes do not exceed the greater of $2 billion or amounts expended to purchase no more than 40 million shares. We prepaid $500 million under a Collared Accelerated Share Acquisition Program with JPMorgan Chase Bank, National Association on September 21, 2010 and expended an additional $1 billion pursuant to a share repurchase program completed in 2008. Therefore, approximately $500 million remains authorized by the board for the purchase of additional shares. We also may, from time to time, purchase shares of our common stock from restricted stock plan participants who elect to sell a sufficient number of vesting restricted shares to meet minimum statutory tax withholding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555625</wp:posOffset>
            </wp:positionV>
            <wp:extent cx="726186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31" w:right="219" w:bottom="593"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ITEM 6. EXHIBITS</w:t>
      </w:r>
    </w:p>
    <w:p>
      <w:pPr>
        <w:spacing w:after="0" w:line="200" w:lineRule="exact"/>
        <w:rPr>
          <w:sz w:val="20"/>
          <w:szCs w:val="20"/>
          <w:color w:val="auto"/>
        </w:rPr>
      </w:pPr>
    </w:p>
    <w:p>
      <w:pPr>
        <w:spacing w:after="0" w:line="210"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auto"/>
        </w:rPr>
        <w:t>EXHIBIT 10 -- MATERIAL CONTRACTS</w:t>
      </w:r>
    </w:p>
    <w:p>
      <w:pPr>
        <w:spacing w:after="0" w:line="280" w:lineRule="exact"/>
        <w:rPr>
          <w:sz w:val="20"/>
          <w:szCs w:val="20"/>
          <w:color w:val="auto"/>
        </w:rPr>
      </w:pPr>
    </w:p>
    <w:p>
      <w:pPr>
        <w:ind w:left="2180"/>
        <w:spacing w:after="0"/>
        <w:rPr>
          <w:sz w:val="20"/>
          <w:szCs w:val="20"/>
          <w:color w:val="auto"/>
        </w:rPr>
      </w:pPr>
      <w:r>
        <w:rPr>
          <w:rFonts w:ascii="Arial" w:cs="Arial" w:eastAsia="Arial" w:hAnsi="Arial"/>
          <w:sz w:val="19"/>
          <w:szCs w:val="19"/>
          <w:b w:val="1"/>
          <w:bCs w:val="1"/>
          <w:i w:val="1"/>
          <w:iCs w:val="1"/>
          <w:color w:val="auto"/>
        </w:rPr>
        <w:t>Sempra Energy</w:t>
      </w:r>
    </w:p>
    <w:p>
      <w:pPr>
        <w:spacing w:after="0" w:line="56" w:lineRule="exact"/>
        <w:rPr>
          <w:sz w:val="20"/>
          <w:szCs w:val="20"/>
          <w:color w:val="auto"/>
        </w:rPr>
      </w:pPr>
    </w:p>
    <w:p>
      <w:pPr>
        <w:ind w:left="3120" w:right="1059" w:hanging="384"/>
        <w:spacing w:after="0" w:line="30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5"/>
          <w:szCs w:val="15"/>
          <w:color w:val="auto"/>
        </w:rPr>
        <w:t>Master Confirmation for Share Purchase Agreement, dated as of September 21, 2010, between</w:t>
      </w:r>
      <w:r>
        <w:rPr>
          <w:rFonts w:ascii="Arial" w:cs="Arial" w:eastAsia="Arial" w:hAnsi="Arial"/>
          <w:sz w:val="16"/>
          <w:szCs w:val="16"/>
          <w:color w:val="auto"/>
        </w:rPr>
        <w:t xml:space="preserve"> </w:t>
      </w:r>
      <w:r>
        <w:rPr>
          <w:rFonts w:ascii="Arial" w:cs="Arial" w:eastAsia="Arial" w:hAnsi="Arial"/>
          <w:sz w:val="15"/>
          <w:szCs w:val="15"/>
          <w:color w:val="auto"/>
        </w:rPr>
        <w:t>Sempra Energy and JPMorgan Chase Bank, National Association.</w:t>
      </w:r>
    </w:p>
    <w:p>
      <w:pPr>
        <w:spacing w:after="0" w:line="273"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auto"/>
        </w:rPr>
        <w:t>EXHIBIT 12 – STATEMENTS RE: COMPUTATION OF RATIOS</w:t>
      </w:r>
    </w:p>
    <w:p>
      <w:pPr>
        <w:spacing w:after="0" w:line="280" w:lineRule="exact"/>
        <w:rPr>
          <w:sz w:val="20"/>
          <w:szCs w:val="20"/>
          <w:color w:val="auto"/>
        </w:rPr>
      </w:pPr>
    </w:p>
    <w:p>
      <w:pPr>
        <w:ind w:left="2180"/>
        <w:spacing w:after="0"/>
        <w:rPr>
          <w:sz w:val="20"/>
          <w:szCs w:val="20"/>
          <w:color w:val="auto"/>
        </w:rPr>
      </w:pPr>
      <w:r>
        <w:rPr>
          <w:rFonts w:ascii="Arial" w:cs="Arial" w:eastAsia="Arial" w:hAnsi="Arial"/>
          <w:sz w:val="19"/>
          <w:szCs w:val="19"/>
          <w:b w:val="1"/>
          <w:bCs w:val="1"/>
          <w:i w:val="1"/>
          <w:iCs w:val="1"/>
          <w:color w:val="auto"/>
        </w:rPr>
        <w:t>Sempra Energy</w:t>
      </w:r>
    </w:p>
    <w:p>
      <w:pPr>
        <w:spacing w:after="0" w:line="56" w:lineRule="exact"/>
        <w:rPr>
          <w:sz w:val="20"/>
          <w:szCs w:val="20"/>
          <w:color w:val="auto"/>
        </w:rPr>
      </w:pPr>
    </w:p>
    <w:p>
      <w:pPr>
        <w:ind w:left="3120" w:right="1299" w:hanging="384"/>
        <w:spacing w:after="0" w:line="270" w:lineRule="auto"/>
        <w:rPr>
          <w:sz w:val="20"/>
          <w:szCs w:val="20"/>
          <w:color w:val="auto"/>
        </w:rPr>
      </w:pPr>
      <w:r>
        <w:rPr>
          <w:rFonts w:ascii="Arial" w:cs="Arial" w:eastAsia="Arial" w:hAnsi="Arial"/>
          <w:sz w:val="16"/>
          <w:szCs w:val="16"/>
          <w:color w:val="auto"/>
        </w:rPr>
        <w:t>12.1 Sempra Energy Computation of Ratio of Earnings to Combined Fixed Charges and Preferred Stock Dividends.</w:t>
      </w:r>
    </w:p>
    <w:p>
      <w:pPr>
        <w:spacing w:after="0" w:line="152" w:lineRule="exact"/>
        <w:rPr>
          <w:sz w:val="20"/>
          <w:szCs w:val="20"/>
          <w:color w:val="auto"/>
        </w:rPr>
      </w:pPr>
    </w:p>
    <w:p>
      <w:pPr>
        <w:ind w:left="2180"/>
        <w:spacing w:after="0"/>
        <w:rPr>
          <w:sz w:val="20"/>
          <w:szCs w:val="20"/>
          <w:color w:val="auto"/>
        </w:rPr>
      </w:pPr>
      <w:r>
        <w:rPr>
          <w:rFonts w:ascii="Arial" w:cs="Arial" w:eastAsia="Arial" w:hAnsi="Arial"/>
          <w:sz w:val="19"/>
          <w:szCs w:val="19"/>
          <w:b w:val="1"/>
          <w:bCs w:val="1"/>
          <w:i w:val="1"/>
          <w:iCs w:val="1"/>
          <w:color w:val="auto"/>
        </w:rPr>
        <w:t>San Diego Gas &amp; Electric Company</w:t>
      </w:r>
    </w:p>
    <w:p>
      <w:pPr>
        <w:spacing w:after="0" w:line="56" w:lineRule="exact"/>
        <w:rPr>
          <w:sz w:val="20"/>
          <w:szCs w:val="20"/>
          <w:color w:val="auto"/>
        </w:rPr>
      </w:pPr>
    </w:p>
    <w:p>
      <w:pPr>
        <w:ind w:left="3120" w:right="1439" w:hanging="384"/>
        <w:spacing w:after="0" w:line="270" w:lineRule="auto"/>
        <w:rPr>
          <w:sz w:val="20"/>
          <w:szCs w:val="20"/>
          <w:color w:val="auto"/>
        </w:rPr>
      </w:pPr>
      <w:r>
        <w:rPr>
          <w:rFonts w:ascii="Arial" w:cs="Arial" w:eastAsia="Arial" w:hAnsi="Arial"/>
          <w:sz w:val="16"/>
          <w:szCs w:val="16"/>
          <w:color w:val="auto"/>
        </w:rPr>
        <w:t>12.2 San Diego Gas &amp; Electric Company Computation of Ratio of Earnings to Combined Fixed Charges and Preferred Stock Dividends.</w:t>
      </w:r>
    </w:p>
    <w:p>
      <w:pPr>
        <w:spacing w:after="0" w:line="152" w:lineRule="exact"/>
        <w:rPr>
          <w:sz w:val="20"/>
          <w:szCs w:val="20"/>
          <w:color w:val="auto"/>
        </w:rPr>
      </w:pPr>
    </w:p>
    <w:p>
      <w:pPr>
        <w:ind w:left="2180"/>
        <w:spacing w:after="0"/>
        <w:rPr>
          <w:sz w:val="20"/>
          <w:szCs w:val="20"/>
          <w:color w:val="auto"/>
        </w:rPr>
      </w:pPr>
      <w:r>
        <w:rPr>
          <w:rFonts w:ascii="Arial" w:cs="Arial" w:eastAsia="Arial" w:hAnsi="Arial"/>
          <w:sz w:val="19"/>
          <w:szCs w:val="19"/>
          <w:b w:val="1"/>
          <w:bCs w:val="1"/>
          <w:i w:val="1"/>
          <w:iCs w:val="1"/>
          <w:color w:val="auto"/>
        </w:rPr>
        <w:t>Pacific Enterprises</w:t>
      </w:r>
    </w:p>
    <w:p>
      <w:pPr>
        <w:spacing w:after="0" w:line="56" w:lineRule="exact"/>
        <w:rPr>
          <w:sz w:val="20"/>
          <w:szCs w:val="20"/>
          <w:color w:val="auto"/>
        </w:rPr>
      </w:pPr>
    </w:p>
    <w:p>
      <w:pPr>
        <w:ind w:left="3120" w:right="1099" w:hanging="384"/>
        <w:spacing w:after="0" w:line="270" w:lineRule="auto"/>
        <w:rPr>
          <w:sz w:val="20"/>
          <w:szCs w:val="20"/>
          <w:color w:val="auto"/>
        </w:rPr>
      </w:pPr>
      <w:r>
        <w:rPr>
          <w:rFonts w:ascii="Arial" w:cs="Arial" w:eastAsia="Arial" w:hAnsi="Arial"/>
          <w:sz w:val="16"/>
          <w:szCs w:val="16"/>
          <w:color w:val="auto"/>
        </w:rPr>
        <w:t>12.3 Pacific Enterprises Computation of Ratio of Earnings to Combined Fixed Charges and Preferred Stock Dividends.</w:t>
      </w:r>
    </w:p>
    <w:p>
      <w:pPr>
        <w:spacing w:after="0" w:line="152" w:lineRule="exact"/>
        <w:rPr>
          <w:sz w:val="20"/>
          <w:szCs w:val="20"/>
          <w:color w:val="auto"/>
        </w:rPr>
      </w:pPr>
    </w:p>
    <w:p>
      <w:pPr>
        <w:ind w:left="2180"/>
        <w:spacing w:after="0"/>
        <w:rPr>
          <w:sz w:val="20"/>
          <w:szCs w:val="20"/>
          <w:color w:val="auto"/>
        </w:rPr>
      </w:pPr>
      <w:r>
        <w:rPr>
          <w:rFonts w:ascii="Arial" w:cs="Arial" w:eastAsia="Arial" w:hAnsi="Arial"/>
          <w:sz w:val="19"/>
          <w:szCs w:val="19"/>
          <w:b w:val="1"/>
          <w:bCs w:val="1"/>
          <w:i w:val="1"/>
          <w:iCs w:val="1"/>
          <w:color w:val="auto"/>
        </w:rPr>
        <w:t>Southern California Gas Company</w:t>
      </w:r>
    </w:p>
    <w:p>
      <w:pPr>
        <w:spacing w:after="0" w:line="56" w:lineRule="exact"/>
        <w:rPr>
          <w:sz w:val="20"/>
          <w:szCs w:val="20"/>
          <w:color w:val="auto"/>
        </w:rPr>
      </w:pPr>
    </w:p>
    <w:p>
      <w:pPr>
        <w:ind w:left="3120" w:right="979" w:hanging="384"/>
        <w:spacing w:after="0" w:line="270" w:lineRule="auto"/>
        <w:rPr>
          <w:sz w:val="20"/>
          <w:szCs w:val="20"/>
          <w:color w:val="auto"/>
        </w:rPr>
      </w:pPr>
      <w:r>
        <w:rPr>
          <w:rFonts w:ascii="Arial" w:cs="Arial" w:eastAsia="Arial" w:hAnsi="Arial"/>
          <w:sz w:val="16"/>
          <w:szCs w:val="16"/>
          <w:color w:val="auto"/>
        </w:rPr>
        <w:t>12.4 Southern California Gas Company Computation of Ratio of Earnings to Combined Fixed Charges and Preferred Stock Dividends.</w:t>
      </w:r>
    </w:p>
    <w:p>
      <w:pPr>
        <w:spacing w:after="0" w:line="300"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auto"/>
        </w:rPr>
        <w:t>EXHIBIT 31 -- SECTION 302 CERTIFICATIONS</w:t>
      </w:r>
    </w:p>
    <w:p>
      <w:pPr>
        <w:spacing w:after="0" w:line="280" w:lineRule="exact"/>
        <w:rPr>
          <w:sz w:val="20"/>
          <w:szCs w:val="20"/>
          <w:color w:val="auto"/>
        </w:rPr>
      </w:pPr>
    </w:p>
    <w:p>
      <w:pPr>
        <w:ind w:left="2180"/>
        <w:spacing w:after="0"/>
        <w:rPr>
          <w:sz w:val="20"/>
          <w:szCs w:val="20"/>
          <w:color w:val="auto"/>
        </w:rPr>
      </w:pPr>
      <w:r>
        <w:rPr>
          <w:rFonts w:ascii="Arial" w:cs="Arial" w:eastAsia="Arial" w:hAnsi="Arial"/>
          <w:sz w:val="19"/>
          <w:szCs w:val="19"/>
          <w:b w:val="1"/>
          <w:bCs w:val="1"/>
          <w:i w:val="1"/>
          <w:iCs w:val="1"/>
          <w:color w:val="auto"/>
        </w:rPr>
        <w:t>Sempra Energy</w:t>
      </w:r>
    </w:p>
    <w:p>
      <w:pPr>
        <w:spacing w:after="0" w:line="56" w:lineRule="exact"/>
        <w:rPr>
          <w:sz w:val="20"/>
          <w:szCs w:val="20"/>
          <w:color w:val="auto"/>
        </w:rPr>
      </w:pPr>
    </w:p>
    <w:p>
      <w:pPr>
        <w:ind w:left="3120" w:right="1159" w:hanging="384"/>
        <w:spacing w:after="0" w:line="270" w:lineRule="auto"/>
        <w:rPr>
          <w:sz w:val="20"/>
          <w:szCs w:val="20"/>
          <w:color w:val="auto"/>
        </w:rPr>
      </w:pPr>
      <w:r>
        <w:rPr>
          <w:rFonts w:ascii="Arial" w:cs="Arial" w:eastAsia="Arial" w:hAnsi="Arial"/>
          <w:sz w:val="16"/>
          <w:szCs w:val="16"/>
          <w:color w:val="auto"/>
        </w:rPr>
        <w:t>31.1 Statement of Sempra Energy's Chief Executive Officer pursuant to Rules 13a-14 and 15d-14 of the Securities Exchange Act of 1934.</w:t>
      </w:r>
    </w:p>
    <w:p>
      <w:pPr>
        <w:spacing w:after="0" w:line="162" w:lineRule="exact"/>
        <w:rPr>
          <w:sz w:val="20"/>
          <w:szCs w:val="20"/>
          <w:color w:val="auto"/>
        </w:rPr>
      </w:pPr>
    </w:p>
    <w:p>
      <w:pPr>
        <w:ind w:left="3120" w:right="979" w:hanging="384"/>
        <w:spacing w:after="0" w:line="270" w:lineRule="auto"/>
        <w:rPr>
          <w:sz w:val="20"/>
          <w:szCs w:val="20"/>
          <w:color w:val="auto"/>
        </w:rPr>
      </w:pPr>
      <w:r>
        <w:rPr>
          <w:rFonts w:ascii="Arial" w:cs="Arial" w:eastAsia="Arial" w:hAnsi="Arial"/>
          <w:sz w:val="16"/>
          <w:szCs w:val="16"/>
          <w:color w:val="auto"/>
        </w:rPr>
        <w:t>31.2 Statement of Sempra Energy's Chief Financial Officer pursuant to Rules 13a-14 and 15d-14 of the Securities Exchange Act of 1934.</w:t>
      </w:r>
    </w:p>
    <w:p>
      <w:pPr>
        <w:spacing w:after="0" w:line="152" w:lineRule="exact"/>
        <w:rPr>
          <w:sz w:val="20"/>
          <w:szCs w:val="20"/>
          <w:color w:val="auto"/>
        </w:rPr>
      </w:pPr>
    </w:p>
    <w:p>
      <w:pPr>
        <w:ind w:left="2180"/>
        <w:spacing w:after="0"/>
        <w:rPr>
          <w:sz w:val="20"/>
          <w:szCs w:val="20"/>
          <w:color w:val="auto"/>
        </w:rPr>
      </w:pPr>
      <w:r>
        <w:rPr>
          <w:rFonts w:ascii="Arial" w:cs="Arial" w:eastAsia="Arial" w:hAnsi="Arial"/>
          <w:sz w:val="19"/>
          <w:szCs w:val="19"/>
          <w:b w:val="1"/>
          <w:bCs w:val="1"/>
          <w:i w:val="1"/>
          <w:iCs w:val="1"/>
          <w:color w:val="auto"/>
        </w:rPr>
        <w:t>San Diego Gas &amp; Electric Company</w:t>
      </w:r>
    </w:p>
    <w:p>
      <w:pPr>
        <w:spacing w:after="0" w:line="56"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31.3  Statement of San Diego Gas &amp; Electric Company's Chief Executive Officer pursuant to Rules</w:t>
      </w:r>
    </w:p>
    <w:p>
      <w:pPr>
        <w:spacing w:after="0" w:line="38"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13a-14 and 15d-14 of the Securities Exchange Act of 1934.</w:t>
      </w:r>
    </w:p>
    <w:p>
      <w:pPr>
        <w:spacing w:after="0" w:line="193"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31.4  Statement of San Diego Gas &amp; Elec tric Company's Chief Financial Officer pursuant to Rules</w:t>
      </w:r>
    </w:p>
    <w:p>
      <w:pPr>
        <w:spacing w:after="0" w:line="38"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13a-14 and 15d-14 of the Securities Exchange Act of 1934.</w:t>
      </w:r>
    </w:p>
    <w:p>
      <w:pPr>
        <w:spacing w:after="0" w:line="183" w:lineRule="exact"/>
        <w:rPr>
          <w:sz w:val="20"/>
          <w:szCs w:val="20"/>
          <w:color w:val="auto"/>
        </w:rPr>
      </w:pPr>
    </w:p>
    <w:p>
      <w:pPr>
        <w:ind w:left="2180"/>
        <w:spacing w:after="0"/>
        <w:rPr>
          <w:sz w:val="20"/>
          <w:szCs w:val="20"/>
          <w:color w:val="auto"/>
        </w:rPr>
      </w:pPr>
      <w:r>
        <w:rPr>
          <w:rFonts w:ascii="Arial" w:cs="Arial" w:eastAsia="Arial" w:hAnsi="Arial"/>
          <w:sz w:val="19"/>
          <w:szCs w:val="19"/>
          <w:b w:val="1"/>
          <w:bCs w:val="1"/>
          <w:i w:val="1"/>
          <w:iCs w:val="1"/>
          <w:color w:val="auto"/>
        </w:rPr>
        <w:t>Pacific Enterprises</w:t>
      </w:r>
    </w:p>
    <w:p>
      <w:pPr>
        <w:spacing w:after="0" w:line="56" w:lineRule="exact"/>
        <w:rPr>
          <w:sz w:val="20"/>
          <w:szCs w:val="20"/>
          <w:color w:val="auto"/>
        </w:rPr>
      </w:pPr>
    </w:p>
    <w:p>
      <w:pPr>
        <w:ind w:left="3120" w:right="1139" w:hanging="384"/>
        <w:spacing w:after="0" w:line="270" w:lineRule="auto"/>
        <w:rPr>
          <w:sz w:val="20"/>
          <w:szCs w:val="20"/>
          <w:color w:val="auto"/>
        </w:rPr>
      </w:pPr>
      <w:r>
        <w:rPr>
          <w:rFonts w:ascii="Arial" w:cs="Arial" w:eastAsia="Arial" w:hAnsi="Arial"/>
          <w:sz w:val="16"/>
          <w:szCs w:val="16"/>
          <w:color w:val="auto"/>
        </w:rPr>
        <w:t>31.5 Statement of Pacific Ente rprise's Chief Executive Officer pursuant to Rules 13a-14 and 15d-14 of the Securities Exchange Act of 1934.</w:t>
      </w:r>
    </w:p>
    <w:p>
      <w:pPr>
        <w:spacing w:after="0" w:line="162" w:lineRule="exact"/>
        <w:rPr>
          <w:sz w:val="20"/>
          <w:szCs w:val="20"/>
          <w:color w:val="auto"/>
        </w:rPr>
      </w:pPr>
    </w:p>
    <w:p>
      <w:pPr>
        <w:ind w:left="3120" w:right="1059" w:hanging="384"/>
        <w:spacing w:after="0" w:line="270" w:lineRule="auto"/>
        <w:rPr>
          <w:sz w:val="20"/>
          <w:szCs w:val="20"/>
          <w:color w:val="auto"/>
        </w:rPr>
      </w:pPr>
      <w:r>
        <w:rPr>
          <w:rFonts w:ascii="Arial" w:cs="Arial" w:eastAsia="Arial" w:hAnsi="Arial"/>
          <w:sz w:val="16"/>
          <w:szCs w:val="16"/>
          <w:color w:val="auto"/>
        </w:rPr>
        <w:t>31.6 Statement of Pacific Enterprise's Chief Financial Officer pursuant to Rules 13a-14 and 15d-14 of the Securities Exchange Act of 1934.</w:t>
      </w:r>
    </w:p>
    <w:p>
      <w:pPr>
        <w:spacing w:after="0" w:line="152" w:lineRule="exact"/>
        <w:rPr>
          <w:sz w:val="20"/>
          <w:szCs w:val="20"/>
          <w:color w:val="auto"/>
        </w:rPr>
      </w:pPr>
    </w:p>
    <w:p>
      <w:pPr>
        <w:ind w:left="2180"/>
        <w:spacing w:after="0"/>
        <w:rPr>
          <w:sz w:val="20"/>
          <w:szCs w:val="20"/>
          <w:color w:val="auto"/>
        </w:rPr>
      </w:pPr>
      <w:r>
        <w:rPr>
          <w:rFonts w:ascii="Arial" w:cs="Arial" w:eastAsia="Arial" w:hAnsi="Arial"/>
          <w:sz w:val="19"/>
          <w:szCs w:val="19"/>
          <w:b w:val="1"/>
          <w:bCs w:val="1"/>
          <w:i w:val="1"/>
          <w:iCs w:val="1"/>
          <w:color w:val="auto"/>
        </w:rPr>
        <w:t>Southern California Gas Company</w:t>
      </w:r>
    </w:p>
    <w:p>
      <w:pPr>
        <w:spacing w:after="0" w:line="56"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31.7  Statement of Southern California Gas Company's Chief Executive Officer pursuant to Rules 13a-</w:t>
      </w:r>
    </w:p>
    <w:p>
      <w:pPr>
        <w:spacing w:after="0" w:line="38"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14 and 15d-14 of the Securities Exchange Act of 1934.</w:t>
      </w:r>
    </w:p>
    <w:p>
      <w:pPr>
        <w:spacing w:after="0" w:line="193"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31.8  Statement of Southern California Gas Company's Chief Financial Officer pursuant to Rules 13a-</w:t>
      </w:r>
    </w:p>
    <w:p>
      <w:pPr>
        <w:spacing w:after="0" w:line="38"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14 and 15d-14 of the Securities Exchange Act of 1934.</w:t>
      </w:r>
    </w:p>
    <w:p>
      <w:pPr>
        <w:spacing w:after="0" w:line="331"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auto"/>
        </w:rPr>
        <w:t>EXHIBIT 32 -- SECTION 906 CERTIFICATIONS</w:t>
      </w:r>
    </w:p>
    <w:p>
      <w:pPr>
        <w:spacing w:after="0" w:line="280" w:lineRule="exact"/>
        <w:rPr>
          <w:sz w:val="20"/>
          <w:szCs w:val="20"/>
          <w:color w:val="auto"/>
        </w:rPr>
      </w:pPr>
    </w:p>
    <w:p>
      <w:pPr>
        <w:ind w:left="2180"/>
        <w:spacing w:after="0"/>
        <w:rPr>
          <w:sz w:val="20"/>
          <w:szCs w:val="20"/>
          <w:color w:val="auto"/>
        </w:rPr>
      </w:pPr>
      <w:r>
        <w:rPr>
          <w:rFonts w:ascii="Arial" w:cs="Arial" w:eastAsia="Arial" w:hAnsi="Arial"/>
          <w:sz w:val="19"/>
          <w:szCs w:val="19"/>
          <w:b w:val="1"/>
          <w:bCs w:val="1"/>
          <w:i w:val="1"/>
          <w:iCs w:val="1"/>
          <w:color w:val="auto"/>
        </w:rPr>
        <w:t>Sempra Energy</w:t>
      </w:r>
    </w:p>
    <w:p>
      <w:pPr>
        <w:spacing w:after="0" w:line="56"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32.1  Statement of Sempra Energy's Chief Executive Officer pursuant to 18 U.S.C. Sec. 1350.</w:t>
      </w:r>
    </w:p>
    <w:p>
      <w:pPr>
        <w:spacing w:after="0" w:line="223"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32.2  Statement of Sempra Energy's Chief Financial Officer pursuant to 18 U.S.C. Sec. 1350.</w:t>
      </w:r>
    </w:p>
    <w:p>
      <w:pPr>
        <w:spacing w:after="0" w:line="213" w:lineRule="exact"/>
        <w:rPr>
          <w:sz w:val="20"/>
          <w:szCs w:val="20"/>
          <w:color w:val="auto"/>
        </w:rPr>
      </w:pPr>
    </w:p>
    <w:p>
      <w:pPr>
        <w:ind w:left="2180"/>
        <w:spacing w:after="0"/>
        <w:rPr>
          <w:sz w:val="20"/>
          <w:szCs w:val="20"/>
          <w:color w:val="auto"/>
        </w:rPr>
      </w:pPr>
      <w:r>
        <w:rPr>
          <w:rFonts w:ascii="Arial" w:cs="Arial" w:eastAsia="Arial" w:hAnsi="Arial"/>
          <w:sz w:val="19"/>
          <w:szCs w:val="19"/>
          <w:b w:val="1"/>
          <w:bCs w:val="1"/>
          <w:i w:val="1"/>
          <w:iCs w:val="1"/>
          <w:color w:val="auto"/>
        </w:rPr>
        <w:t>San Diego Gas &amp; Electric Company</w:t>
      </w:r>
    </w:p>
    <w:p>
      <w:pPr>
        <w:spacing w:after="0" w:line="56"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32.3  Statement of San Diego Gas &amp; Electric Company's Chief Executive Officer pursuant to 18 U.S.C.</w:t>
      </w:r>
    </w:p>
    <w:p>
      <w:pPr>
        <w:spacing w:after="0" w:line="38"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Sec. 1350.</w:t>
      </w:r>
    </w:p>
    <w:p>
      <w:pPr>
        <w:spacing w:after="0" w:line="193"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32.4  Statement of San Diego Gas &amp; Electric Company's Chief Financial Officer pursuant to 18 U.S.C.</w:t>
      </w:r>
    </w:p>
    <w:p>
      <w:pPr>
        <w:spacing w:after="0" w:line="38"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Sec. 1350.</w:t>
      </w:r>
    </w:p>
    <w:p>
      <w:pPr>
        <w:spacing w:after="0" w:line="183" w:lineRule="exact"/>
        <w:rPr>
          <w:sz w:val="20"/>
          <w:szCs w:val="20"/>
          <w:color w:val="auto"/>
        </w:rPr>
      </w:pPr>
    </w:p>
    <w:p>
      <w:pPr>
        <w:ind w:left="2180"/>
        <w:spacing w:after="0"/>
        <w:rPr>
          <w:sz w:val="20"/>
          <w:szCs w:val="20"/>
          <w:color w:val="auto"/>
        </w:rPr>
      </w:pPr>
      <w:r>
        <w:rPr>
          <w:rFonts w:ascii="Arial" w:cs="Arial" w:eastAsia="Arial" w:hAnsi="Arial"/>
          <w:sz w:val="19"/>
          <w:szCs w:val="19"/>
          <w:b w:val="1"/>
          <w:bCs w:val="1"/>
          <w:i w:val="1"/>
          <w:iCs w:val="1"/>
          <w:color w:val="auto"/>
        </w:rPr>
        <w:t>Pacific Enterprises</w:t>
      </w:r>
    </w:p>
    <w:p>
      <w:pPr>
        <w:spacing w:after="0" w:line="56"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32.5  Statement of Pacific Enterprise's Chief Executive Officer pursuant to 18 U.S.C. Sec. 1350.</w:t>
      </w:r>
    </w:p>
    <w:p>
      <w:pPr>
        <w:spacing w:after="0" w:line="223"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32.6  Statement of Pacific Enterprise's Chief Financial Officer pursuant to 18 U.S.C. Sec. 1350.</w:t>
      </w:r>
    </w:p>
    <w:p>
      <w:pPr>
        <w:sectPr>
          <w:pgSz w:w="11900" w:h="16838" w:orient="portrait"/>
          <w:cols w:equalWidth="0" w:num="1">
            <w:col w:w="10219"/>
          </w:cols>
          <w:pgMar w:left="240" w:top="142" w:right="1440" w:bottom="0" w:gutter="0" w:footer="0" w:header="0"/>
        </w:sectPr>
      </w:pPr>
    </w:p>
    <w:p>
      <w:pPr>
        <w:spacing w:after="0" w:line="213" w:lineRule="exact"/>
        <w:rPr>
          <w:sz w:val="20"/>
          <w:szCs w:val="20"/>
          <w:color w:val="auto"/>
        </w:rPr>
      </w:pPr>
    </w:p>
    <w:p>
      <w:pPr>
        <w:ind w:left="2180"/>
        <w:spacing w:after="0"/>
        <w:rPr>
          <w:sz w:val="20"/>
          <w:szCs w:val="20"/>
          <w:color w:val="auto"/>
        </w:rPr>
      </w:pPr>
      <w:r>
        <w:rPr>
          <w:rFonts w:ascii="Arial" w:cs="Arial" w:eastAsia="Arial" w:hAnsi="Arial"/>
          <w:sz w:val="16"/>
          <w:szCs w:val="16"/>
          <w:b w:val="1"/>
          <w:bCs w:val="1"/>
          <w:i w:val="1"/>
          <w:iCs w:val="1"/>
          <w:color w:val="auto"/>
        </w:rPr>
        <w:t>Southern California Gas Company</w:t>
      </w:r>
    </w:p>
    <w:p>
      <w:pPr>
        <w:sectPr>
          <w:pgSz w:w="11900" w:h="16838" w:orient="portrait"/>
          <w:cols w:equalWidth="0" w:num="1">
            <w:col w:w="10219"/>
          </w:cols>
          <w:pgMar w:left="240" w:top="142" w:right="1440" w:bottom="0" w:gutter="0" w:footer="0" w:header="0"/>
          <w:type w:val="continuous"/>
        </w:sectPr>
      </w:pPr>
    </w:p>
    <w:bookmarkStart w:id="61" w:name="page62"/>
    <w:bookmarkEnd w:id="61"/>
    <w:p>
      <w:pPr>
        <w:ind w:left="1440"/>
        <w:spacing w:after="0"/>
        <w:rPr>
          <w:sz w:val="20"/>
          <w:szCs w:val="20"/>
          <w:color w:val="auto"/>
        </w:rPr>
      </w:pPr>
      <w:r>
        <w:rPr>
          <w:rFonts w:ascii="Arial" w:cs="Arial" w:eastAsia="Arial" w:hAnsi="Arial"/>
          <w:sz w:val="19"/>
          <w:szCs w:val="19"/>
          <w:color w:val="auto"/>
        </w:rPr>
        <w:t xml:space="preserve">32.7  </w:t>
      </w:r>
      <w:r>
        <w:rPr>
          <w:rFonts w:ascii="Arial" w:cs="Arial" w:eastAsia="Arial" w:hAnsi="Arial"/>
          <w:sz w:val="15"/>
          <w:szCs w:val="15"/>
          <w:color w:val="auto"/>
        </w:rPr>
        <w:t>Statement of Southern California Gas Company's Chief Executive Officer pursuant to 18 U.S.C.</w:t>
      </w:r>
    </w:p>
    <w:p>
      <w:pPr>
        <w:ind w:left="1920"/>
        <w:spacing w:after="0"/>
        <w:rPr>
          <w:sz w:val="20"/>
          <w:szCs w:val="20"/>
          <w:color w:val="auto"/>
        </w:rPr>
      </w:pPr>
      <w:r>
        <w:rPr>
          <w:rFonts w:ascii="Arial" w:cs="Arial" w:eastAsia="Arial" w:hAnsi="Arial"/>
          <w:sz w:val="16"/>
          <w:szCs w:val="16"/>
          <w:color w:val="auto"/>
        </w:rPr>
        <w:t>Sec. 1350.</w:t>
      </w:r>
    </w:p>
    <w:p>
      <w:pPr>
        <w:spacing w:after="0" w:line="186"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32.8  Statement of Southern California Gas Company's Chief Financial Officer pursuant to 18 U.S.C.</w:t>
      </w:r>
    </w:p>
    <w:p>
      <w:pPr>
        <w:spacing w:after="0" w:line="38"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Sec. 1350.</w:t>
      </w:r>
    </w:p>
    <w:p>
      <w:pPr>
        <w:spacing w:after="0" w:line="331"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EXHIBIT 101 -- INTERACTIVE DATA FILE</w:t>
      </w:r>
    </w:p>
    <w:p>
      <w:pPr>
        <w:spacing w:after="0" w:line="29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101.INS  XBRL Instance Document</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101.SCH  XBRL Taxonomy Extension Schema Document</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101.CAL  XBRL Taxonomy Extension Calculation Linkbase Document</w:t>
      </w:r>
    </w:p>
    <w:p>
      <w:pPr>
        <w:spacing w:after="0" w:line="200"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101.DEF  XBRL Taxonomy Extension Definition Linkbase Document</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101.LAB  XBRL Taxonomy Extension Label Linkbase Document</w:t>
      </w:r>
    </w:p>
    <w:p>
      <w:pPr>
        <w:spacing w:after="0" w:line="200"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101.PRE  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SIGNATURES</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Sempra Energy:</w:t>
      </w:r>
    </w:p>
    <w:p>
      <w:pPr>
        <w:spacing w:after="0" w:line="193" w:lineRule="exact"/>
        <w:rPr>
          <w:sz w:val="20"/>
          <w:szCs w:val="20"/>
          <w:color w:val="auto"/>
        </w:rPr>
      </w:pPr>
    </w:p>
    <w:p>
      <w:pPr>
        <w:ind w:left="520" w:right="1359"/>
        <w:spacing w:after="0" w:line="342"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SEMPRA ENERGY,</w:t>
            </w:r>
          </w:p>
        </w:tc>
      </w:tr>
      <w:tr>
        <w:trPr>
          <w:trHeight w:val="199"/>
        </w:trPr>
        <w:tc>
          <w:tcPr>
            <w:tcW w:w="32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(Registrant)</w:t>
            </w:r>
          </w:p>
        </w:tc>
      </w:tr>
      <w:tr>
        <w:trPr>
          <w:trHeight w:val="385"/>
        </w:trPr>
        <w:tc>
          <w:tcPr>
            <w:tcW w:w="3220" w:type="dxa"/>
            <w:vAlign w:val="bottom"/>
          </w:tcPr>
          <w:p>
            <w:pPr>
              <w:spacing w:after="0"/>
              <w:rPr>
                <w:sz w:val="20"/>
                <w:szCs w:val="20"/>
                <w:color w:val="auto"/>
              </w:rPr>
            </w:pPr>
            <w:r>
              <w:rPr>
                <w:rFonts w:ascii="Arial" w:cs="Arial" w:eastAsia="Arial" w:hAnsi="Arial"/>
                <w:sz w:val="16"/>
                <w:szCs w:val="16"/>
                <w:color w:val="auto"/>
              </w:rPr>
              <w:t>Date: November 9, 2010</w:t>
            </w:r>
          </w:p>
        </w:tc>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By: /s/ Joseph A. Householder</w:t>
            </w:r>
          </w:p>
        </w:tc>
      </w:tr>
      <w:tr>
        <w:trPr>
          <w:trHeight w:val="176"/>
        </w:trPr>
        <w:tc>
          <w:tcPr>
            <w:tcW w:w="3220" w:type="dxa"/>
            <w:vAlign w:val="bottom"/>
          </w:tcPr>
          <w:p>
            <w:pPr>
              <w:spacing w:after="0"/>
              <w:rPr>
                <w:sz w:val="15"/>
                <w:szCs w:val="15"/>
                <w:color w:val="auto"/>
              </w:rPr>
            </w:pPr>
          </w:p>
        </w:tc>
        <w:tc>
          <w:tcPr>
            <w:tcW w:w="3760" w:type="dxa"/>
            <w:vAlign w:val="bottom"/>
          </w:tcPr>
          <w:p>
            <w:pPr>
              <w:spacing w:after="0" w:line="176" w:lineRule="exact"/>
              <w:rPr>
                <w:sz w:val="20"/>
                <w:szCs w:val="20"/>
                <w:color w:val="auto"/>
              </w:rPr>
            </w:pPr>
            <w:r>
              <w:rPr>
                <w:rFonts w:ascii="Arial" w:cs="Arial" w:eastAsia="Arial" w:hAnsi="Arial"/>
                <w:sz w:val="16"/>
                <w:szCs w:val="16"/>
                <w:color w:val="auto"/>
              </w:rPr>
              <w:t>Joseph A. Householder</w:t>
            </w:r>
          </w:p>
        </w:tc>
      </w:tr>
      <w:tr>
        <w:trPr>
          <w:trHeight w:val="192"/>
        </w:trPr>
        <w:tc>
          <w:tcPr>
            <w:tcW w:w="32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Senior Vice President, Controller and</w:t>
            </w:r>
          </w:p>
        </w:tc>
      </w:tr>
      <w:tr>
        <w:trPr>
          <w:trHeight w:val="199"/>
        </w:trPr>
        <w:tc>
          <w:tcPr>
            <w:tcW w:w="32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Chief Accounting Officer</w:t>
            </w:r>
          </w:p>
        </w:tc>
      </w:tr>
    </w:tbl>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San Diego Gas &amp; Electric Company:</w:t>
      </w:r>
    </w:p>
    <w:p>
      <w:pPr>
        <w:spacing w:after="0" w:line="204" w:lineRule="exact"/>
        <w:rPr>
          <w:sz w:val="20"/>
          <w:szCs w:val="20"/>
          <w:color w:val="auto"/>
        </w:rPr>
      </w:pPr>
    </w:p>
    <w:p>
      <w:pPr>
        <w:ind w:left="520" w:right="1359"/>
        <w:spacing w:after="0" w:line="342"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SAN DIEGO GAS &amp; ELECTRIC COMPANY,</w:t>
            </w:r>
          </w:p>
        </w:tc>
      </w:tr>
      <w:tr>
        <w:trPr>
          <w:trHeight w:val="199"/>
        </w:trPr>
        <w:tc>
          <w:tcPr>
            <w:tcW w:w="316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(Registrant)</w:t>
            </w:r>
          </w:p>
        </w:tc>
      </w:tr>
      <w:tr>
        <w:trPr>
          <w:trHeight w:val="385"/>
        </w:trPr>
        <w:tc>
          <w:tcPr>
            <w:tcW w:w="3160" w:type="dxa"/>
            <w:vAlign w:val="bottom"/>
          </w:tcPr>
          <w:p>
            <w:pPr>
              <w:spacing w:after="0"/>
              <w:rPr>
                <w:sz w:val="20"/>
                <w:szCs w:val="20"/>
                <w:color w:val="auto"/>
              </w:rPr>
            </w:pPr>
            <w:r>
              <w:rPr>
                <w:rFonts w:ascii="Arial" w:cs="Arial" w:eastAsia="Arial" w:hAnsi="Arial"/>
                <w:sz w:val="16"/>
                <w:szCs w:val="16"/>
                <w:color w:val="auto"/>
              </w:rPr>
              <w:t>Date: November 9, 2010</w:t>
            </w:r>
          </w:p>
        </w:tc>
        <w:tc>
          <w:tcPr>
            <w:tcW w:w="3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By: /s/ Robert M. Schlax</w:t>
            </w:r>
          </w:p>
        </w:tc>
      </w:tr>
      <w:tr>
        <w:trPr>
          <w:trHeight w:val="176"/>
        </w:trPr>
        <w:tc>
          <w:tcPr>
            <w:tcW w:w="3160" w:type="dxa"/>
            <w:vAlign w:val="bottom"/>
          </w:tcPr>
          <w:p>
            <w:pPr>
              <w:spacing w:after="0"/>
              <w:rPr>
                <w:sz w:val="15"/>
                <w:szCs w:val="15"/>
                <w:color w:val="auto"/>
              </w:rPr>
            </w:pPr>
          </w:p>
        </w:tc>
        <w:tc>
          <w:tcPr>
            <w:tcW w:w="3880" w:type="dxa"/>
            <w:vAlign w:val="bottom"/>
          </w:tcPr>
          <w:p>
            <w:pPr>
              <w:spacing w:after="0" w:line="176" w:lineRule="exact"/>
              <w:rPr>
                <w:sz w:val="20"/>
                <w:szCs w:val="20"/>
                <w:color w:val="auto"/>
              </w:rPr>
            </w:pPr>
            <w:r>
              <w:rPr>
                <w:rFonts w:ascii="Arial" w:cs="Arial" w:eastAsia="Arial" w:hAnsi="Arial"/>
                <w:sz w:val="16"/>
                <w:szCs w:val="16"/>
                <w:color w:val="auto"/>
              </w:rPr>
              <w:t>Robert M. Schlax</w:t>
            </w:r>
          </w:p>
        </w:tc>
      </w:tr>
      <w:tr>
        <w:trPr>
          <w:trHeight w:val="192"/>
        </w:trPr>
        <w:tc>
          <w:tcPr>
            <w:tcW w:w="316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Vice President, Controller, Chief Financial Officer</w:t>
            </w:r>
          </w:p>
        </w:tc>
      </w:tr>
      <w:tr>
        <w:trPr>
          <w:trHeight w:val="199"/>
        </w:trPr>
        <w:tc>
          <w:tcPr>
            <w:tcW w:w="316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and Chief Accounting Officer</w:t>
            </w:r>
          </w:p>
        </w:tc>
      </w:tr>
    </w:tbl>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Pacific Enterprises:</w:t>
      </w:r>
    </w:p>
    <w:p>
      <w:pPr>
        <w:spacing w:after="0" w:line="204" w:lineRule="exact"/>
        <w:rPr>
          <w:sz w:val="20"/>
          <w:szCs w:val="20"/>
          <w:color w:val="auto"/>
        </w:rPr>
      </w:pPr>
    </w:p>
    <w:p>
      <w:pPr>
        <w:ind w:left="520" w:right="1359"/>
        <w:spacing w:after="0" w:line="342"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PACIFIC ENTERPRISES,</w:t>
            </w:r>
          </w:p>
        </w:tc>
      </w:tr>
      <w:tr>
        <w:trPr>
          <w:trHeight w:val="199"/>
        </w:trPr>
        <w:tc>
          <w:tcPr>
            <w:tcW w:w="316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(Registrant)</w:t>
            </w:r>
          </w:p>
        </w:tc>
      </w:tr>
      <w:tr>
        <w:trPr>
          <w:trHeight w:val="385"/>
        </w:trPr>
        <w:tc>
          <w:tcPr>
            <w:tcW w:w="3160" w:type="dxa"/>
            <w:vAlign w:val="bottom"/>
          </w:tcPr>
          <w:p>
            <w:pPr>
              <w:spacing w:after="0"/>
              <w:rPr>
                <w:sz w:val="20"/>
                <w:szCs w:val="20"/>
                <w:color w:val="auto"/>
              </w:rPr>
            </w:pPr>
            <w:r>
              <w:rPr>
                <w:rFonts w:ascii="Arial" w:cs="Arial" w:eastAsia="Arial" w:hAnsi="Arial"/>
                <w:sz w:val="16"/>
                <w:szCs w:val="16"/>
                <w:color w:val="auto"/>
              </w:rPr>
              <w:t>Date: November 9, 2010</w:t>
            </w:r>
          </w:p>
        </w:tc>
        <w:tc>
          <w:tcPr>
            <w:tcW w:w="3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By: /s/ Robe rt M. Schlax</w:t>
            </w:r>
          </w:p>
        </w:tc>
      </w:tr>
      <w:tr>
        <w:trPr>
          <w:trHeight w:val="176"/>
        </w:trPr>
        <w:tc>
          <w:tcPr>
            <w:tcW w:w="3160" w:type="dxa"/>
            <w:vAlign w:val="bottom"/>
          </w:tcPr>
          <w:p>
            <w:pPr>
              <w:spacing w:after="0"/>
              <w:rPr>
                <w:sz w:val="15"/>
                <w:szCs w:val="15"/>
                <w:color w:val="auto"/>
              </w:rPr>
            </w:pPr>
          </w:p>
        </w:tc>
        <w:tc>
          <w:tcPr>
            <w:tcW w:w="3880" w:type="dxa"/>
            <w:vAlign w:val="bottom"/>
          </w:tcPr>
          <w:p>
            <w:pPr>
              <w:spacing w:after="0" w:line="176" w:lineRule="exact"/>
              <w:rPr>
                <w:sz w:val="20"/>
                <w:szCs w:val="20"/>
                <w:color w:val="auto"/>
              </w:rPr>
            </w:pPr>
            <w:r>
              <w:rPr>
                <w:rFonts w:ascii="Arial" w:cs="Arial" w:eastAsia="Arial" w:hAnsi="Arial"/>
                <w:sz w:val="16"/>
                <w:szCs w:val="16"/>
                <w:color w:val="auto"/>
              </w:rPr>
              <w:t>Robert M. Schlax</w:t>
            </w:r>
          </w:p>
        </w:tc>
      </w:tr>
      <w:tr>
        <w:trPr>
          <w:trHeight w:val="192"/>
        </w:trPr>
        <w:tc>
          <w:tcPr>
            <w:tcW w:w="316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Vice President, Controller, Chief Financial Officer</w:t>
            </w:r>
          </w:p>
        </w:tc>
      </w:tr>
      <w:tr>
        <w:trPr>
          <w:trHeight w:val="199"/>
        </w:trPr>
        <w:tc>
          <w:tcPr>
            <w:tcW w:w="316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and Chief Accounting Officer</w:t>
            </w:r>
          </w:p>
        </w:tc>
      </w:tr>
    </w:tbl>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Southern California Gas Company:</w:t>
      </w:r>
    </w:p>
    <w:p>
      <w:pPr>
        <w:spacing w:after="0" w:line="204" w:lineRule="exact"/>
        <w:rPr>
          <w:sz w:val="20"/>
          <w:szCs w:val="20"/>
          <w:color w:val="auto"/>
        </w:rPr>
      </w:pPr>
    </w:p>
    <w:p>
      <w:pPr>
        <w:ind w:left="520" w:right="1359"/>
        <w:spacing w:after="0" w:line="342"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 zed.</w:t>
      </w:r>
    </w:p>
    <w:p>
      <w:pPr>
        <w:spacing w:after="0" w:line="11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SOUTHERN CALIFORNIA GAS COMPANY,</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(Registrant)</w:t>
      </w:r>
    </w:p>
    <w:p>
      <w:pPr>
        <w:sectPr>
          <w:pgSz w:w="11900" w:h="16838" w:orient="portrait"/>
          <w:cols w:equalWidth="0" w:num="1">
            <w:col w:w="9019"/>
          </w:cols>
          <w:pgMar w:left="1440" w:top="118" w:right="1440" w:bottom="1440" w:gutter="0" w:footer="0" w:header="0"/>
        </w:sectPr>
      </w:pPr>
    </w:p>
    <w:p>
      <w:pPr>
        <w:spacing w:after="0" w:line="193"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Date: November 9, 2010</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By: /s/ Robert M. Schlax</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Robert M. Schlax</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Controller, Chief Financial Officer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and Chief Accounting Officer</w:t>
      </w:r>
    </w:p>
    <w:p>
      <w:pPr>
        <w:sectPr>
          <w:pgSz w:w="11900" w:h="16838" w:orient="portrait"/>
          <w:cols w:equalWidth="0" w:num="2">
            <w:col w:w="3920" w:space="720"/>
            <w:col w:w="4379"/>
          </w:cols>
          <w:pgMar w:left="1440" w:top="118" w:right="1440"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Master Confirmation of OTC Collared ASAP Minus (VWAP Pricing,</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Fixed Notional)</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20"/>
                <w:szCs w:val="20"/>
                <w:color w:val="auto"/>
              </w:rPr>
            </w:pPr>
            <w:r>
              <w:rPr>
                <w:rFonts w:ascii="Arial" w:cs="Arial" w:eastAsia="Arial" w:hAnsi="Arial"/>
                <w:sz w:val="16"/>
                <w:szCs w:val="16"/>
                <w:b w:val="1"/>
                <w:bCs w:val="1"/>
                <w:color w:val="auto"/>
              </w:rPr>
              <w:t>Date:</w:t>
            </w:r>
          </w:p>
        </w:tc>
        <w:tc>
          <w:tcPr>
            <w:tcW w:w="3880" w:type="dxa"/>
            <w:vAlign w:val="bottom"/>
            <w:gridSpan w:val="5"/>
          </w:tcPr>
          <w:p>
            <w:pPr>
              <w:ind w:left="220"/>
              <w:spacing w:after="0"/>
              <w:rPr>
                <w:sz w:val="20"/>
                <w:szCs w:val="20"/>
                <w:color w:val="auto"/>
              </w:rPr>
            </w:pPr>
            <w:r>
              <w:rPr>
                <w:rFonts w:ascii="Arial" w:cs="Arial" w:eastAsia="Arial" w:hAnsi="Arial"/>
                <w:sz w:val="16"/>
                <w:szCs w:val="16"/>
                <w:b w:val="1"/>
                <w:bCs w:val="1"/>
                <w:color w:val="auto"/>
              </w:rPr>
              <w:t>September 21, 2010</w:t>
            </w:r>
          </w:p>
        </w:tc>
      </w:tr>
      <w:tr>
        <w:trPr>
          <w:trHeight w:val="326"/>
        </w:trPr>
        <w:tc>
          <w:tcPr>
            <w:tcW w:w="920" w:type="dxa"/>
            <w:vAlign w:val="bottom"/>
          </w:tcPr>
          <w:p>
            <w:pPr>
              <w:spacing w:after="0"/>
              <w:rPr>
                <w:sz w:val="20"/>
                <w:szCs w:val="20"/>
                <w:color w:val="auto"/>
              </w:rPr>
            </w:pPr>
            <w:r>
              <w:rPr>
                <w:rFonts w:ascii="Arial" w:cs="Arial" w:eastAsia="Arial" w:hAnsi="Arial"/>
                <w:sz w:val="16"/>
                <w:szCs w:val="16"/>
                <w:b w:val="1"/>
                <w:bCs w:val="1"/>
                <w:color w:val="auto"/>
              </w:rPr>
              <w:t>To:</w:t>
            </w:r>
          </w:p>
        </w:tc>
        <w:tc>
          <w:tcPr>
            <w:tcW w:w="3880" w:type="dxa"/>
            <w:vAlign w:val="bottom"/>
            <w:gridSpan w:val="5"/>
          </w:tcPr>
          <w:p>
            <w:pPr>
              <w:ind w:left="220"/>
              <w:spacing w:after="0"/>
              <w:rPr>
                <w:sz w:val="20"/>
                <w:szCs w:val="20"/>
                <w:color w:val="auto"/>
              </w:rPr>
            </w:pPr>
            <w:r>
              <w:rPr>
                <w:rFonts w:ascii="Arial" w:cs="Arial" w:eastAsia="Arial" w:hAnsi="Arial"/>
                <w:sz w:val="16"/>
                <w:szCs w:val="16"/>
                <w:b w:val="1"/>
                <w:bCs w:val="1"/>
                <w:color w:val="auto"/>
              </w:rPr>
              <w:t>Sempra Energy (“Counterparty”)</w:t>
            </w:r>
          </w:p>
        </w:tc>
      </w:tr>
      <w:tr>
        <w:trPr>
          <w:trHeight w:val="199"/>
        </w:trPr>
        <w:tc>
          <w:tcPr>
            <w:tcW w:w="920" w:type="dxa"/>
            <w:vAlign w:val="bottom"/>
          </w:tcPr>
          <w:p>
            <w:pPr>
              <w:spacing w:after="0"/>
              <w:rPr>
                <w:sz w:val="17"/>
                <w:szCs w:val="17"/>
                <w:color w:val="auto"/>
              </w:rPr>
            </w:pPr>
          </w:p>
        </w:tc>
        <w:tc>
          <w:tcPr>
            <w:tcW w:w="1440" w:type="dxa"/>
            <w:vAlign w:val="bottom"/>
          </w:tcPr>
          <w:p>
            <w:pPr>
              <w:ind w:left="220"/>
              <w:spacing w:after="0"/>
              <w:rPr>
                <w:sz w:val="20"/>
                <w:szCs w:val="20"/>
                <w:color w:val="auto"/>
              </w:rPr>
            </w:pPr>
            <w:r>
              <w:rPr>
                <w:rFonts w:ascii="Arial" w:cs="Arial" w:eastAsia="Arial" w:hAnsi="Arial"/>
                <w:sz w:val="16"/>
                <w:szCs w:val="16"/>
                <w:color w:val="auto"/>
              </w:rPr>
              <w:t>101 Ash Street</w:t>
            </w:r>
          </w:p>
        </w:tc>
        <w:tc>
          <w:tcPr>
            <w:tcW w:w="920" w:type="dxa"/>
            <w:vAlign w:val="bottom"/>
            <w:tcBorders>
              <w:top w:val="single" w:sz="8" w:color="auto"/>
            </w:tcBorders>
          </w:tcPr>
          <w:p>
            <w:pPr>
              <w:spacing w:after="0"/>
              <w:rPr>
                <w:sz w:val="17"/>
                <w:szCs w:val="17"/>
                <w:color w:val="auto"/>
              </w:rPr>
            </w:pPr>
          </w:p>
        </w:tc>
        <w:tc>
          <w:tcPr>
            <w:tcW w:w="1520" w:type="dxa"/>
            <w:vAlign w:val="bottom"/>
            <w:gridSpan w:val="3"/>
          </w:tcPr>
          <w:p>
            <w:pPr>
              <w:spacing w:after="0"/>
              <w:rPr>
                <w:sz w:val="17"/>
                <w:szCs w:val="17"/>
                <w:color w:val="auto"/>
              </w:rPr>
            </w:pPr>
          </w:p>
        </w:tc>
      </w:tr>
      <w:tr>
        <w:trPr>
          <w:trHeight w:val="199"/>
        </w:trPr>
        <w:tc>
          <w:tcPr>
            <w:tcW w:w="920" w:type="dxa"/>
            <w:vAlign w:val="bottom"/>
          </w:tcPr>
          <w:p>
            <w:pPr>
              <w:spacing w:after="0"/>
              <w:rPr>
                <w:sz w:val="17"/>
                <w:szCs w:val="17"/>
                <w:color w:val="auto"/>
              </w:rPr>
            </w:pPr>
          </w:p>
        </w:tc>
        <w:tc>
          <w:tcPr>
            <w:tcW w:w="3880" w:type="dxa"/>
            <w:vAlign w:val="bottom"/>
            <w:gridSpan w:val="5"/>
          </w:tcPr>
          <w:p>
            <w:pPr>
              <w:ind w:left="220"/>
              <w:spacing w:after="0"/>
              <w:rPr>
                <w:sz w:val="20"/>
                <w:szCs w:val="20"/>
                <w:color w:val="auto"/>
              </w:rPr>
            </w:pPr>
            <w:r>
              <w:rPr>
                <w:rFonts w:ascii="Arial" w:cs="Arial" w:eastAsia="Arial" w:hAnsi="Arial"/>
                <w:sz w:val="16"/>
                <w:szCs w:val="16"/>
                <w:color w:val="auto"/>
              </w:rPr>
              <w:t>San Diego, CA 92101</w:t>
            </w:r>
          </w:p>
        </w:tc>
      </w:tr>
      <w:tr>
        <w:trPr>
          <w:trHeight w:val="348"/>
        </w:trPr>
        <w:tc>
          <w:tcPr>
            <w:tcW w:w="920" w:type="dxa"/>
            <w:vAlign w:val="bottom"/>
          </w:tcPr>
          <w:p>
            <w:pPr>
              <w:spacing w:after="0"/>
              <w:rPr>
                <w:sz w:val="20"/>
                <w:szCs w:val="20"/>
                <w:color w:val="auto"/>
              </w:rPr>
            </w:pPr>
            <w:r>
              <w:rPr>
                <w:rFonts w:ascii="Arial" w:cs="Arial" w:eastAsia="Arial" w:hAnsi="Arial"/>
                <w:sz w:val="16"/>
                <w:szCs w:val="16"/>
                <w:b w:val="1"/>
                <w:bCs w:val="1"/>
                <w:color w:val="auto"/>
              </w:rPr>
              <w:t>Attention:</w:t>
            </w:r>
          </w:p>
        </w:tc>
        <w:tc>
          <w:tcPr>
            <w:tcW w:w="3880" w:type="dxa"/>
            <w:vAlign w:val="bottom"/>
            <w:gridSpan w:val="5"/>
          </w:tcPr>
          <w:p>
            <w:pPr>
              <w:ind w:left="220"/>
              <w:spacing w:after="0"/>
              <w:rPr>
                <w:sz w:val="20"/>
                <w:szCs w:val="20"/>
                <w:color w:val="auto"/>
              </w:rPr>
            </w:pPr>
            <w:r>
              <w:rPr>
                <w:rFonts w:ascii="Arial" w:cs="Arial" w:eastAsia="Arial" w:hAnsi="Arial"/>
                <w:sz w:val="16"/>
                <w:szCs w:val="16"/>
                <w:color w:val="auto"/>
              </w:rPr>
              <w:t>Richard Vaccari, VP and Treasurer</w:t>
            </w:r>
          </w:p>
        </w:tc>
      </w:tr>
      <w:tr>
        <w:trPr>
          <w:trHeight w:val="314"/>
        </w:trPr>
        <w:tc>
          <w:tcPr>
            <w:tcW w:w="920" w:type="dxa"/>
            <w:vAlign w:val="bottom"/>
          </w:tcPr>
          <w:p>
            <w:pPr>
              <w:spacing w:after="0"/>
              <w:rPr>
                <w:sz w:val="20"/>
                <w:szCs w:val="20"/>
                <w:color w:val="auto"/>
              </w:rPr>
            </w:pPr>
            <w:r>
              <w:rPr>
                <w:rFonts w:ascii="Arial" w:cs="Arial" w:eastAsia="Arial" w:hAnsi="Arial"/>
                <w:sz w:val="16"/>
                <w:szCs w:val="16"/>
                <w:b w:val="1"/>
                <w:bCs w:val="1"/>
                <w:color w:val="auto"/>
              </w:rPr>
              <w:t>From:</w:t>
            </w:r>
          </w:p>
        </w:tc>
        <w:tc>
          <w:tcPr>
            <w:tcW w:w="3880" w:type="dxa"/>
            <w:vAlign w:val="bottom"/>
            <w:gridSpan w:val="5"/>
          </w:tcPr>
          <w:p>
            <w:pPr>
              <w:ind w:left="220"/>
              <w:spacing w:after="0"/>
              <w:rPr>
                <w:sz w:val="20"/>
                <w:szCs w:val="20"/>
                <w:color w:val="auto"/>
              </w:rPr>
            </w:pPr>
            <w:r>
              <w:rPr>
                <w:rFonts w:ascii="Arial" w:cs="Arial" w:eastAsia="Arial" w:hAnsi="Arial"/>
                <w:sz w:val="16"/>
                <w:szCs w:val="16"/>
                <w:b w:val="1"/>
                <w:bCs w:val="1"/>
                <w:color w:val="auto"/>
                <w:w w:val="88"/>
              </w:rPr>
              <w:t>JPMorgan Chase Bank, National Association (“Bank”)</w:t>
            </w:r>
          </w:p>
        </w:tc>
      </w:tr>
      <w:tr>
        <w:trPr>
          <w:trHeight w:val="199"/>
        </w:trPr>
        <w:tc>
          <w:tcPr>
            <w:tcW w:w="920" w:type="dxa"/>
            <w:vAlign w:val="bottom"/>
          </w:tcPr>
          <w:p>
            <w:pPr>
              <w:spacing w:after="0"/>
              <w:rPr>
                <w:sz w:val="17"/>
                <w:szCs w:val="17"/>
                <w:color w:val="auto"/>
              </w:rPr>
            </w:pPr>
          </w:p>
        </w:tc>
        <w:tc>
          <w:tcPr>
            <w:tcW w:w="3400" w:type="dxa"/>
            <w:vAlign w:val="bottom"/>
            <w:gridSpan w:val="3"/>
          </w:tcPr>
          <w:p>
            <w:pPr>
              <w:ind w:left="220"/>
              <w:spacing w:after="0"/>
              <w:rPr>
                <w:sz w:val="20"/>
                <w:szCs w:val="20"/>
                <w:color w:val="auto"/>
              </w:rPr>
            </w:pPr>
            <w:r>
              <w:rPr>
                <w:rFonts w:ascii="Arial" w:cs="Arial" w:eastAsia="Arial" w:hAnsi="Arial"/>
                <w:sz w:val="16"/>
                <w:szCs w:val="16"/>
                <w:color w:val="auto"/>
              </w:rPr>
              <w:t>P.O. Box 161</w:t>
            </w: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2"/>
        </w:trPr>
        <w:tc>
          <w:tcPr>
            <w:tcW w:w="920" w:type="dxa"/>
            <w:vAlign w:val="bottom"/>
          </w:tcPr>
          <w:p>
            <w:pPr>
              <w:spacing w:after="0"/>
              <w:rPr>
                <w:sz w:val="16"/>
                <w:szCs w:val="16"/>
                <w:color w:val="auto"/>
              </w:rPr>
            </w:pPr>
          </w:p>
        </w:tc>
        <w:tc>
          <w:tcPr>
            <w:tcW w:w="3880" w:type="dxa"/>
            <w:vAlign w:val="bottom"/>
            <w:gridSpan w:val="5"/>
          </w:tcPr>
          <w:p>
            <w:pPr>
              <w:ind w:left="220"/>
              <w:spacing w:after="0"/>
              <w:rPr>
                <w:sz w:val="20"/>
                <w:szCs w:val="20"/>
                <w:color w:val="auto"/>
              </w:rPr>
            </w:pPr>
            <w:r>
              <w:rPr>
                <w:rFonts w:ascii="Arial" w:cs="Arial" w:eastAsia="Arial" w:hAnsi="Arial"/>
                <w:sz w:val="16"/>
                <w:szCs w:val="16"/>
                <w:color w:val="auto"/>
              </w:rPr>
              <w:t>60 Victoria Embankment</w:t>
            </w:r>
          </w:p>
        </w:tc>
      </w:tr>
      <w:tr>
        <w:trPr>
          <w:trHeight w:val="192"/>
        </w:trPr>
        <w:tc>
          <w:tcPr>
            <w:tcW w:w="920" w:type="dxa"/>
            <w:vAlign w:val="bottom"/>
          </w:tcPr>
          <w:p>
            <w:pPr>
              <w:spacing w:after="0"/>
              <w:rPr>
                <w:sz w:val="16"/>
                <w:szCs w:val="16"/>
                <w:color w:val="auto"/>
              </w:rPr>
            </w:pPr>
          </w:p>
        </w:tc>
        <w:tc>
          <w:tcPr>
            <w:tcW w:w="3880" w:type="dxa"/>
            <w:vAlign w:val="bottom"/>
            <w:gridSpan w:val="5"/>
          </w:tcPr>
          <w:p>
            <w:pPr>
              <w:ind w:left="220"/>
              <w:spacing w:after="0"/>
              <w:rPr>
                <w:sz w:val="20"/>
                <w:szCs w:val="20"/>
                <w:color w:val="auto"/>
              </w:rPr>
            </w:pPr>
            <w:r>
              <w:rPr>
                <w:rFonts w:ascii="Arial" w:cs="Arial" w:eastAsia="Arial" w:hAnsi="Arial"/>
                <w:sz w:val="16"/>
                <w:szCs w:val="16"/>
                <w:color w:val="auto"/>
              </w:rPr>
              <w:t>London EC4Y 0JP</w:t>
            </w:r>
          </w:p>
        </w:tc>
      </w:tr>
      <w:tr>
        <w:trPr>
          <w:trHeight w:val="199"/>
        </w:trPr>
        <w:tc>
          <w:tcPr>
            <w:tcW w:w="920" w:type="dxa"/>
            <w:vAlign w:val="bottom"/>
          </w:tcPr>
          <w:p>
            <w:pPr>
              <w:spacing w:after="0"/>
              <w:rPr>
                <w:sz w:val="17"/>
                <w:szCs w:val="17"/>
                <w:color w:val="auto"/>
              </w:rPr>
            </w:pPr>
          </w:p>
        </w:tc>
        <w:tc>
          <w:tcPr>
            <w:tcW w:w="3880" w:type="dxa"/>
            <w:vAlign w:val="bottom"/>
            <w:gridSpan w:val="5"/>
          </w:tcPr>
          <w:p>
            <w:pPr>
              <w:ind w:left="220"/>
              <w:spacing w:after="0"/>
              <w:rPr>
                <w:sz w:val="20"/>
                <w:szCs w:val="20"/>
                <w:color w:val="auto"/>
              </w:rPr>
            </w:pPr>
            <w:r>
              <w:rPr>
                <w:rFonts w:ascii="Arial" w:cs="Arial" w:eastAsia="Arial" w:hAnsi="Arial"/>
                <w:sz w:val="16"/>
                <w:szCs w:val="16"/>
                <w:color w:val="auto"/>
              </w:rPr>
              <w:t>England</w:t>
            </w: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Dear Sir / Madam:</w:t>
      </w:r>
    </w:p>
    <w:p>
      <w:pPr>
        <w:spacing w:after="0" w:line="160" w:lineRule="exact"/>
        <w:rPr>
          <w:sz w:val="20"/>
          <w:szCs w:val="20"/>
          <w:color w:val="auto"/>
        </w:rPr>
      </w:pPr>
    </w:p>
    <w:p>
      <w:pPr>
        <w:jc w:val="both"/>
        <w:ind w:right="20" w:firstLine="576"/>
        <w:spacing w:after="0" w:line="256" w:lineRule="auto"/>
        <w:rPr>
          <w:sz w:val="20"/>
          <w:szCs w:val="20"/>
          <w:color w:val="auto"/>
        </w:rPr>
      </w:pPr>
      <w:r>
        <w:rPr>
          <w:rFonts w:ascii="Arial" w:cs="Arial" w:eastAsia="Arial" w:hAnsi="Arial"/>
          <w:sz w:val="16"/>
          <w:szCs w:val="16"/>
          <w:color w:val="auto"/>
        </w:rPr>
        <w:t>The purpose of this letter agreement (the “</w:t>
      </w:r>
      <w:r>
        <w:rPr>
          <w:rFonts w:ascii="Arial" w:cs="Arial" w:eastAsia="Arial" w:hAnsi="Arial"/>
          <w:sz w:val="16"/>
          <w:szCs w:val="16"/>
          <w:b w:val="1"/>
          <w:bCs w:val="1"/>
          <w:u w:val="single" w:color="auto"/>
          <w:color w:val="auto"/>
        </w:rPr>
        <w:t>Master Confirmation</w:t>
      </w:r>
      <w:r>
        <w:rPr>
          <w:rFonts w:ascii="Arial" w:cs="Arial" w:eastAsia="Arial" w:hAnsi="Arial"/>
          <w:sz w:val="16"/>
          <w:szCs w:val="16"/>
          <w:color w:val="auto"/>
        </w:rPr>
        <w:t>”) and each supplemental confirmation substantially in the form attached hereto as Exhibit A (each, a “</w:t>
      </w:r>
      <w:r>
        <w:rPr>
          <w:rFonts w:ascii="Arial" w:cs="Arial" w:eastAsia="Arial" w:hAnsi="Arial"/>
          <w:sz w:val="16"/>
          <w:szCs w:val="16"/>
          <w:b w:val="1"/>
          <w:bCs w:val="1"/>
          <w:u w:val="single" w:color="auto"/>
          <w:color w:val="auto"/>
        </w:rPr>
        <w:t>Supplemental Confirmation</w:t>
      </w:r>
      <w:r>
        <w:rPr>
          <w:rFonts w:ascii="Arial" w:cs="Arial" w:eastAsia="Arial" w:hAnsi="Arial"/>
          <w:sz w:val="16"/>
          <w:szCs w:val="16"/>
          <w:color w:val="auto"/>
        </w:rPr>
        <w:t>” and the Supplemental Confirmations, together with the Master Confirmation, this “</w:t>
      </w:r>
      <w:r>
        <w:rPr>
          <w:rFonts w:ascii="Arial" w:cs="Arial" w:eastAsia="Arial" w:hAnsi="Arial"/>
          <w:sz w:val="16"/>
          <w:szCs w:val="16"/>
          <w:b w:val="1"/>
          <w:bCs w:val="1"/>
          <w:u w:val="single" w:color="auto"/>
          <w:color w:val="auto"/>
        </w:rPr>
        <w:t>Confirmation</w:t>
      </w:r>
      <w:r>
        <w:rPr>
          <w:rFonts w:ascii="Arial" w:cs="Arial" w:eastAsia="Arial" w:hAnsi="Arial"/>
          <w:sz w:val="16"/>
          <w:szCs w:val="16"/>
          <w:color w:val="auto"/>
        </w:rPr>
        <w:t>”) is to confirm the terms and conditions of each of the above-referenced transactions entered into between Counterparty and Bank through its duly authorized agent J.P. Morgan Securities LLC, on the respective Trade Dates specified in the Supplemental Confirmations (each, a “</w:t>
      </w:r>
      <w:r>
        <w:rPr>
          <w:rFonts w:ascii="Arial" w:cs="Arial" w:eastAsia="Arial" w:hAnsi="Arial"/>
          <w:sz w:val="16"/>
          <w:szCs w:val="16"/>
          <w:b w:val="1"/>
          <w:bCs w:val="1"/>
          <w:u w:val="single" w:color="auto"/>
          <w:color w:val="auto"/>
        </w:rPr>
        <w:t>Transaction</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Transactions</w:t>
      </w:r>
      <w:r>
        <w:rPr>
          <w:rFonts w:ascii="Arial" w:cs="Arial" w:eastAsia="Arial" w:hAnsi="Arial"/>
          <w:sz w:val="16"/>
          <w:szCs w:val="16"/>
          <w:color w:val="auto"/>
        </w:rPr>
        <w:t>”). This Confirmation constitutes a “Confirmation” both on behalf of Bank, as referred to in the Agreement specified below, and on behalf of TBD, as agent of Bank.</w:t>
      </w:r>
    </w:p>
    <w:p>
      <w:pPr>
        <w:spacing w:after="0" w:line="147" w:lineRule="exact"/>
        <w:rPr>
          <w:sz w:val="20"/>
          <w:szCs w:val="20"/>
          <w:color w:val="auto"/>
        </w:rPr>
      </w:pPr>
    </w:p>
    <w:p>
      <w:pPr>
        <w:jc w:val="both"/>
        <w:ind w:right="20" w:firstLine="576"/>
        <w:spacing w:after="0" w:line="298" w:lineRule="auto"/>
        <w:rPr>
          <w:sz w:val="20"/>
          <w:szCs w:val="20"/>
          <w:color w:val="auto"/>
        </w:rPr>
      </w:pPr>
      <w:r>
        <w:rPr>
          <w:rFonts w:ascii="Arial" w:cs="Arial" w:eastAsia="Arial" w:hAnsi="Arial"/>
          <w:sz w:val="14"/>
          <w:szCs w:val="14"/>
          <w:color w:val="auto"/>
        </w:rPr>
        <w:t>The definitions and provisions contained in the 2000 ISDA Definitions (the “</w:t>
      </w:r>
      <w:r>
        <w:rPr>
          <w:rFonts w:ascii="Arial" w:cs="Arial" w:eastAsia="Arial" w:hAnsi="Arial"/>
          <w:sz w:val="14"/>
          <w:szCs w:val="14"/>
          <w:b w:val="1"/>
          <w:bCs w:val="1"/>
          <w:u w:val="single" w:color="auto"/>
          <w:color w:val="auto"/>
        </w:rPr>
        <w:t>Swap Definitions</w:t>
      </w:r>
      <w:r>
        <w:rPr>
          <w:rFonts w:ascii="Arial" w:cs="Arial" w:eastAsia="Arial" w:hAnsi="Arial"/>
          <w:sz w:val="14"/>
          <w:szCs w:val="14"/>
          <w:color w:val="auto"/>
        </w:rPr>
        <w:t>”) and the 2002 ISDA Equity Derivatives Definitions (the “</w:t>
      </w:r>
      <w:r>
        <w:rPr>
          <w:rFonts w:ascii="Arial" w:cs="Arial" w:eastAsia="Arial" w:hAnsi="Arial"/>
          <w:sz w:val="14"/>
          <w:szCs w:val="14"/>
          <w:b w:val="1"/>
          <w:bCs w:val="1"/>
          <w:u w:val="single" w:color="auto"/>
          <w:color w:val="auto"/>
        </w:rPr>
        <w:t>Equity</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Definitions</w:t>
      </w:r>
      <w:r>
        <w:rPr>
          <w:rFonts w:ascii="Arial" w:cs="Arial" w:eastAsia="Arial" w:hAnsi="Arial"/>
          <w:sz w:val="14"/>
          <w:szCs w:val="14"/>
          <w:color w:val="auto"/>
        </w:rPr>
        <w:t>” and, together with the Swap Definitions, the “</w:t>
      </w:r>
      <w:r>
        <w:rPr>
          <w:rFonts w:ascii="Arial" w:cs="Arial" w:eastAsia="Arial" w:hAnsi="Arial"/>
          <w:sz w:val="14"/>
          <w:szCs w:val="14"/>
          <w:b w:val="1"/>
          <w:bCs w:val="1"/>
          <w:u w:val="single" w:color="auto"/>
          <w:color w:val="auto"/>
        </w:rPr>
        <w:t>Definitions</w:t>
      </w:r>
      <w:r>
        <w:rPr>
          <w:rFonts w:ascii="Arial" w:cs="Arial" w:eastAsia="Arial" w:hAnsi="Arial"/>
          <w:sz w:val="14"/>
          <w:szCs w:val="14"/>
          <w:color w:val="auto"/>
        </w:rPr>
        <w:t>”), in each case as published by the International Swaps and Derivatives Association, Inc., are incorporated into</w:t>
      </w:r>
      <w:r>
        <w:rPr>
          <w:rFonts w:ascii="Arial" w:cs="Arial" w:eastAsia="Arial" w:hAnsi="Arial"/>
          <w:sz w:val="14"/>
          <w:szCs w:val="14"/>
          <w:b w:val="1"/>
          <w:bCs w:val="1"/>
          <w:color w:val="auto"/>
        </w:rPr>
        <w:t xml:space="preserve"> </w:t>
      </w:r>
      <w:r>
        <w:rPr>
          <w:rFonts w:ascii="Arial" w:cs="Arial" w:eastAsia="Arial" w:hAnsi="Arial"/>
          <w:sz w:val="14"/>
          <w:szCs w:val="14"/>
          <w:color w:val="auto"/>
        </w:rPr>
        <w:t>this Confirmation. In the event of any inconsistency between the Swap Definitions and the Equity Definitions, the Equity Definitions will govern, in the event of any inconsistency between the Definitions and the Master Confirmation, the Master Confirmation will govern, in the event of any inconsistency between the Master Confirmation and any Supplemental Confirmation, the Supplemental Confirmation will govern. References herein to any “Transaction” shall be deemed to be reference s to a “Share Forward Transaction” for purposes of the Equity Definitions and a “Swap Transaction” for the purposes of the Swap Definitions.</w:t>
      </w:r>
    </w:p>
    <w:p>
      <w:pPr>
        <w:spacing w:after="0" w:line="113" w:lineRule="exact"/>
        <w:rPr>
          <w:sz w:val="20"/>
          <w:szCs w:val="20"/>
          <w:color w:val="auto"/>
        </w:rPr>
      </w:pPr>
    </w:p>
    <w:p>
      <w:pPr>
        <w:jc w:val="both"/>
        <w:ind w:firstLine="576"/>
        <w:spacing w:after="0" w:line="254" w:lineRule="auto"/>
        <w:rPr>
          <w:sz w:val="20"/>
          <w:szCs w:val="20"/>
          <w:color w:val="auto"/>
        </w:rPr>
      </w:pPr>
      <w:r>
        <w:rPr>
          <w:rFonts w:ascii="Arial" w:cs="Arial" w:eastAsia="Arial" w:hAnsi="Arial"/>
          <w:sz w:val="16"/>
          <w:szCs w:val="16"/>
          <w:color w:val="auto"/>
        </w:rPr>
        <w:t>This Confirmation evidences a complete binding agreement between you and us as to the terms of the Transactions to which this Confirmation relates. This Confirmation (notwithstanding anything to the contrary herein), shall be subject to an agreement in the form of the 1992 ISDA Master Agreement (Multicurrency Cross Border) including the 1994 New York Law Credit Support Annex thereto (the “</w:t>
      </w:r>
      <w:r>
        <w:rPr>
          <w:rFonts w:ascii="Arial" w:cs="Arial" w:eastAsia="Arial" w:hAnsi="Arial"/>
          <w:sz w:val="16"/>
          <w:szCs w:val="16"/>
          <w:b w:val="1"/>
          <w:bCs w:val="1"/>
          <w:u w:val="single" w:color="auto"/>
          <w:color w:val="auto"/>
        </w:rPr>
        <w:t>Master Agreement</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as if we had executed an agreement in such form (but without any Schedule except for the Credit Support Annex and with elections specified in the “ISDA Master Agreement” Section of the Master Confirmation and the collateral provisions of each Supplemental Confirmation) on the Trade Date of the first such Transaction between us. In the event of any inconsistency between the provisions of that agreement and this Confirma tion, this Confirmation will prevail for the purpose of each Transaction.</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terms of each Transaction to which the Master Confirmation relates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20" w:type="dxa"/>
            <w:vAlign w:val="bottom"/>
            <w:gridSpan w:val="2"/>
          </w:tcPr>
          <w:p>
            <w:pPr>
              <w:spacing w:after="0"/>
              <w:rPr>
                <w:sz w:val="20"/>
                <w:szCs w:val="20"/>
                <w:color w:val="auto"/>
              </w:rPr>
            </w:pPr>
            <w:r>
              <w:rPr>
                <w:rFonts w:ascii="Arial" w:cs="Arial" w:eastAsia="Arial" w:hAnsi="Arial"/>
                <w:sz w:val="16"/>
                <w:szCs w:val="16"/>
                <w:b w:val="1"/>
                <w:bCs w:val="1"/>
                <w:color w:val="auto"/>
              </w:rPr>
              <w:t>General Terms:</w:t>
            </w:r>
          </w:p>
        </w:tc>
        <w:tc>
          <w:tcPr>
            <w:tcW w:w="9420" w:type="dxa"/>
            <w:vAlign w:val="bottom"/>
          </w:tcPr>
          <w:p>
            <w:pPr>
              <w:spacing w:after="0"/>
              <w:rPr>
                <w:sz w:val="16"/>
                <w:szCs w:val="16"/>
                <w:color w:val="auto"/>
              </w:rPr>
            </w:pPr>
          </w:p>
        </w:tc>
      </w:tr>
      <w:tr>
        <w:trPr>
          <w:trHeight w:val="355"/>
        </w:trPr>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Trade:</w:t>
            </w:r>
          </w:p>
        </w:tc>
        <w:tc>
          <w:tcPr>
            <w:tcW w:w="980" w:type="dxa"/>
            <w:vAlign w:val="bottom"/>
          </w:tcPr>
          <w:p>
            <w:pPr>
              <w:spacing w:after="0"/>
              <w:rPr>
                <w:sz w:val="24"/>
                <w:szCs w:val="24"/>
                <w:color w:val="auto"/>
              </w:rPr>
            </w:pPr>
          </w:p>
        </w:tc>
        <w:tc>
          <w:tcPr>
            <w:tcW w:w="9420" w:type="dxa"/>
            <w:vAlign w:val="bottom"/>
          </w:tcPr>
          <w:p>
            <w:pPr>
              <w:ind w:left="360"/>
              <w:spacing w:after="0"/>
              <w:rPr>
                <w:sz w:val="20"/>
                <w:szCs w:val="20"/>
                <w:color w:val="auto"/>
              </w:rPr>
            </w:pPr>
            <w:r>
              <w:rPr>
                <w:rFonts w:ascii="Arial" w:cs="Arial" w:eastAsia="Arial" w:hAnsi="Arial"/>
                <w:sz w:val="16"/>
                <w:szCs w:val="16"/>
                <w:color w:val="auto"/>
                <w:w w:val="88"/>
              </w:rPr>
              <w:t>With respect to each Transaction, Counterparty, subject to the terms and conditions and in reliance upon the representations and warranties set</w:t>
            </w:r>
          </w:p>
        </w:tc>
      </w:tr>
      <w:tr>
        <w:trPr>
          <w:trHeight w:val="192"/>
        </w:trPr>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20" w:type="dxa"/>
            <w:vAlign w:val="bottom"/>
          </w:tcPr>
          <w:p>
            <w:pPr>
              <w:ind w:left="360"/>
              <w:spacing w:after="0"/>
              <w:rPr>
                <w:sz w:val="20"/>
                <w:szCs w:val="20"/>
                <w:color w:val="auto"/>
              </w:rPr>
            </w:pPr>
            <w:r>
              <w:rPr>
                <w:rFonts w:ascii="Arial" w:cs="Arial" w:eastAsia="Arial" w:hAnsi="Arial"/>
                <w:sz w:val="16"/>
                <w:szCs w:val="16"/>
                <w:color w:val="auto"/>
                <w:w w:val="89"/>
              </w:rPr>
              <w:t>forth herein, will purchase from Bank, at a time determined by Bank, as described herein, Shares in an amount equal to the Number of Shares.</w:t>
            </w:r>
          </w:p>
        </w:tc>
      </w:tr>
      <w:tr>
        <w:trPr>
          <w:trHeight w:val="192"/>
        </w:trPr>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20" w:type="dxa"/>
            <w:vAlign w:val="bottom"/>
          </w:tcPr>
          <w:p>
            <w:pPr>
              <w:ind w:left="400"/>
              <w:spacing w:after="0"/>
              <w:rPr>
                <w:sz w:val="20"/>
                <w:szCs w:val="20"/>
                <w:color w:val="auto"/>
              </w:rPr>
            </w:pPr>
            <w:r>
              <w:rPr>
                <w:rFonts w:ascii="Arial" w:cs="Arial" w:eastAsia="Arial" w:hAnsi="Arial"/>
                <w:sz w:val="16"/>
                <w:szCs w:val="16"/>
                <w:color w:val="auto"/>
                <w:w w:val="89"/>
              </w:rPr>
              <w:t>The parties hereto acknowledge that in selling Shares, Bank is acting as principal for its own account and has no implied duties (including any</w:t>
            </w:r>
          </w:p>
        </w:tc>
      </w:tr>
      <w:tr>
        <w:trPr>
          <w:trHeight w:val="192"/>
        </w:trPr>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20" w:type="dxa"/>
            <w:vAlign w:val="bottom"/>
          </w:tcPr>
          <w:p>
            <w:pPr>
              <w:ind w:left="360"/>
              <w:spacing w:after="0"/>
              <w:rPr>
                <w:sz w:val="20"/>
                <w:szCs w:val="20"/>
                <w:color w:val="auto"/>
              </w:rPr>
            </w:pPr>
            <w:r>
              <w:rPr>
                <w:rFonts w:ascii="Arial" w:cs="Arial" w:eastAsia="Arial" w:hAnsi="Arial"/>
                <w:sz w:val="16"/>
                <w:szCs w:val="16"/>
                <w:color w:val="auto"/>
                <w:w w:val="89"/>
              </w:rPr>
              <w:t>fiduciary duty) to Counterparty and any purchases of Shares by Bank in the open market in anticipation of delivery of Shares to Counterparty or</w:t>
            </w:r>
          </w:p>
        </w:tc>
      </w:tr>
      <w:tr>
        <w:trPr>
          <w:trHeight w:val="199"/>
        </w:trPr>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20" w:type="dxa"/>
            <w:vAlign w:val="bottom"/>
          </w:tcPr>
          <w:p>
            <w:pPr>
              <w:ind w:left="360"/>
              <w:spacing w:after="0"/>
              <w:rPr>
                <w:sz w:val="20"/>
                <w:szCs w:val="20"/>
                <w:color w:val="auto"/>
              </w:rPr>
            </w:pPr>
            <w:r>
              <w:rPr>
                <w:rFonts w:ascii="Arial" w:cs="Arial" w:eastAsia="Arial" w:hAnsi="Arial"/>
                <w:sz w:val="16"/>
                <w:szCs w:val="16"/>
                <w:color w:val="auto"/>
              </w:rPr>
              <w:t>otherwise are solely for the account of Bank.</w:t>
            </w:r>
          </w:p>
        </w:tc>
      </w:tr>
      <w:tr>
        <w:trPr>
          <w:trHeight w:val="348"/>
        </w:trPr>
        <w:tc>
          <w:tcPr>
            <w:tcW w:w="2020" w:type="dxa"/>
            <w:vAlign w:val="bottom"/>
            <w:gridSpan w:val="2"/>
          </w:tcPr>
          <w:p>
            <w:pPr>
              <w:spacing w:after="0"/>
              <w:rPr>
                <w:sz w:val="20"/>
                <w:szCs w:val="20"/>
                <w:color w:val="auto"/>
              </w:rPr>
            </w:pPr>
            <w:r>
              <w:rPr>
                <w:rFonts w:ascii="Arial" w:cs="Arial" w:eastAsia="Arial" w:hAnsi="Arial"/>
                <w:sz w:val="16"/>
                <w:szCs w:val="16"/>
                <w:color w:val="auto"/>
              </w:rPr>
              <w:t>Trade Date:</w:t>
            </w:r>
          </w:p>
        </w:tc>
        <w:tc>
          <w:tcPr>
            <w:tcW w:w="9420" w:type="dxa"/>
            <w:vAlign w:val="bottom"/>
          </w:tcPr>
          <w:p>
            <w:pPr>
              <w:ind w:left="360"/>
              <w:spacing w:after="0"/>
              <w:rPr>
                <w:sz w:val="20"/>
                <w:szCs w:val="20"/>
                <w:color w:val="auto"/>
              </w:rPr>
            </w:pPr>
            <w:r>
              <w:rPr>
                <w:rFonts w:ascii="Arial" w:cs="Arial" w:eastAsia="Arial" w:hAnsi="Arial"/>
                <w:sz w:val="16"/>
                <w:szCs w:val="16"/>
                <w:color w:val="auto"/>
              </w:rPr>
              <w:t>For each Transaction, as set forth in the corresponding Supplemental Confirmation.</w:t>
            </w:r>
          </w:p>
        </w:tc>
      </w:tr>
      <w:tr>
        <w:trPr>
          <w:trHeight w:val="360"/>
        </w:trPr>
        <w:tc>
          <w:tcPr>
            <w:tcW w:w="2020" w:type="dxa"/>
            <w:vAlign w:val="bottom"/>
            <w:gridSpan w:val="2"/>
          </w:tcPr>
          <w:p>
            <w:pPr>
              <w:spacing w:after="0"/>
              <w:rPr>
                <w:sz w:val="20"/>
                <w:szCs w:val="20"/>
                <w:color w:val="auto"/>
              </w:rPr>
            </w:pPr>
            <w:r>
              <w:rPr>
                <w:rFonts w:ascii="Arial" w:cs="Arial" w:eastAsia="Arial" w:hAnsi="Arial"/>
                <w:sz w:val="16"/>
                <w:szCs w:val="16"/>
                <w:color w:val="auto"/>
              </w:rPr>
              <w:t>Buyer:</w:t>
            </w:r>
          </w:p>
        </w:tc>
        <w:tc>
          <w:tcPr>
            <w:tcW w:w="9420" w:type="dxa"/>
            <w:vAlign w:val="bottom"/>
          </w:tcPr>
          <w:p>
            <w:pPr>
              <w:ind w:left="360"/>
              <w:spacing w:after="0"/>
              <w:rPr>
                <w:sz w:val="20"/>
                <w:szCs w:val="20"/>
                <w:color w:val="auto"/>
              </w:rPr>
            </w:pPr>
            <w:r>
              <w:rPr>
                <w:rFonts w:ascii="Arial" w:cs="Arial" w:eastAsia="Arial" w:hAnsi="Arial"/>
                <w:sz w:val="16"/>
                <w:szCs w:val="16"/>
                <w:color w:val="auto"/>
              </w:rPr>
              <w:t>Counterparty</w:t>
            </w:r>
          </w:p>
        </w:tc>
      </w:tr>
      <w:tr>
        <w:trPr>
          <w:trHeight w:val="348"/>
        </w:trPr>
        <w:tc>
          <w:tcPr>
            <w:tcW w:w="2020" w:type="dxa"/>
            <w:vAlign w:val="bottom"/>
            <w:gridSpan w:val="2"/>
          </w:tcPr>
          <w:p>
            <w:pPr>
              <w:spacing w:after="0"/>
              <w:rPr>
                <w:sz w:val="20"/>
                <w:szCs w:val="20"/>
                <w:color w:val="auto"/>
              </w:rPr>
            </w:pPr>
            <w:r>
              <w:rPr>
                <w:rFonts w:ascii="Arial" w:cs="Arial" w:eastAsia="Arial" w:hAnsi="Arial"/>
                <w:sz w:val="16"/>
                <w:szCs w:val="16"/>
                <w:color w:val="auto"/>
              </w:rPr>
              <w:t>Seller:</w:t>
            </w:r>
          </w:p>
        </w:tc>
        <w:tc>
          <w:tcPr>
            <w:tcW w:w="9420" w:type="dxa"/>
            <w:vAlign w:val="bottom"/>
          </w:tcPr>
          <w:p>
            <w:pPr>
              <w:ind w:left="360"/>
              <w:spacing w:after="0"/>
              <w:rPr>
                <w:sz w:val="20"/>
                <w:szCs w:val="20"/>
                <w:color w:val="auto"/>
              </w:rPr>
            </w:pPr>
            <w:r>
              <w:rPr>
                <w:rFonts w:ascii="Arial" w:cs="Arial" w:eastAsia="Arial" w:hAnsi="Arial"/>
                <w:sz w:val="16"/>
                <w:szCs w:val="16"/>
                <w:color w:val="auto"/>
              </w:rPr>
              <w:t>Bank</w:t>
            </w:r>
          </w:p>
        </w:tc>
      </w:tr>
      <w:tr>
        <w:trPr>
          <w:trHeight w:val="348"/>
        </w:trPr>
        <w:tc>
          <w:tcPr>
            <w:tcW w:w="2020" w:type="dxa"/>
            <w:vAlign w:val="bottom"/>
            <w:gridSpan w:val="2"/>
          </w:tcPr>
          <w:p>
            <w:pPr>
              <w:spacing w:after="0"/>
              <w:rPr>
                <w:sz w:val="20"/>
                <w:szCs w:val="20"/>
                <w:color w:val="auto"/>
              </w:rPr>
            </w:pPr>
            <w:r>
              <w:rPr>
                <w:rFonts w:ascii="Arial" w:cs="Arial" w:eastAsia="Arial" w:hAnsi="Arial"/>
                <w:sz w:val="16"/>
                <w:szCs w:val="16"/>
                <w:color w:val="auto"/>
              </w:rPr>
              <w:t>Shares:</w:t>
            </w:r>
          </w:p>
        </w:tc>
        <w:tc>
          <w:tcPr>
            <w:tcW w:w="9420" w:type="dxa"/>
            <w:vAlign w:val="bottom"/>
          </w:tcPr>
          <w:p>
            <w:pPr>
              <w:ind w:left="360"/>
              <w:spacing w:after="0"/>
              <w:rPr>
                <w:sz w:val="20"/>
                <w:szCs w:val="20"/>
                <w:color w:val="auto"/>
              </w:rPr>
            </w:pPr>
            <w:r>
              <w:rPr>
                <w:rFonts w:ascii="Arial" w:cs="Arial" w:eastAsia="Arial" w:hAnsi="Arial"/>
                <w:sz w:val="16"/>
                <w:szCs w:val="16"/>
                <w:color w:val="auto"/>
              </w:rPr>
              <w:t>Shares of common stock, without par value, of Counterparty (Symbol: SRE)</w:t>
            </w:r>
          </w:p>
        </w:tc>
      </w:tr>
      <w:tr>
        <w:trPr>
          <w:trHeight w:val="353"/>
        </w:trPr>
        <w:tc>
          <w:tcPr>
            <w:tcW w:w="2020" w:type="dxa"/>
            <w:vAlign w:val="bottom"/>
            <w:gridSpan w:val="2"/>
          </w:tcPr>
          <w:p>
            <w:pPr>
              <w:spacing w:after="0"/>
              <w:rPr>
                <w:sz w:val="20"/>
                <w:szCs w:val="20"/>
                <w:color w:val="auto"/>
              </w:rPr>
            </w:pPr>
            <w:r>
              <w:rPr>
                <w:rFonts w:ascii="Arial" w:cs="Arial" w:eastAsia="Arial" w:hAnsi="Arial"/>
                <w:sz w:val="16"/>
                <w:szCs w:val="16"/>
                <w:color w:val="auto"/>
              </w:rPr>
              <w:t>Number of Shares:</w:t>
            </w:r>
          </w:p>
        </w:tc>
        <w:tc>
          <w:tcPr>
            <w:tcW w:w="9420" w:type="dxa"/>
            <w:vAlign w:val="bottom"/>
          </w:tcPr>
          <w:p>
            <w:pPr>
              <w:ind w:left="360"/>
              <w:spacing w:after="0"/>
              <w:rPr>
                <w:sz w:val="20"/>
                <w:szCs w:val="20"/>
                <w:color w:val="auto"/>
              </w:rPr>
            </w:pPr>
            <w:r>
              <w:rPr>
                <w:rFonts w:ascii="Arial" w:cs="Arial" w:eastAsia="Arial" w:hAnsi="Arial"/>
                <w:sz w:val="16"/>
                <w:szCs w:val="16"/>
                <w:color w:val="auto"/>
                <w:w w:val="90"/>
              </w:rPr>
              <w:t>For each Transaction, the result of the Prepayment Amount divided by the Settlement Price, subject to a maximum number of Shares equal to</w:t>
            </w:r>
          </w:p>
        </w:tc>
      </w:tr>
      <w:tr>
        <w:trPr>
          <w:trHeight w:val="199"/>
        </w:trPr>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20" w:type="dxa"/>
            <w:vAlign w:val="bottom"/>
          </w:tcPr>
          <w:p>
            <w:pPr>
              <w:ind w:left="360"/>
              <w:spacing w:after="0"/>
              <w:rPr>
                <w:sz w:val="20"/>
                <w:szCs w:val="20"/>
                <w:color w:val="auto"/>
              </w:rPr>
            </w:pPr>
            <w:r>
              <w:rPr>
                <w:rFonts w:ascii="Arial" w:cs="Arial" w:eastAsia="Arial" w:hAnsi="Arial"/>
                <w:sz w:val="16"/>
                <w:szCs w:val="16"/>
                <w:color w:val="auto"/>
              </w:rPr>
              <w:t>Maximum Shares and a minimum number of Shares equal to the Minimum Shares.</w:t>
            </w:r>
          </w:p>
        </w:tc>
      </w:tr>
      <w:tr>
        <w:trPr>
          <w:trHeight w:val="348"/>
        </w:trPr>
        <w:tc>
          <w:tcPr>
            <w:tcW w:w="2020" w:type="dxa"/>
            <w:vAlign w:val="bottom"/>
            <w:gridSpan w:val="2"/>
          </w:tcPr>
          <w:p>
            <w:pPr>
              <w:spacing w:after="0"/>
              <w:rPr>
                <w:sz w:val="20"/>
                <w:szCs w:val="20"/>
                <w:color w:val="auto"/>
              </w:rPr>
            </w:pPr>
            <w:r>
              <w:rPr>
                <w:rFonts w:ascii="Arial" w:cs="Arial" w:eastAsia="Arial" w:hAnsi="Arial"/>
                <w:sz w:val="16"/>
                <w:szCs w:val="16"/>
                <w:color w:val="auto"/>
              </w:rPr>
              <w:t>Maximum Shares:</w:t>
            </w:r>
          </w:p>
        </w:tc>
        <w:tc>
          <w:tcPr>
            <w:tcW w:w="9420" w:type="dxa"/>
            <w:vAlign w:val="bottom"/>
          </w:tcPr>
          <w:p>
            <w:pPr>
              <w:ind w:left="360"/>
              <w:spacing w:after="0"/>
              <w:rPr>
                <w:sz w:val="20"/>
                <w:szCs w:val="20"/>
                <w:color w:val="auto"/>
              </w:rPr>
            </w:pPr>
            <w:r>
              <w:rPr>
                <w:rFonts w:ascii="Arial" w:cs="Arial" w:eastAsia="Arial" w:hAnsi="Arial"/>
                <w:sz w:val="16"/>
                <w:szCs w:val="16"/>
                <w:color w:val="auto"/>
              </w:rPr>
              <w:t>For each Transaction, as set forth in the corresponding Supplemental Confirmation.</w:t>
            </w:r>
          </w:p>
        </w:tc>
      </w:tr>
      <w:tr>
        <w:trPr>
          <w:trHeight w:val="348"/>
        </w:trPr>
        <w:tc>
          <w:tcPr>
            <w:tcW w:w="2020" w:type="dxa"/>
            <w:vAlign w:val="bottom"/>
            <w:gridSpan w:val="2"/>
          </w:tcPr>
          <w:p>
            <w:pPr>
              <w:spacing w:after="0"/>
              <w:rPr>
                <w:sz w:val="20"/>
                <w:szCs w:val="20"/>
                <w:color w:val="auto"/>
              </w:rPr>
            </w:pPr>
            <w:r>
              <w:rPr>
                <w:rFonts w:ascii="Arial" w:cs="Arial" w:eastAsia="Arial" w:hAnsi="Arial"/>
                <w:sz w:val="16"/>
                <w:szCs w:val="16"/>
                <w:color w:val="auto"/>
              </w:rPr>
              <w:t>Minimum Shares:</w:t>
            </w:r>
          </w:p>
        </w:tc>
        <w:tc>
          <w:tcPr>
            <w:tcW w:w="9420" w:type="dxa"/>
            <w:vAlign w:val="bottom"/>
          </w:tcPr>
          <w:p>
            <w:pPr>
              <w:ind w:left="360"/>
              <w:spacing w:after="0"/>
              <w:rPr>
                <w:sz w:val="20"/>
                <w:szCs w:val="20"/>
                <w:color w:val="auto"/>
              </w:rPr>
            </w:pPr>
            <w:r>
              <w:rPr>
                <w:rFonts w:ascii="Arial" w:cs="Arial" w:eastAsia="Arial" w:hAnsi="Arial"/>
                <w:sz w:val="16"/>
                <w:szCs w:val="16"/>
                <w:color w:val="auto"/>
              </w:rPr>
              <w:t>For each Transaction, as set forth in the corresponding Supplemental Confirmation.</w:t>
            </w:r>
          </w:p>
        </w:tc>
      </w:tr>
      <w:tr>
        <w:trPr>
          <w:trHeight w:val="360"/>
        </w:trPr>
        <w:tc>
          <w:tcPr>
            <w:tcW w:w="2020" w:type="dxa"/>
            <w:vAlign w:val="bottom"/>
            <w:gridSpan w:val="2"/>
          </w:tcPr>
          <w:p>
            <w:pPr>
              <w:spacing w:after="0"/>
              <w:rPr>
                <w:sz w:val="20"/>
                <w:szCs w:val="20"/>
                <w:color w:val="auto"/>
              </w:rPr>
            </w:pPr>
            <w:r>
              <w:rPr>
                <w:rFonts w:ascii="Arial" w:cs="Arial" w:eastAsia="Arial" w:hAnsi="Arial"/>
                <w:sz w:val="16"/>
                <w:szCs w:val="16"/>
                <w:color w:val="auto"/>
              </w:rPr>
              <w:t>Initial Share Price:</w:t>
            </w:r>
          </w:p>
        </w:tc>
        <w:tc>
          <w:tcPr>
            <w:tcW w:w="9420" w:type="dxa"/>
            <w:vAlign w:val="bottom"/>
          </w:tcPr>
          <w:p>
            <w:pPr>
              <w:ind w:left="360"/>
              <w:spacing w:after="0"/>
              <w:rPr>
                <w:sz w:val="20"/>
                <w:szCs w:val="20"/>
                <w:color w:val="auto"/>
              </w:rPr>
            </w:pPr>
            <w:r>
              <w:rPr>
                <w:rFonts w:ascii="Arial" w:cs="Arial" w:eastAsia="Arial" w:hAnsi="Arial"/>
                <w:sz w:val="16"/>
                <w:szCs w:val="16"/>
                <w:color w:val="auto"/>
              </w:rPr>
              <w:t>For each Transaction, the average of the VWAP Prices for each Exchange Business Day during the Hedge Period.</w:t>
            </w:r>
          </w:p>
        </w:tc>
      </w:tr>
      <w:tr>
        <w:trPr>
          <w:trHeight w:val="341"/>
        </w:trPr>
        <w:tc>
          <w:tcPr>
            <w:tcW w:w="2020" w:type="dxa"/>
            <w:vAlign w:val="bottom"/>
            <w:gridSpan w:val="2"/>
          </w:tcPr>
          <w:p>
            <w:pPr>
              <w:spacing w:after="0"/>
              <w:rPr>
                <w:sz w:val="20"/>
                <w:szCs w:val="20"/>
                <w:color w:val="auto"/>
              </w:rPr>
            </w:pPr>
            <w:r>
              <w:rPr>
                <w:rFonts w:ascii="Arial" w:cs="Arial" w:eastAsia="Arial" w:hAnsi="Arial"/>
                <w:sz w:val="16"/>
                <w:szCs w:val="16"/>
                <w:color w:val="auto"/>
              </w:rPr>
              <w:t>Hedge Period:</w:t>
            </w:r>
          </w:p>
        </w:tc>
        <w:tc>
          <w:tcPr>
            <w:tcW w:w="9420" w:type="dxa"/>
            <w:vAlign w:val="bottom"/>
          </w:tcPr>
          <w:p>
            <w:pPr>
              <w:ind w:left="360"/>
              <w:spacing w:after="0"/>
              <w:rPr>
                <w:sz w:val="20"/>
                <w:szCs w:val="20"/>
                <w:color w:val="auto"/>
              </w:rPr>
            </w:pPr>
            <w:r>
              <w:rPr>
                <w:rFonts w:ascii="Arial" w:cs="Arial" w:eastAsia="Arial" w:hAnsi="Arial"/>
                <w:sz w:val="16"/>
                <w:szCs w:val="16"/>
                <w:color w:val="auto"/>
                <w:w w:val="89"/>
              </w:rPr>
              <w:t>For each Transaction, each consecutive Exchange Business Day beginning on the Hedging Initiation Date for such Transaction and ending on</w:t>
            </w:r>
          </w:p>
        </w:tc>
      </w:tr>
      <w:tr>
        <w:trPr>
          <w:trHeight w:val="199"/>
        </w:trPr>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20" w:type="dxa"/>
            <w:vAlign w:val="bottom"/>
          </w:tcPr>
          <w:p>
            <w:pPr>
              <w:ind w:left="360"/>
              <w:spacing w:after="0"/>
              <w:rPr>
                <w:sz w:val="20"/>
                <w:szCs w:val="20"/>
                <w:color w:val="auto"/>
              </w:rPr>
            </w:pPr>
            <w:r>
              <w:rPr>
                <w:rFonts w:ascii="Arial" w:cs="Arial" w:eastAsia="Arial" w:hAnsi="Arial"/>
                <w:sz w:val="16"/>
                <w:szCs w:val="16"/>
                <w:color w:val="auto"/>
              </w:rPr>
              <w:t>the Hedging Completion Date for such Transaction.</w:t>
            </w:r>
          </w:p>
        </w:tc>
      </w:tr>
      <w:tr>
        <w:trPr>
          <w:trHeight w:val="348"/>
        </w:trPr>
        <w:tc>
          <w:tcPr>
            <w:tcW w:w="2020" w:type="dxa"/>
            <w:vAlign w:val="bottom"/>
            <w:gridSpan w:val="2"/>
          </w:tcPr>
          <w:p>
            <w:pPr>
              <w:spacing w:after="0"/>
              <w:rPr>
                <w:sz w:val="20"/>
                <w:szCs w:val="20"/>
                <w:color w:val="auto"/>
              </w:rPr>
            </w:pPr>
            <w:r>
              <w:rPr>
                <w:rFonts w:ascii="Arial" w:cs="Arial" w:eastAsia="Arial" w:hAnsi="Arial"/>
                <w:sz w:val="16"/>
                <w:szCs w:val="16"/>
                <w:color w:val="auto"/>
              </w:rPr>
              <w:t>Hedging Initiation Date:</w:t>
            </w:r>
          </w:p>
        </w:tc>
        <w:tc>
          <w:tcPr>
            <w:tcW w:w="9420" w:type="dxa"/>
            <w:vAlign w:val="bottom"/>
          </w:tcPr>
          <w:p>
            <w:pPr>
              <w:ind w:left="360"/>
              <w:spacing w:after="0"/>
              <w:rPr>
                <w:sz w:val="20"/>
                <w:szCs w:val="20"/>
                <w:color w:val="auto"/>
              </w:rPr>
            </w:pPr>
            <w:r>
              <w:rPr>
                <w:rFonts w:ascii="Arial" w:cs="Arial" w:eastAsia="Arial" w:hAnsi="Arial"/>
                <w:sz w:val="16"/>
                <w:szCs w:val="16"/>
                <w:color w:val="auto"/>
              </w:rPr>
              <w:t>For each Transaction, as set forth in the corresponding Supplemental Confirmation.</w:t>
            </w:r>
          </w:p>
        </w:tc>
      </w:tr>
      <w:tr>
        <w:trPr>
          <w:trHeight w:val="360"/>
        </w:trPr>
        <w:tc>
          <w:tcPr>
            <w:tcW w:w="2020" w:type="dxa"/>
            <w:vAlign w:val="bottom"/>
            <w:gridSpan w:val="2"/>
          </w:tcPr>
          <w:p>
            <w:pPr>
              <w:spacing w:after="0"/>
              <w:rPr>
                <w:sz w:val="20"/>
                <w:szCs w:val="20"/>
                <w:color w:val="auto"/>
              </w:rPr>
            </w:pPr>
            <w:r>
              <w:rPr>
                <w:rFonts w:ascii="Arial" w:cs="Arial" w:eastAsia="Arial" w:hAnsi="Arial"/>
                <w:sz w:val="16"/>
                <w:szCs w:val="16"/>
                <w:color w:val="auto"/>
              </w:rPr>
              <w:t>Hedging Completion Date:</w:t>
            </w:r>
          </w:p>
        </w:tc>
        <w:tc>
          <w:tcPr>
            <w:tcW w:w="9420" w:type="dxa"/>
            <w:vAlign w:val="bottom"/>
          </w:tcPr>
          <w:p>
            <w:pPr>
              <w:ind w:left="360"/>
              <w:spacing w:after="0"/>
              <w:rPr>
                <w:sz w:val="20"/>
                <w:szCs w:val="20"/>
                <w:color w:val="auto"/>
              </w:rPr>
            </w:pPr>
            <w:r>
              <w:rPr>
                <w:rFonts w:ascii="Arial" w:cs="Arial" w:eastAsia="Arial" w:hAnsi="Arial"/>
                <w:sz w:val="16"/>
                <w:szCs w:val="16"/>
                <w:color w:val="auto"/>
              </w:rPr>
              <w:t>For each Transaction, as set forth in the corresponding Supplemental Confirmation.</w:t>
            </w:r>
          </w:p>
        </w:tc>
      </w:tr>
      <w:tr>
        <w:trPr>
          <w:trHeight w:val="348"/>
        </w:trPr>
        <w:tc>
          <w:tcPr>
            <w:tcW w:w="2020" w:type="dxa"/>
            <w:vAlign w:val="bottom"/>
            <w:gridSpan w:val="2"/>
          </w:tcPr>
          <w:p>
            <w:pPr>
              <w:spacing w:after="0"/>
              <w:rPr>
                <w:sz w:val="20"/>
                <w:szCs w:val="20"/>
                <w:color w:val="auto"/>
              </w:rPr>
            </w:pPr>
            <w:r>
              <w:rPr>
                <w:rFonts w:ascii="Arial" w:cs="Arial" w:eastAsia="Arial" w:hAnsi="Arial"/>
                <w:sz w:val="16"/>
                <w:szCs w:val="16"/>
                <w:color w:val="auto"/>
              </w:rPr>
              <w:t>Initial Hedge Position:</w:t>
            </w:r>
          </w:p>
        </w:tc>
        <w:tc>
          <w:tcPr>
            <w:tcW w:w="9420" w:type="dxa"/>
            <w:vAlign w:val="bottom"/>
          </w:tcPr>
          <w:p>
            <w:pPr>
              <w:ind w:left="360"/>
              <w:spacing w:after="0"/>
              <w:rPr>
                <w:sz w:val="20"/>
                <w:szCs w:val="20"/>
                <w:color w:val="auto"/>
              </w:rPr>
            </w:pPr>
            <w:r>
              <w:rPr>
                <w:rFonts w:ascii="Arial" w:cs="Arial" w:eastAsia="Arial" w:hAnsi="Arial"/>
                <w:sz w:val="16"/>
                <w:szCs w:val="16"/>
                <w:color w:val="auto"/>
              </w:rPr>
              <w:t>For each Transaction, as set forth in the corresponding Supplemental Confirmation.</w:t>
            </w:r>
          </w:p>
        </w:tc>
      </w:tr>
      <w:tr>
        <w:trPr>
          <w:trHeight w:val="348"/>
        </w:trPr>
        <w:tc>
          <w:tcPr>
            <w:tcW w:w="2020" w:type="dxa"/>
            <w:vAlign w:val="bottom"/>
            <w:gridSpan w:val="2"/>
          </w:tcPr>
          <w:p>
            <w:pPr>
              <w:spacing w:after="0"/>
              <w:rPr>
                <w:sz w:val="20"/>
                <w:szCs w:val="20"/>
                <w:color w:val="auto"/>
              </w:rPr>
            </w:pPr>
            <w:r>
              <w:rPr>
                <w:rFonts w:ascii="Arial" w:cs="Arial" w:eastAsia="Arial" w:hAnsi="Arial"/>
                <w:sz w:val="16"/>
                <w:szCs w:val="16"/>
                <w:color w:val="auto"/>
              </w:rPr>
              <w:t>Prepayment:</w:t>
            </w:r>
          </w:p>
        </w:tc>
        <w:tc>
          <w:tcPr>
            <w:tcW w:w="9420" w:type="dxa"/>
            <w:vAlign w:val="bottom"/>
          </w:tcPr>
          <w:p>
            <w:pPr>
              <w:ind w:left="360"/>
              <w:spacing w:after="0"/>
              <w:rPr>
                <w:sz w:val="20"/>
                <w:szCs w:val="20"/>
                <w:color w:val="auto"/>
              </w:rPr>
            </w:pPr>
            <w:r>
              <w:rPr>
                <w:rFonts w:ascii="Arial" w:cs="Arial" w:eastAsia="Arial" w:hAnsi="Arial"/>
                <w:sz w:val="16"/>
                <w:szCs w:val="16"/>
                <w:color w:val="auto"/>
              </w:rPr>
              <w:t>Applicable</w:t>
            </w:r>
          </w:p>
        </w:tc>
      </w:tr>
      <w:tr>
        <w:trPr>
          <w:trHeight w:val="360"/>
        </w:trPr>
        <w:tc>
          <w:tcPr>
            <w:tcW w:w="2020" w:type="dxa"/>
            <w:vAlign w:val="bottom"/>
            <w:gridSpan w:val="2"/>
          </w:tcPr>
          <w:p>
            <w:pPr>
              <w:spacing w:after="0"/>
              <w:rPr>
                <w:sz w:val="20"/>
                <w:szCs w:val="20"/>
                <w:color w:val="auto"/>
              </w:rPr>
            </w:pPr>
            <w:r>
              <w:rPr>
                <w:rFonts w:ascii="Arial" w:cs="Arial" w:eastAsia="Arial" w:hAnsi="Arial"/>
                <w:sz w:val="16"/>
                <w:szCs w:val="16"/>
                <w:color w:val="auto"/>
              </w:rPr>
              <w:t>Prepayment Amount:</w:t>
            </w:r>
          </w:p>
        </w:tc>
        <w:tc>
          <w:tcPr>
            <w:tcW w:w="9420" w:type="dxa"/>
            <w:vAlign w:val="bottom"/>
          </w:tcPr>
          <w:p>
            <w:pPr>
              <w:ind w:left="360"/>
              <w:spacing w:after="0"/>
              <w:rPr>
                <w:sz w:val="20"/>
                <w:szCs w:val="20"/>
                <w:color w:val="auto"/>
              </w:rPr>
            </w:pPr>
            <w:r>
              <w:rPr>
                <w:rFonts w:ascii="Arial" w:cs="Arial" w:eastAsia="Arial" w:hAnsi="Arial"/>
                <w:sz w:val="16"/>
                <w:szCs w:val="16"/>
                <w:color w:val="auto"/>
              </w:rPr>
              <w:t>For each Transaction, as set forth in the corresponding Supplemental Confirmation.</w:t>
            </w:r>
          </w:p>
        </w:tc>
      </w:tr>
      <w:tr>
        <w:trPr>
          <w:trHeight w:val="348"/>
        </w:trPr>
        <w:tc>
          <w:tcPr>
            <w:tcW w:w="2020" w:type="dxa"/>
            <w:vAlign w:val="bottom"/>
            <w:gridSpan w:val="2"/>
          </w:tcPr>
          <w:p>
            <w:pPr>
              <w:spacing w:after="0"/>
              <w:rPr>
                <w:sz w:val="20"/>
                <w:szCs w:val="20"/>
                <w:color w:val="auto"/>
              </w:rPr>
            </w:pPr>
            <w:r>
              <w:rPr>
                <w:rFonts w:ascii="Arial" w:cs="Arial" w:eastAsia="Arial" w:hAnsi="Arial"/>
                <w:sz w:val="16"/>
                <w:szCs w:val="16"/>
                <w:color w:val="auto"/>
              </w:rPr>
              <w:t>Prepayment Date:</w:t>
            </w:r>
          </w:p>
        </w:tc>
        <w:tc>
          <w:tcPr>
            <w:tcW w:w="9420" w:type="dxa"/>
            <w:vAlign w:val="bottom"/>
          </w:tcPr>
          <w:p>
            <w:pPr>
              <w:ind w:left="360"/>
              <w:spacing w:after="0"/>
              <w:rPr>
                <w:sz w:val="20"/>
                <w:szCs w:val="20"/>
                <w:color w:val="auto"/>
              </w:rPr>
            </w:pPr>
            <w:r>
              <w:rPr>
                <w:rFonts w:ascii="Arial" w:cs="Arial" w:eastAsia="Arial" w:hAnsi="Arial"/>
                <w:sz w:val="16"/>
                <w:szCs w:val="16"/>
                <w:color w:val="auto"/>
              </w:rPr>
              <w:t>For each Transaction, as set forth in the corresponding Supplemental Confirmation.</w:t>
            </w:r>
          </w:p>
        </w:tc>
      </w:tr>
      <w:tr>
        <w:trPr>
          <w:trHeight w:val="348"/>
        </w:trPr>
        <w:tc>
          <w:tcPr>
            <w:tcW w:w="2020" w:type="dxa"/>
            <w:vAlign w:val="bottom"/>
            <w:gridSpan w:val="2"/>
          </w:tcPr>
          <w:p>
            <w:pPr>
              <w:spacing w:after="0"/>
              <w:rPr>
                <w:sz w:val="20"/>
                <w:szCs w:val="20"/>
                <w:color w:val="auto"/>
              </w:rPr>
            </w:pPr>
            <w:r>
              <w:rPr>
                <w:rFonts w:ascii="Arial" w:cs="Arial" w:eastAsia="Arial" w:hAnsi="Arial"/>
                <w:sz w:val="16"/>
                <w:szCs w:val="16"/>
                <w:color w:val="auto"/>
              </w:rPr>
              <w:t>Exchange:</w:t>
            </w:r>
          </w:p>
        </w:tc>
        <w:tc>
          <w:tcPr>
            <w:tcW w:w="9420" w:type="dxa"/>
            <w:vAlign w:val="bottom"/>
          </w:tcPr>
          <w:p>
            <w:pPr>
              <w:ind w:left="360"/>
              <w:spacing w:after="0"/>
              <w:rPr>
                <w:sz w:val="20"/>
                <w:szCs w:val="20"/>
                <w:color w:val="auto"/>
              </w:rPr>
            </w:pPr>
            <w:r>
              <w:rPr>
                <w:rFonts w:ascii="Arial" w:cs="Arial" w:eastAsia="Arial" w:hAnsi="Arial"/>
                <w:sz w:val="16"/>
                <w:szCs w:val="16"/>
                <w:color w:val="auto"/>
              </w:rPr>
              <w:t>NYSE</w:t>
            </w:r>
          </w:p>
        </w:tc>
      </w:tr>
    </w:tbl>
    <w:p>
      <w:pPr>
        <w:sectPr>
          <w:pgSz w:w="11900" w:h="16838" w:orient="portrait"/>
          <w:cols w:equalWidth="0" w:num="1">
            <w:col w:w="11440"/>
          </w:cols>
          <w:pgMar w:left="240" w:top="735" w:right="219" w:bottom="0" w:gutter="0" w:footer="0" w:header="0"/>
        </w:sectPr>
      </w:pPr>
    </w:p>
    <w:bookmarkStart w:id="63" w:name="page64"/>
    <w:bookmarkEnd w:id="63"/>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380" w:type="dxa"/>
            <w:vAlign w:val="bottom"/>
            <w:gridSpan w:val="4"/>
          </w:tcPr>
          <w:p>
            <w:pPr>
              <w:spacing w:after="0"/>
              <w:rPr>
                <w:sz w:val="20"/>
                <w:szCs w:val="20"/>
                <w:color w:val="auto"/>
              </w:rPr>
            </w:pPr>
            <w:r>
              <w:rPr>
                <w:rFonts w:ascii="Arial" w:cs="Arial" w:eastAsia="Arial" w:hAnsi="Arial"/>
                <w:sz w:val="16"/>
                <w:szCs w:val="16"/>
                <w:color w:val="auto"/>
              </w:rPr>
              <w:t>Related Exchange(s):</w:t>
            </w:r>
          </w:p>
        </w:tc>
        <w:tc>
          <w:tcPr>
            <w:tcW w:w="9060" w:type="dxa"/>
            <w:vAlign w:val="bottom"/>
            <w:gridSpan w:val="16"/>
          </w:tcPr>
          <w:p>
            <w:pPr>
              <w:spacing w:after="0"/>
              <w:rPr>
                <w:sz w:val="20"/>
                <w:szCs w:val="20"/>
                <w:color w:val="auto"/>
              </w:rPr>
            </w:pPr>
            <w:r>
              <w:rPr>
                <w:rFonts w:ascii="Arial" w:cs="Arial" w:eastAsia="Arial" w:hAnsi="Arial"/>
                <w:sz w:val="16"/>
                <w:szCs w:val="16"/>
                <w:color w:val="auto"/>
              </w:rPr>
              <w:t>All Exchanges</w:t>
            </w:r>
          </w:p>
        </w:tc>
      </w:tr>
      <w:tr>
        <w:trPr>
          <w:trHeight w:val="341"/>
        </w:trPr>
        <w:tc>
          <w:tcPr>
            <w:tcW w:w="2380" w:type="dxa"/>
            <w:vAlign w:val="bottom"/>
            <w:gridSpan w:val="4"/>
          </w:tcPr>
          <w:p>
            <w:pPr>
              <w:spacing w:after="0"/>
              <w:rPr>
                <w:sz w:val="20"/>
                <w:szCs w:val="20"/>
                <w:color w:val="auto"/>
              </w:rPr>
            </w:pPr>
            <w:r>
              <w:rPr>
                <w:rFonts w:ascii="Arial" w:cs="Arial" w:eastAsia="Arial" w:hAnsi="Arial"/>
                <w:sz w:val="16"/>
                <w:szCs w:val="16"/>
                <w:color w:val="auto"/>
              </w:rPr>
              <w:t>Market Disruption Event:</w:t>
            </w:r>
          </w:p>
        </w:tc>
        <w:tc>
          <w:tcPr>
            <w:tcW w:w="9060" w:type="dxa"/>
            <w:vAlign w:val="bottom"/>
            <w:gridSpan w:val="16"/>
          </w:tcPr>
          <w:p>
            <w:pPr>
              <w:spacing w:after="0"/>
              <w:rPr>
                <w:sz w:val="20"/>
                <w:szCs w:val="20"/>
                <w:color w:val="auto"/>
              </w:rPr>
            </w:pPr>
            <w:r>
              <w:rPr>
                <w:rFonts w:ascii="Arial" w:cs="Arial" w:eastAsia="Arial" w:hAnsi="Arial"/>
                <w:sz w:val="16"/>
                <w:szCs w:val="16"/>
                <w:color w:val="auto"/>
                <w:w w:val="91"/>
              </w:rPr>
              <w:t>The definition of “Market Disruption Event” in Section 6.3(a) of the Equity Definitions is hereby amended by replacing the words “at any time</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3"/>
              </w:rPr>
              <w:t>during the one-hour period that ends at the relevant Valuation Time” in the third line thereof with the words “at any time on any Scheduled</w:t>
            </w: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rPr>
              <w:t>Trading Day during the Valuation Period or” after the word “material”.</w:t>
            </w:r>
          </w:p>
        </w:tc>
      </w:tr>
      <w:tr>
        <w:trPr>
          <w:trHeight w:val="353"/>
        </w:trPr>
        <w:tc>
          <w:tcPr>
            <w:tcW w:w="2380" w:type="dxa"/>
            <w:vAlign w:val="bottom"/>
            <w:gridSpan w:val="4"/>
          </w:tcPr>
          <w:p>
            <w:pPr>
              <w:spacing w:after="0"/>
              <w:rPr>
                <w:sz w:val="20"/>
                <w:szCs w:val="20"/>
                <w:color w:val="auto"/>
              </w:rPr>
            </w:pPr>
            <w:r>
              <w:rPr>
                <w:rFonts w:ascii="Arial" w:cs="Arial" w:eastAsia="Arial" w:hAnsi="Arial"/>
                <w:sz w:val="16"/>
                <w:szCs w:val="16"/>
                <w:color w:val="auto"/>
              </w:rPr>
              <w:t>Initial Share Delivery:</w:t>
            </w:r>
          </w:p>
        </w:tc>
        <w:tc>
          <w:tcPr>
            <w:tcW w:w="9060" w:type="dxa"/>
            <w:vAlign w:val="bottom"/>
            <w:gridSpan w:val="16"/>
          </w:tcPr>
          <w:p>
            <w:pPr>
              <w:spacing w:after="0"/>
              <w:rPr>
                <w:sz w:val="20"/>
                <w:szCs w:val="20"/>
                <w:color w:val="auto"/>
              </w:rPr>
            </w:pPr>
            <w:r>
              <w:rPr>
                <w:rFonts w:ascii="Arial" w:cs="Arial" w:eastAsia="Arial" w:hAnsi="Arial"/>
                <w:sz w:val="16"/>
                <w:szCs w:val="16"/>
                <w:color w:val="auto"/>
                <w:w w:val="91"/>
              </w:rPr>
              <w:t>For each Transaction, Bank shall deliver a number of shares specified in the Supplemental Confirmation to Counterparty on the Initial Share</w:t>
            </w: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rPr>
              <w:t>Delivery Date.</w:t>
            </w:r>
          </w:p>
        </w:tc>
      </w:tr>
      <w:tr>
        <w:trPr>
          <w:trHeight w:val="341"/>
        </w:trPr>
        <w:tc>
          <w:tcPr>
            <w:tcW w:w="2380" w:type="dxa"/>
            <w:vAlign w:val="bottom"/>
            <w:gridSpan w:val="4"/>
          </w:tcPr>
          <w:p>
            <w:pPr>
              <w:spacing w:after="0"/>
              <w:rPr>
                <w:sz w:val="20"/>
                <w:szCs w:val="20"/>
                <w:color w:val="auto"/>
              </w:rPr>
            </w:pPr>
            <w:r>
              <w:rPr>
                <w:rFonts w:ascii="Arial" w:cs="Arial" w:eastAsia="Arial" w:hAnsi="Arial"/>
                <w:sz w:val="16"/>
                <w:szCs w:val="16"/>
                <w:color w:val="auto"/>
              </w:rPr>
              <w:t>Initial Share Delivery Date:</w:t>
            </w:r>
          </w:p>
        </w:tc>
        <w:tc>
          <w:tcPr>
            <w:tcW w:w="9060" w:type="dxa"/>
            <w:vAlign w:val="bottom"/>
            <w:gridSpan w:val="16"/>
          </w:tcPr>
          <w:p>
            <w:pPr>
              <w:spacing w:after="0"/>
              <w:rPr>
                <w:sz w:val="20"/>
                <w:szCs w:val="20"/>
                <w:color w:val="auto"/>
              </w:rPr>
            </w:pPr>
            <w:r>
              <w:rPr>
                <w:rFonts w:ascii="Arial" w:cs="Arial" w:eastAsia="Arial" w:hAnsi="Arial"/>
                <w:sz w:val="16"/>
                <w:szCs w:val="16"/>
                <w:color w:val="auto"/>
                <w:w w:val="88"/>
              </w:rPr>
              <w:t>For each Transaction, the Prepayment Date. Each Initial Share Delivery Date shall be deemed to be a “Settlement Date” for purposes of Section</w:t>
            </w: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rPr>
              <w:t>9.4 of the Equity Definitions.</w:t>
            </w:r>
          </w:p>
        </w:tc>
      </w:tr>
      <w:tr>
        <w:trPr>
          <w:trHeight w:val="341"/>
        </w:trPr>
        <w:tc>
          <w:tcPr>
            <w:tcW w:w="2380" w:type="dxa"/>
            <w:vAlign w:val="bottom"/>
            <w:gridSpan w:val="4"/>
          </w:tcPr>
          <w:p>
            <w:pPr>
              <w:spacing w:after="0"/>
              <w:rPr>
                <w:sz w:val="20"/>
                <w:szCs w:val="20"/>
                <w:color w:val="auto"/>
              </w:rPr>
            </w:pPr>
            <w:r>
              <w:rPr>
                <w:rFonts w:ascii="Arial" w:cs="Arial" w:eastAsia="Arial" w:hAnsi="Arial"/>
                <w:sz w:val="16"/>
                <w:szCs w:val="16"/>
                <w:color w:val="auto"/>
              </w:rPr>
              <w:t>Additional Share Delivery:</w:t>
            </w:r>
          </w:p>
        </w:tc>
        <w:tc>
          <w:tcPr>
            <w:tcW w:w="9060" w:type="dxa"/>
            <w:vAlign w:val="bottom"/>
            <w:gridSpan w:val="16"/>
          </w:tcPr>
          <w:p>
            <w:pPr>
              <w:spacing w:after="0"/>
              <w:rPr>
                <w:sz w:val="20"/>
                <w:szCs w:val="20"/>
                <w:color w:val="auto"/>
              </w:rPr>
            </w:pPr>
            <w:r>
              <w:rPr>
                <w:rFonts w:ascii="Arial" w:cs="Arial" w:eastAsia="Arial" w:hAnsi="Arial"/>
                <w:sz w:val="16"/>
                <w:szCs w:val="16"/>
                <w:color w:val="auto"/>
                <w:w w:val="89"/>
              </w:rPr>
              <w:t>For each Transaction, if specified, Bank shall deliver a number of Shares as specified in the Supplemental Confirmation for such Transaction to</w:t>
            </w: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rPr>
              <w:t>the Counterparty on the Additional Share Delivery Date for such Transaction.</w:t>
            </w:r>
          </w:p>
        </w:tc>
      </w:tr>
      <w:tr>
        <w:trPr>
          <w:trHeight w:val="353"/>
        </w:trPr>
        <w:tc>
          <w:tcPr>
            <w:tcW w:w="2380" w:type="dxa"/>
            <w:vAlign w:val="bottom"/>
            <w:gridSpan w:val="4"/>
          </w:tcPr>
          <w:p>
            <w:pPr>
              <w:spacing w:after="0"/>
              <w:rPr>
                <w:sz w:val="20"/>
                <w:szCs w:val="20"/>
                <w:color w:val="auto"/>
              </w:rPr>
            </w:pPr>
            <w:r>
              <w:rPr>
                <w:rFonts w:ascii="Arial" w:cs="Arial" w:eastAsia="Arial" w:hAnsi="Arial"/>
                <w:sz w:val="16"/>
                <w:szCs w:val="16"/>
                <w:color w:val="auto"/>
              </w:rPr>
              <w:t>Additional Share Delivery Date:</w:t>
            </w:r>
          </w:p>
        </w:tc>
        <w:tc>
          <w:tcPr>
            <w:tcW w:w="9060" w:type="dxa"/>
            <w:vAlign w:val="bottom"/>
            <w:gridSpan w:val="16"/>
          </w:tcPr>
          <w:p>
            <w:pPr>
              <w:spacing w:after="0"/>
              <w:rPr>
                <w:sz w:val="20"/>
                <w:szCs w:val="20"/>
                <w:color w:val="auto"/>
              </w:rPr>
            </w:pPr>
            <w:r>
              <w:rPr>
                <w:rFonts w:ascii="Arial" w:cs="Arial" w:eastAsia="Arial" w:hAnsi="Arial"/>
                <w:sz w:val="16"/>
                <w:szCs w:val="16"/>
                <w:color w:val="auto"/>
                <w:w w:val="89"/>
              </w:rPr>
              <w:t>For each Transaction, as set forth in the corresponding Supplemental Confirmation. Each Additional Share Delivery Date shall be deemed to be</w:t>
            </w: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rPr>
              <w:t>a “Settlement Date” for purposes of Section 9.4 of the Equity Definitions.</w:t>
            </w:r>
          </w:p>
        </w:tc>
      </w:tr>
      <w:tr>
        <w:trPr>
          <w:trHeight w:val="314"/>
        </w:trPr>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7"/>
              </w:rPr>
              <w:t>Valuation:</w:t>
            </w:r>
          </w:p>
        </w:tc>
        <w:tc>
          <w:tcPr>
            <w:tcW w:w="16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2380" w:type="dxa"/>
            <w:vAlign w:val="bottom"/>
            <w:gridSpan w:val="4"/>
          </w:tcPr>
          <w:p>
            <w:pPr>
              <w:spacing w:after="0"/>
              <w:rPr>
                <w:sz w:val="20"/>
                <w:szCs w:val="20"/>
                <w:color w:val="auto"/>
              </w:rPr>
            </w:pPr>
            <w:r>
              <w:rPr>
                <w:rFonts w:ascii="Arial" w:cs="Arial" w:eastAsia="Arial" w:hAnsi="Arial"/>
                <w:sz w:val="16"/>
                <w:szCs w:val="16"/>
                <w:color w:val="auto"/>
              </w:rPr>
              <w:t>Valuation Period:</w:t>
            </w:r>
          </w:p>
        </w:tc>
        <w:tc>
          <w:tcPr>
            <w:tcW w:w="9060" w:type="dxa"/>
            <w:vAlign w:val="bottom"/>
            <w:gridSpan w:val="16"/>
          </w:tcPr>
          <w:p>
            <w:pPr>
              <w:spacing w:after="0"/>
              <w:rPr>
                <w:sz w:val="20"/>
                <w:szCs w:val="20"/>
                <w:color w:val="auto"/>
              </w:rPr>
            </w:pPr>
            <w:r>
              <w:rPr>
                <w:rFonts w:ascii="Arial" w:cs="Arial" w:eastAsia="Arial" w:hAnsi="Arial"/>
                <w:sz w:val="16"/>
                <w:szCs w:val="16"/>
                <w:color w:val="auto"/>
                <w:w w:val="88"/>
              </w:rPr>
              <w:t>For each Transaction, each Scheduled Trading Day from and including the Initial Settlement Date (as defined in the corresponding Supplemental</w:t>
            </w:r>
          </w:p>
        </w:tc>
      </w:tr>
      <w:tr>
        <w:trPr>
          <w:trHeight w:val="165"/>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60" w:type="dxa"/>
            <w:vAlign w:val="bottom"/>
            <w:gridSpan w:val="16"/>
          </w:tcPr>
          <w:p>
            <w:pPr>
              <w:spacing w:after="0" w:line="165" w:lineRule="exact"/>
              <w:rPr>
                <w:sz w:val="20"/>
                <w:szCs w:val="20"/>
                <w:color w:val="auto"/>
              </w:rPr>
            </w:pPr>
            <w:r>
              <w:rPr>
                <w:rFonts w:ascii="Arial" w:cs="Arial" w:eastAsia="Arial" w:hAnsi="Arial"/>
                <w:sz w:val="16"/>
                <w:szCs w:val="16"/>
                <w:color w:val="auto"/>
                <w:w w:val="91"/>
              </w:rPr>
              <w:t>Confirmation) for such Transaction to and including the Valuation Date for such Transaction; provided, that with respect to each Suspension</w:t>
            </w: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1"/>
              </w:rPr>
              <w:t>Event (if any) affecting such Scheduled Trading Days, Bank may, by written notice to Counterparty (which notice shall not specify the reason</w:t>
            </w:r>
          </w:p>
        </w:tc>
      </w:tr>
      <w:tr>
        <w:trPr>
          <w:trHeight w:val="188"/>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87"/>
              </w:rPr>
              <w:t>for Bank’s election to suspend the Valuation Period), exclude the Scheduled Trading Day(s) on which such Suspension Event has occurred (such</w:t>
            </w:r>
          </w:p>
        </w:tc>
      </w:tr>
      <w:tr>
        <w:trPr>
          <w:trHeight w:val="169"/>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60" w:type="dxa"/>
            <w:vAlign w:val="bottom"/>
            <w:gridSpan w:val="16"/>
          </w:tcPr>
          <w:p>
            <w:pPr>
              <w:spacing w:after="0" w:line="169" w:lineRule="exact"/>
              <w:rPr>
                <w:sz w:val="20"/>
                <w:szCs w:val="20"/>
                <w:color w:val="auto"/>
              </w:rPr>
            </w:pPr>
            <w:r>
              <w:rPr>
                <w:rFonts w:ascii="Arial" w:cs="Arial" w:eastAsia="Arial" w:hAnsi="Arial"/>
                <w:sz w:val="16"/>
                <w:szCs w:val="16"/>
                <w:color w:val="auto"/>
                <w:w w:val="90"/>
              </w:rPr>
              <w:t>days, “</w:t>
            </w:r>
            <w:r>
              <w:rPr>
                <w:rFonts w:ascii="Arial" w:cs="Arial" w:eastAsia="Arial" w:hAnsi="Arial"/>
                <w:sz w:val="16"/>
                <w:szCs w:val="16"/>
                <w:b w:val="1"/>
                <w:bCs w:val="1"/>
                <w:color w:val="auto"/>
                <w:w w:val="90"/>
              </w:rPr>
              <w:t>Suspension Event Days</w:t>
            </w:r>
            <w:r>
              <w:rPr>
                <w:rFonts w:ascii="Arial" w:cs="Arial" w:eastAsia="Arial" w:hAnsi="Arial"/>
                <w:sz w:val="16"/>
                <w:szCs w:val="16"/>
                <w:color w:val="auto"/>
                <w:w w:val="90"/>
              </w:rPr>
              <w:t>”) and extend the last possible Valuation Date by the total number of such Suspension Event Days; provided,</w:t>
            </w: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60" w:type="dxa"/>
            <w:vAlign w:val="bottom"/>
            <w:gridSpan w:val="16"/>
          </w:tcPr>
          <w:p>
            <w:pPr>
              <w:spacing w:after="0" w:line="172" w:lineRule="exact"/>
              <w:rPr>
                <w:sz w:val="20"/>
                <w:szCs w:val="20"/>
                <w:color w:val="auto"/>
              </w:rPr>
            </w:pPr>
            <w:r>
              <w:rPr>
                <w:rFonts w:ascii="Arial" w:cs="Arial" w:eastAsia="Arial" w:hAnsi="Arial"/>
                <w:sz w:val="16"/>
                <w:szCs w:val="16"/>
                <w:color w:val="auto"/>
                <w:w w:val="90"/>
              </w:rPr>
              <w:t>further, that notwithstanding anything to the contrary in the Equity Definitions, to the extent that any Scheduled Trading Days in the Valuation</w:t>
            </w: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88"/>
              </w:rPr>
              <w:t>Period are Disrupted Days, the Calculation Agent ma y exclude such Disrupted Days and extend the last possible Valuation Date by the number</w:t>
            </w: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rPr>
              <w:t>of such Disrupted Days (in addition to any Suspension Event Days, without duplication).</w:t>
            </w:r>
          </w:p>
        </w:tc>
      </w:tr>
      <w:tr>
        <w:trPr>
          <w:trHeight w:val="353"/>
        </w:trPr>
        <w:tc>
          <w:tcPr>
            <w:tcW w:w="2380" w:type="dxa"/>
            <w:vAlign w:val="bottom"/>
            <w:gridSpan w:val="4"/>
          </w:tcPr>
          <w:p>
            <w:pPr>
              <w:spacing w:after="0"/>
              <w:rPr>
                <w:sz w:val="20"/>
                <w:szCs w:val="20"/>
                <w:color w:val="auto"/>
              </w:rPr>
            </w:pPr>
            <w:r>
              <w:rPr>
                <w:rFonts w:ascii="Arial" w:cs="Arial" w:eastAsia="Arial" w:hAnsi="Arial"/>
                <w:sz w:val="16"/>
                <w:szCs w:val="16"/>
                <w:color w:val="auto"/>
              </w:rPr>
              <w:t>Suspension Event:</w:t>
            </w:r>
          </w:p>
        </w:tc>
        <w:tc>
          <w:tcPr>
            <w:tcW w:w="9060" w:type="dxa"/>
            <w:vAlign w:val="bottom"/>
            <w:gridSpan w:val="16"/>
          </w:tcPr>
          <w:p>
            <w:pPr>
              <w:spacing w:after="0"/>
              <w:rPr>
                <w:sz w:val="20"/>
                <w:szCs w:val="20"/>
                <w:color w:val="auto"/>
              </w:rPr>
            </w:pPr>
            <w:r>
              <w:rPr>
                <w:rFonts w:ascii="Arial" w:cs="Arial" w:eastAsia="Arial" w:hAnsi="Arial"/>
                <w:sz w:val="16"/>
                <w:szCs w:val="16"/>
                <w:color w:val="auto"/>
                <w:w w:val="92"/>
              </w:rPr>
              <w:t>Each and every one of the following events: (i) Bank concludes, in its sole discretion, that Counterparty will be engaged in a distribution of</w:t>
            </w:r>
          </w:p>
        </w:tc>
      </w:tr>
      <w:tr>
        <w:trPr>
          <w:trHeight w:val="188"/>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2"/>
              </w:rPr>
              <w:t>Shares or other securities for which the Shares are a reference security for purposes of Rule 102 of Regulation M under the Exchange Act</w:t>
            </w:r>
          </w:p>
        </w:tc>
      </w:tr>
      <w:tr>
        <w:trPr>
          <w:trHeight w:val="169"/>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60" w:type="dxa"/>
            <w:vAlign w:val="bottom"/>
            <w:gridSpan w:val="16"/>
          </w:tcPr>
          <w:p>
            <w:pPr>
              <w:spacing w:after="0" w:line="169" w:lineRule="exact"/>
              <w:rPr>
                <w:sz w:val="20"/>
                <w:szCs w:val="20"/>
                <w:color w:val="auto"/>
              </w:rPr>
            </w:pPr>
            <w:r>
              <w:rPr>
                <w:rFonts w:ascii="Arial" w:cs="Arial" w:eastAsia="Arial" w:hAnsi="Arial"/>
                <w:sz w:val="16"/>
                <w:szCs w:val="16"/>
                <w:color w:val="auto"/>
                <w:w w:val="89"/>
              </w:rPr>
              <w:t>(“</w:t>
            </w:r>
            <w:r>
              <w:rPr>
                <w:rFonts w:ascii="Arial" w:cs="Arial" w:eastAsia="Arial" w:hAnsi="Arial"/>
                <w:sz w:val="16"/>
                <w:szCs w:val="16"/>
                <w:b w:val="1"/>
                <w:bCs w:val="1"/>
                <w:color w:val="auto"/>
                <w:w w:val="89"/>
              </w:rPr>
              <w:t>Regulation M</w:t>
            </w:r>
            <w:r>
              <w:rPr>
                <w:rFonts w:ascii="Arial" w:cs="Arial" w:eastAsia="Arial" w:hAnsi="Arial"/>
                <w:sz w:val="16"/>
                <w:szCs w:val="16"/>
                <w:color w:val="auto"/>
                <w:w w:val="89"/>
              </w:rPr>
              <w:t>”) or that the “restricted period” in respect of such distribution has not yet been completed; or (ii) Bank reasonably concludes, in</w:t>
            </w: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0"/>
              </w:rPr>
              <w:t>its sole discretion, that it is appropriate with respect to any legal, regulatory or self-regulatory requirements or related policies and procedures</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1"/>
              </w:rPr>
              <w:t>(whether or not such requirements, policies or procedures are imposed by law or have been voluntarily adopted by Bank), including without</w:t>
            </w: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rPr>
              <w:t>limitation any third-party tender offer, for it to refrain from purchasing Shares during any part of the Valuation Period.</w:t>
            </w:r>
          </w:p>
        </w:tc>
      </w:tr>
      <w:tr>
        <w:trPr>
          <w:trHeight w:val="314"/>
        </w:trPr>
        <w:tc>
          <w:tcPr>
            <w:tcW w:w="2380" w:type="dxa"/>
            <w:vAlign w:val="bottom"/>
            <w:gridSpan w:val="4"/>
          </w:tcPr>
          <w:p>
            <w:pPr>
              <w:spacing w:after="0"/>
              <w:rPr>
                <w:sz w:val="20"/>
                <w:szCs w:val="20"/>
                <w:color w:val="auto"/>
              </w:rPr>
            </w:pPr>
            <w:r>
              <w:rPr>
                <w:rFonts w:ascii="Arial" w:cs="Arial" w:eastAsia="Arial" w:hAnsi="Arial"/>
                <w:sz w:val="16"/>
                <w:szCs w:val="16"/>
                <w:color w:val="auto"/>
              </w:rPr>
              <w:t>Exclusion Mechanics:</w:t>
            </w:r>
          </w:p>
        </w:tc>
        <w:tc>
          <w:tcPr>
            <w:tcW w:w="9060" w:type="dxa"/>
            <w:vAlign w:val="bottom"/>
            <w:gridSpan w:val="16"/>
          </w:tcPr>
          <w:p>
            <w:pPr>
              <w:spacing w:after="0"/>
              <w:rPr>
                <w:sz w:val="20"/>
                <w:szCs w:val="20"/>
                <w:color w:val="auto"/>
              </w:rPr>
            </w:pPr>
            <w:r>
              <w:rPr>
                <w:rFonts w:ascii="Arial" w:cs="Arial" w:eastAsia="Arial" w:hAnsi="Arial"/>
                <w:sz w:val="16"/>
                <w:szCs w:val="16"/>
                <w:color w:val="auto"/>
                <w:w w:val="89"/>
              </w:rPr>
              <w:t>For each Transaction, with respect to each Suspension Event Day and Disrupted Day (each, an “</w:t>
            </w:r>
            <w:r>
              <w:rPr>
                <w:rFonts w:ascii="Arial" w:cs="Arial" w:eastAsia="Arial" w:hAnsi="Arial"/>
                <w:sz w:val="16"/>
                <w:szCs w:val="16"/>
                <w:b w:val="1"/>
                <w:bCs w:val="1"/>
                <w:color w:val="auto"/>
                <w:w w:val="89"/>
              </w:rPr>
              <w:t>Exclusion Day</w:t>
            </w:r>
            <w:r>
              <w:rPr>
                <w:rFonts w:ascii="Arial" w:cs="Arial" w:eastAsia="Arial" w:hAnsi="Arial"/>
                <w:sz w:val="16"/>
                <w:szCs w:val="16"/>
                <w:color w:val="auto"/>
                <w:w w:val="89"/>
              </w:rPr>
              <w:t>”), the Calculation Agent must</w:t>
            </w: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1"/>
              </w:rPr>
              <w:t>determine whether (i) such Exclusion Day should be excluded in full, in which case such Exclusion Day shall not be included for purposes of</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1"/>
              </w:rPr>
              <w:t>determining the Settlement Price for such Transaction, or (ii) such Exclusion Day should only be partially excluded, in which case the VWAP</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1"/>
              </w:rPr>
              <w:t>Price for such Exclusion Day shall be determined by the Calculation Agent based on Rule 10b-18 eligible transactions in the Shares on such</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1"/>
              </w:rPr>
              <w:t>Exclusion Day effected during the portion of the Scheduled Trading Day unaffected by such event or events, and the weighting of the VWAP</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5"/>
              </w:rPr>
              <w:t>Prices for the relevant Scheduled Trading Days during the Valuation Period shall be adjusted by the Calculation Agent for purposes of</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89"/>
              </w:rPr>
              <w:t>determining the Settlement Price for such Transaction. If a Disrupted Day occurs d uring the Valuation Period, and each of the nine immediately</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89"/>
              </w:rPr>
              <w:t>following Scheduled Trading Days is a Disrupted Day, then the Calculation Agent, in its discretion, may either (i) determine the VWAP Price for</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0"/>
              </w:rPr>
              <w:t>such ninth Scheduled Trading Day and adjust the weighting of the VWAP Prices for the relevant Scheduled Trading Days during the Valuation</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87"/>
              </w:rPr>
              <w:t>Period as it deems appropriate for purposes of determining the Settlement Price for such Transaction based on, among other factors, the duration</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2"/>
              </w:rPr>
              <w:t>of any Market Disruption Event and the volume, historical trading patterns and price of the Shares or (ii) disregard such day for purposes of</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89"/>
              </w:rPr>
              <w:t>determining the Settlement Price for such Transaction and further postpone the Valuation Date for such Transaction, in either case, as it deems</w:t>
            </w: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rPr>
              <w:t>appropriate to determine the VWAP Price.</w:t>
            </w:r>
          </w:p>
        </w:tc>
      </w:tr>
      <w:tr>
        <w:trPr>
          <w:trHeight w:val="337"/>
        </w:trPr>
        <w:tc>
          <w:tcPr>
            <w:tcW w:w="2380" w:type="dxa"/>
            <w:vAlign w:val="bottom"/>
            <w:gridSpan w:val="4"/>
          </w:tcPr>
          <w:p>
            <w:pPr>
              <w:spacing w:after="0"/>
              <w:rPr>
                <w:sz w:val="20"/>
                <w:szCs w:val="20"/>
                <w:color w:val="auto"/>
              </w:rPr>
            </w:pPr>
            <w:r>
              <w:rPr>
                <w:rFonts w:ascii="Arial" w:cs="Arial" w:eastAsia="Arial" w:hAnsi="Arial"/>
                <w:sz w:val="16"/>
                <w:szCs w:val="16"/>
                <w:color w:val="auto"/>
              </w:rPr>
              <w:t>Valuation Date:</w:t>
            </w:r>
          </w:p>
        </w:tc>
        <w:tc>
          <w:tcPr>
            <w:tcW w:w="9060" w:type="dxa"/>
            <w:vAlign w:val="bottom"/>
            <w:gridSpan w:val="16"/>
          </w:tcPr>
          <w:p>
            <w:pPr>
              <w:spacing w:after="0"/>
              <w:rPr>
                <w:sz w:val="20"/>
                <w:szCs w:val="20"/>
                <w:color w:val="auto"/>
              </w:rPr>
            </w:pPr>
            <w:r>
              <w:rPr>
                <w:rFonts w:ascii="Arial" w:cs="Arial" w:eastAsia="Arial" w:hAnsi="Arial"/>
                <w:sz w:val="16"/>
                <w:szCs w:val="16"/>
                <w:color w:val="auto"/>
                <w:w w:val="87"/>
              </w:rPr>
              <w:t>For each Transaction, the earlier to occur of the date as set forth in the Supplemental Confirmation (as the same may be postponed in accordance</w:t>
            </w:r>
          </w:p>
        </w:tc>
      </w:tr>
      <w:tr>
        <w:trPr>
          <w:trHeight w:val="169"/>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60" w:type="dxa"/>
            <w:vAlign w:val="bottom"/>
            <w:gridSpan w:val="16"/>
          </w:tcPr>
          <w:p>
            <w:pPr>
              <w:spacing w:after="0" w:line="169" w:lineRule="exact"/>
              <w:rPr>
                <w:sz w:val="20"/>
                <w:szCs w:val="20"/>
                <w:color w:val="auto"/>
              </w:rPr>
            </w:pPr>
            <w:r>
              <w:rPr>
                <w:rFonts w:ascii="Arial" w:cs="Arial" w:eastAsia="Arial" w:hAnsi="Arial"/>
                <w:sz w:val="16"/>
                <w:szCs w:val="16"/>
                <w:color w:val="auto"/>
              </w:rPr>
              <w:t>with the provisions hereof) (the “</w:t>
            </w:r>
            <w:r>
              <w:rPr>
                <w:rFonts w:ascii="Arial" w:cs="Arial" w:eastAsia="Arial" w:hAnsi="Arial"/>
                <w:sz w:val="16"/>
                <w:szCs w:val="16"/>
                <w:b w:val="1"/>
                <w:bCs w:val="1"/>
                <w:color w:val="auto"/>
              </w:rPr>
              <w:t>Scheduled Valuation Date</w:t>
            </w:r>
            <w:r>
              <w:rPr>
                <w:rFonts w:ascii="Arial" w:cs="Arial" w:eastAsia="Arial" w:hAnsi="Arial"/>
                <w:sz w:val="16"/>
                <w:szCs w:val="16"/>
                <w:color w:val="auto"/>
              </w:rPr>
              <w:t>”) and any Accelerated Valuation Date for such Transaction.</w:t>
            </w:r>
          </w:p>
        </w:tc>
      </w:tr>
      <w:tr>
        <w:trPr>
          <w:trHeight w:val="20"/>
        </w:trPr>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r>
      <w:tr>
        <w:trPr>
          <w:trHeight w:val="367"/>
        </w:trPr>
        <w:tc>
          <w:tcPr>
            <w:tcW w:w="2380" w:type="dxa"/>
            <w:vAlign w:val="bottom"/>
            <w:gridSpan w:val="4"/>
          </w:tcPr>
          <w:p>
            <w:pPr>
              <w:spacing w:after="0"/>
              <w:rPr>
                <w:sz w:val="20"/>
                <w:szCs w:val="20"/>
                <w:color w:val="auto"/>
              </w:rPr>
            </w:pPr>
            <w:r>
              <w:rPr>
                <w:rFonts w:ascii="Arial" w:cs="Arial" w:eastAsia="Arial" w:hAnsi="Arial"/>
                <w:sz w:val="16"/>
                <w:szCs w:val="16"/>
                <w:color w:val="auto"/>
              </w:rPr>
              <w:t>Accelerated Valuation Date:</w:t>
            </w:r>
          </w:p>
        </w:tc>
        <w:tc>
          <w:tcPr>
            <w:tcW w:w="9060" w:type="dxa"/>
            <w:vAlign w:val="bottom"/>
            <w:gridSpan w:val="16"/>
          </w:tcPr>
          <w:p>
            <w:pPr>
              <w:spacing w:after="0"/>
              <w:rPr>
                <w:sz w:val="20"/>
                <w:szCs w:val="20"/>
                <w:color w:val="auto"/>
              </w:rPr>
            </w:pPr>
            <w:r>
              <w:rPr>
                <w:rFonts w:ascii="Arial" w:cs="Arial" w:eastAsia="Arial" w:hAnsi="Arial"/>
                <w:sz w:val="16"/>
                <w:szCs w:val="16"/>
                <w:color w:val="auto"/>
                <w:w w:val="89"/>
              </w:rPr>
              <w:t>For each Transaction, any date, occurring on or after the First Acceleration Date but prior to the Scheduled Valuation Date, designated by Bank</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0"/>
              </w:rPr>
              <w:t>to be the Valuation Date; Bank shall notify Counterparty of such designation prior to the opening of trading on the Exchange on the Scheduled</w:t>
            </w: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rPr>
              <w:t>Trading Day immediately following such Accelerated Valuation Date.</w:t>
            </w:r>
          </w:p>
        </w:tc>
      </w:tr>
      <w:tr>
        <w:trPr>
          <w:trHeight w:val="348"/>
        </w:trPr>
        <w:tc>
          <w:tcPr>
            <w:tcW w:w="2380" w:type="dxa"/>
            <w:vAlign w:val="bottom"/>
            <w:gridSpan w:val="4"/>
          </w:tcPr>
          <w:p>
            <w:pPr>
              <w:spacing w:after="0"/>
              <w:rPr>
                <w:sz w:val="20"/>
                <w:szCs w:val="20"/>
                <w:color w:val="auto"/>
              </w:rPr>
            </w:pPr>
            <w:r>
              <w:rPr>
                <w:rFonts w:ascii="Arial" w:cs="Arial" w:eastAsia="Arial" w:hAnsi="Arial"/>
                <w:sz w:val="16"/>
                <w:szCs w:val="16"/>
                <w:color w:val="auto"/>
              </w:rPr>
              <w:t>First Acceleration Date:</w:t>
            </w:r>
          </w:p>
        </w:tc>
        <w:tc>
          <w:tcPr>
            <w:tcW w:w="9060" w:type="dxa"/>
            <w:vAlign w:val="bottom"/>
            <w:gridSpan w:val="16"/>
          </w:tcPr>
          <w:p>
            <w:pPr>
              <w:spacing w:after="0"/>
              <w:rPr>
                <w:sz w:val="20"/>
                <w:szCs w:val="20"/>
                <w:color w:val="auto"/>
              </w:rPr>
            </w:pPr>
            <w:r>
              <w:rPr>
                <w:rFonts w:ascii="Arial" w:cs="Arial" w:eastAsia="Arial" w:hAnsi="Arial"/>
                <w:sz w:val="16"/>
                <w:szCs w:val="16"/>
                <w:color w:val="auto"/>
              </w:rPr>
              <w:t>For each Transaction, as set forth in the Supplemental Confirmation.</w:t>
            </w:r>
          </w:p>
        </w:tc>
      </w:tr>
      <w:tr>
        <w:trPr>
          <w:trHeight w:val="314"/>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5"/>
              </w:rPr>
              <w:t>Settlement Terms:</w:t>
            </w:r>
          </w:p>
        </w:tc>
        <w:tc>
          <w:tcPr>
            <w:tcW w:w="11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4"/>
        </w:trPr>
        <w:tc>
          <w:tcPr>
            <w:tcW w:w="2380" w:type="dxa"/>
            <w:vAlign w:val="bottom"/>
            <w:gridSpan w:val="4"/>
          </w:tcPr>
          <w:p>
            <w:pPr>
              <w:spacing w:after="0"/>
              <w:rPr>
                <w:sz w:val="20"/>
                <w:szCs w:val="20"/>
                <w:color w:val="auto"/>
              </w:rPr>
            </w:pPr>
            <w:r>
              <w:rPr>
                <w:rFonts w:ascii="Arial" w:cs="Arial" w:eastAsia="Arial" w:hAnsi="Arial"/>
                <w:sz w:val="16"/>
                <w:szCs w:val="16"/>
                <w:color w:val="auto"/>
              </w:rPr>
              <w:t>Physical Settlement:</w:t>
            </w:r>
          </w:p>
        </w:tc>
        <w:tc>
          <w:tcPr>
            <w:tcW w:w="9060" w:type="dxa"/>
            <w:vAlign w:val="bottom"/>
            <w:gridSpan w:val="16"/>
          </w:tcPr>
          <w:p>
            <w:pPr>
              <w:spacing w:after="0"/>
              <w:rPr>
                <w:sz w:val="20"/>
                <w:szCs w:val="20"/>
                <w:color w:val="auto"/>
              </w:rPr>
            </w:pPr>
            <w:r>
              <w:rPr>
                <w:rFonts w:ascii="Arial" w:cs="Arial" w:eastAsia="Arial" w:hAnsi="Arial"/>
                <w:sz w:val="16"/>
                <w:szCs w:val="16"/>
                <w:color w:val="auto"/>
              </w:rPr>
              <w:t>Applicable</w:t>
            </w:r>
          </w:p>
        </w:tc>
      </w:tr>
      <w:tr>
        <w:trPr>
          <w:trHeight w:val="348"/>
        </w:trPr>
        <w:tc>
          <w:tcPr>
            <w:tcW w:w="2380" w:type="dxa"/>
            <w:vAlign w:val="bottom"/>
            <w:gridSpan w:val="4"/>
          </w:tcPr>
          <w:p>
            <w:pPr>
              <w:spacing w:after="0"/>
              <w:rPr>
                <w:sz w:val="20"/>
                <w:szCs w:val="20"/>
                <w:color w:val="auto"/>
              </w:rPr>
            </w:pPr>
            <w:r>
              <w:rPr>
                <w:rFonts w:ascii="Arial" w:cs="Arial" w:eastAsia="Arial" w:hAnsi="Arial"/>
                <w:sz w:val="16"/>
                <w:szCs w:val="16"/>
                <w:color w:val="auto"/>
              </w:rPr>
              <w:t>Settlement Currency:</w:t>
            </w:r>
          </w:p>
        </w:tc>
        <w:tc>
          <w:tcPr>
            <w:tcW w:w="9060" w:type="dxa"/>
            <w:vAlign w:val="bottom"/>
            <w:gridSpan w:val="16"/>
          </w:tcPr>
          <w:p>
            <w:pPr>
              <w:spacing w:after="0"/>
              <w:rPr>
                <w:sz w:val="20"/>
                <w:szCs w:val="20"/>
                <w:color w:val="auto"/>
              </w:rPr>
            </w:pPr>
            <w:r>
              <w:rPr>
                <w:rFonts w:ascii="Arial" w:cs="Arial" w:eastAsia="Arial" w:hAnsi="Arial"/>
                <w:sz w:val="16"/>
                <w:szCs w:val="16"/>
                <w:color w:val="auto"/>
              </w:rPr>
              <w:t>USD</w:t>
            </w:r>
          </w:p>
        </w:tc>
      </w:tr>
      <w:tr>
        <w:trPr>
          <w:trHeight w:val="348"/>
        </w:trPr>
        <w:tc>
          <w:tcPr>
            <w:tcW w:w="2380" w:type="dxa"/>
            <w:vAlign w:val="bottom"/>
            <w:gridSpan w:val="4"/>
          </w:tcPr>
          <w:p>
            <w:pPr>
              <w:spacing w:after="0"/>
              <w:rPr>
                <w:sz w:val="20"/>
                <w:szCs w:val="20"/>
                <w:color w:val="auto"/>
              </w:rPr>
            </w:pPr>
            <w:r>
              <w:rPr>
                <w:rFonts w:ascii="Arial" w:cs="Arial" w:eastAsia="Arial" w:hAnsi="Arial"/>
                <w:sz w:val="16"/>
                <w:szCs w:val="16"/>
                <w:color w:val="auto"/>
              </w:rPr>
              <w:t>Settlement Method Election:</w:t>
            </w:r>
          </w:p>
        </w:tc>
        <w:tc>
          <w:tcPr>
            <w:tcW w:w="9060" w:type="dxa"/>
            <w:vAlign w:val="bottom"/>
            <w:gridSpan w:val="16"/>
          </w:tcPr>
          <w:p>
            <w:pPr>
              <w:spacing w:after="0"/>
              <w:rPr>
                <w:sz w:val="20"/>
                <w:szCs w:val="20"/>
                <w:color w:val="auto"/>
              </w:rPr>
            </w:pPr>
            <w:r>
              <w:rPr>
                <w:rFonts w:ascii="Arial" w:cs="Arial" w:eastAsia="Arial" w:hAnsi="Arial"/>
                <w:sz w:val="16"/>
                <w:szCs w:val="16"/>
                <w:color w:val="auto"/>
              </w:rPr>
              <w:t>Not Applicable</w:t>
            </w:r>
          </w:p>
        </w:tc>
      </w:tr>
      <w:tr>
        <w:trPr>
          <w:trHeight w:val="353"/>
        </w:trPr>
        <w:tc>
          <w:tcPr>
            <w:tcW w:w="2380" w:type="dxa"/>
            <w:vAlign w:val="bottom"/>
            <w:gridSpan w:val="4"/>
          </w:tcPr>
          <w:p>
            <w:pPr>
              <w:spacing w:after="0"/>
              <w:rPr>
                <w:sz w:val="20"/>
                <w:szCs w:val="20"/>
                <w:color w:val="auto"/>
              </w:rPr>
            </w:pPr>
            <w:r>
              <w:rPr>
                <w:rFonts w:ascii="Arial" w:cs="Arial" w:eastAsia="Arial" w:hAnsi="Arial"/>
                <w:sz w:val="16"/>
                <w:szCs w:val="16"/>
                <w:color w:val="auto"/>
              </w:rPr>
              <w:t>Settlement Price:</w:t>
            </w:r>
          </w:p>
        </w:tc>
        <w:tc>
          <w:tcPr>
            <w:tcW w:w="9060" w:type="dxa"/>
            <w:vAlign w:val="bottom"/>
            <w:gridSpan w:val="16"/>
          </w:tcPr>
          <w:p>
            <w:pPr>
              <w:spacing w:after="0"/>
              <w:rPr>
                <w:sz w:val="20"/>
                <w:szCs w:val="20"/>
                <w:color w:val="auto"/>
              </w:rPr>
            </w:pPr>
            <w:r>
              <w:rPr>
                <w:rFonts w:ascii="Arial" w:cs="Arial" w:eastAsia="Arial" w:hAnsi="Arial"/>
                <w:sz w:val="16"/>
                <w:szCs w:val="16"/>
                <w:color w:val="auto"/>
                <w:w w:val="91"/>
              </w:rPr>
              <w:t>The arithmetic mean of the VWAP Prices of the Shares for each Scheduled Trading Day in the Valuation Period minus the Settlement Price</w:t>
            </w: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rPr>
              <w:t>Adjustment Amount.</w:t>
            </w:r>
          </w:p>
        </w:tc>
      </w:tr>
      <w:tr>
        <w:trPr>
          <w:trHeight w:val="341"/>
        </w:trPr>
        <w:tc>
          <w:tcPr>
            <w:tcW w:w="2380" w:type="dxa"/>
            <w:vAlign w:val="bottom"/>
            <w:gridSpan w:val="4"/>
          </w:tcPr>
          <w:p>
            <w:pPr>
              <w:spacing w:after="0"/>
              <w:rPr>
                <w:sz w:val="20"/>
                <w:szCs w:val="20"/>
                <w:color w:val="auto"/>
              </w:rPr>
            </w:pPr>
            <w:r>
              <w:rPr>
                <w:rFonts w:ascii="Arial" w:cs="Arial" w:eastAsia="Arial" w:hAnsi="Arial"/>
                <w:sz w:val="16"/>
                <w:szCs w:val="16"/>
                <w:color w:val="auto"/>
              </w:rPr>
              <w:t>Settlement Price Adjustment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2380" w:type="dxa"/>
            <w:vAlign w:val="bottom"/>
            <w:gridSpan w:val="4"/>
          </w:tcPr>
          <w:p>
            <w:pPr>
              <w:spacing w:after="0"/>
              <w:rPr>
                <w:sz w:val="20"/>
                <w:szCs w:val="20"/>
                <w:color w:val="auto"/>
              </w:rPr>
            </w:pPr>
            <w:r>
              <w:rPr>
                <w:rFonts w:ascii="Arial" w:cs="Arial" w:eastAsia="Arial" w:hAnsi="Arial"/>
                <w:sz w:val="16"/>
                <w:szCs w:val="16"/>
                <w:color w:val="auto"/>
              </w:rPr>
              <w:t>Amount:</w:t>
            </w:r>
          </w:p>
        </w:tc>
        <w:tc>
          <w:tcPr>
            <w:tcW w:w="9060" w:type="dxa"/>
            <w:vAlign w:val="bottom"/>
            <w:gridSpan w:val="16"/>
          </w:tcPr>
          <w:p>
            <w:pPr>
              <w:spacing w:after="0"/>
              <w:rPr>
                <w:sz w:val="20"/>
                <w:szCs w:val="20"/>
                <w:color w:val="auto"/>
              </w:rPr>
            </w:pPr>
            <w:r>
              <w:rPr>
                <w:rFonts w:ascii="Arial" w:cs="Arial" w:eastAsia="Arial" w:hAnsi="Arial"/>
                <w:sz w:val="16"/>
                <w:szCs w:val="16"/>
                <w:color w:val="auto"/>
              </w:rPr>
              <w:t>For each Transaction, as set forth in the corresponding Supplemental Confirmation.</w:t>
            </w:r>
          </w:p>
        </w:tc>
      </w:tr>
      <w:tr>
        <w:trPr>
          <w:trHeight w:val="341"/>
        </w:trPr>
        <w:tc>
          <w:tcPr>
            <w:tcW w:w="2380" w:type="dxa"/>
            <w:vAlign w:val="bottom"/>
            <w:gridSpan w:val="4"/>
          </w:tcPr>
          <w:p>
            <w:pPr>
              <w:spacing w:after="0"/>
              <w:rPr>
                <w:sz w:val="20"/>
                <w:szCs w:val="20"/>
                <w:color w:val="auto"/>
              </w:rPr>
            </w:pPr>
            <w:r>
              <w:rPr>
                <w:rFonts w:ascii="Arial" w:cs="Arial" w:eastAsia="Arial" w:hAnsi="Arial"/>
                <w:sz w:val="16"/>
                <w:szCs w:val="16"/>
                <w:color w:val="auto"/>
              </w:rPr>
              <w:t>Number of Shares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2380" w:type="dxa"/>
            <w:vAlign w:val="bottom"/>
            <w:gridSpan w:val="4"/>
          </w:tcPr>
          <w:p>
            <w:pPr>
              <w:spacing w:after="0"/>
              <w:rPr>
                <w:sz w:val="20"/>
                <w:szCs w:val="20"/>
                <w:color w:val="auto"/>
              </w:rPr>
            </w:pPr>
            <w:r>
              <w:rPr>
                <w:rFonts w:ascii="Arial" w:cs="Arial" w:eastAsia="Arial" w:hAnsi="Arial"/>
                <w:sz w:val="16"/>
                <w:szCs w:val="16"/>
                <w:color w:val="auto"/>
              </w:rPr>
              <w:t>to be Delivered:</w:t>
            </w:r>
          </w:p>
        </w:tc>
        <w:tc>
          <w:tcPr>
            <w:tcW w:w="9060" w:type="dxa"/>
            <w:vAlign w:val="bottom"/>
            <w:gridSpan w:val="16"/>
          </w:tcPr>
          <w:p>
            <w:pPr>
              <w:spacing w:after="0"/>
              <w:rPr>
                <w:sz w:val="20"/>
                <w:szCs w:val="20"/>
                <w:color w:val="auto"/>
              </w:rPr>
            </w:pPr>
            <w:r>
              <w:rPr>
                <w:rFonts w:ascii="Arial" w:cs="Arial" w:eastAsia="Arial" w:hAnsi="Arial"/>
                <w:sz w:val="16"/>
                <w:szCs w:val="16"/>
                <w:color w:val="auto"/>
                <w:w w:val="94"/>
              </w:rPr>
              <w:t>A number of Shares equal to (i) the Number of Shares, minus (ii) the sum of (A) Initial Share Delivery and (B) Additional Share Delivery;</w:t>
            </w: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rPr>
              <w:t>provided, however, that the Number of Shares to be Delivered cannot be less than zero.</w:t>
            </w:r>
          </w:p>
        </w:tc>
      </w:tr>
      <w:tr>
        <w:trPr>
          <w:trHeight w:val="353"/>
        </w:trPr>
        <w:tc>
          <w:tcPr>
            <w:tcW w:w="2380" w:type="dxa"/>
            <w:vAlign w:val="bottom"/>
            <w:gridSpan w:val="4"/>
          </w:tcPr>
          <w:p>
            <w:pPr>
              <w:spacing w:after="0"/>
              <w:rPr>
                <w:sz w:val="20"/>
                <w:szCs w:val="20"/>
                <w:color w:val="auto"/>
              </w:rPr>
            </w:pPr>
            <w:r>
              <w:rPr>
                <w:rFonts w:ascii="Arial" w:cs="Arial" w:eastAsia="Arial" w:hAnsi="Arial"/>
                <w:sz w:val="16"/>
                <w:szCs w:val="16"/>
                <w:color w:val="auto"/>
              </w:rPr>
              <w:t>VWAP Price:</w:t>
            </w:r>
          </w:p>
        </w:tc>
        <w:tc>
          <w:tcPr>
            <w:tcW w:w="9060" w:type="dxa"/>
            <w:vAlign w:val="bottom"/>
            <w:gridSpan w:val="16"/>
          </w:tcPr>
          <w:p>
            <w:pPr>
              <w:spacing w:after="0"/>
              <w:rPr>
                <w:sz w:val="20"/>
                <w:szCs w:val="20"/>
                <w:color w:val="auto"/>
              </w:rPr>
            </w:pPr>
            <w:r>
              <w:rPr>
                <w:rFonts w:ascii="Arial" w:cs="Arial" w:eastAsia="Arial" w:hAnsi="Arial"/>
                <w:sz w:val="16"/>
                <w:szCs w:val="16"/>
                <w:color w:val="auto"/>
                <w:w w:val="91"/>
              </w:rPr>
              <w:t>The Rule 10b-18 daily volume weighted average price per Share.  For the purpose of calculating the VWAP Price, the Calculation Agent will</w:t>
            </w:r>
          </w:p>
        </w:tc>
      </w:tr>
      <w:tr>
        <w:trPr>
          <w:trHeight w:val="188"/>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88"/>
              </w:rPr>
              <w:t>include only those trades which are reported during the period of time during which Counterparty could purchase its own shares under Rule 10b-</w:t>
            </w:r>
          </w:p>
        </w:tc>
      </w:tr>
      <w:tr>
        <w:trPr>
          <w:trHeight w:val="169"/>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60" w:type="dxa"/>
            <w:vAlign w:val="bottom"/>
            <w:gridSpan w:val="16"/>
          </w:tcPr>
          <w:p>
            <w:pPr>
              <w:spacing w:after="0" w:line="169" w:lineRule="exact"/>
              <w:rPr>
                <w:sz w:val="20"/>
                <w:szCs w:val="20"/>
                <w:color w:val="auto"/>
              </w:rPr>
            </w:pPr>
            <w:r>
              <w:rPr>
                <w:rFonts w:ascii="Arial" w:cs="Arial" w:eastAsia="Arial" w:hAnsi="Arial"/>
                <w:sz w:val="16"/>
                <w:szCs w:val="16"/>
                <w:color w:val="auto"/>
                <w:w w:val="88"/>
              </w:rPr>
              <w:t>18(b)(2) under the Securities Exchange Act of 1934, as amended (the “</w:t>
            </w:r>
            <w:r>
              <w:rPr>
                <w:rFonts w:ascii="Arial" w:cs="Arial" w:eastAsia="Arial" w:hAnsi="Arial"/>
                <w:sz w:val="16"/>
                <w:szCs w:val="16"/>
                <w:b w:val="1"/>
                <w:bCs w:val="1"/>
                <w:color w:val="auto"/>
                <w:w w:val="88"/>
              </w:rPr>
              <w:t>Exchange Act</w:t>
            </w:r>
            <w:r>
              <w:rPr>
                <w:rFonts w:ascii="Arial" w:cs="Arial" w:eastAsia="Arial" w:hAnsi="Arial"/>
                <w:sz w:val="16"/>
                <w:szCs w:val="16"/>
                <w:color w:val="auto"/>
                <w:w w:val="88"/>
              </w:rPr>
              <w:t>”), and pursuant to the conditions of Rule 10b-18(b)(3) and</w:t>
            </w: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1"/>
              </w:rPr>
              <w:t>(b)(4) under the Exchange Act.  Counterparty acknowledges that Bank may refer to the Bloomberg Page “SRE &lt;Equity&gt; AQR SEC” (or any</w:t>
            </w: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rPr>
              <w:t>successor thereto), in its discretion, to determine the VWAP Price.</w:t>
            </w:r>
          </w:p>
        </w:tc>
      </w:tr>
      <w:tr>
        <w:trPr>
          <w:trHeight w:val="314"/>
        </w:trPr>
        <w:tc>
          <w:tcPr>
            <w:tcW w:w="2380" w:type="dxa"/>
            <w:vAlign w:val="bottom"/>
            <w:gridSpan w:val="4"/>
          </w:tcPr>
          <w:p>
            <w:pPr>
              <w:spacing w:after="0"/>
              <w:rPr>
                <w:sz w:val="20"/>
                <w:szCs w:val="20"/>
                <w:color w:val="auto"/>
              </w:rPr>
            </w:pPr>
            <w:r>
              <w:rPr>
                <w:rFonts w:ascii="Arial" w:cs="Arial" w:eastAsia="Arial" w:hAnsi="Arial"/>
                <w:sz w:val="16"/>
                <w:szCs w:val="16"/>
                <w:b w:val="1"/>
                <w:bCs w:val="1"/>
                <w:color w:val="auto"/>
              </w:rPr>
              <w:t>Share Adjustments: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320" w:type="dxa"/>
            <w:vAlign w:val="bottom"/>
            <w:gridSpan w:val="3"/>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60" w:type="dxa"/>
            <w:vAlign w:val="bottom"/>
            <w:gridSpan w:val="16"/>
          </w:tcPr>
          <w:p>
            <w:pPr>
              <w:spacing w:after="0" w:line="20" w:lineRule="exact"/>
              <w:rPr>
                <w:sz w:val="1"/>
                <w:szCs w:val="1"/>
                <w:color w:val="auto"/>
              </w:rPr>
            </w:pPr>
          </w:p>
        </w:tc>
      </w:tr>
      <w:tr>
        <w:trPr>
          <w:trHeight w:val="355"/>
        </w:trPr>
        <w:tc>
          <w:tcPr>
            <w:tcW w:w="2380" w:type="dxa"/>
            <w:vAlign w:val="bottom"/>
            <w:gridSpan w:val="4"/>
          </w:tcPr>
          <w:p>
            <w:pPr>
              <w:spacing w:after="0"/>
              <w:rPr>
                <w:sz w:val="20"/>
                <w:szCs w:val="20"/>
                <w:color w:val="auto"/>
              </w:rPr>
            </w:pPr>
            <w:r>
              <w:rPr>
                <w:rFonts w:ascii="Arial" w:cs="Arial" w:eastAsia="Arial" w:hAnsi="Arial"/>
                <w:sz w:val="16"/>
                <w:szCs w:val="16"/>
                <w:color w:val="auto"/>
              </w:rPr>
              <w:t>Method of Adjustment:</w:t>
            </w:r>
          </w:p>
        </w:tc>
        <w:tc>
          <w:tcPr>
            <w:tcW w:w="9060" w:type="dxa"/>
            <w:vAlign w:val="bottom"/>
            <w:gridSpan w:val="16"/>
          </w:tcPr>
          <w:p>
            <w:pPr>
              <w:spacing w:after="0"/>
              <w:rPr>
                <w:sz w:val="20"/>
                <w:szCs w:val="20"/>
                <w:color w:val="auto"/>
              </w:rPr>
            </w:pPr>
            <w:r>
              <w:rPr>
                <w:rFonts w:ascii="Arial" w:cs="Arial" w:eastAsia="Arial" w:hAnsi="Arial"/>
                <w:sz w:val="16"/>
                <w:szCs w:val="16"/>
                <w:color w:val="auto"/>
                <w:w w:val="89"/>
              </w:rPr>
              <w:t>Calculation Agent Adjustment; provided, however, that an Extraordinary Dividend occurring with respect to a Transaction shall be an Additional</w:t>
            </w:r>
          </w:p>
        </w:tc>
      </w:tr>
      <w:tr>
        <w:trPr>
          <w:trHeight w:val="192"/>
        </w:trPr>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w w:val="97"/>
              </w:rPr>
              <w:t>Termination Event under the Agreement with respect to such Transaction, with such Transaction being an Affected Transaction and</w:t>
            </w:r>
          </w:p>
        </w:tc>
      </w:tr>
      <w:tr>
        <w:trPr>
          <w:trHeight w:val="199"/>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60" w:type="dxa"/>
            <w:vAlign w:val="bottom"/>
            <w:gridSpan w:val="16"/>
          </w:tcPr>
          <w:p>
            <w:pPr>
              <w:spacing w:after="0"/>
              <w:rPr>
                <w:sz w:val="20"/>
                <w:szCs w:val="20"/>
                <w:color w:val="auto"/>
              </w:rPr>
            </w:pPr>
            <w:r>
              <w:rPr>
                <w:rFonts w:ascii="Arial" w:cs="Arial" w:eastAsia="Arial" w:hAnsi="Arial"/>
                <w:sz w:val="16"/>
                <w:szCs w:val="16"/>
                <w:color w:val="auto"/>
              </w:rPr>
              <w:t>Counterparty being the sole Affected Party.</w:t>
            </w:r>
          </w:p>
        </w:tc>
      </w:tr>
      <w:tr>
        <w:trPr>
          <w:trHeight w:val="360"/>
        </w:trPr>
        <w:tc>
          <w:tcPr>
            <w:tcW w:w="2380" w:type="dxa"/>
            <w:vAlign w:val="bottom"/>
            <w:gridSpan w:val="4"/>
          </w:tcPr>
          <w:p>
            <w:pPr>
              <w:spacing w:after="0"/>
              <w:rPr>
                <w:sz w:val="20"/>
                <w:szCs w:val="20"/>
                <w:color w:val="auto"/>
              </w:rPr>
            </w:pPr>
            <w:r>
              <w:rPr>
                <w:rFonts w:ascii="Arial" w:cs="Arial" w:eastAsia="Arial" w:hAnsi="Arial"/>
                <w:sz w:val="16"/>
                <w:szCs w:val="16"/>
                <w:color w:val="auto"/>
              </w:rPr>
              <w:t>Extraordinary Dividends: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86" w:orient="portrait"/>
          <w:cols w:equalWidth="0" w:num="1">
            <w:col w:w="11440"/>
          </w:cols>
          <w:pgMar w:left="240" w:top="131" w:right="219" w:bottom="0" w:gutter="0" w:footer="0" w:header="0"/>
        </w:sectPr>
      </w:pPr>
    </w:p>
    <w:bookmarkStart w:id="64" w:name="page65"/>
    <w:bookmarkEnd w:id="64"/>
    <w:p>
      <w:pPr>
        <w:ind w:left="2380"/>
        <w:spacing w:after="0"/>
        <w:rPr>
          <w:sz w:val="20"/>
          <w:szCs w:val="20"/>
          <w:color w:val="auto"/>
        </w:rPr>
      </w:pPr>
      <w:r>
        <w:rPr>
          <w:rFonts w:ascii="Arial" w:cs="Arial" w:eastAsia="Arial" w:hAnsi="Arial"/>
          <w:sz w:val="14"/>
          <w:szCs w:val="14"/>
          <w:color w:val="auto"/>
        </w:rPr>
        <w:t>Each dividend or distribution payment (other than any dividend or distribution of the type described in Section 11.2(e)(i) or Section 11.2(e)(ii)</w:t>
      </w:r>
    </w:p>
    <w:p>
      <w:pPr>
        <w:spacing w:after="0" w:line="38" w:lineRule="exact"/>
        <w:rPr>
          <w:sz w:val="20"/>
          <w:szCs w:val="20"/>
          <w:color w:val="auto"/>
        </w:rPr>
      </w:pPr>
    </w:p>
    <w:p>
      <w:pPr>
        <w:jc w:val="both"/>
        <w:ind w:left="2380" w:right="20" w:hanging="8"/>
        <w:spacing w:after="0" w:line="301" w:lineRule="auto"/>
        <w:tabs>
          <w:tab w:leader="none" w:pos="2658"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or (B) of the Equity Definitions) having an ex-dividend date from and including the Trade Date of a Transaction to but excluding the Valuation Date for such Transaction, </w:t>
      </w:r>
      <w:r>
        <w:rPr>
          <w:rFonts w:ascii="Arial" w:cs="Arial" w:eastAsia="Arial" w:hAnsi="Arial"/>
          <w:sz w:val="14"/>
          <w:szCs w:val="14"/>
          <w:u w:val="single" w:color="auto"/>
          <w:color w:val="auto"/>
        </w:rPr>
        <w:t>other than</w:t>
      </w:r>
      <w:r>
        <w:rPr>
          <w:rFonts w:ascii="Arial" w:cs="Arial" w:eastAsia="Arial" w:hAnsi="Arial"/>
          <w:sz w:val="14"/>
          <w:szCs w:val="14"/>
          <w:color w:val="auto"/>
        </w:rPr>
        <w:t xml:space="preserve"> the payment of the Ordinary Dividend Amount with an ex-dividend date occurring on each Scheduled Dividend Date. For the avoidance of doubt, the rescheduling of a Scheduled Dividend Date to an earlier date shall result in an Ordinary Dividend Amount payable with an ex-dividend date occurring on such rescheduled day becoming an Extraordinary Dividend.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220" w:type="dxa"/>
            <w:vAlign w:val="bottom"/>
            <w:gridSpan w:val="2"/>
          </w:tcPr>
          <w:p>
            <w:pPr>
              <w:spacing w:after="0"/>
              <w:rPr>
                <w:sz w:val="20"/>
                <w:szCs w:val="20"/>
                <w:color w:val="auto"/>
              </w:rPr>
            </w:pPr>
            <w:r>
              <w:rPr>
                <w:rFonts w:ascii="Arial" w:cs="Arial" w:eastAsia="Arial" w:hAnsi="Arial"/>
                <w:sz w:val="16"/>
                <w:szCs w:val="16"/>
                <w:color w:val="auto"/>
              </w:rPr>
              <w:t>Ordinary Dividend Amount:</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For each Transaction, as set forth in the corresponding Supplemental Confirmation.</w:t>
            </w:r>
          </w:p>
        </w:tc>
      </w:tr>
      <w:tr>
        <w:trPr>
          <w:trHeight w:val="360"/>
        </w:trPr>
        <w:tc>
          <w:tcPr>
            <w:tcW w:w="2220" w:type="dxa"/>
            <w:vAlign w:val="bottom"/>
            <w:gridSpan w:val="2"/>
          </w:tcPr>
          <w:p>
            <w:pPr>
              <w:spacing w:after="0"/>
              <w:rPr>
                <w:sz w:val="20"/>
                <w:szCs w:val="20"/>
                <w:color w:val="auto"/>
              </w:rPr>
            </w:pPr>
            <w:r>
              <w:rPr>
                <w:rFonts w:ascii="Arial" w:cs="Arial" w:eastAsia="Arial" w:hAnsi="Arial"/>
                <w:sz w:val="16"/>
                <w:szCs w:val="16"/>
                <w:color w:val="auto"/>
              </w:rPr>
              <w:t>Scheduled Dividend Dates:</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For each Transaction, as set forth in the corresponding Supplemental Confirmation.</w:t>
            </w:r>
          </w:p>
        </w:tc>
      </w:tr>
      <w:tr>
        <w:trPr>
          <w:trHeight w:val="314"/>
        </w:trPr>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Extraordinary Events:</w:t>
            </w:r>
          </w:p>
        </w:tc>
        <w:tc>
          <w:tcPr>
            <w:tcW w:w="6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62"/>
        </w:trPr>
        <w:tc>
          <w:tcPr>
            <w:tcW w:w="2220" w:type="dxa"/>
            <w:vAlign w:val="bottom"/>
            <w:gridSpan w:val="2"/>
          </w:tcPr>
          <w:p>
            <w:pPr>
              <w:spacing w:after="0"/>
              <w:rPr>
                <w:sz w:val="20"/>
                <w:szCs w:val="20"/>
                <w:color w:val="auto"/>
              </w:rPr>
            </w:pPr>
            <w:r>
              <w:rPr>
                <w:rFonts w:ascii="Arial" w:cs="Arial" w:eastAsia="Arial" w:hAnsi="Arial"/>
                <w:sz w:val="16"/>
                <w:szCs w:val="16"/>
                <w:color w:val="auto"/>
                <w:w w:val="92"/>
              </w:rPr>
              <w:t>Consequences of Merger Events:</w:t>
            </w:r>
          </w:p>
        </w:tc>
        <w:tc>
          <w:tcPr>
            <w:tcW w:w="6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Share-for-Share:</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Modified Calculation Agent Adjustment</w:t>
            </w:r>
          </w:p>
        </w:tc>
      </w:tr>
      <w:tr>
        <w:trPr>
          <w:trHeight w:val="341"/>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Share-for-Other:</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w w:val="90"/>
              </w:rPr>
              <w:t>Cancellation and Payment; for the avoidance of doubt, the value of any embedded optionality in the Transaction shall be taken into account in</w:t>
            </w:r>
          </w:p>
        </w:tc>
      </w:tr>
      <w:tr>
        <w:trPr>
          <w:trHeight w:val="199"/>
        </w:trPr>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determining the Cancellation Amount.</w:t>
            </w:r>
          </w:p>
        </w:tc>
      </w:tr>
      <w:tr>
        <w:trPr>
          <w:trHeight w:val="348"/>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Share-for-Combined:</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Component Adjustment</w:t>
            </w:r>
          </w:p>
        </w:tc>
      </w:tr>
      <w:tr>
        <w:trPr>
          <w:trHeight w:val="360"/>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Determining Party:</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Bank</w:t>
            </w:r>
          </w:p>
        </w:tc>
      </w:tr>
      <w:tr>
        <w:trPr>
          <w:trHeight w:val="348"/>
        </w:trPr>
        <w:tc>
          <w:tcPr>
            <w:tcW w:w="2220" w:type="dxa"/>
            <w:vAlign w:val="bottom"/>
            <w:gridSpan w:val="2"/>
          </w:tcPr>
          <w:p>
            <w:pPr>
              <w:spacing w:after="0"/>
              <w:rPr>
                <w:sz w:val="20"/>
                <w:szCs w:val="20"/>
                <w:color w:val="auto"/>
              </w:rPr>
            </w:pPr>
            <w:r>
              <w:rPr>
                <w:rFonts w:ascii="Arial" w:cs="Arial" w:eastAsia="Arial" w:hAnsi="Arial"/>
                <w:sz w:val="16"/>
                <w:szCs w:val="16"/>
                <w:color w:val="auto"/>
                <w:w w:val="94"/>
              </w:rPr>
              <w:t>Consequences of Tender Offers:</w:t>
            </w:r>
          </w:p>
        </w:tc>
        <w:tc>
          <w:tcPr>
            <w:tcW w:w="6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8"/>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Share-for-Share:</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Modified Calculation Agent Adjustment</w:t>
            </w:r>
          </w:p>
        </w:tc>
      </w:tr>
      <w:tr>
        <w:trPr>
          <w:trHeight w:val="353"/>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Share-for-Other:</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w w:val="90"/>
              </w:rPr>
              <w:t>Cancellation and Payment; for the avoidance of doubt, the value of any embedded optionality in the Transaction shall be taken into account in</w:t>
            </w:r>
          </w:p>
        </w:tc>
      </w:tr>
      <w:tr>
        <w:trPr>
          <w:trHeight w:val="199"/>
        </w:trPr>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determining the Cancellation Amount.</w:t>
            </w:r>
          </w:p>
        </w:tc>
      </w:tr>
      <w:tr>
        <w:trPr>
          <w:trHeight w:val="348"/>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Share-for-Combined:</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Component Adjustment</w:t>
            </w:r>
          </w:p>
        </w:tc>
      </w:tr>
      <w:tr>
        <w:trPr>
          <w:trHeight w:val="348"/>
        </w:trPr>
        <w:tc>
          <w:tcPr>
            <w:tcW w:w="2220" w:type="dxa"/>
            <w:vAlign w:val="bottom"/>
            <w:gridSpan w:val="2"/>
          </w:tcPr>
          <w:p>
            <w:pPr>
              <w:ind w:left="120"/>
              <w:spacing w:after="0"/>
              <w:rPr>
                <w:sz w:val="20"/>
                <w:szCs w:val="20"/>
                <w:color w:val="auto"/>
              </w:rPr>
            </w:pPr>
            <w:r>
              <w:rPr>
                <w:rFonts w:ascii="Arial" w:cs="Arial" w:eastAsia="Arial" w:hAnsi="Arial"/>
                <w:sz w:val="16"/>
                <w:szCs w:val="16"/>
                <w:color w:val="auto"/>
              </w:rPr>
              <w:t>Determining Party:</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Bank</w:t>
            </w:r>
          </w:p>
        </w:tc>
      </w:tr>
      <w:tr>
        <w:trPr>
          <w:trHeight w:val="353"/>
        </w:trPr>
        <w:tc>
          <w:tcPr>
            <w:tcW w:w="2220" w:type="dxa"/>
            <w:vAlign w:val="bottom"/>
            <w:gridSpan w:val="2"/>
          </w:tcPr>
          <w:p>
            <w:pPr>
              <w:spacing w:after="0"/>
              <w:rPr>
                <w:sz w:val="20"/>
                <w:szCs w:val="20"/>
                <w:color w:val="auto"/>
              </w:rPr>
            </w:pPr>
            <w:r>
              <w:rPr>
                <w:rFonts w:ascii="Arial" w:cs="Arial" w:eastAsia="Arial" w:hAnsi="Arial"/>
                <w:sz w:val="16"/>
                <w:szCs w:val="16"/>
                <w:color w:val="auto"/>
              </w:rPr>
              <w:t>New Share:</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w w:val="92"/>
              </w:rPr>
              <w:t>The definition of “New Shares” in Section 12.1 of the Equity Definitions shall be amended by inserting at the beginning of subsection (i) the</w:t>
            </w:r>
          </w:p>
        </w:tc>
      </w:tr>
      <w:tr>
        <w:trPr>
          <w:trHeight w:val="192"/>
        </w:trPr>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w w:val="91"/>
              </w:rPr>
              <w:t>following: “(i) where the Exchange is located in the United States, publicly quoted, traded or listed on the New York Stock Exchange or The</w:t>
            </w:r>
          </w:p>
        </w:tc>
      </w:tr>
      <w:tr>
        <w:trPr>
          <w:trHeight w:val="199"/>
        </w:trPr>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NASDAQ Global Select Market (or their respective successors) or otherwise,”.</w:t>
            </w:r>
          </w:p>
        </w:tc>
      </w:tr>
      <w:tr>
        <w:trPr>
          <w:trHeight w:val="341"/>
        </w:trPr>
        <w:tc>
          <w:tcPr>
            <w:tcW w:w="2220" w:type="dxa"/>
            <w:vAlign w:val="bottom"/>
            <w:gridSpan w:val="2"/>
          </w:tcPr>
          <w:p>
            <w:pPr>
              <w:spacing w:after="0"/>
              <w:rPr>
                <w:sz w:val="20"/>
                <w:szCs w:val="20"/>
                <w:color w:val="auto"/>
              </w:rPr>
            </w:pPr>
            <w:r>
              <w:rPr>
                <w:rFonts w:ascii="Arial" w:cs="Arial" w:eastAsia="Arial" w:hAnsi="Arial"/>
                <w:sz w:val="16"/>
                <w:szCs w:val="16"/>
                <w:color w:val="auto"/>
              </w:rPr>
              <w:t>Announcement Event:</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w w:val="90"/>
              </w:rPr>
              <w:t>If an Announcement Event occurs, the Calculation Agent will determine in good faith and in a commercially reasonable manner the economic</w:t>
            </w:r>
          </w:p>
        </w:tc>
      </w:tr>
      <w:tr>
        <w:trPr>
          <w:trHeight w:val="192"/>
        </w:trPr>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w w:val="90"/>
              </w:rPr>
              <w:t>effect of the Announcement Event on the Transaction (including without limitation any change in volatility, expected dividends, stock loan rate</w:t>
            </w:r>
          </w:p>
        </w:tc>
      </w:tr>
      <w:tr>
        <w:trPr>
          <w:trHeight w:val="188"/>
        </w:trPr>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w w:val="89"/>
              </w:rPr>
              <w:t>or liquidity relevant to the Shares or to the Transaction) from the Announcement Date to the Valuation Date. If such economic effect is material,</w:t>
            </w:r>
          </w:p>
        </w:tc>
      </w:tr>
      <w:tr>
        <w:trPr>
          <w:trHeight w:val="169"/>
        </w:trPr>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0" w:type="dxa"/>
            <w:vAlign w:val="bottom"/>
            <w:gridSpan w:val="3"/>
          </w:tcPr>
          <w:p>
            <w:pPr>
              <w:ind w:left="160"/>
              <w:spacing w:after="0" w:line="169" w:lineRule="exact"/>
              <w:rPr>
                <w:sz w:val="20"/>
                <w:szCs w:val="20"/>
                <w:color w:val="auto"/>
              </w:rPr>
            </w:pPr>
            <w:r>
              <w:rPr>
                <w:rFonts w:ascii="Arial" w:cs="Arial" w:eastAsia="Arial" w:hAnsi="Arial"/>
                <w:sz w:val="16"/>
                <w:szCs w:val="16"/>
                <w:color w:val="auto"/>
                <w:w w:val="95"/>
              </w:rPr>
              <w:t>the Calculation Agent will adjust the terms of the Transaction to reflect such economic effect.  “</w:t>
            </w:r>
            <w:r>
              <w:rPr>
                <w:rFonts w:ascii="Arial" w:cs="Arial" w:eastAsia="Arial" w:hAnsi="Arial"/>
                <w:sz w:val="16"/>
                <w:szCs w:val="16"/>
                <w:b w:val="1"/>
                <w:bCs w:val="1"/>
                <w:color w:val="auto"/>
                <w:w w:val="95"/>
              </w:rPr>
              <w:t>Announcement Event</w:t>
            </w:r>
            <w:r>
              <w:rPr>
                <w:rFonts w:ascii="Arial" w:cs="Arial" w:eastAsia="Arial" w:hAnsi="Arial"/>
                <w:sz w:val="16"/>
                <w:szCs w:val="16"/>
                <w:color w:val="auto"/>
                <w:w w:val="95"/>
              </w:rPr>
              <w:t>” shall mean the</w:t>
            </w:r>
          </w:p>
        </w:tc>
      </w:tr>
      <w:tr>
        <w:trPr>
          <w:trHeight w:val="20"/>
        </w:trPr>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6"/>
        </w:trPr>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occurrence of the Announcement Date of any event that if consummated would constitute a Merger Event or Tender Offer.</w:t>
            </w:r>
          </w:p>
        </w:tc>
      </w:tr>
      <w:tr>
        <w:trPr>
          <w:trHeight w:val="341"/>
        </w:trPr>
        <w:tc>
          <w:tcPr>
            <w:tcW w:w="2220" w:type="dxa"/>
            <w:vAlign w:val="bottom"/>
            <w:gridSpan w:val="2"/>
          </w:tcPr>
          <w:p>
            <w:pPr>
              <w:spacing w:after="0"/>
              <w:rPr>
                <w:sz w:val="20"/>
                <w:szCs w:val="20"/>
                <w:color w:val="auto"/>
              </w:rPr>
            </w:pPr>
            <w:r>
              <w:rPr>
                <w:rFonts w:ascii="Arial" w:cs="Arial" w:eastAsia="Arial" w:hAnsi="Arial"/>
                <w:sz w:val="16"/>
                <w:szCs w:val="16"/>
                <w:color w:val="auto"/>
              </w:rPr>
              <w:t>Nationalization, Insolvency or</w:t>
            </w:r>
          </w:p>
        </w:tc>
        <w:tc>
          <w:tcPr>
            <w:tcW w:w="6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2"/>
        </w:trPr>
        <w:tc>
          <w:tcPr>
            <w:tcW w:w="2220" w:type="dxa"/>
            <w:vAlign w:val="bottom"/>
            <w:gridSpan w:val="2"/>
          </w:tcPr>
          <w:p>
            <w:pPr>
              <w:spacing w:after="0"/>
              <w:rPr>
                <w:sz w:val="20"/>
                <w:szCs w:val="20"/>
                <w:color w:val="auto"/>
              </w:rPr>
            </w:pPr>
            <w:r>
              <w:rPr>
                <w:rFonts w:ascii="Arial" w:cs="Arial" w:eastAsia="Arial" w:hAnsi="Arial"/>
                <w:sz w:val="16"/>
                <w:szCs w:val="16"/>
                <w:color w:val="auto"/>
              </w:rPr>
              <w:t>Delisting:</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w w:val="91"/>
              </w:rPr>
              <w:t>Cancellation and Payment; provided, that in addition to the provisions of Section 12.6(a)(iii) of the Equity Definitions, it shall also constitute a</w:t>
            </w:r>
          </w:p>
        </w:tc>
      </w:tr>
      <w:tr>
        <w:trPr>
          <w:trHeight w:val="192"/>
        </w:trPr>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w w:val="89"/>
              </w:rPr>
              <w:t>Delisting if the Exchange is located in the United States and the Shares are not immediately re-listed, re-traded or re-quoted on any of the New</w:t>
            </w:r>
          </w:p>
        </w:tc>
      </w:tr>
      <w:tr>
        <w:trPr>
          <w:trHeight w:val="192"/>
        </w:trPr>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w w:val="90"/>
              </w:rPr>
              <w:t>York Stock Exchange or The NASDAQ Global Select Market (or their respective successors); and if the Shares are immediately re-listed, re-</w:t>
            </w:r>
          </w:p>
        </w:tc>
      </w:tr>
      <w:tr>
        <w:trPr>
          <w:trHeight w:val="199"/>
        </w:trPr>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traded or re-quoted on any such exchange, such exchange shall be deemed to be the Exchange.</w:t>
            </w:r>
          </w:p>
        </w:tc>
      </w:tr>
      <w:tr>
        <w:trPr>
          <w:trHeight w:val="360"/>
        </w:trPr>
        <w:tc>
          <w:tcPr>
            <w:tcW w:w="2220" w:type="dxa"/>
            <w:vAlign w:val="bottom"/>
            <w:gridSpan w:val="2"/>
          </w:tcPr>
          <w:p>
            <w:pPr>
              <w:ind w:left="120"/>
              <w:spacing w:after="0"/>
              <w:rPr>
                <w:sz w:val="20"/>
                <w:szCs w:val="20"/>
                <w:color w:val="auto"/>
              </w:rPr>
            </w:pPr>
            <w:r>
              <w:rPr>
                <w:rFonts w:ascii="Arial" w:cs="Arial" w:eastAsia="Arial" w:hAnsi="Arial"/>
                <w:sz w:val="16"/>
                <w:szCs w:val="16"/>
                <w:color w:val="auto"/>
              </w:rPr>
              <w:t>Determining Party:</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Bank</w:t>
            </w:r>
          </w:p>
        </w:tc>
      </w:tr>
      <w:tr>
        <w:trPr>
          <w:trHeight w:val="348"/>
        </w:trPr>
        <w:tc>
          <w:tcPr>
            <w:tcW w:w="2220" w:type="dxa"/>
            <w:vAlign w:val="bottom"/>
            <w:gridSpan w:val="2"/>
          </w:tcPr>
          <w:p>
            <w:pPr>
              <w:spacing w:after="0"/>
              <w:rPr>
                <w:sz w:val="20"/>
                <w:szCs w:val="20"/>
                <w:color w:val="auto"/>
              </w:rPr>
            </w:pPr>
            <w:r>
              <w:rPr>
                <w:rFonts w:ascii="Arial" w:cs="Arial" w:eastAsia="Arial" w:hAnsi="Arial"/>
                <w:sz w:val="16"/>
                <w:szCs w:val="16"/>
                <w:color w:val="auto"/>
              </w:rPr>
              <w:t>Additional Disruption Events:</w:t>
            </w:r>
          </w:p>
        </w:tc>
        <w:tc>
          <w:tcPr>
            <w:tcW w:w="6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8"/>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Change in Law:</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Applicable</w:t>
            </w:r>
          </w:p>
        </w:tc>
      </w:tr>
      <w:tr>
        <w:trPr>
          <w:trHeight w:val="360"/>
        </w:trPr>
        <w:tc>
          <w:tcPr>
            <w:tcW w:w="2220" w:type="dxa"/>
            <w:vAlign w:val="bottom"/>
            <w:gridSpan w:val="2"/>
          </w:tcPr>
          <w:p>
            <w:pPr>
              <w:ind w:left="200"/>
              <w:spacing w:after="0"/>
              <w:rPr>
                <w:sz w:val="20"/>
                <w:szCs w:val="20"/>
                <w:color w:val="auto"/>
              </w:rPr>
            </w:pPr>
            <w:r>
              <w:rPr>
                <w:rFonts w:ascii="Arial" w:cs="Arial" w:eastAsia="Arial" w:hAnsi="Arial"/>
                <w:sz w:val="16"/>
                <w:szCs w:val="16"/>
                <w:color w:val="auto"/>
              </w:rPr>
              <w:t>Insolvency Filing:</w:t>
            </w:r>
          </w:p>
        </w:tc>
        <w:tc>
          <w:tcPr>
            <w:tcW w:w="9200" w:type="dxa"/>
            <w:vAlign w:val="bottom"/>
            <w:gridSpan w:val="3"/>
          </w:tcPr>
          <w:p>
            <w:pPr>
              <w:ind w:left="160"/>
              <w:spacing w:after="0"/>
              <w:rPr>
                <w:sz w:val="20"/>
                <w:szCs w:val="20"/>
                <w:color w:val="auto"/>
              </w:rPr>
            </w:pPr>
            <w:r>
              <w:rPr>
                <w:rFonts w:ascii="Arial" w:cs="Arial" w:eastAsia="Arial" w:hAnsi="Arial"/>
                <w:sz w:val="16"/>
                <w:szCs w:val="16"/>
                <w:color w:val="auto"/>
              </w:rPr>
              <w:t>Applicable</w:t>
            </w:r>
          </w:p>
        </w:tc>
      </w:tr>
    </w:tbl>
    <w:p>
      <w:pPr>
        <w:spacing w:after="0" w:line="149" w:lineRule="exact"/>
        <w:rPr>
          <w:sz w:val="20"/>
          <w:szCs w:val="20"/>
          <w:color w:val="auto"/>
        </w:rPr>
      </w:pPr>
    </w:p>
    <w:p>
      <w:pPr>
        <w:jc w:val="center"/>
        <w:ind w:left="440"/>
        <w:spacing w:after="0" w:line="270" w:lineRule="auto"/>
        <w:rPr>
          <w:sz w:val="20"/>
          <w:szCs w:val="20"/>
          <w:color w:val="auto"/>
        </w:rPr>
      </w:pPr>
      <w:r>
        <w:rPr>
          <w:rFonts w:ascii="Arial" w:cs="Arial" w:eastAsia="Arial" w:hAnsi="Arial"/>
          <w:sz w:val="16"/>
          <w:szCs w:val="16"/>
          <w:color w:val="auto"/>
        </w:rPr>
        <w:t>Increased Cost of Stock Borrow:  Applicable; provided, that Sections 12.9(a)(vii) and 12.9(b)(iv) of the Equity Definitions are amended by deleting the words “at a rate equal to or less than the Initial Stock Loan Rate” and replacing them with “at a rate of equal to or less than 35 basis points”.</w:t>
      </w:r>
    </w:p>
    <w:p>
      <w:pPr>
        <w:sectPr>
          <w:pgSz w:w="11900" w:h="16838" w:orient="portrait"/>
          <w:cols w:equalWidth="0" w:num="1">
            <w:col w:w="11440"/>
          </w:cols>
          <w:pgMar w:left="240" w:top="131" w:right="219" w:bottom="0" w:gutter="0" w:footer="0" w:header="0"/>
        </w:sectPr>
      </w:pP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Hedging Party: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Bank</w:t>
      </w:r>
    </w:p>
    <w:p>
      <w:pPr>
        <w:spacing w:after="0" w:line="199" w:lineRule="exact"/>
        <w:rPr>
          <w:sz w:val="20"/>
          <w:szCs w:val="20"/>
          <w:color w:val="auto"/>
        </w:rPr>
      </w:pPr>
    </w:p>
    <w:p>
      <w:pPr>
        <w:sectPr>
          <w:pgSz w:w="11900" w:h="16838" w:orient="portrait"/>
          <w:cols w:equalWidth="0" w:num="2">
            <w:col w:w="1660" w:space="720"/>
            <w:col w:w="9060"/>
          </w:cols>
          <w:pgMar w:left="240" w:top="131" w:right="219" w:bottom="0" w:gutter="0" w:footer="0" w:header="0"/>
          <w:type w:val="continuous"/>
        </w:sectPr>
      </w:pPr>
    </w:p>
    <w:p>
      <w:pPr>
        <w:ind w:left="120"/>
        <w:spacing w:after="0"/>
        <w:rPr>
          <w:sz w:val="20"/>
          <w:szCs w:val="20"/>
          <w:color w:val="auto"/>
        </w:rPr>
      </w:pPr>
      <w:r>
        <w:rPr>
          <w:rFonts w:ascii="Arial" w:cs="Arial" w:eastAsia="Arial" w:hAnsi="Arial"/>
          <w:sz w:val="14"/>
          <w:szCs w:val="14"/>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Bank</w:t>
      </w:r>
    </w:p>
    <w:p>
      <w:pPr>
        <w:spacing w:after="0" w:line="187" w:lineRule="exact"/>
        <w:rPr>
          <w:sz w:val="20"/>
          <w:szCs w:val="20"/>
          <w:color w:val="auto"/>
        </w:rPr>
      </w:pPr>
    </w:p>
    <w:p>
      <w:pPr>
        <w:sectPr>
          <w:pgSz w:w="11900" w:h="16838" w:orient="portrait"/>
          <w:cols w:equalWidth="0" w:num="2">
            <w:col w:w="1660" w:space="720"/>
            <w:col w:w="9060"/>
          </w:cols>
          <w:pgMar w:left="240" w:top="131" w:right="219" w:bottom="0" w:gutter="0" w:footer="0" w:header="0"/>
          <w:type w:val="continuous"/>
        </w:sectPr>
      </w:pPr>
    </w:p>
    <w:p>
      <w:pPr>
        <w:jc w:val="both"/>
        <w:spacing w:after="0" w:line="305" w:lineRule="auto"/>
        <w:rPr>
          <w:sz w:val="20"/>
          <w:szCs w:val="20"/>
          <w:color w:val="auto"/>
        </w:rPr>
      </w:pPr>
      <w:r>
        <w:rPr>
          <w:rFonts w:ascii="Arial" w:cs="Arial" w:eastAsia="Arial" w:hAnsi="Arial"/>
          <w:sz w:val="14"/>
          <w:szCs w:val="14"/>
          <w:color w:val="auto"/>
        </w:rPr>
        <w:t>Non-Reliance/Agreements and Acknowledgements Regarding Hedging Activities/Additional Acknowledgements: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Applicable</w:t>
      </w:r>
    </w:p>
    <w:p>
      <w:pPr>
        <w:spacing w:after="0" w:line="183" w:lineRule="exact"/>
        <w:rPr>
          <w:sz w:val="20"/>
          <w:szCs w:val="20"/>
          <w:color w:val="auto"/>
        </w:rPr>
      </w:pPr>
    </w:p>
    <w:p>
      <w:pPr>
        <w:sectPr>
          <w:pgSz w:w="11900" w:h="16838" w:orient="portrait"/>
          <w:cols w:equalWidth="0" w:num="2">
            <w:col w:w="1920" w:space="460"/>
            <w:col w:w="9060"/>
          </w:cols>
          <w:pgMar w:left="240" w:top="131" w:right="219" w:bottom="0" w:gutter="0" w:footer="0" w:header="0"/>
          <w:type w:val="continuous"/>
        </w:sectPr>
      </w:pPr>
    </w:p>
    <w:p>
      <w:pPr>
        <w:spacing w:after="0"/>
        <w:rPr>
          <w:sz w:val="20"/>
          <w:szCs w:val="20"/>
          <w:color w:val="auto"/>
        </w:rPr>
      </w:pPr>
      <w:r>
        <w:rPr>
          <w:rFonts w:ascii="Arial" w:cs="Arial" w:eastAsia="Arial" w:hAnsi="Arial"/>
          <w:sz w:val="16"/>
          <w:szCs w:val="16"/>
          <w:b w:val="1"/>
          <w:bCs w:val="1"/>
          <w:u w:val="single" w:color="auto"/>
          <w:color w:val="auto"/>
        </w:rPr>
        <w:t>Partial Early Settlement</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Notwithstanding any other provisions of this Confirmation, if Bank (together with its affiliates, as such term is defined under the Exchange Act) acquire or hold a number of Shares or other securities of Counterparty exchangeable for or convertible into Shares that in aggregate would equal or exceed 4.75% of all Shares then issued and outstanding (the “</w:t>
      </w:r>
      <w:r>
        <w:rPr>
          <w:rFonts w:ascii="Arial" w:cs="Arial" w:eastAsia="Arial" w:hAnsi="Arial"/>
          <w:sz w:val="14"/>
          <w:szCs w:val="14"/>
          <w:b w:val="1"/>
          <w:bCs w:val="1"/>
          <w:u w:val="single" w:color="auto"/>
          <w:color w:val="auto"/>
        </w:rPr>
        <w:t>Ownership</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Limit</w:t>
      </w:r>
      <w:r>
        <w:rPr>
          <w:rFonts w:ascii="Arial" w:cs="Arial" w:eastAsia="Arial" w:hAnsi="Arial"/>
          <w:sz w:val="14"/>
          <w:szCs w:val="14"/>
          <w:color w:val="auto"/>
        </w:rPr>
        <w:t>”), Bank may at any time and from time to time during the term of a Transaction deliver to Counterparty a number of Shares to cause Bank and its affiliates to hold less than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Ownership Limit and Counterparty agrees to take ownership of any such Shares, </w:t>
      </w:r>
      <w:r>
        <w:rPr>
          <w:rFonts w:ascii="Arial" w:cs="Arial" w:eastAsia="Arial" w:hAnsi="Arial"/>
          <w:sz w:val="14"/>
          <w:szCs w:val="14"/>
          <w:u w:val="single" w:color="auto"/>
          <w:color w:val="auto"/>
        </w:rPr>
        <w:t>provided</w:t>
      </w:r>
      <w:r>
        <w:rPr>
          <w:rFonts w:ascii="Arial" w:cs="Arial" w:eastAsia="Arial" w:hAnsi="Arial"/>
          <w:sz w:val="14"/>
          <w:szCs w:val="14"/>
          <w:color w:val="auto"/>
        </w:rPr>
        <w:t>, that Bank has furnished to Counterparty three days’ prior notice in writing specifying a date for settlement (each, a “</w:t>
      </w:r>
      <w:r>
        <w:rPr>
          <w:rFonts w:ascii="Arial" w:cs="Arial" w:eastAsia="Arial" w:hAnsi="Arial"/>
          <w:sz w:val="14"/>
          <w:szCs w:val="14"/>
          <w:b w:val="1"/>
          <w:bCs w:val="1"/>
          <w:u w:val="single" w:color="auto"/>
          <w:color w:val="auto"/>
        </w:rPr>
        <w:t>Special Settlement Date</w:t>
      </w:r>
      <w:r>
        <w:rPr>
          <w:rFonts w:ascii="Arial" w:cs="Arial" w:eastAsia="Arial" w:hAnsi="Arial"/>
          <w:sz w:val="14"/>
          <w:szCs w:val="14"/>
          <w:color w:val="auto"/>
        </w:rPr>
        <w:t>”) and the number of Shares to be delivered by Bank to Counterparty on the Special Settlement Date. The parties und erstand and agree that (i) the delivery of the Shares by or on behalf of Bank is irrevocable and that as of any Special Settlement Date Counterparty will be the sole beneficial owner of the Shares for all purposes and (ii) the number of Shares delivered by Bank on any such Special Settlement Date will reduce the number of the number of Shares, if any, to be delivered by Bank in settlement of one or more Transactions.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Registration:</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Counterparty hereby agrees that if, in the good faith reasonable judgment of Bank, the Shares (“</w:t>
      </w:r>
      <w:r>
        <w:rPr>
          <w:rFonts w:ascii="Arial" w:cs="Arial" w:eastAsia="Arial" w:hAnsi="Arial"/>
          <w:sz w:val="14"/>
          <w:szCs w:val="14"/>
          <w:b w:val="1"/>
          <w:bCs w:val="1"/>
          <w:u w:val="single" w:color="auto"/>
          <w:color w:val="auto"/>
        </w:rPr>
        <w:t>Hedge Shares</w:t>
      </w:r>
      <w:r>
        <w:rPr>
          <w:rFonts w:ascii="Arial" w:cs="Arial" w:eastAsia="Arial" w:hAnsi="Arial"/>
          <w:sz w:val="14"/>
          <w:szCs w:val="14"/>
          <w:color w:val="auto"/>
        </w:rPr>
        <w:t>”) acquired by Bank for the purpose of hedging its obligations pursuant to any Transaction cannot be sold in the public market by Bank without registration under the Securities Act, Counterparty shall, at its election, assume one of the following obligations: (i) in order to allow Bank to sell the Hedge Shares in a registered offering, make available to Bank an effective registration statement under the Securities Act and enter into an agreement, in form and substance satisfactory to Bank, substantially in the form of an underwriting agreement for a registered secondary offering; provided however, that if Bank, in its sole reasonable discretion, is not satisfied with access to due diligence materials, the results of its due diligence investigation, or the procedures and documentation for the registered offering refe rred to above, then clause (ii) or clause (iii) of this paragraph shall apply at the election of Counterparty, (ii) in order to allow Bank to sell the Hedge Shares in a private placement, enter into a private placement agreement substantially similar to private placement purchase agreements customary for private placements of equity securities, in</w:t>
      </w:r>
    </w:p>
    <w:p>
      <w:pPr>
        <w:sectPr>
          <w:pgSz w:w="11900" w:h="16838" w:orient="portrait"/>
          <w:cols w:equalWidth="0" w:num="1">
            <w:col w:w="11440"/>
          </w:cols>
          <w:pgMar w:left="240" w:top="131" w:right="219" w:bottom="0" w:gutter="0" w:footer="0" w:header="0"/>
          <w:type w:val="continuous"/>
        </w:sectPr>
      </w:pPr>
    </w:p>
    <w:bookmarkStart w:id="65" w:name="page66"/>
    <w:bookmarkEnd w:id="65"/>
    <w:p>
      <w:pPr>
        <w:spacing w:after="0" w:line="75" w:lineRule="exact"/>
        <w:rPr>
          <w:sz w:val="20"/>
          <w:szCs w:val="20"/>
          <w:color w:val="auto"/>
        </w:rPr>
      </w:pPr>
    </w:p>
    <w:p>
      <w:pPr>
        <w:jc w:val="both"/>
        <w:ind w:left="4"/>
        <w:spacing w:after="0" w:line="260" w:lineRule="auto"/>
        <w:rPr>
          <w:sz w:val="20"/>
          <w:szCs w:val="20"/>
          <w:color w:val="auto"/>
        </w:rPr>
      </w:pPr>
      <w:r>
        <w:rPr>
          <w:rFonts w:ascii="Arial" w:cs="Arial" w:eastAsia="Arial" w:hAnsi="Arial"/>
          <w:sz w:val="16"/>
          <w:szCs w:val="16"/>
          <w:color w:val="auto"/>
        </w:rPr>
        <w:t>form and substance satisfactory to Bank (in which case, the Calculation Agent shall make any adjustments to the terms of such Transaction that are necessary, in its reasonable judgment, to compensate Bank for any discount from the public market price of the Shares incurred on the sale of Hedge Shares in a private placement), or (iii) purchase the Hedge Shares from Bank at the Closing Price on such Exchange Business Days, and in the amounts, requested by Bank.</w:t>
      </w:r>
    </w:p>
    <w:p>
      <w:pPr>
        <w:spacing w:after="0" w:line="130"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Other Share Deliveries in Lieu of Cash Payment:</w:t>
      </w:r>
    </w:p>
    <w:p>
      <w:pPr>
        <w:spacing w:after="0" w:line="180" w:lineRule="exact"/>
        <w:rPr>
          <w:sz w:val="20"/>
          <w:szCs w:val="20"/>
          <w:color w:val="auto"/>
        </w:rPr>
      </w:pPr>
    </w:p>
    <w:p>
      <w:pPr>
        <w:jc w:val="both"/>
        <w:ind w:left="4" w:right="20"/>
        <w:spacing w:after="0" w:line="254" w:lineRule="auto"/>
        <w:rPr>
          <w:sz w:val="20"/>
          <w:szCs w:val="20"/>
          <w:color w:val="auto"/>
        </w:rPr>
      </w:pPr>
      <w:r>
        <w:rPr>
          <w:rFonts w:ascii="Arial" w:cs="Arial" w:eastAsia="Arial" w:hAnsi="Arial"/>
          <w:sz w:val="16"/>
          <w:szCs w:val="16"/>
          <w:color w:val="auto"/>
        </w:rPr>
        <w:t>If Counterparty would be obligated to pay cash to Bank or receive cash from Bank pursuant to the terms of this Agreement for any reason without having had the right (other than pursuant to this paragraph) to elect to deliver Shares or receive Shares, as the case may be, in satisfaction of such payment obligation or right, then Counterparty may elect that Counterparty deliver to Bank or receive from Bank, as the case may be, a number of Shares having an equivalent value (such number of Shares to be delivered to be determined by the Calculation Agent taking into account relevant factors, including whether or not the Shares are subject to legal or other restrictions on transfer or acquisition and the costs and expenses associated with disposing of or acquiring such Shares). Settlement relating to any delivery of Shares pursuant to this paragraph shall occur within a reasonable period of time.</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Additional Agreements, Representations and Covenants of Counterparty, Etc.:</w:t>
      </w:r>
    </w:p>
    <w:p>
      <w:pPr>
        <w:spacing w:after="0" w:line="168" w:lineRule="exact"/>
        <w:rPr>
          <w:sz w:val="20"/>
          <w:szCs w:val="20"/>
          <w:color w:val="auto"/>
        </w:rPr>
      </w:pPr>
    </w:p>
    <w:p>
      <w:pPr>
        <w:ind w:left="584" w:hanging="584"/>
        <w:spacing w:after="0"/>
        <w:tabs>
          <w:tab w:leader="none" w:pos="584"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Counterparty hereby represents and warrants to Bank that during each Hedge Period:</w:t>
      </w:r>
    </w:p>
    <w:p>
      <w:pPr>
        <w:spacing w:after="0" w:line="176" w:lineRule="exact"/>
        <w:rPr>
          <w:rFonts w:ascii="Arial" w:cs="Arial" w:eastAsia="Arial" w:hAnsi="Arial"/>
          <w:sz w:val="16"/>
          <w:szCs w:val="16"/>
          <w:color w:val="auto"/>
        </w:rPr>
      </w:pPr>
    </w:p>
    <w:p>
      <w:pPr>
        <w:jc w:val="both"/>
        <w:ind w:left="1144" w:hanging="568"/>
        <w:spacing w:after="0" w:line="305" w:lineRule="auto"/>
        <w:tabs>
          <w:tab w:leader="none" w:pos="1144" w:val="left"/>
        </w:tabs>
        <w:numPr>
          <w:ilvl w:val="1"/>
          <w:numId w:val="43"/>
        </w:numPr>
        <w:rPr>
          <w:rFonts w:ascii="Arial" w:cs="Arial" w:eastAsia="Arial" w:hAnsi="Arial"/>
          <w:sz w:val="14"/>
          <w:szCs w:val="14"/>
          <w:color w:val="auto"/>
        </w:rPr>
      </w:pPr>
      <w:r>
        <w:rPr>
          <w:rFonts w:ascii="Arial" w:cs="Arial" w:eastAsia="Arial" w:hAnsi="Arial"/>
          <w:sz w:val="14"/>
          <w:szCs w:val="14"/>
          <w:color w:val="auto"/>
        </w:rPr>
        <w:t>neither Counterparty nor any “affiliated purchaser” (as such term is defined in Rule 10b-18 under the Exchange Act) will acquire Shares (or equivalent interests or securities exchangeable, convertible or exercisable into Shares) or be a party to any repurchase or similar agreements pursuant to which a valuation, averaging or hedging period or similar such period overlaps or potentially overlaps with the Hedge Period, except for off-market purchases of Shares issued to employees as “restricted shares” pursuant to the Counterparty’s Employee Stock Incentive Plan or the 1998 Long-Term Incentive Plan; and</w:t>
      </w:r>
    </w:p>
    <w:p>
      <w:pPr>
        <w:spacing w:after="0" w:line="105" w:lineRule="exact"/>
        <w:rPr>
          <w:rFonts w:ascii="Arial" w:cs="Arial" w:eastAsia="Arial" w:hAnsi="Arial"/>
          <w:sz w:val="14"/>
          <w:szCs w:val="14"/>
          <w:color w:val="auto"/>
        </w:rPr>
      </w:pPr>
    </w:p>
    <w:p>
      <w:pPr>
        <w:ind w:left="1144" w:right="20" w:hanging="568"/>
        <w:spacing w:after="0" w:line="270" w:lineRule="auto"/>
        <w:tabs>
          <w:tab w:leader="none" w:pos="1144" w:val="left"/>
        </w:tabs>
        <w:numPr>
          <w:ilvl w:val="1"/>
          <w:numId w:val="43"/>
        </w:numPr>
        <w:rPr>
          <w:rFonts w:ascii="Arial" w:cs="Arial" w:eastAsia="Arial" w:hAnsi="Arial"/>
          <w:sz w:val="16"/>
          <w:szCs w:val="16"/>
          <w:color w:val="auto"/>
        </w:rPr>
      </w:pPr>
      <w:r>
        <w:rPr>
          <w:rFonts w:ascii="Arial" w:cs="Arial" w:eastAsia="Arial" w:hAnsi="Arial"/>
          <w:sz w:val="16"/>
          <w:szCs w:val="16"/>
          <w:color w:val="auto"/>
        </w:rPr>
        <w:t>Counterparty will not be engaged in a distribution of Shares or other securities for which the Shares are a reference security for purposes of Rule 102 of Regulation M under the Exchange Act.</w:t>
      </w:r>
    </w:p>
    <w:p>
      <w:pPr>
        <w:spacing w:after="0" w:line="126" w:lineRule="exact"/>
        <w:rPr>
          <w:rFonts w:ascii="Arial" w:cs="Arial" w:eastAsia="Arial" w:hAnsi="Arial"/>
          <w:sz w:val="16"/>
          <w:szCs w:val="16"/>
          <w:color w:val="auto"/>
        </w:rPr>
      </w:pPr>
    </w:p>
    <w:p>
      <w:pPr>
        <w:jc w:val="both"/>
        <w:ind w:left="584" w:right="20" w:hanging="584"/>
        <w:spacing w:after="0" w:line="260" w:lineRule="auto"/>
        <w:tabs>
          <w:tab w:leader="none" w:pos="584"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Bank hereby represents and warrants to Counterparty that during the Hedge Period, it and each person or entity subject to its control or acting on its behalf will use commercially reasonable efforts to purchase Shares to establish its Initial Hedge Position in compliance with the time of purchase, price of purchase and volume of purchase provisions of Rule 10b-18 under the Exchange Act, as if such rule could be applied to such purchases.</w:t>
      </w:r>
    </w:p>
    <w:p>
      <w:pPr>
        <w:spacing w:after="0" w:line="175" w:lineRule="exact"/>
        <w:rPr>
          <w:sz w:val="20"/>
          <w:szCs w:val="20"/>
          <w:color w:val="auto"/>
        </w:rPr>
      </w:pPr>
    </w:p>
    <w:p>
      <w:pPr>
        <w:jc w:val="both"/>
        <w:ind w:left="2404" w:right="4000" w:hanging="2399"/>
        <w:spacing w:after="0" w:line="283" w:lineRule="auto"/>
        <w:rPr>
          <w:sz w:val="20"/>
          <w:szCs w:val="20"/>
          <w:color w:val="auto"/>
        </w:rPr>
      </w:pPr>
      <w:r>
        <w:rPr>
          <w:rFonts w:ascii="Arial" w:cs="Arial" w:eastAsia="Arial" w:hAnsi="Arial"/>
          <w:sz w:val="15"/>
          <w:szCs w:val="15"/>
          <w:b w:val="1"/>
          <w:bCs w:val="1"/>
          <w:color w:val="auto"/>
        </w:rPr>
        <w:t xml:space="preserve">Compliance with Securities Laws: </w:t>
      </w:r>
      <w:r>
        <w:rPr>
          <w:rFonts w:ascii="Arial" w:cs="Arial" w:eastAsia="Arial" w:hAnsi="Arial"/>
          <w:sz w:val="15"/>
          <w:szCs w:val="15"/>
          <w:color w:val="auto"/>
        </w:rPr>
        <w:t>Each party represents and warrants that if such party (“</w:t>
      </w:r>
      <w:r>
        <w:rPr>
          <w:rFonts w:ascii="Arial" w:cs="Arial" w:eastAsia="Arial" w:hAnsi="Arial"/>
          <w:sz w:val="15"/>
          <w:szCs w:val="15"/>
          <w:b w:val="1"/>
          <w:bCs w:val="1"/>
          <w:u w:val="single" w:color="auto"/>
          <w:color w:val="auto"/>
        </w:rPr>
        <w:t>X</w:t>
      </w:r>
      <w:r>
        <w:rPr>
          <w:rFonts w:ascii="Arial" w:cs="Arial" w:eastAsia="Arial" w:hAnsi="Arial"/>
          <w:sz w:val="15"/>
          <w:szCs w:val="15"/>
          <w:color w:val="auto"/>
        </w:rPr>
        <w:t>”) purchases any</w:t>
      </w:r>
      <w:r>
        <w:rPr>
          <w:rFonts w:ascii="Arial" w:cs="Arial" w:eastAsia="Arial" w:hAnsi="Arial"/>
          <w:sz w:val="15"/>
          <w:szCs w:val="15"/>
          <w:b w:val="1"/>
          <w:bCs w:val="1"/>
          <w:color w:val="auto"/>
        </w:rPr>
        <w:t xml:space="preserve"> </w:t>
      </w:r>
      <w:r>
        <w:rPr>
          <w:rFonts w:ascii="Arial" w:cs="Arial" w:eastAsia="Arial" w:hAnsi="Arial"/>
          <w:sz w:val="15"/>
          <w:szCs w:val="15"/>
          <w:color w:val="auto"/>
        </w:rPr>
        <w:t>Shares from the other party pursuant to any Transaction, such purchase(s) will comply in all material respects with (i) all laws and regulations applicable to X and (ii) all contractual obligations of X.</w:t>
      </w:r>
    </w:p>
    <w:p>
      <w:pPr>
        <w:spacing w:after="0" w:line="114" w:lineRule="exact"/>
        <w:rPr>
          <w:sz w:val="20"/>
          <w:szCs w:val="20"/>
          <w:color w:val="auto"/>
        </w:rPr>
      </w:pPr>
    </w:p>
    <w:p>
      <w:pPr>
        <w:ind w:left="2404"/>
        <w:spacing w:after="0"/>
        <w:rPr>
          <w:sz w:val="20"/>
          <w:szCs w:val="20"/>
          <w:color w:val="auto"/>
        </w:rPr>
      </w:pPr>
      <w:r>
        <w:rPr>
          <w:rFonts w:ascii="Arial" w:cs="Arial" w:eastAsia="Arial" w:hAnsi="Arial"/>
          <w:sz w:val="16"/>
          <w:szCs w:val="16"/>
          <w:color w:val="auto"/>
        </w:rPr>
        <w:t>Each party acknowledges that the offer and sale of each Transaction to it is</w:t>
      </w:r>
    </w:p>
    <w:p>
      <w:pPr>
        <w:spacing w:after="0" w:line="21" w:lineRule="exact"/>
        <w:rPr>
          <w:sz w:val="20"/>
          <w:szCs w:val="20"/>
          <w:color w:val="auto"/>
        </w:rPr>
      </w:pPr>
    </w:p>
    <w:p>
      <w:pPr>
        <w:ind w:left="2404"/>
        <w:spacing w:after="0"/>
        <w:rPr>
          <w:sz w:val="20"/>
          <w:szCs w:val="20"/>
          <w:color w:val="auto"/>
        </w:rPr>
      </w:pPr>
      <w:r>
        <w:rPr>
          <w:rFonts w:ascii="Arial" w:cs="Arial" w:eastAsia="Arial" w:hAnsi="Arial"/>
          <w:sz w:val="16"/>
          <w:szCs w:val="16"/>
          <w:color w:val="auto"/>
        </w:rPr>
        <w:t>intended to be exempt from registration under the Securities Act by virtue of</w:t>
      </w:r>
    </w:p>
    <w:p>
      <w:pPr>
        <w:spacing w:after="0" w:line="8" w:lineRule="exact"/>
        <w:rPr>
          <w:sz w:val="20"/>
          <w:szCs w:val="20"/>
          <w:color w:val="auto"/>
        </w:rPr>
      </w:pPr>
    </w:p>
    <w:p>
      <w:pPr>
        <w:ind w:left="2404"/>
        <w:spacing w:after="0"/>
        <w:tabs>
          <w:tab w:leader="none" w:pos="3004" w:val="left"/>
          <w:tab w:leader="none" w:pos="3384" w:val="left"/>
          <w:tab w:leader="none" w:pos="3964" w:val="left"/>
          <w:tab w:leader="none" w:pos="4304" w:val="left"/>
          <w:tab w:leader="none" w:pos="4624" w:val="left"/>
          <w:tab w:leader="none" w:pos="5424" w:val="left"/>
          <w:tab w:leader="none" w:pos="5684" w:val="left"/>
          <w:tab w:leader="none" w:pos="6504" w:val="left"/>
          <w:tab w:leader="none" w:pos="6744" w:val="left"/>
        </w:tabs>
        <w:rPr>
          <w:sz w:val="20"/>
          <w:szCs w:val="20"/>
          <w:color w:val="auto"/>
        </w:rPr>
      </w:pPr>
      <w:r>
        <w:rPr>
          <w:rFonts w:ascii="Arial" w:cs="Arial" w:eastAsia="Arial" w:hAnsi="Arial"/>
          <w:sz w:val="16"/>
          <w:szCs w:val="16"/>
          <w:color w:val="auto"/>
        </w:rPr>
        <w:t>Section</w:t>
        <w:tab/>
        <w:t>4(2)</w:t>
        <w:tab/>
        <w:t>thereof</w:t>
        <w:tab/>
        <w:t>and</w:t>
        <w:tab/>
        <w:t>the</w:t>
        <w:tab/>
        <w:t>provisions</w:t>
        <w:tab/>
        <w:t>of</w:t>
        <w:tab/>
        <w:t>Regulation</w:t>
        <w:tab/>
        <w:t>D</w:t>
      </w:r>
      <w:r>
        <w:rPr>
          <w:sz w:val="20"/>
          <w:szCs w:val="20"/>
          <w:color w:val="auto"/>
        </w:rPr>
        <w:tab/>
      </w:r>
      <w:r>
        <w:rPr>
          <w:rFonts w:ascii="Arial" w:cs="Arial" w:eastAsia="Arial" w:hAnsi="Arial"/>
          <w:sz w:val="14"/>
          <w:szCs w:val="14"/>
          <w:color w:val="auto"/>
        </w:rPr>
        <w:t>thereunder</w:t>
      </w:r>
    </w:p>
    <w:p>
      <w:pPr>
        <w:spacing w:after="0" w:line="8" w:lineRule="exact"/>
        <w:rPr>
          <w:sz w:val="20"/>
          <w:szCs w:val="20"/>
          <w:color w:val="auto"/>
        </w:rPr>
      </w:pPr>
    </w:p>
    <w:p>
      <w:pPr>
        <w:ind w:left="2404"/>
        <w:spacing w:after="0"/>
        <w:tabs>
          <w:tab w:leader="none" w:pos="3744"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Regulation D</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Accordingly, each party represents and warrants to the</w:t>
      </w:r>
    </w:p>
    <w:p>
      <w:pPr>
        <w:spacing w:after="0" w:line="8" w:lineRule="exact"/>
        <w:rPr>
          <w:sz w:val="20"/>
          <w:szCs w:val="20"/>
          <w:color w:val="auto"/>
        </w:rPr>
      </w:pPr>
    </w:p>
    <w:p>
      <w:pPr>
        <w:ind w:left="2404"/>
        <w:spacing w:after="0"/>
        <w:rPr>
          <w:sz w:val="20"/>
          <w:szCs w:val="20"/>
          <w:color w:val="auto"/>
        </w:rPr>
      </w:pPr>
      <w:r>
        <w:rPr>
          <w:rFonts w:ascii="Arial" w:cs="Arial" w:eastAsia="Arial" w:hAnsi="Arial"/>
          <w:sz w:val="16"/>
          <w:szCs w:val="16"/>
          <w:color w:val="auto"/>
        </w:rPr>
        <w:t>other that (i) it has the financial ability to bear the economic risk of its</w:t>
      </w:r>
    </w:p>
    <w:p>
      <w:pPr>
        <w:spacing w:after="0" w:line="8" w:lineRule="exact"/>
        <w:rPr>
          <w:sz w:val="20"/>
          <w:szCs w:val="20"/>
          <w:color w:val="auto"/>
        </w:rPr>
      </w:pPr>
    </w:p>
    <w:p>
      <w:pPr>
        <w:ind w:left="2404"/>
        <w:spacing w:after="0"/>
        <w:rPr>
          <w:sz w:val="20"/>
          <w:szCs w:val="20"/>
          <w:color w:val="auto"/>
        </w:rPr>
      </w:pPr>
      <w:r>
        <w:rPr>
          <w:rFonts w:ascii="Arial" w:cs="Arial" w:eastAsia="Arial" w:hAnsi="Arial"/>
          <w:sz w:val="16"/>
          <w:szCs w:val="16"/>
          <w:color w:val="auto"/>
        </w:rPr>
        <w:t>investment in each Transaction and is able to bear a total loss of its</w:t>
      </w:r>
    </w:p>
    <w:p>
      <w:pPr>
        <w:spacing w:after="0" w:line="8" w:lineRule="exact"/>
        <w:rPr>
          <w:sz w:val="20"/>
          <w:szCs w:val="20"/>
          <w:color w:val="auto"/>
        </w:rPr>
      </w:pPr>
    </w:p>
    <w:p>
      <w:pPr>
        <w:ind w:left="2404"/>
        <w:spacing w:after="0"/>
        <w:rPr>
          <w:sz w:val="20"/>
          <w:szCs w:val="20"/>
          <w:color w:val="auto"/>
        </w:rPr>
      </w:pPr>
      <w:r>
        <w:rPr>
          <w:rFonts w:ascii="Arial" w:cs="Arial" w:eastAsia="Arial" w:hAnsi="Arial"/>
          <w:sz w:val="16"/>
          <w:szCs w:val="16"/>
          <w:color w:val="auto"/>
        </w:rPr>
        <w:t>investment, (ii) it is an “accredited investor” as that term is defined under</w:t>
      </w:r>
    </w:p>
    <w:p>
      <w:pPr>
        <w:spacing w:after="0" w:line="8" w:lineRule="exact"/>
        <w:rPr>
          <w:sz w:val="20"/>
          <w:szCs w:val="20"/>
          <w:color w:val="auto"/>
        </w:rPr>
      </w:pPr>
    </w:p>
    <w:p>
      <w:pPr>
        <w:ind w:left="2404"/>
        <w:spacing w:after="0"/>
        <w:rPr>
          <w:sz w:val="20"/>
          <w:szCs w:val="20"/>
          <w:color w:val="auto"/>
        </w:rPr>
      </w:pPr>
      <w:r>
        <w:rPr>
          <w:rFonts w:ascii="Arial" w:cs="Arial" w:eastAsia="Arial" w:hAnsi="Arial"/>
          <w:sz w:val="16"/>
          <w:szCs w:val="16"/>
          <w:color w:val="auto"/>
        </w:rPr>
        <w:t>Regulation D, (iii) it will purchase each Transaction not with a view to the</w:t>
      </w:r>
    </w:p>
    <w:p>
      <w:pPr>
        <w:spacing w:after="0" w:line="8" w:lineRule="exact"/>
        <w:rPr>
          <w:sz w:val="20"/>
          <w:szCs w:val="20"/>
          <w:color w:val="auto"/>
        </w:rPr>
      </w:pPr>
    </w:p>
    <w:p>
      <w:pPr>
        <w:ind w:left="2404"/>
        <w:spacing w:after="0"/>
        <w:rPr>
          <w:sz w:val="20"/>
          <w:szCs w:val="20"/>
          <w:color w:val="auto"/>
        </w:rPr>
      </w:pPr>
      <w:r>
        <w:rPr>
          <w:rFonts w:ascii="Arial" w:cs="Arial" w:eastAsia="Arial" w:hAnsi="Arial"/>
          <w:sz w:val="16"/>
          <w:szCs w:val="16"/>
          <w:color w:val="auto"/>
        </w:rPr>
        <w:t>distribution or resale thereof, and (iv) the disposition of each Transaction is</w:t>
      </w:r>
    </w:p>
    <w:p>
      <w:pPr>
        <w:spacing w:after="0" w:line="8" w:lineRule="exact"/>
        <w:rPr>
          <w:sz w:val="20"/>
          <w:szCs w:val="20"/>
          <w:color w:val="auto"/>
        </w:rPr>
      </w:pPr>
    </w:p>
    <w:p>
      <w:pPr>
        <w:ind w:left="2404"/>
        <w:spacing w:after="0"/>
        <w:rPr>
          <w:sz w:val="20"/>
          <w:szCs w:val="20"/>
          <w:color w:val="auto"/>
        </w:rPr>
      </w:pPr>
      <w:r>
        <w:rPr>
          <w:rFonts w:ascii="Arial" w:cs="Arial" w:eastAsia="Arial" w:hAnsi="Arial"/>
          <w:sz w:val="16"/>
          <w:szCs w:val="16"/>
          <w:color w:val="auto"/>
        </w:rPr>
        <w:t>restricted under this Confirmation, the Securities Act and state securities laws.</w:t>
      </w:r>
    </w:p>
    <w:p>
      <w:pPr>
        <w:spacing w:after="0" w:line="187" w:lineRule="exact"/>
        <w:rPr>
          <w:sz w:val="20"/>
          <w:szCs w:val="20"/>
          <w:color w:val="auto"/>
        </w:rPr>
      </w:pPr>
    </w:p>
    <w:p>
      <w:pPr>
        <w:ind w:left="2404"/>
        <w:spacing w:after="0"/>
        <w:rPr>
          <w:sz w:val="20"/>
          <w:szCs w:val="20"/>
          <w:color w:val="auto"/>
        </w:rPr>
      </w:pPr>
      <w:r>
        <w:rPr>
          <w:rFonts w:ascii="Arial" w:cs="Arial" w:eastAsia="Arial" w:hAnsi="Arial"/>
          <w:sz w:val="16"/>
          <w:szCs w:val="16"/>
          <w:color w:val="auto"/>
        </w:rPr>
        <w:t>Counterparty  represents  and  warrants  as  of  the  Trade  Date  for  each</w:t>
      </w:r>
    </w:p>
    <w:p>
      <w:pPr>
        <w:spacing w:after="0" w:line="21" w:lineRule="exact"/>
        <w:rPr>
          <w:sz w:val="20"/>
          <w:szCs w:val="20"/>
          <w:color w:val="auto"/>
        </w:rPr>
      </w:pPr>
    </w:p>
    <w:p>
      <w:pPr>
        <w:ind w:left="2404"/>
        <w:spacing w:after="0"/>
        <w:rPr>
          <w:sz w:val="20"/>
          <w:szCs w:val="20"/>
          <w:color w:val="auto"/>
        </w:rPr>
      </w:pPr>
      <w:r>
        <w:rPr>
          <w:rFonts w:ascii="Arial" w:cs="Arial" w:eastAsia="Arial" w:hAnsi="Arial"/>
          <w:sz w:val="16"/>
          <w:szCs w:val="16"/>
          <w:color w:val="auto"/>
        </w:rPr>
        <w:t>Transaction hereunder, that:</w:t>
      </w:r>
    </w:p>
    <w:p>
      <w:pPr>
        <w:spacing w:after="0" w:line="175" w:lineRule="exact"/>
        <w:rPr>
          <w:sz w:val="20"/>
          <w:szCs w:val="20"/>
          <w:color w:val="auto"/>
        </w:rPr>
      </w:pPr>
    </w:p>
    <w:p>
      <w:pPr>
        <w:jc w:val="both"/>
        <w:ind w:left="2404" w:right="4000" w:firstLine="8"/>
        <w:spacing w:after="0" w:line="299" w:lineRule="auto"/>
        <w:tabs>
          <w:tab w:leader="none" w:pos="2645" w:val="left"/>
        </w:tabs>
        <w:numPr>
          <w:ilvl w:val="0"/>
          <w:numId w:val="44"/>
        </w:numPr>
        <w:rPr>
          <w:rFonts w:ascii="Arial" w:cs="Arial" w:eastAsia="Arial" w:hAnsi="Arial"/>
          <w:sz w:val="14"/>
          <w:szCs w:val="14"/>
          <w:color w:val="auto"/>
        </w:rPr>
      </w:pPr>
      <w:r>
        <w:rPr>
          <w:rFonts w:ascii="Arial" w:cs="Arial" w:eastAsia="Arial" w:hAnsi="Arial"/>
          <w:sz w:val="14"/>
          <w:szCs w:val="14"/>
          <w:color w:val="auto"/>
        </w:rPr>
        <w:t>Each of its filings under the Exchange Act that are required to be filed from and including the ending date of Counterparty's most recent prior fiscal year have been filed, and that, as of the respective dates thereof and hereof, there is no misstatement of material fact contained therein or omission of a material fact required to be stated therein or necessary to make the statements therein in light of the circumstances in which they were made not misleading;</w:t>
      </w:r>
    </w:p>
    <w:p>
      <w:pPr>
        <w:spacing w:after="0" w:line="128" w:lineRule="exact"/>
        <w:rPr>
          <w:rFonts w:ascii="Arial" w:cs="Arial" w:eastAsia="Arial" w:hAnsi="Arial"/>
          <w:sz w:val="14"/>
          <w:szCs w:val="14"/>
          <w:color w:val="auto"/>
        </w:rPr>
      </w:pPr>
    </w:p>
    <w:p>
      <w:pPr>
        <w:ind w:left="2404" w:right="4000" w:firstLine="8"/>
        <w:spacing w:after="0" w:line="277" w:lineRule="auto"/>
        <w:tabs>
          <w:tab w:leader="none" w:pos="2677"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Counterparty is not in possession of material non-public information regarding the Shares or the Counterparty;</w:t>
      </w:r>
    </w:p>
    <w:p>
      <w:pPr>
        <w:spacing w:after="0" w:line="139" w:lineRule="exact"/>
        <w:rPr>
          <w:rFonts w:ascii="Arial" w:cs="Arial" w:eastAsia="Arial" w:hAnsi="Arial"/>
          <w:sz w:val="16"/>
          <w:szCs w:val="16"/>
          <w:color w:val="auto"/>
        </w:rPr>
      </w:pPr>
    </w:p>
    <w:p>
      <w:pPr>
        <w:ind w:left="2404" w:right="4000" w:firstLine="8"/>
        <w:spacing w:after="0" w:line="351" w:lineRule="auto"/>
        <w:tabs>
          <w:tab w:leader="none" w:pos="2623"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Counterparty is not entering into any Transaction to facilitate a distribution of the common stock or in connection with a future distribution of securities;</w:t>
      </w:r>
    </w:p>
    <w:p>
      <w:pPr>
        <w:spacing w:after="0" w:line="93" w:lineRule="exact"/>
        <w:rPr>
          <w:rFonts w:ascii="Arial" w:cs="Arial" w:eastAsia="Arial" w:hAnsi="Arial"/>
          <w:sz w:val="14"/>
          <w:szCs w:val="14"/>
          <w:color w:val="auto"/>
        </w:rPr>
      </w:pPr>
    </w:p>
    <w:p>
      <w:pPr>
        <w:jc w:val="both"/>
        <w:ind w:left="2404" w:right="4000" w:firstLine="8"/>
        <w:spacing w:after="0" w:line="259" w:lineRule="auto"/>
        <w:tabs>
          <w:tab w:leader="none" w:pos="2674"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Counterparty is not entering into any Transaction to create actual or apparent trading activity in the Shares (or any security convertible into or exchangeable for Shares) or to manipulate the price of the Shares (or any security convertible into or exchangeable for Shares);</w:t>
      </w:r>
    </w:p>
    <w:p>
      <w:pPr>
        <w:spacing w:after="0" w:line="153" w:lineRule="exact"/>
        <w:rPr>
          <w:rFonts w:ascii="Arial" w:cs="Arial" w:eastAsia="Arial" w:hAnsi="Arial"/>
          <w:sz w:val="16"/>
          <w:szCs w:val="16"/>
          <w:color w:val="auto"/>
        </w:rPr>
      </w:pPr>
    </w:p>
    <w:p>
      <w:pPr>
        <w:jc w:val="both"/>
        <w:ind w:left="2404" w:right="4000" w:firstLine="8"/>
        <w:spacing w:after="0" w:line="292" w:lineRule="auto"/>
        <w:tabs>
          <w:tab w:leader="none" w:pos="2702"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Counterparty is entering into each Transaction in good faith and not as part of a plan or scheme to evade the prohibitions of Rule 10b5-1 under the Exchange Act (“</w:t>
      </w:r>
      <w:r>
        <w:rPr>
          <w:rFonts w:ascii="Arial" w:cs="Arial" w:eastAsia="Arial" w:hAnsi="Arial"/>
          <w:sz w:val="14"/>
          <w:szCs w:val="14"/>
          <w:b w:val="1"/>
          <w:bCs w:val="1"/>
          <w:u w:val="single" w:color="auto"/>
          <w:color w:val="auto"/>
        </w:rPr>
        <w:t>Rule 10b5-1</w:t>
      </w:r>
      <w:r>
        <w:rPr>
          <w:rFonts w:ascii="Arial" w:cs="Arial" w:eastAsia="Arial" w:hAnsi="Arial"/>
          <w:sz w:val="14"/>
          <w:szCs w:val="14"/>
          <w:color w:val="auto"/>
        </w:rPr>
        <w:t>”); it is the intent of the parties that each Transaction comply with the requirements of Rule l0b5-l(c)(1)(i)(A) and (B) and each Transaction shall be interpreted to comply with the requirements of Rule 10b5-l(c) (a “</w:t>
      </w:r>
      <w:r>
        <w:rPr>
          <w:rFonts w:ascii="Arial" w:cs="Arial" w:eastAsia="Arial" w:hAnsi="Arial"/>
          <w:sz w:val="14"/>
          <w:szCs w:val="14"/>
          <w:b w:val="1"/>
          <w:bCs w:val="1"/>
          <w:u w:val="single" w:color="auto"/>
          <w:color w:val="auto"/>
        </w:rPr>
        <w:t>Plan</w:t>
      </w:r>
      <w:r>
        <w:rPr>
          <w:rFonts w:ascii="Arial" w:cs="Arial" w:eastAsia="Arial" w:hAnsi="Arial"/>
          <w:sz w:val="14"/>
          <w:szCs w:val="14"/>
          <w:color w:val="auto"/>
        </w:rPr>
        <w:t>”); Counterparty will not seek to control or influence Bank or TBD to make “purchases or sales” (within the meaning of Rule 10b5-1(c)(l)(i)(B)(3)) under any Transaction, including, without limitation, any decision to enter into any hedging transactions; Counterparty represents and warrants that it has consulted with its own advisors as to the legal aspects of its adoption and implementation of each Transaction under Rul e 10b5-1;</w:t>
      </w:r>
    </w:p>
    <w:p>
      <w:pPr>
        <w:spacing w:after="0" w:line="137" w:lineRule="exact"/>
        <w:rPr>
          <w:rFonts w:ascii="Arial" w:cs="Arial" w:eastAsia="Arial" w:hAnsi="Arial"/>
          <w:sz w:val="14"/>
          <w:szCs w:val="14"/>
          <w:color w:val="auto"/>
        </w:rPr>
      </w:pPr>
    </w:p>
    <w:p>
      <w:pPr>
        <w:jc w:val="both"/>
        <w:ind w:left="2404" w:right="4000" w:firstLine="8"/>
        <w:spacing w:after="0" w:line="278" w:lineRule="auto"/>
        <w:tabs>
          <w:tab w:leader="none" w:pos="2671" w:val="left"/>
        </w:tabs>
        <w:numPr>
          <w:ilvl w:val="0"/>
          <w:numId w:val="44"/>
        </w:numPr>
        <w:rPr>
          <w:rFonts w:ascii="Arial" w:cs="Arial" w:eastAsia="Arial" w:hAnsi="Arial"/>
          <w:sz w:val="15"/>
          <w:szCs w:val="15"/>
          <w:color w:val="auto"/>
        </w:rPr>
      </w:pPr>
      <w:r>
        <w:rPr>
          <w:rFonts w:ascii="Arial" w:cs="Arial" w:eastAsia="Arial" w:hAnsi="Arial"/>
          <w:sz w:val="15"/>
          <w:szCs w:val="15"/>
          <w:color w:val="auto"/>
        </w:rPr>
        <w:t>Other than as disclosed to Bank in Schedule A hereto, neither it nor any “affiliated purchaser” (as defined in Rule 10b-18 under the Exchange Act) has made any purchases of blocks pursuant to the proviso in Rule 10b-18(b)(4) under the Exchange Act during the four full calendar weeks immediately preceding the applicable Hedging Initiation Date;</w:t>
      </w:r>
    </w:p>
    <w:p>
      <w:pPr>
        <w:spacing w:after="0" w:line="141" w:lineRule="exact"/>
        <w:rPr>
          <w:rFonts w:ascii="Arial" w:cs="Arial" w:eastAsia="Arial" w:hAnsi="Arial"/>
          <w:sz w:val="15"/>
          <w:szCs w:val="15"/>
          <w:color w:val="auto"/>
        </w:rPr>
      </w:pPr>
    </w:p>
    <w:p>
      <w:pPr>
        <w:jc w:val="both"/>
        <w:ind w:left="2404" w:right="4000" w:firstLine="8"/>
        <w:spacing w:after="0" w:line="259" w:lineRule="auto"/>
        <w:tabs>
          <w:tab w:leader="none" w:pos="2669"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purchase or writing of each Transaction will not violate Rule 13e-1 or Rule 13e-4 under the Exchange Act, and Counterparty is not entering into any Transaction in anticipation of, or in connection with, or to facilitate a self-tender offer or a third-party tender offer;</w:t>
      </w:r>
    </w:p>
    <w:p>
      <w:pPr>
        <w:sectPr>
          <w:pgSz w:w="11900" w:h="16914" w:orient="portrait"/>
          <w:cols w:equalWidth="0" w:num="1">
            <w:col w:w="11444"/>
          </w:cols>
          <w:pgMar w:left="236" w:top="131" w:right="219" w:bottom="0" w:gutter="0" w:footer="0" w:header="0"/>
        </w:sectPr>
      </w:pPr>
    </w:p>
    <w:bookmarkStart w:id="66" w:name="page67"/>
    <w:bookmarkEnd w:id="66"/>
    <w:p>
      <w:pPr>
        <w:jc w:val="both"/>
        <w:ind w:left="2400" w:right="4000" w:firstLine="8"/>
        <w:spacing w:after="0" w:line="263" w:lineRule="auto"/>
        <w:tabs>
          <w:tab w:leader="none" w:pos="2706" w:val="left"/>
        </w:tabs>
        <w:numPr>
          <w:ilvl w:val="0"/>
          <w:numId w:val="45"/>
        </w:numPr>
        <w:rPr>
          <w:rFonts w:ascii="Arial" w:cs="Arial" w:eastAsia="Arial" w:hAnsi="Arial"/>
          <w:sz w:val="16"/>
          <w:szCs w:val="16"/>
          <w:color w:val="auto"/>
        </w:rPr>
      </w:pPr>
      <w:r>
        <w:rPr>
          <w:rFonts w:ascii="Arial" w:cs="Arial" w:eastAsia="Arial" w:hAnsi="Arial"/>
          <w:sz w:val="16"/>
          <w:szCs w:val="16"/>
          <w:color w:val="auto"/>
        </w:rPr>
        <w:t>Each Transaction is consistent with the publicly announced program of Counterparty to repurchase, from time to time, Shares (the “</w:t>
      </w:r>
      <w:r>
        <w:rPr>
          <w:rFonts w:ascii="Arial" w:cs="Arial" w:eastAsia="Arial" w:hAnsi="Arial"/>
          <w:sz w:val="16"/>
          <w:szCs w:val="16"/>
          <w:b w:val="1"/>
          <w:bCs w:val="1"/>
          <w:u w:val="single" w:color="auto"/>
          <w:color w:val="auto"/>
        </w:rPr>
        <w:t>Repurchase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Program</w:t>
      </w:r>
      <w:r>
        <w:rPr>
          <w:rFonts w:ascii="Arial" w:cs="Arial" w:eastAsia="Arial" w:hAnsi="Arial"/>
          <w:sz w:val="16"/>
          <w:szCs w:val="16"/>
          <w:color w:val="auto"/>
        </w:rPr>
        <w:t>”);</w:t>
      </w:r>
    </w:p>
    <w:p>
      <w:pPr>
        <w:spacing w:after="0" w:line="127" w:lineRule="exact"/>
        <w:rPr>
          <w:rFonts w:ascii="Arial" w:cs="Arial" w:eastAsia="Arial" w:hAnsi="Arial"/>
          <w:sz w:val="16"/>
          <w:szCs w:val="16"/>
          <w:color w:val="auto"/>
        </w:rPr>
      </w:pPr>
    </w:p>
    <w:p>
      <w:pPr>
        <w:jc w:val="both"/>
        <w:ind w:left="2400" w:right="4000" w:firstLine="8"/>
        <w:spacing w:after="0" w:line="263" w:lineRule="auto"/>
        <w:tabs>
          <w:tab w:leader="none" w:pos="2679"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Counterparty has full power and authority to undertake the Repurchase Program, and the Repurchase Program has been duly authorized and remains valid; and</w:t>
      </w:r>
    </w:p>
    <w:p>
      <w:pPr>
        <w:spacing w:after="0" w:line="139" w:lineRule="exact"/>
        <w:rPr>
          <w:rFonts w:ascii="Arial" w:cs="Arial" w:eastAsia="Arial" w:hAnsi="Arial"/>
          <w:sz w:val="16"/>
          <w:szCs w:val="16"/>
          <w:color w:val="auto"/>
        </w:rPr>
      </w:pPr>
    </w:p>
    <w:p>
      <w:pPr>
        <w:jc w:val="both"/>
        <w:ind w:left="2400" w:right="4000" w:firstLine="8"/>
        <w:spacing w:after="0" w:line="263" w:lineRule="auto"/>
        <w:tabs>
          <w:tab w:leader="none" w:pos="2713"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Counterparty is not engaged in and is not currently contemplating a distribution of Shares or other securities for which the Shares are a reference security for purposes of Rule 102 of Regulation M.</w:t>
      </w:r>
    </w:p>
    <w:p>
      <w:pPr>
        <w:spacing w:after="0" w:line="151"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Counterparty covenants and agrees that:</w:t>
      </w:r>
    </w:p>
    <w:p>
      <w:pPr>
        <w:spacing w:after="0" w:line="188" w:lineRule="exact"/>
        <w:rPr>
          <w:sz w:val="20"/>
          <w:szCs w:val="20"/>
          <w:color w:val="auto"/>
        </w:rPr>
      </w:pPr>
    </w:p>
    <w:p>
      <w:pPr>
        <w:jc w:val="both"/>
        <w:ind w:left="2400" w:right="4000" w:firstLine="8"/>
        <w:spacing w:after="0" w:line="291" w:lineRule="auto"/>
        <w:tabs>
          <w:tab w:leader="none" w:pos="2815" w:val="left"/>
        </w:tabs>
        <w:numPr>
          <w:ilvl w:val="0"/>
          <w:numId w:val="46"/>
        </w:numPr>
        <w:rPr>
          <w:rFonts w:ascii="Arial" w:cs="Arial" w:eastAsia="Arial" w:hAnsi="Arial"/>
          <w:sz w:val="14"/>
          <w:szCs w:val="14"/>
          <w:color w:val="auto"/>
        </w:rPr>
      </w:pPr>
      <w:r>
        <w:rPr>
          <w:rFonts w:ascii="Arial" w:cs="Arial" w:eastAsia="Arial" w:hAnsi="Arial"/>
          <w:sz w:val="14"/>
          <w:szCs w:val="14"/>
          <w:color w:val="auto"/>
        </w:rPr>
        <w:t>During the term of each Transaction to promptly notify Bank telephonically (which oral communication shall be promptly confirmed by telecopy to Bank) if Counterparty determines that as a result of an acquisition or other business transaction or for any other reason Counterparty will be engaged in a distribution of Shares or other securities for which the Shares are a reference security for purposes of Rule 102 of Regulation M and to promptly notify Bank by telecopy of the period commencing on the date that is one (1) business day before the commencement of such distribution and ending on the day on which Counterparty completes the distribution (the “</w:t>
      </w:r>
      <w:r>
        <w:rPr>
          <w:rFonts w:ascii="Arial" w:cs="Arial" w:eastAsia="Arial" w:hAnsi="Arial"/>
          <w:sz w:val="14"/>
          <w:szCs w:val="14"/>
          <w:b w:val="1"/>
          <w:bCs w:val="1"/>
          <w:u w:val="single" w:color="auto"/>
          <w:color w:val="auto"/>
        </w:rPr>
        <w:t>Distribution Period</w:t>
      </w:r>
      <w:r>
        <w:rPr>
          <w:rFonts w:ascii="Arial" w:cs="Arial" w:eastAsia="Arial" w:hAnsi="Arial"/>
          <w:sz w:val="14"/>
          <w:szCs w:val="14"/>
          <w:color w:val="auto"/>
        </w:rPr>
        <w:t>”) and Counterparty shall promptly notify Bank of such completion; for the purposes of this Confirmation, the “term” of a Transaction shall not be considered to have been completed until all Shares required to be transferred to party hereto have been duly transferred and all cash amounts required to be paid to a party hereto have been duly paid;</w:t>
      </w:r>
    </w:p>
    <w:p>
      <w:pPr>
        <w:spacing w:after="0" w:line="135" w:lineRule="exact"/>
        <w:rPr>
          <w:rFonts w:ascii="Arial" w:cs="Arial" w:eastAsia="Arial" w:hAnsi="Arial"/>
          <w:sz w:val="14"/>
          <w:szCs w:val="14"/>
          <w:color w:val="auto"/>
        </w:rPr>
      </w:pPr>
    </w:p>
    <w:p>
      <w:pPr>
        <w:jc w:val="both"/>
        <w:ind w:left="2400" w:right="4000" w:firstLine="8"/>
        <w:spacing w:after="0" w:line="272" w:lineRule="auto"/>
        <w:tabs>
          <w:tab w:leader="none" w:pos="2692" w:val="left"/>
        </w:tabs>
        <w:numPr>
          <w:ilvl w:val="0"/>
          <w:numId w:val="46"/>
        </w:numPr>
        <w:rPr>
          <w:rFonts w:ascii="Arial" w:cs="Arial" w:eastAsia="Arial" w:hAnsi="Arial"/>
          <w:sz w:val="15"/>
          <w:szCs w:val="15"/>
          <w:color w:val="auto"/>
        </w:rPr>
      </w:pPr>
      <w:r>
        <w:rPr>
          <w:rFonts w:ascii="Arial" w:cs="Arial" w:eastAsia="Arial" w:hAnsi="Arial"/>
          <w:sz w:val="15"/>
          <w:szCs w:val="15"/>
          <w:color w:val="auto"/>
        </w:rPr>
        <w:t>Without the prior written consent of Bank, neither Counterparty nor any “affiliated purchaser” (as such term is defined in Rule 10b-18 under the Exchange Act) will acquire Shares (or equivalent interests or securities exchangeable, convertible or exercisable into Shares) or be a party to any repurchase or similar agreements pursuant to which a valuation, averaging or hedging period or similar such period overlaps or potentially overlaps with the term of any Transaction, other than for off-market purchases from employees of Shares issued to employees as “restricted shares” pursuant to the Counterparty’s 1998 Long-Term Incentive Plan; and</w:t>
      </w:r>
    </w:p>
    <w:p>
      <w:pPr>
        <w:spacing w:after="0" w:line="124" w:lineRule="exact"/>
        <w:rPr>
          <w:rFonts w:ascii="Arial" w:cs="Arial" w:eastAsia="Arial" w:hAnsi="Arial"/>
          <w:sz w:val="15"/>
          <w:szCs w:val="15"/>
          <w:color w:val="auto"/>
        </w:rPr>
      </w:pPr>
    </w:p>
    <w:p>
      <w:pPr>
        <w:jc w:val="both"/>
        <w:ind w:left="2400" w:right="4000" w:firstLine="8"/>
        <w:spacing w:after="0" w:line="255" w:lineRule="auto"/>
        <w:tabs>
          <w:tab w:leader="none" w:pos="2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Although Counterparty acknowledges that Rule 10b-18 under the Exchange Act cannot be applied to Bank’s purchases of Shares in connection with any Transaction, Counterparty will not take any action that would or could cause Bank’s purchases of Shares during any Transaction term not to comply with Rule 10b-18 under the Exchange Act, as if such rule could be applied to such Transaction.</w:t>
      </w:r>
    </w:p>
    <w:p>
      <w:pPr>
        <w:spacing w:after="0" w:line="171"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Counterparty acknowledges and agrees that:</w:t>
      </w:r>
    </w:p>
    <w:p>
      <w:pPr>
        <w:spacing w:after="0" w:line="164" w:lineRule="exact"/>
        <w:rPr>
          <w:sz w:val="20"/>
          <w:szCs w:val="20"/>
          <w:color w:val="auto"/>
        </w:rPr>
      </w:pPr>
    </w:p>
    <w:p>
      <w:pPr>
        <w:jc w:val="both"/>
        <w:ind w:left="2400" w:right="4000" w:firstLine="8"/>
        <w:spacing w:after="0" w:line="257" w:lineRule="auto"/>
        <w:tabs>
          <w:tab w:leader="none" w:pos="2727"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connection with each Transaction, Bank will engage in customary hedging activities in its sole discretion and for its own account and that such activities may involve sales or purchases at an average price that may be greater than, or less than, the price paid by Counterparty under the terms of such Transaction; and</w:t>
      </w:r>
    </w:p>
    <w:p>
      <w:pPr>
        <w:spacing w:after="0" w:line="130" w:lineRule="exact"/>
        <w:rPr>
          <w:rFonts w:ascii="Arial" w:cs="Arial" w:eastAsia="Arial" w:hAnsi="Arial"/>
          <w:sz w:val="16"/>
          <w:szCs w:val="16"/>
          <w:color w:val="auto"/>
        </w:rPr>
      </w:pPr>
    </w:p>
    <w:p>
      <w:pPr>
        <w:jc w:val="both"/>
        <w:ind w:left="2400" w:right="4000" w:firstLine="8"/>
        <w:spacing w:after="0" w:line="274" w:lineRule="auto"/>
        <w:tabs>
          <w:tab w:leader="none" w:pos="2682" w:val="left"/>
        </w:tabs>
        <w:numPr>
          <w:ilvl w:val="0"/>
          <w:numId w:val="47"/>
        </w:numPr>
        <w:rPr>
          <w:rFonts w:ascii="Arial" w:cs="Arial" w:eastAsia="Arial" w:hAnsi="Arial"/>
          <w:sz w:val="15"/>
          <w:szCs w:val="15"/>
          <w:color w:val="auto"/>
        </w:rPr>
      </w:pPr>
      <w:r>
        <w:rPr>
          <w:rFonts w:ascii="Arial" w:cs="Arial" w:eastAsia="Arial" w:hAnsi="Arial"/>
          <w:sz w:val="15"/>
          <w:szCs w:val="15"/>
          <w:color w:val="auto"/>
        </w:rPr>
        <w:t xml:space="preserve">Without limiting the generality of Section 13.1 of the Equity Definitions, Bank is not making any representations or warranties with respect to the treatment of any Transaction under any accounting standards including ASC Topic 260, </w:t>
      </w:r>
      <w:r>
        <w:rPr>
          <w:rFonts w:ascii="Arial" w:cs="Arial" w:eastAsia="Arial" w:hAnsi="Arial"/>
          <w:sz w:val="15"/>
          <w:szCs w:val="15"/>
          <w:i w:val="1"/>
          <w:iCs w:val="1"/>
          <w:color w:val="auto"/>
        </w:rPr>
        <w:t>Earnings Per Share</w:t>
      </w:r>
      <w:r>
        <w:rPr>
          <w:rFonts w:ascii="Arial" w:cs="Arial" w:eastAsia="Arial" w:hAnsi="Arial"/>
          <w:sz w:val="15"/>
          <w:szCs w:val="15"/>
          <w:color w:val="auto"/>
        </w:rPr>
        <w:t xml:space="preserve">, ASC Topic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or ASC Topic 480, </w:t>
      </w:r>
      <w:r>
        <w:rPr>
          <w:rFonts w:ascii="Arial" w:cs="Arial" w:eastAsia="Arial" w:hAnsi="Arial"/>
          <w:sz w:val="15"/>
          <w:szCs w:val="15"/>
          <w:i w:val="1"/>
          <w:iCs w:val="1"/>
          <w:color w:val="auto"/>
        </w:rPr>
        <w:t>Distinguishing Liabilities from Equity</w:t>
      </w:r>
      <w:r>
        <w:rPr>
          <w:rFonts w:ascii="Arial" w:cs="Arial" w:eastAsia="Arial" w:hAnsi="Arial"/>
          <w:sz w:val="15"/>
          <w:szCs w:val="15"/>
          <w:color w:val="auto"/>
        </w:rPr>
        <w:t xml:space="preserve"> and ASC 815-40, </w:t>
      </w:r>
      <w:r>
        <w:rPr>
          <w:rFonts w:ascii="Arial" w:cs="Arial" w:eastAsia="Arial" w:hAnsi="Arial"/>
          <w:sz w:val="15"/>
          <w:szCs w:val="15"/>
          <w:i w:val="1"/>
          <w:iCs w:val="1"/>
          <w:color w:val="auto"/>
        </w:rPr>
        <w:t xml:space="preserve">Derivatives and Hedging – Contracts in Entity’s Own Equity </w:t>
      </w:r>
      <w:r>
        <w:rPr>
          <w:rFonts w:ascii="Arial" w:cs="Arial" w:eastAsia="Arial" w:hAnsi="Arial"/>
          <w:sz w:val="15"/>
          <w:szCs w:val="15"/>
          <w:color w:val="auto"/>
        </w:rPr>
        <w:t>(or any successor</w:t>
      </w:r>
      <w:r>
        <w:rPr>
          <w:rFonts w:ascii="Arial" w:cs="Arial" w:eastAsia="Arial" w:hAnsi="Arial"/>
          <w:sz w:val="15"/>
          <w:szCs w:val="15"/>
          <w:i w:val="1"/>
          <w:iCs w:val="1"/>
          <w:color w:val="auto"/>
        </w:rPr>
        <w:t xml:space="preserve"> </w:t>
      </w:r>
      <w:r>
        <w:rPr>
          <w:rFonts w:ascii="Arial" w:cs="Arial" w:eastAsia="Arial" w:hAnsi="Arial"/>
          <w:sz w:val="15"/>
          <w:szCs w:val="15"/>
          <w:color w:val="auto"/>
        </w:rPr>
        <w:t>issue statements) or under FASB’s Liabilities &amp; Equity Project.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Account Details: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Account for payments to Counterparty: Union Bank of California</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ABA 122 000 496</w:t>
      </w:r>
    </w:p>
    <w:p>
      <w:pPr>
        <w:spacing w:after="0" w:line="8"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Acct 070 049 2435</w:t>
      </w:r>
    </w:p>
    <w:p>
      <w:pPr>
        <w:spacing w:after="0" w:line="8"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FAO Sempra Energy</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Account for payment to Bank:</w:t>
      </w:r>
    </w:p>
    <w:p>
      <w:pPr>
        <w:spacing w:after="0" w:line="200"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JPMORGAN CHASE BANK, N.A.</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ABA#: 021000021</w:t>
      </w:r>
    </w:p>
    <w:p>
      <w:pPr>
        <w:spacing w:after="0" w:line="8"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A/C 099997979</w:t>
      </w:r>
    </w:p>
    <w:p>
      <w:pPr>
        <w:spacing w:after="0" w:line="8"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Beneficiary JPMorgan Chase Bank, N.A. New York</w:t>
      </w:r>
    </w:p>
    <w:p>
      <w:pPr>
        <w:spacing w:after="0" w:line="8"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Ref: Derivatives</w:t>
      </w:r>
    </w:p>
    <w:p>
      <w:pPr>
        <w:sectPr>
          <w:pgSz w:w="11900" w:h="16838" w:orient="portrait"/>
          <w:cols w:equalWidth="0" w:num="1">
            <w:col w:w="11440"/>
          </w:cols>
          <w:pgMar w:left="240" w:top="127" w:right="219" w:bottom="0" w:gutter="0" w:footer="0" w:header="0"/>
        </w:sect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Bankruptcy Rights: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both"/>
        <w:spacing w:after="0" w:line="314" w:lineRule="auto"/>
        <w:rPr>
          <w:sz w:val="20"/>
          <w:szCs w:val="20"/>
          <w:color w:val="auto"/>
        </w:rPr>
      </w:pPr>
      <w:r>
        <w:rPr>
          <w:rFonts w:ascii="Arial" w:cs="Arial" w:eastAsia="Arial" w:hAnsi="Arial"/>
          <w:sz w:val="14"/>
          <w:szCs w:val="14"/>
          <w:color w:val="auto"/>
        </w:rPr>
        <w:t>In the event of Counterparty’s bankruptcy, Bank’s rights in connection with any Transaction shall not exceed those rights held by common shareholders. For the avoidance of doubt, the parties acknowledge and agree that Bank’s rights with respect to any other claim arising from any Transaction prior to Counterparty’s bankruptcy shall remain in full force and effect and shall not be otherwise abridged or modified in connection herewith.</w:t>
      </w:r>
    </w:p>
    <w:p>
      <w:pPr>
        <w:spacing w:after="0" w:line="108" w:lineRule="exact"/>
        <w:rPr>
          <w:sz w:val="20"/>
          <w:szCs w:val="20"/>
          <w:color w:val="auto"/>
        </w:rPr>
      </w:pPr>
    </w:p>
    <w:p>
      <w:pPr>
        <w:sectPr>
          <w:pgSz w:w="11900" w:h="16838" w:orient="portrait"/>
          <w:cols w:equalWidth="0" w:num="2">
            <w:col w:w="1320" w:space="400"/>
            <w:col w:w="9720"/>
          </w:cols>
          <w:pgMar w:left="240" w:top="127" w:right="219" w:bottom="0" w:gutter="0" w:footer="0" w:header="0"/>
          <w:type w:val="continuous"/>
        </w:sectPr>
      </w:pPr>
    </w:p>
    <w:p>
      <w:pPr>
        <w:spacing w:after="0"/>
        <w:rPr>
          <w:sz w:val="20"/>
          <w:szCs w:val="20"/>
          <w:color w:val="auto"/>
        </w:rPr>
      </w:pPr>
      <w:r>
        <w:rPr>
          <w:rFonts w:ascii="Arial" w:cs="Arial" w:eastAsia="Arial" w:hAnsi="Arial"/>
          <w:sz w:val="14"/>
          <w:szCs w:val="14"/>
          <w:b w:val="1"/>
          <w:bCs w:val="1"/>
          <w:color w:val="auto"/>
        </w:rPr>
        <w:t>Set-Off:</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6"/>
          <w:szCs w:val="16"/>
          <w:color w:val="auto"/>
        </w:rPr>
        <w:t>Each of the parties waives any and all rights it may have to set off obligations arising under any Transaction against other obligations between the parties, whether arising under any agreement, applicable law or otherwise.</w:t>
      </w:r>
    </w:p>
    <w:p>
      <w:pPr>
        <w:spacing w:after="0" w:line="122" w:lineRule="exact"/>
        <w:rPr>
          <w:sz w:val="20"/>
          <w:szCs w:val="20"/>
          <w:color w:val="auto"/>
        </w:rPr>
      </w:pPr>
    </w:p>
    <w:p>
      <w:pPr>
        <w:sectPr>
          <w:pgSz w:w="11900" w:h="16838" w:orient="portrait"/>
          <w:cols w:equalWidth="0" w:num="2">
            <w:col w:w="1000" w:space="720"/>
            <w:col w:w="9720"/>
          </w:cols>
          <w:pgMar w:left="240" w:top="127" w:right="219" w:bottom="0" w:gutter="0" w:footer="0" w:header="0"/>
          <w:type w:val="continuous"/>
        </w:sectPr>
      </w:pPr>
    </w:p>
    <w:p>
      <w:pPr>
        <w:spacing w:after="0"/>
        <w:rPr>
          <w:sz w:val="20"/>
          <w:szCs w:val="20"/>
          <w:color w:val="auto"/>
        </w:rPr>
      </w:pPr>
      <w:r>
        <w:rPr>
          <w:rFonts w:ascii="Arial" w:cs="Arial" w:eastAsia="Arial" w:hAnsi="Arial"/>
          <w:sz w:val="16"/>
          <w:szCs w:val="16"/>
          <w:b w:val="1"/>
          <w:bCs w:val="1"/>
          <w:color w:val="auto"/>
        </w:rPr>
        <w:t>Collateral:</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Transfer/Delegation: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For each Transaction, as set forth in the corresponding Supplemental Confirmation.</w:t>
      </w:r>
    </w:p>
    <w:p>
      <w:pPr>
        <w:sectPr>
          <w:pgSz w:w="11900" w:h="16838" w:orient="portrait"/>
          <w:cols w:equalWidth="0" w:num="2">
            <w:col w:w="1380" w:space="340"/>
            <w:col w:w="9720"/>
          </w:cols>
          <w:pgMar w:left="240" w:top="127" w:right="219" w:bottom="0" w:gutter="0" w:footer="0" w:header="0"/>
          <w:type w:val="continuous"/>
        </w:sectPr>
      </w:pPr>
    </w:p>
    <w:bookmarkStart w:id="67" w:name="page68"/>
    <w:bookmarkEnd w:id="6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93"/>
              </w:rPr>
              <w:t>Neither Counterparty nor Bank may transfer any of its rights or delegate its obligations under any Transaction with the prior written consent of Bank</w:t>
            </w:r>
          </w:p>
        </w:tc>
      </w:t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90"/>
              </w:rPr>
              <w:t>provided, however, that notwithstanding the foregoing or any other provision in this Confirmation to the contrary requiring or allowing Bank to purchase,</w:t>
            </w:r>
          </w:p>
        </w:tc>
      </w:t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91"/>
              </w:rPr>
              <w:t>sell, receive or deliver any Shares or other securities, or make or receive any payment in cash, to or from Counterparty, Bank may designate any of its</w:t>
            </w:r>
          </w:p>
        </w:tc>
      </w:t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88"/>
              </w:rPr>
              <w:t>affiliates to purchase, sell, receive or deliver such Shares or other securities, or to make or receive such payment in cash, and otherwise to perform Bank’s</w:t>
            </w:r>
          </w:p>
        </w:tc>
      </w:t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88"/>
              </w:rPr>
              <w:t>obligations in respect of any Transaction and any such designee may assume such obligations. Bank shall be discharged of its obligations to Counterparty</w:t>
            </w:r>
          </w:p>
        </w:tc>
      </w:t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88"/>
              </w:rPr>
              <w:t>to the extent of any such performance. For the avoidance of doubt, Bank hereby acknowledges that notwithstanding any such designation hereunder, to the</w:t>
            </w:r>
          </w:p>
        </w:tc>
      </w:t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92"/>
              </w:rPr>
              <w:t>e xtent any of Bank’s obligations in respect of any Transaction are not completed by its designee, Bank shall be obligated to continue to perform or to</w:t>
            </w:r>
          </w:p>
        </w:tc>
      </w:tr>
      <w:tr>
        <w:trPr>
          <w:trHeight w:val="199"/>
        </w:trPr>
        <w:tc>
          <w:tcPr>
            <w:tcW w:w="1240" w:type="dxa"/>
            <w:vAlign w:val="bottom"/>
          </w:tcPr>
          <w:p>
            <w:pPr>
              <w:spacing w:after="0"/>
              <w:rPr>
                <w:sz w:val="17"/>
                <w:szCs w:val="17"/>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rPr>
              <w:t>cause any other of its designees to perform in respect of such obligations.</w:t>
            </w:r>
          </w:p>
        </w:tc>
      </w:tr>
      <w:tr>
        <w:trPr>
          <w:trHeight w:val="301"/>
        </w:trPr>
        <w:tc>
          <w:tcPr>
            <w:tcW w:w="1240" w:type="dxa"/>
            <w:vAlign w:val="bottom"/>
          </w:tcPr>
          <w:p>
            <w:pPr>
              <w:spacing w:after="0"/>
              <w:rPr>
                <w:sz w:val="20"/>
                <w:szCs w:val="20"/>
                <w:color w:val="auto"/>
              </w:rPr>
            </w:pPr>
            <w:r>
              <w:rPr>
                <w:rFonts w:ascii="Arial" w:cs="Arial" w:eastAsia="Arial" w:hAnsi="Arial"/>
                <w:sz w:val="16"/>
                <w:szCs w:val="16"/>
                <w:b w:val="1"/>
                <w:bCs w:val="1"/>
                <w:color w:val="auto"/>
              </w:rPr>
              <w:t>Indemnity:</w:t>
            </w: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91"/>
              </w:rPr>
              <w:t>Counterparty agrees to indemnify Bank, its Affiliates and their respective directors, officers, agents and controlling parties (Bank and each such person</w:t>
            </w:r>
          </w:p>
        </w:tc>
      </w:tr>
      <w:tr>
        <w:trPr>
          <w:trHeight w:val="169"/>
        </w:trPr>
        <w:tc>
          <w:tcPr>
            <w:tcW w:w="1240" w:type="dxa"/>
            <w:vAlign w:val="bottom"/>
          </w:tcPr>
          <w:p>
            <w:pPr>
              <w:spacing w:after="0"/>
              <w:rPr>
                <w:sz w:val="14"/>
                <w:szCs w:val="14"/>
                <w:color w:val="auto"/>
              </w:rPr>
            </w:pPr>
          </w:p>
        </w:tc>
        <w:tc>
          <w:tcPr>
            <w:tcW w:w="10200" w:type="dxa"/>
            <w:vAlign w:val="bottom"/>
            <w:gridSpan w:val="5"/>
          </w:tcPr>
          <w:p>
            <w:pPr>
              <w:ind w:left="480"/>
              <w:spacing w:after="0" w:line="169" w:lineRule="exact"/>
              <w:rPr>
                <w:sz w:val="20"/>
                <w:szCs w:val="20"/>
                <w:color w:val="auto"/>
              </w:rPr>
            </w:pPr>
            <w:r>
              <w:rPr>
                <w:rFonts w:ascii="Arial" w:cs="Arial" w:eastAsia="Arial" w:hAnsi="Arial"/>
                <w:sz w:val="16"/>
                <w:szCs w:val="16"/>
                <w:color w:val="auto"/>
                <w:w w:val="91"/>
              </w:rPr>
              <w:t>being an “</w:t>
            </w:r>
            <w:r>
              <w:rPr>
                <w:rFonts w:ascii="Arial" w:cs="Arial" w:eastAsia="Arial" w:hAnsi="Arial"/>
                <w:sz w:val="16"/>
                <w:szCs w:val="16"/>
                <w:b w:val="1"/>
                <w:bCs w:val="1"/>
                <w:color w:val="auto"/>
                <w:w w:val="91"/>
              </w:rPr>
              <w:t>Indemnified Party</w:t>
            </w:r>
            <w:r>
              <w:rPr>
                <w:rFonts w:ascii="Arial" w:cs="Arial" w:eastAsia="Arial" w:hAnsi="Arial"/>
                <w:sz w:val="16"/>
                <w:szCs w:val="16"/>
                <w:color w:val="auto"/>
                <w:w w:val="91"/>
              </w:rPr>
              <w:t>”) from and against any and all losses, claims, damages and liabilities, joint and several, to which such Indemnified Party</w:t>
            </w:r>
          </w:p>
        </w:tc>
      </w:tr>
      <w:tr>
        <w:trPr>
          <w:trHeight w:val="20"/>
        </w:trPr>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9"/>
        </w:trPr>
        <w:tc>
          <w:tcPr>
            <w:tcW w:w="1240" w:type="dxa"/>
            <w:vAlign w:val="bottom"/>
          </w:tcPr>
          <w:p>
            <w:pPr>
              <w:spacing w:after="0"/>
              <w:rPr>
                <w:sz w:val="17"/>
                <w:szCs w:val="17"/>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89"/>
              </w:rPr>
              <w:t>may become subject because of the untruth of any representation by Counterparty or a breach by Counterparty of any agreement or covenant under this</w:t>
            </w:r>
          </w:p>
        </w:tc>
      </w:t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90"/>
              </w:rPr>
              <w:t>Confirmation, in the Agreement, the Plan or any other agreement relating to the Agreement or any Transaction and will reimburse any Indemnified Party</w:t>
            </w:r>
          </w:p>
        </w:tc>
      </w:t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89"/>
              </w:rPr>
              <w:t>for all reasonable expenses (including reasonable legal fees and expenses) as they are incurred in connection with the investigation of, preparation for, or</w:t>
            </w:r>
          </w:p>
        </w:tc>
      </w:t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93"/>
              </w:rPr>
              <w:t>defense of, any pending or threatened claim or any action or proceeding arising therefrom, whether or not such Indemnified Party is a party thereto;</w:t>
            </w:r>
          </w:p>
        </w:tc>
      </w:t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89"/>
              </w:rPr>
              <w:t>provided, however, that Counterparty shall not have any liability to any Indemnified Party to the extent that such obligations (i) are finally determined by a</w:t>
            </w:r>
          </w:p>
        </w:tc>
      </w:t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95"/>
              </w:rPr>
              <w:t>court of competent jurisdiction to have resulted from the gross negligence or willful misconduct of any Indemnified Party (and in such case, such</w:t>
            </w:r>
          </w:p>
        </w:tc>
      </w:t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90"/>
              </w:rPr>
              <w:t>Indemnified Party shall promptly return to Counterparty any amounts previously expended by Counterparty hereunder) or (ii) are trading losses incurred</w:t>
            </w:r>
          </w:p>
        </w:tc>
      </w:tr>
      <w:tr>
        <w:trPr>
          <w:trHeight w:val="199"/>
        </w:trPr>
        <w:tc>
          <w:tcPr>
            <w:tcW w:w="1240" w:type="dxa"/>
            <w:vAlign w:val="bottom"/>
          </w:tcPr>
          <w:p>
            <w:pPr>
              <w:spacing w:after="0"/>
              <w:rPr>
                <w:sz w:val="17"/>
                <w:szCs w:val="17"/>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rPr>
              <w:t>by Bank that are not attributable, whether directly or indirectly, to a breach by Counterparty of any agreement, term or covenant herein.</w:t>
            </w:r>
          </w:p>
        </w:tc>
      </w:tr>
      <w:tr>
        <w:trPr>
          <w:trHeight w:val="278"/>
        </w:trPr>
        <w:tc>
          <w:tcPr>
            <w:tcW w:w="1240" w:type="dxa"/>
            <w:vAlign w:val="bottom"/>
          </w:tcPr>
          <w:p>
            <w:pPr>
              <w:spacing w:after="0"/>
              <w:rPr>
                <w:sz w:val="20"/>
                <w:szCs w:val="20"/>
                <w:color w:val="auto"/>
              </w:rPr>
            </w:pPr>
            <w:r>
              <w:rPr>
                <w:rFonts w:ascii="Arial" w:cs="Arial" w:eastAsia="Arial" w:hAnsi="Arial"/>
                <w:sz w:val="16"/>
                <w:szCs w:val="16"/>
                <w:b w:val="1"/>
                <w:bCs w:val="1"/>
                <w:color w:val="auto"/>
              </w:rPr>
              <w:t>Agency:</w:t>
            </w: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88"/>
              </w:rPr>
              <w:t>Each party agrees and acknowledges that (i) J.P. Morgan Securities LLC, an affiliate of Bank (“</w:t>
            </w:r>
            <w:r>
              <w:rPr>
                <w:rFonts w:ascii="Arial" w:cs="Arial" w:eastAsia="Arial" w:hAnsi="Arial"/>
                <w:sz w:val="16"/>
                <w:szCs w:val="16"/>
                <w:b w:val="1"/>
                <w:bCs w:val="1"/>
                <w:color w:val="auto"/>
                <w:w w:val="88"/>
              </w:rPr>
              <w:t>JPMS</w:t>
            </w:r>
            <w:r>
              <w:rPr>
                <w:rFonts w:ascii="Arial" w:cs="Arial" w:eastAsia="Arial" w:hAnsi="Arial"/>
                <w:sz w:val="16"/>
                <w:szCs w:val="16"/>
                <w:color w:val="auto"/>
                <w:w w:val="88"/>
              </w:rPr>
              <w:t>”), has acted solely as agent and not as principal with</w:t>
            </w:r>
          </w:p>
        </w:tc>
      </w:tr>
      <w:tr>
        <w:trPr>
          <w:trHeight w:val="20"/>
        </w:trPr>
        <w:tc>
          <w:tcPr>
            <w:tcW w:w="1240" w:type="dxa"/>
            <w:vAlign w:val="bottom"/>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9"/>
        </w:trPr>
        <w:tc>
          <w:tcPr>
            <w:tcW w:w="1240" w:type="dxa"/>
            <w:vAlign w:val="bottom"/>
          </w:tcPr>
          <w:p>
            <w:pPr>
              <w:spacing w:after="0"/>
              <w:rPr>
                <w:sz w:val="17"/>
                <w:szCs w:val="17"/>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90"/>
              </w:rPr>
              <w:t>respect to each Transaction and (ii) JPMS has no obligation or liability, by way of guaranty, endorsement or otherwise, in any manner in respect of each</w:t>
            </w:r>
          </w:p>
        </w:tc>
      </w:tr>
      <w:tr>
        <w:trPr>
          <w:trHeight w:val="192"/>
        </w:trPr>
        <w:tc>
          <w:tcPr>
            <w:tcW w:w="1240" w:type="dxa"/>
            <w:vAlign w:val="bottom"/>
          </w:tcPr>
          <w:p>
            <w:pPr>
              <w:spacing w:after="0"/>
              <w:rPr>
                <w:sz w:val="16"/>
                <w:szCs w:val="16"/>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w w:val="93"/>
              </w:rPr>
              <w:t>Transaction (including, if applicable, in respect of the settlement thereof).  Each party agrees it will look solely to the other party (or any guarantor in</w:t>
            </w:r>
          </w:p>
        </w:tc>
      </w:tr>
      <w:tr>
        <w:trPr>
          <w:trHeight w:val="199"/>
        </w:trPr>
        <w:tc>
          <w:tcPr>
            <w:tcW w:w="1240" w:type="dxa"/>
            <w:vAlign w:val="bottom"/>
          </w:tcPr>
          <w:p>
            <w:pPr>
              <w:spacing w:after="0"/>
              <w:rPr>
                <w:sz w:val="17"/>
                <w:szCs w:val="17"/>
                <w:color w:val="auto"/>
              </w:rPr>
            </w:pPr>
          </w:p>
        </w:tc>
        <w:tc>
          <w:tcPr>
            <w:tcW w:w="10200" w:type="dxa"/>
            <w:vAlign w:val="bottom"/>
            <w:gridSpan w:val="5"/>
          </w:tcPr>
          <w:p>
            <w:pPr>
              <w:ind w:left="480"/>
              <w:spacing w:after="0"/>
              <w:rPr>
                <w:sz w:val="20"/>
                <w:szCs w:val="20"/>
                <w:color w:val="auto"/>
              </w:rPr>
            </w:pPr>
            <w:r>
              <w:rPr>
                <w:rFonts w:ascii="Arial" w:cs="Arial" w:eastAsia="Arial" w:hAnsi="Arial"/>
                <w:sz w:val="16"/>
                <w:szCs w:val="16"/>
                <w:color w:val="auto"/>
              </w:rPr>
              <w:t>respect thereof) for performance of such other party’s obligations under each Transaction. JPMS is authorized to act as agent for Bank.</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ISDA Master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Agreement, Bank and Counterparty each agree as follows: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Specified Entities:</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 in relation to Bank, for the purposes of:</w:t>
      </w:r>
    </w:p>
    <w:p>
      <w:pPr>
        <w:spacing w:after="0" w:line="164"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6"/>
          <w:szCs w:val="16"/>
          <w:u w:val="single" w:color="auto"/>
          <w:color w:val="auto"/>
        </w:rPr>
        <w:t>Section 5(a)(v)</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not applicable</w:t>
      </w:r>
    </w:p>
    <w:p>
      <w:pPr>
        <w:spacing w:after="0" w:line="15"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6"/>
          <w:szCs w:val="16"/>
          <w:u w:val="single" w:color="auto"/>
          <w:color w:val="auto"/>
        </w:rPr>
        <w:t>Section 5(a)(vi)</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not applicable</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Section 5(a)(vii)</w:t>
      </w:r>
      <w:r>
        <w:rPr>
          <w:rFonts w:ascii="Arial" w:cs="Arial" w:eastAsia="Arial" w:hAnsi="Arial"/>
          <w:sz w:val="16"/>
          <w:szCs w:val="16"/>
          <w:color w:val="auto"/>
        </w:rPr>
        <w:t>: not applicable</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Section 5(b)(iv)</w:t>
      </w:r>
      <w:r>
        <w:rPr>
          <w:rFonts w:ascii="Arial" w:cs="Arial" w:eastAsia="Arial" w:hAnsi="Arial"/>
          <w:sz w:val="16"/>
          <w:szCs w:val="16"/>
          <w:color w:val="auto"/>
        </w:rPr>
        <w:t>:  not applicable</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and (ii) in relation to Counterparty, for the purposes of:</w:t>
      </w:r>
    </w:p>
    <w:p>
      <w:pPr>
        <w:spacing w:after="0" w:line="176"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6"/>
          <w:szCs w:val="16"/>
          <w:u w:val="single" w:color="auto"/>
          <w:color w:val="auto"/>
        </w:rPr>
        <w:t>Section 5(a)(v)</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not applicable</w:t>
      </w:r>
    </w:p>
    <w:p>
      <w:pPr>
        <w:spacing w:after="0" w:line="15"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6"/>
          <w:szCs w:val="16"/>
          <w:u w:val="single" w:color="auto"/>
          <w:color w:val="auto"/>
        </w:rPr>
        <w:t>Section 5(a)(vi)</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not applicable</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Section 5(a)(vii)</w:t>
      </w:r>
      <w:r>
        <w:rPr>
          <w:rFonts w:ascii="Arial" w:cs="Arial" w:eastAsia="Arial" w:hAnsi="Arial"/>
          <w:sz w:val="16"/>
          <w:szCs w:val="16"/>
          <w:color w:val="auto"/>
        </w:rPr>
        <w:t>: not applicable</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Section 5(b)(iv)</w:t>
      </w:r>
      <w:r>
        <w:rPr>
          <w:rFonts w:ascii="Arial" w:cs="Arial" w:eastAsia="Arial" w:hAnsi="Arial"/>
          <w:sz w:val="16"/>
          <w:szCs w:val="16"/>
          <w:color w:val="auto"/>
        </w:rPr>
        <w:t>:  not applicable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Transaction</w:t>
      </w:r>
      <w:r>
        <w:rPr>
          <w:rFonts w:ascii="Arial" w:cs="Arial" w:eastAsia="Arial" w:hAnsi="Arial"/>
          <w:sz w:val="16"/>
          <w:szCs w:val="16"/>
          <w:color w:val="auto"/>
        </w:rPr>
        <w:t xml:space="preserve">” will have the meaning specified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of the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Credit Event Upon Merger</w:t>
      </w:r>
      <w:r>
        <w:rPr>
          <w:rFonts w:ascii="Arial" w:cs="Arial" w:eastAsia="Arial" w:hAnsi="Arial"/>
          <w:sz w:val="16"/>
          <w:szCs w:val="16"/>
          <w:color w:val="auto"/>
        </w:rPr>
        <w:t xml:space="preserve">” provisions of </w:t>
      </w:r>
      <w:r>
        <w:rPr>
          <w:rFonts w:ascii="Arial" w:cs="Arial" w:eastAsia="Arial" w:hAnsi="Arial"/>
          <w:sz w:val="16"/>
          <w:szCs w:val="16"/>
          <w:u w:val="single" w:color="auto"/>
          <w:color w:val="auto"/>
        </w:rPr>
        <w:t>Section 5(b)(iv)</w:t>
      </w:r>
      <w:r>
        <w:rPr>
          <w:rFonts w:ascii="Arial" w:cs="Arial" w:eastAsia="Arial" w:hAnsi="Arial"/>
          <w:sz w:val="16"/>
          <w:szCs w:val="16"/>
          <w:color w:val="auto"/>
        </w:rPr>
        <w:t xml:space="preserve"> of the Agreement will not apply to Bank or to Counterparty.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Automatic Early Termination</w:t>
      </w:r>
      <w:r>
        <w:rPr>
          <w:rFonts w:ascii="Arial" w:cs="Arial" w:eastAsia="Arial" w:hAnsi="Arial"/>
          <w:sz w:val="16"/>
          <w:szCs w:val="16"/>
          <w:color w:val="auto"/>
        </w:rPr>
        <w:t xml:space="preserve">” provision of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of the Agreement will not apply to Bank or to Counterparty.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Payments on Early Termination for the purpose of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of the Agreement: (i) Loss shall apply; and (ii) the Second Method shall apply.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Currency</w:t>
      </w:r>
      <w:r>
        <w:rPr>
          <w:rFonts w:ascii="Arial" w:cs="Arial" w:eastAsia="Arial" w:hAnsi="Arial"/>
          <w:sz w:val="16"/>
          <w:szCs w:val="16"/>
          <w:color w:val="auto"/>
        </w:rPr>
        <w:t>” means USD.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Representations:</w:t>
      </w:r>
    </w:p>
    <w:p>
      <w:pPr>
        <w:spacing w:after="0" w:line="168" w:lineRule="exact"/>
        <w:rPr>
          <w:sz w:val="20"/>
          <w:szCs w:val="20"/>
          <w:color w:val="auto"/>
        </w:rPr>
      </w:pPr>
    </w:p>
    <w:p>
      <w:pPr>
        <w:jc w:val="both"/>
        <w:ind w:left="1440" w:hanging="580"/>
        <w:spacing w:after="0" w:line="294" w:lineRule="auto"/>
        <w:tabs>
          <w:tab w:leader="none" w:pos="14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For the purpose of Section 3(e) of the Agreement, each party represents to the other party that it is not required by any applicable law, as modified by the practice of any relevant governmental revenue authority, of any Relevant Jurisdiction to make any deduction or withholding for or on account of any Tax from any payment (other than interest under Section 2(e), 6(d)(ii), or 6(e) of the Agreement) to be made by it to the other party under the Agreement. In making this representation, each party may rely on (i) the accuracy of any representations made by the other party pursuant to Section 3(f) of the Agreement, (ii) the satisfaction of the agreement contained in Section 4(a)(i) or 4(a)(iii) of the Agreement, and the accuracy and effectiveness of any document provided by the other party pursuant to Section 4(a)(i) or 4(a)(iii) of the Agreement, and (iii) the satisfaction of the agreement of the other party contained in Section 4(d) of the Agreement; provided that it will not be a breach of this representation where reliance is placed on clause (ii) above and the other party does not deliver a form or document under Section 4(a)(iii) of the Agreement by reason of material prejudice to its legal or commercial position.</w:t>
      </w:r>
    </w:p>
    <w:p>
      <w:pPr>
        <w:spacing w:after="0" w:line="114" w:lineRule="exact"/>
        <w:rPr>
          <w:sz w:val="20"/>
          <w:szCs w:val="20"/>
          <w:color w:val="auto"/>
        </w:rPr>
      </w:pPr>
    </w:p>
    <w:p>
      <w:pPr>
        <w:ind w:left="1440" w:hanging="580"/>
        <w:spacing w:after="0"/>
        <w:tabs>
          <w:tab w:leader="none" w:pos="1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the purpose of Section 3(f) of the Agreement, each party makes the following representations to the other party:</w:t>
      </w:r>
    </w:p>
    <w:p>
      <w:pPr>
        <w:spacing w:after="0" w:line="176" w:lineRule="exact"/>
        <w:rPr>
          <w:rFonts w:ascii="Arial" w:cs="Arial" w:eastAsia="Arial" w:hAnsi="Arial"/>
          <w:sz w:val="16"/>
          <w:szCs w:val="16"/>
          <w:color w:val="auto"/>
        </w:rPr>
      </w:pPr>
    </w:p>
    <w:p>
      <w:pPr>
        <w:ind w:left="1860" w:hanging="424"/>
        <w:spacing w:after="0"/>
        <w:tabs>
          <w:tab w:leader="none" w:pos="18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Bank represents that it is a national association organized under the laws of the United States</w:t>
      </w:r>
    </w:p>
    <w:p>
      <w:pPr>
        <w:spacing w:after="0" w:line="164" w:lineRule="exact"/>
        <w:rPr>
          <w:rFonts w:ascii="Arial" w:cs="Arial" w:eastAsia="Arial" w:hAnsi="Arial"/>
          <w:sz w:val="16"/>
          <w:szCs w:val="16"/>
          <w:color w:val="auto"/>
        </w:rPr>
      </w:pPr>
    </w:p>
    <w:p>
      <w:pPr>
        <w:ind w:left="1860" w:hanging="424"/>
        <w:spacing w:after="0"/>
        <w:tabs>
          <w:tab w:leader="none" w:pos="18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Counterparty represents that it is a corporation incorporated under the laws of California.</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 Requirements</w:t>
      </w:r>
      <w:r>
        <w:rPr>
          <w:rFonts w:ascii="Arial" w:cs="Arial" w:eastAsia="Arial" w:hAnsi="Arial"/>
          <w:sz w:val="16"/>
          <w:szCs w:val="16"/>
          <w:color w:val="auto"/>
        </w:rPr>
        <w:t>: For the purpose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3(d)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4(a)(i)</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Agreement, each party agrees to deliver the following documents: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Tax forms, documents or certificates to be delivered are:</w:t>
      </w:r>
    </w:p>
    <w:p>
      <w:pPr>
        <w:spacing w:after="0" w:line="164" w:lineRule="exact"/>
        <w:rPr>
          <w:sz w:val="20"/>
          <w:szCs w:val="20"/>
          <w:color w:val="auto"/>
        </w:rPr>
      </w:pPr>
    </w:p>
    <w:p>
      <w:pPr>
        <w:jc w:val="both"/>
        <w:ind w:left="1140" w:right="580"/>
        <w:spacing w:after="0" w:line="256" w:lineRule="auto"/>
        <w:rPr>
          <w:sz w:val="20"/>
          <w:szCs w:val="20"/>
          <w:color w:val="auto"/>
        </w:rPr>
      </w:pPr>
      <w:r>
        <w:rPr>
          <w:rFonts w:ascii="Arial" w:cs="Arial" w:eastAsia="Arial" w:hAnsi="Arial"/>
          <w:sz w:val="16"/>
          <w:szCs w:val="16"/>
          <w:color w:val="auto"/>
        </w:rPr>
        <w:t>Each party agrees to complete (accurately and in a manner reasonably satisfactory to the other party), execute, and deliver to the other party, United States Internal Revenue Service Form W-9 or W-8 BEN, or any successor of such form(s): (i) before the first payment date under this agreement; (ii) promptly upon reasonable demand by the other party; and (iii) promptly upon learning that any such form(s) previously provided by the other party has become obsolete or incorrect.</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Other documents to be delivered:</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8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Party Required to</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Document Required to be Delivered</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When Required</w:t>
            </w:r>
          </w:p>
        </w:tc>
        <w:tc>
          <w:tcPr>
            <w:tcW w:w="14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w w:val="95"/>
              </w:rPr>
              <w:t>Covered by Section</w:t>
            </w:r>
          </w:p>
        </w:tc>
      </w:tr>
      <w:tr>
        <w:trPr>
          <w:trHeight w:val="209"/>
        </w:trPr>
        <w:tc>
          <w:tcPr>
            <w:tcW w:w="1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Deliver Document</w:t>
            </w:r>
          </w:p>
        </w:tc>
        <w:tc>
          <w:tcPr>
            <w:tcW w:w="28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w w:val="94"/>
              </w:rPr>
              <w:t>3(d) Representation</w:t>
            </w:r>
          </w:p>
        </w:tc>
      </w:tr>
      <w:tr>
        <w:trPr>
          <w:trHeight w:val="100"/>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r>
      <w:tr>
        <w:trPr>
          <w:trHeight w:val="167"/>
        </w:trPr>
        <w:tc>
          <w:tcPr>
            <w:tcW w:w="180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color w:val="auto"/>
              </w:rPr>
              <w:t>Counterparty</w:t>
            </w:r>
          </w:p>
        </w:tc>
        <w:tc>
          <w:tcPr>
            <w:tcW w:w="280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Evidence of the authority and true</w:t>
            </w:r>
          </w:p>
        </w:tc>
        <w:tc>
          <w:tcPr>
            <w:tcW w:w="158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Upon or before</w:t>
            </w:r>
          </w:p>
        </w:tc>
        <w:tc>
          <w:tcPr>
            <w:tcW w:w="146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Yes</w:t>
            </w:r>
          </w:p>
        </w:tc>
      </w:tr>
      <w:tr>
        <w:trPr>
          <w:trHeight w:val="192"/>
        </w:trPr>
        <w:tc>
          <w:tcPr>
            <w:tcW w:w="180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0"/>
              </w:rPr>
              <w:t>signatures of each official or representative</w:t>
            </w:r>
          </w:p>
        </w:tc>
        <w:tc>
          <w:tcPr>
            <w:tcW w:w="15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execution and delivery</w:t>
            </w:r>
          </w:p>
        </w:tc>
        <w:tc>
          <w:tcPr>
            <w:tcW w:w="1460" w:type="dxa"/>
            <w:vAlign w:val="bottom"/>
            <w:tcBorders>
              <w:right w:val="single" w:sz="8" w:color="auto"/>
            </w:tcBorders>
          </w:tcPr>
          <w:p>
            <w:pPr>
              <w:spacing w:after="0"/>
              <w:rPr>
                <w:sz w:val="16"/>
                <w:szCs w:val="16"/>
                <w:color w:val="auto"/>
              </w:rPr>
            </w:pPr>
          </w:p>
        </w:tc>
      </w:tr>
      <w:tr>
        <w:trPr>
          <w:trHeight w:val="205"/>
        </w:trPr>
        <w:tc>
          <w:tcPr>
            <w:tcW w:w="1800" w:type="dxa"/>
            <w:vAlign w:val="bottom"/>
            <w:tcBorders>
              <w:left w:val="single" w:sz="8" w:color="auto"/>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signing this Confirmation</w:t>
            </w:r>
          </w:p>
        </w:tc>
        <w:tc>
          <w:tcPr>
            <w:tcW w:w="1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of this Confirmation</w:t>
            </w:r>
          </w:p>
        </w:tc>
        <w:tc>
          <w:tcPr>
            <w:tcW w:w="1460" w:type="dxa"/>
            <w:vAlign w:val="bottom"/>
            <w:tcBorders>
              <w:right w:val="single" w:sz="8" w:color="auto"/>
            </w:tcBorders>
          </w:tcPr>
          <w:p>
            <w:pPr>
              <w:spacing w:after="0"/>
              <w:rPr>
                <w:sz w:val="17"/>
                <w:szCs w:val="17"/>
                <w:color w:val="auto"/>
              </w:rPr>
            </w:pPr>
          </w:p>
        </w:tc>
      </w:tr>
      <w:tr>
        <w:trPr>
          <w:trHeight w:val="84"/>
        </w:trPr>
        <w:tc>
          <w:tcPr>
            <w:tcW w:w="1800" w:type="dxa"/>
            <w:vAlign w:val="bottom"/>
            <w:tcBorders>
              <w:left w:val="single" w:sz="8" w:color="auto"/>
              <w:bottom w:val="single" w:sz="8" w:color="auto"/>
              <w:right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197"/>
        </w:trPr>
        <w:tc>
          <w:tcPr>
            <w:tcW w:w="1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Counterparty</w:t>
            </w:r>
          </w:p>
        </w:tc>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Certified copy of the resolution of the</w:t>
            </w:r>
          </w:p>
        </w:tc>
        <w:tc>
          <w:tcPr>
            <w:tcW w:w="1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Upon or before</w:t>
            </w:r>
          </w:p>
        </w:tc>
        <w:tc>
          <w:tcPr>
            <w:tcW w:w="14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Yes</w:t>
            </w:r>
          </w:p>
        </w:tc>
      </w:tr>
      <w:tr>
        <w:trPr>
          <w:trHeight w:val="131"/>
        </w:trPr>
        <w:tc>
          <w:tcPr>
            <w:tcW w:w="1800" w:type="dxa"/>
            <w:vAlign w:val="bottom"/>
            <w:tcBorders>
              <w:left w:val="single" w:sz="8" w:color="auto"/>
              <w:right w:val="single" w:sz="8" w:color="auto"/>
            </w:tcBorders>
          </w:tcPr>
          <w:p>
            <w:pPr>
              <w:spacing w:after="0"/>
              <w:rPr>
                <w:sz w:val="11"/>
                <w:szCs w:val="11"/>
                <w:color w:val="auto"/>
              </w:rPr>
            </w:pPr>
          </w:p>
        </w:tc>
        <w:tc>
          <w:tcPr>
            <w:tcW w:w="280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r>
    </w:tbl>
    <w:p>
      <w:pPr>
        <w:sectPr>
          <w:pgSz w:w="11900" w:h="16900" w:orient="portrait"/>
          <w:cols w:equalWidth="0" w:num="1">
            <w:col w:w="11440"/>
          </w:cols>
          <w:pgMar w:left="240" w:top="131" w:right="219" w:bottom="0" w:gutter="0" w:footer="0" w:header="0"/>
        </w:sectPr>
      </w:pPr>
    </w:p>
    <w:bookmarkStart w:id="68" w:name="page69"/>
    <w:bookmarkEnd w:id="68"/>
    <w:p>
      <w:pPr>
        <w:ind w:left="1780"/>
        <w:spacing w:after="0"/>
        <w:rPr>
          <w:sz w:val="20"/>
          <w:szCs w:val="20"/>
          <w:color w:val="auto"/>
        </w:rPr>
      </w:pPr>
      <w:r>
        <w:rPr>
          <w:rFonts w:ascii="Arial" w:cs="Arial" w:eastAsia="Arial" w:hAnsi="Arial"/>
          <w:sz w:val="15"/>
          <w:szCs w:val="15"/>
          <w:color w:val="auto"/>
        </w:rPr>
        <w:t>Board of Directors or equivalent document execution and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-100965</wp:posOffset>
            </wp:positionV>
            <wp:extent cx="4853940" cy="8610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853940" cy="861060"/>
                    </a:xfrm>
                    <a:prstGeom prst="rect">
                      <a:avLst/>
                    </a:prstGeom>
                    <a:noFill/>
                  </pic:spPr>
                </pic:pic>
              </a:graphicData>
            </a:graphic>
          </wp:anchor>
        </w:drawing>
      </w:r>
    </w:p>
    <w:p>
      <w:pPr>
        <w:spacing w:after="0" w:line="12" w:lineRule="exact"/>
        <w:rPr>
          <w:sz w:val="20"/>
          <w:szCs w:val="20"/>
          <w:color w:val="auto"/>
        </w:rPr>
      </w:pPr>
    </w:p>
    <w:p>
      <w:pPr>
        <w:ind w:left="1780"/>
        <w:spacing w:after="0"/>
        <w:tabs>
          <w:tab w:leader="none" w:pos="4580" w:val="left"/>
        </w:tabs>
        <w:rPr>
          <w:sz w:val="20"/>
          <w:szCs w:val="20"/>
          <w:color w:val="auto"/>
        </w:rPr>
      </w:pPr>
      <w:r>
        <w:rPr>
          <w:rFonts w:ascii="Arial" w:cs="Arial" w:eastAsia="Arial" w:hAnsi="Arial"/>
          <w:sz w:val="16"/>
          <w:szCs w:val="16"/>
          <w:color w:val="auto"/>
        </w:rPr>
        <w:t>authorizing the execution and delivery of</w:t>
      </w:r>
      <w:r>
        <w:rPr>
          <w:sz w:val="20"/>
          <w:szCs w:val="20"/>
          <w:color w:val="auto"/>
        </w:rPr>
        <w:tab/>
      </w:r>
      <w:r>
        <w:rPr>
          <w:rFonts w:ascii="Arial" w:cs="Arial" w:eastAsia="Arial" w:hAnsi="Arial"/>
          <w:sz w:val="15"/>
          <w:szCs w:val="15"/>
          <w:color w:val="auto"/>
        </w:rPr>
        <w:t>of this Confirmation</w:t>
      </w:r>
    </w:p>
    <w:p>
      <w:pPr>
        <w:spacing w:after="0" w:line="8"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this Confirmation</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20" w:type="dxa"/>
            <w:vAlign w:val="bottom"/>
          </w:tcPr>
          <w:p>
            <w:pPr>
              <w:spacing w:after="0"/>
              <w:rPr>
                <w:sz w:val="20"/>
                <w:szCs w:val="20"/>
                <w:color w:val="auto"/>
              </w:rPr>
            </w:pPr>
            <w:r>
              <w:rPr>
                <w:rFonts w:ascii="Arial" w:cs="Arial" w:eastAsia="Arial" w:hAnsi="Arial"/>
                <w:sz w:val="16"/>
                <w:szCs w:val="16"/>
                <w:color w:val="auto"/>
              </w:rPr>
              <w:t>Each party</w:t>
            </w:r>
          </w:p>
        </w:tc>
        <w:tc>
          <w:tcPr>
            <w:tcW w:w="3180" w:type="dxa"/>
            <w:vAlign w:val="bottom"/>
          </w:tcPr>
          <w:p>
            <w:pPr>
              <w:ind w:left="540"/>
              <w:spacing w:after="0"/>
              <w:rPr>
                <w:sz w:val="20"/>
                <w:szCs w:val="20"/>
                <w:color w:val="auto"/>
              </w:rPr>
            </w:pPr>
            <w:r>
              <w:rPr>
                <w:rFonts w:ascii="Arial" w:cs="Arial" w:eastAsia="Arial" w:hAnsi="Arial"/>
                <w:sz w:val="16"/>
                <w:szCs w:val="16"/>
                <w:color w:val="auto"/>
                <w:w w:val="97"/>
              </w:rPr>
              <w:t>Executed Supplemental Confirmation,</w:t>
            </w:r>
          </w:p>
        </w:tc>
        <w:tc>
          <w:tcPr>
            <w:tcW w:w="1640" w:type="dxa"/>
            <w:vAlign w:val="bottom"/>
          </w:tcPr>
          <w:p>
            <w:pPr>
              <w:ind w:left="180"/>
              <w:spacing w:after="0"/>
              <w:rPr>
                <w:sz w:val="20"/>
                <w:szCs w:val="20"/>
                <w:color w:val="auto"/>
              </w:rPr>
            </w:pPr>
            <w:r>
              <w:rPr>
                <w:rFonts w:ascii="Arial" w:cs="Arial" w:eastAsia="Arial" w:hAnsi="Arial"/>
                <w:sz w:val="16"/>
                <w:szCs w:val="16"/>
                <w:color w:val="auto"/>
              </w:rPr>
              <w:t>On or before the</w:t>
            </w:r>
          </w:p>
        </w:tc>
        <w:tc>
          <w:tcPr>
            <w:tcW w:w="340" w:type="dxa"/>
            <w:vAlign w:val="bottom"/>
          </w:tcPr>
          <w:p>
            <w:pPr>
              <w:ind w:left="120"/>
              <w:spacing w:after="0"/>
              <w:rPr>
                <w:sz w:val="20"/>
                <w:szCs w:val="20"/>
                <w:color w:val="auto"/>
              </w:rPr>
            </w:pPr>
            <w:r>
              <w:rPr>
                <w:rFonts w:ascii="Arial" w:cs="Arial" w:eastAsia="Arial" w:hAnsi="Arial"/>
                <w:sz w:val="16"/>
                <w:szCs w:val="16"/>
                <w:color w:val="auto"/>
                <w:w w:val="72"/>
              </w:rPr>
              <w:t>Yes</w:t>
            </w:r>
          </w:p>
        </w:tc>
      </w:tr>
      <w:tr>
        <w:trPr>
          <w:trHeight w:val="192"/>
        </w:trPr>
        <w:tc>
          <w:tcPr>
            <w:tcW w:w="1220" w:type="dxa"/>
            <w:vAlign w:val="bottom"/>
          </w:tcPr>
          <w:p>
            <w:pPr>
              <w:spacing w:after="0"/>
              <w:rPr>
                <w:sz w:val="16"/>
                <w:szCs w:val="16"/>
                <w:color w:val="auto"/>
              </w:rPr>
            </w:pPr>
          </w:p>
        </w:tc>
        <w:tc>
          <w:tcPr>
            <w:tcW w:w="3180" w:type="dxa"/>
            <w:vAlign w:val="bottom"/>
          </w:tcPr>
          <w:p>
            <w:pPr>
              <w:ind w:left="540"/>
              <w:spacing w:after="0"/>
              <w:rPr>
                <w:sz w:val="20"/>
                <w:szCs w:val="20"/>
                <w:color w:val="auto"/>
              </w:rPr>
            </w:pPr>
            <w:r>
              <w:rPr>
                <w:rFonts w:ascii="Arial" w:cs="Arial" w:eastAsia="Arial" w:hAnsi="Arial"/>
                <w:sz w:val="16"/>
                <w:szCs w:val="16"/>
                <w:color w:val="auto"/>
              </w:rPr>
              <w:t>substantially in the form of Exhibit A</w:t>
            </w:r>
          </w:p>
        </w:tc>
        <w:tc>
          <w:tcPr>
            <w:tcW w:w="1640" w:type="dxa"/>
            <w:vAlign w:val="bottom"/>
          </w:tcPr>
          <w:p>
            <w:pPr>
              <w:ind w:left="180"/>
              <w:spacing w:after="0"/>
              <w:rPr>
                <w:sz w:val="20"/>
                <w:szCs w:val="20"/>
                <w:color w:val="auto"/>
              </w:rPr>
            </w:pPr>
            <w:r>
              <w:rPr>
                <w:rFonts w:ascii="Arial" w:cs="Arial" w:eastAsia="Arial" w:hAnsi="Arial"/>
                <w:sz w:val="16"/>
                <w:szCs w:val="16"/>
                <w:color w:val="auto"/>
                <w:w w:val="97"/>
              </w:rPr>
              <w:t>corresponding Trade</w:t>
            </w:r>
          </w:p>
        </w:tc>
        <w:tc>
          <w:tcPr>
            <w:tcW w:w="340" w:type="dxa"/>
            <w:vAlign w:val="bottom"/>
          </w:tcPr>
          <w:p>
            <w:pPr>
              <w:spacing w:after="0"/>
              <w:rPr>
                <w:sz w:val="16"/>
                <w:szCs w:val="16"/>
                <w:color w:val="auto"/>
              </w:rPr>
            </w:pPr>
          </w:p>
        </w:tc>
      </w:tr>
      <w:tr>
        <w:trPr>
          <w:trHeight w:val="205"/>
        </w:trPr>
        <w:tc>
          <w:tcPr>
            <w:tcW w:w="1220" w:type="dxa"/>
            <w:vAlign w:val="bottom"/>
          </w:tcPr>
          <w:p>
            <w:pPr>
              <w:spacing w:after="0"/>
              <w:rPr>
                <w:sz w:val="17"/>
                <w:szCs w:val="17"/>
                <w:color w:val="auto"/>
              </w:rPr>
            </w:pPr>
          </w:p>
        </w:tc>
        <w:tc>
          <w:tcPr>
            <w:tcW w:w="3180" w:type="dxa"/>
            <w:vAlign w:val="bottom"/>
          </w:tcPr>
          <w:p>
            <w:pPr>
              <w:ind w:left="540"/>
              <w:spacing w:after="0"/>
              <w:rPr>
                <w:sz w:val="20"/>
                <w:szCs w:val="20"/>
                <w:color w:val="auto"/>
              </w:rPr>
            </w:pPr>
            <w:r>
              <w:rPr>
                <w:rFonts w:ascii="Arial" w:cs="Arial" w:eastAsia="Arial" w:hAnsi="Arial"/>
                <w:sz w:val="16"/>
                <w:szCs w:val="16"/>
                <w:color w:val="auto"/>
                <w:w w:val="97"/>
              </w:rPr>
              <w:t>hereto, in respect of each Transaction</w:t>
            </w:r>
          </w:p>
        </w:tc>
        <w:tc>
          <w:tcPr>
            <w:tcW w:w="1640" w:type="dxa"/>
            <w:vAlign w:val="bottom"/>
          </w:tcPr>
          <w:p>
            <w:pPr>
              <w:ind w:left="180"/>
              <w:spacing w:after="0"/>
              <w:rPr>
                <w:sz w:val="20"/>
                <w:szCs w:val="20"/>
                <w:color w:val="auto"/>
              </w:rPr>
            </w:pPr>
            <w:r>
              <w:rPr>
                <w:rFonts w:ascii="Arial" w:cs="Arial" w:eastAsia="Arial" w:hAnsi="Arial"/>
                <w:sz w:val="16"/>
                <w:szCs w:val="16"/>
                <w:color w:val="auto"/>
              </w:rPr>
              <w:t>Date</w:t>
            </w:r>
          </w:p>
        </w:tc>
        <w:tc>
          <w:tcPr>
            <w:tcW w:w="340" w:type="dxa"/>
            <w:vAlign w:val="bottom"/>
          </w:tcPr>
          <w:p>
            <w:pPr>
              <w:spacing w:after="0"/>
              <w:rPr>
                <w:sz w:val="17"/>
                <w:szCs w:val="17"/>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Addresses for Notices: </w:t>
      </w:r>
      <w:r>
        <w:rPr>
          <w:rFonts w:ascii="Arial" w:cs="Arial" w:eastAsia="Arial" w:hAnsi="Arial"/>
          <w:sz w:val="16"/>
          <w:szCs w:val="16"/>
          <w:color w:val="auto"/>
        </w:rPr>
        <w:t>For the purpose of Section 12(a) of the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for notices or communications to Bank:</w:t>
      </w:r>
    </w:p>
    <w:p>
      <w:pPr>
        <w:sectPr>
          <w:pgSz w:w="11900" w:h="16838" w:orient="portrait"/>
          <w:cols w:equalWidth="0" w:num="1">
            <w:col w:w="11440"/>
          </w:cols>
          <w:pgMar w:left="240" w:top="127" w:right="219" w:bottom="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JPMorgan Chase Bank, National Association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 J.P. Morgan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4 New York Plaza, Floor 18</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10004-2413</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Attn: Mariusz Kwasnik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Title: Operations Analyst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EDG Corporate Marketing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Telephone: 212-623-7223</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Facsimile: 212-623-7719</w:t>
      </w:r>
    </w:p>
    <w:p>
      <w:pPr>
        <w:spacing w:after="0" w:line="153" w:lineRule="exact"/>
        <w:rPr>
          <w:sz w:val="20"/>
          <w:szCs w:val="20"/>
          <w:color w:val="auto"/>
        </w:rPr>
      </w:pPr>
    </w:p>
    <w:p>
      <w:pPr>
        <w:sectPr>
          <w:pgSz w:w="11900" w:h="16838" w:orient="portrait"/>
          <w:cols w:equalWidth="0" w:num="2">
            <w:col w:w="560" w:space="580"/>
            <w:col w:w="10300"/>
          </w:cols>
          <w:pgMar w:left="240" w:top="127" w:right="219" w:bottom="0" w:gutter="0" w:footer="0" w:header="0"/>
          <w:type w:val="continuous"/>
        </w:sectPr>
      </w:pPr>
    </w:p>
    <w:p>
      <w:pPr>
        <w:spacing w:after="0"/>
        <w:rPr>
          <w:sz w:val="20"/>
          <w:szCs w:val="20"/>
          <w:color w:val="auto"/>
        </w:rPr>
      </w:pPr>
      <w:r>
        <w:rPr>
          <w:rFonts w:ascii="Arial" w:cs="Arial" w:eastAsia="Arial" w:hAnsi="Arial"/>
          <w:sz w:val="16"/>
          <w:szCs w:val="16"/>
          <w:b w:val="1"/>
          <w:bCs w:val="1"/>
          <w:color w:val="auto"/>
        </w:rPr>
        <w:t>(For all purposes)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Additionally, a copy of all notices pursuant to Sections 5, 6, and 7 as well as any changes to Counterparty’s address, telephone number or facsimile number should be sent to:</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JPMorgan Chase Bank, N.A.</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11th Floor</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245 Park Avenue</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10167</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Elliot E. Chalom</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Title: Vice President and Assistant General Counsel</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Telephone: 212-648-0252</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Facsimile: 917-456-3370</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for notices or communications to Counterparty for all purposes:</w:t>
      </w:r>
    </w:p>
    <w:p>
      <w:pPr>
        <w:spacing w:after="0" w:line="16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Sempra Energy</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101 Ash Street</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San Diego, CA 92101</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Director of Corporate Finance, HQ5C</w:t>
      </w:r>
    </w:p>
    <w:p>
      <w:pPr>
        <w:spacing w:after="0" w:line="8" w:lineRule="exact"/>
        <w:rPr>
          <w:sz w:val="20"/>
          <w:szCs w:val="20"/>
          <w:color w:val="auto"/>
        </w:rPr>
      </w:pPr>
    </w:p>
    <w:p>
      <w:pPr>
        <w:ind w:left="1140"/>
        <w:spacing w:after="0"/>
        <w:tabs>
          <w:tab w:leader="none" w:pos="3440" w:val="left"/>
        </w:tabs>
        <w:rPr>
          <w:sz w:val="20"/>
          <w:szCs w:val="20"/>
          <w:color w:val="auto"/>
        </w:rPr>
      </w:pPr>
      <w:r>
        <w:rPr>
          <w:rFonts w:ascii="Arial" w:cs="Arial" w:eastAsia="Arial" w:hAnsi="Arial"/>
          <w:sz w:val="16"/>
          <w:szCs w:val="16"/>
          <w:color w:val="auto"/>
        </w:rPr>
        <w:t>Facsimile No.: (619) 696-4899</w:t>
      </w:r>
      <w:r>
        <w:rPr>
          <w:sz w:val="20"/>
          <w:szCs w:val="20"/>
          <w:color w:val="auto"/>
        </w:rPr>
        <w:tab/>
      </w:r>
      <w:r>
        <w:rPr>
          <w:rFonts w:ascii="Arial" w:cs="Arial" w:eastAsia="Arial" w:hAnsi="Arial"/>
          <w:sz w:val="14"/>
          <w:szCs w:val="14"/>
          <w:color w:val="auto"/>
        </w:rPr>
        <w:t>Telephone No.: (619) 696-2758</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Process Agent: For the purpose of Section 13(c) of the Agreement: Neither Bank nor Counterparty appoints a Process Agent.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Multibranch Party</w:t>
      </w:r>
      <w:r>
        <w:rPr>
          <w:rFonts w:ascii="Arial" w:cs="Arial" w:eastAsia="Arial" w:hAnsi="Arial"/>
          <w:sz w:val="16"/>
          <w:szCs w:val="16"/>
          <w:color w:val="auto"/>
        </w:rPr>
        <w:t>. For the purpose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10(c)</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Agreement: Bank is a Multibranch Party and Counterparty is not a Multibranch Party.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Office of Bank for each Transaction is: London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London Branch</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P.O. Box 161</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60 Victoria Embankment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London EC4Y 0JP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England</w:t>
      </w:r>
    </w:p>
    <w:p>
      <w:pPr>
        <w:spacing w:after="0" w:line="153"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color w:val="auto"/>
        </w:rPr>
        <w:t>Calculation Agent</w:t>
      </w:r>
      <w:r>
        <w:rPr>
          <w:rFonts w:ascii="Arial" w:cs="Arial" w:eastAsia="Arial" w:hAnsi="Arial"/>
          <w:sz w:val="16"/>
          <w:szCs w:val="16"/>
          <w:color w:val="auto"/>
        </w:rPr>
        <w:t>. The Calculation Agent is Bank, whose judgments, determinations and calculations in each Transaction and any related hedging transaction between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made in good faith and in a commercially reasonable manner.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Support Document.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Bank: Credit Support Annex</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Counterparty: Not Applicable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Support Provider.</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Bank and with respect to Counterparty, Not Applicable.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This Confirmation will be governed by, and construed in accordance with, the laws of the State of New York.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Netting of Payments</w:t>
      </w:r>
      <w:r>
        <w:rPr>
          <w:rFonts w:ascii="Arial" w:cs="Arial" w:eastAsia="Arial" w:hAnsi="Arial"/>
          <w:sz w:val="16"/>
          <w:szCs w:val="16"/>
          <w:color w:val="auto"/>
        </w:rPr>
        <w:t>. The provisions of Section 2(c) of the Agreement shall not be applicable to each Transaction.</w:t>
      </w:r>
    </w:p>
    <w:p>
      <w:pPr>
        <w:spacing w:after="0" w:line="176" w:lineRule="exact"/>
        <w:rPr>
          <w:sz w:val="20"/>
          <w:szCs w:val="20"/>
          <w:color w:val="auto"/>
        </w:rPr>
      </w:pPr>
    </w:p>
    <w:p>
      <w:pPr>
        <w:ind w:right="20"/>
        <w:spacing w:after="0" w:line="348" w:lineRule="auto"/>
        <w:rPr>
          <w:sz w:val="20"/>
          <w:szCs w:val="20"/>
          <w:color w:val="auto"/>
        </w:rPr>
      </w:pPr>
      <w:r>
        <w:rPr>
          <w:rFonts w:ascii="Arial" w:cs="Arial" w:eastAsia="Arial" w:hAnsi="Arial"/>
          <w:sz w:val="14"/>
          <w:szCs w:val="14"/>
          <w:b w:val="1"/>
          <w:bCs w:val="1"/>
          <w:color w:val="auto"/>
        </w:rPr>
        <w:t>Accuracy of Specified Information</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3(d)</w:t>
      </w:r>
      <w:r>
        <w:rPr>
          <w:rFonts w:ascii="Arial" w:cs="Arial" w:eastAsia="Arial" w:hAnsi="Arial"/>
          <w:sz w:val="14"/>
          <w:szCs w:val="14"/>
          <w:b w:val="1"/>
          <w:bCs w:val="1"/>
          <w:color w:val="auto"/>
        </w:rPr>
        <w:t xml:space="preserve"> </w:t>
      </w:r>
      <w:r>
        <w:rPr>
          <w:rFonts w:ascii="Arial" w:cs="Arial" w:eastAsia="Arial" w:hAnsi="Arial"/>
          <w:sz w:val="14"/>
          <w:szCs w:val="14"/>
          <w:color w:val="auto"/>
        </w:rPr>
        <w:t>of the Agreement is hereby amended by adding in the third line thereof after the word “respect” and before the period the words</w:t>
      </w:r>
      <w:r>
        <w:rPr>
          <w:rFonts w:ascii="Arial" w:cs="Arial" w:eastAsia="Arial" w:hAnsi="Arial"/>
          <w:sz w:val="14"/>
          <w:szCs w:val="14"/>
          <w:b w:val="1"/>
          <w:bCs w:val="1"/>
          <w:color w:val="auto"/>
        </w:rPr>
        <w:t xml:space="preserve"> </w:t>
      </w:r>
      <w:r>
        <w:rPr>
          <w:rFonts w:ascii="Arial" w:cs="Arial" w:eastAsia="Arial" w:hAnsi="Arial"/>
          <w:sz w:val="14"/>
          <w:szCs w:val="14"/>
          <w:color w:val="auto"/>
        </w:rPr>
        <w:t>“or, in the case of audited or unaudited financial statements or balance sheets, a fair presentation of the financial condition of the relevant person.”</w:t>
      </w:r>
    </w:p>
    <w:p>
      <w:pPr>
        <w:spacing w:after="0" w:line="7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color w:val="auto"/>
        </w:rPr>
        <w:t>Basic Representations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3(a)</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Agreement is hereby amended by the deletion of “and” at the end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3(a)(iv)</w:t>
      </w:r>
      <w:r>
        <w:rPr>
          <w:rFonts w:ascii="Arial" w:cs="Arial" w:eastAsia="Arial" w:hAnsi="Arial"/>
          <w:sz w:val="16"/>
          <w:szCs w:val="16"/>
          <w:color w:val="auto"/>
        </w:rPr>
        <w:t>; the substitution of a semicolon for the period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end of </w:t>
      </w:r>
      <w:r>
        <w:rPr>
          <w:rFonts w:ascii="Arial" w:cs="Arial" w:eastAsia="Arial" w:hAnsi="Arial"/>
          <w:sz w:val="16"/>
          <w:szCs w:val="16"/>
          <w:u w:val="single" w:color="auto"/>
          <w:color w:val="auto"/>
        </w:rPr>
        <w:t>Section 3(a)(v)</w:t>
      </w:r>
      <w:r>
        <w:rPr>
          <w:rFonts w:ascii="Arial" w:cs="Arial" w:eastAsia="Arial" w:hAnsi="Arial"/>
          <w:sz w:val="16"/>
          <w:szCs w:val="16"/>
          <w:color w:val="auto"/>
        </w:rPr>
        <w:t xml:space="preserve"> and the addition of </w:t>
      </w:r>
      <w:r>
        <w:rPr>
          <w:rFonts w:ascii="Arial" w:cs="Arial" w:eastAsia="Arial" w:hAnsi="Arial"/>
          <w:sz w:val="16"/>
          <w:szCs w:val="16"/>
          <w:u w:val="single" w:color="auto"/>
          <w:color w:val="auto"/>
        </w:rPr>
        <w:t>Sections 3(a)(vi)</w:t>
      </w:r>
      <w:r>
        <w:rPr>
          <w:rFonts w:ascii="Arial" w:cs="Arial" w:eastAsia="Arial" w:hAnsi="Arial"/>
          <w:sz w:val="16"/>
          <w:szCs w:val="16"/>
          <w:color w:val="auto"/>
        </w:rPr>
        <w:t>, as follows:</w:t>
      </w:r>
    </w:p>
    <w:p>
      <w:pPr>
        <w:spacing w:after="0" w:line="118" w:lineRule="exact"/>
        <w:rPr>
          <w:sz w:val="20"/>
          <w:szCs w:val="20"/>
          <w:color w:val="auto"/>
        </w:rPr>
      </w:pPr>
    </w:p>
    <w:p>
      <w:pPr>
        <w:jc w:val="both"/>
        <w:ind w:left="580" w:right="580"/>
        <w:spacing w:after="0" w:line="262" w:lineRule="auto"/>
        <w:rPr>
          <w:sz w:val="20"/>
          <w:szCs w:val="20"/>
          <w:color w:val="auto"/>
        </w:rPr>
      </w:pPr>
      <w:r>
        <w:rPr>
          <w:rFonts w:ascii="Arial" w:cs="Arial" w:eastAsia="Arial" w:hAnsi="Arial"/>
          <w:sz w:val="16"/>
          <w:szCs w:val="16"/>
          <w:b w:val="1"/>
          <w:bCs w:val="1"/>
          <w:color w:val="auto"/>
        </w:rPr>
        <w:t>Eligible Contract Participant; Line of Business</w:t>
      </w:r>
      <w:r>
        <w:rPr>
          <w:rFonts w:ascii="Arial" w:cs="Arial" w:eastAsia="Arial" w:hAnsi="Arial"/>
          <w:sz w:val="16"/>
          <w:szCs w:val="16"/>
          <w:color w:val="auto"/>
        </w:rPr>
        <w:t>. It is an “eligible contract participant” as defined in the Commodity Futures Modernization Act of 2000, and it</w:t>
      </w:r>
      <w:r>
        <w:rPr>
          <w:rFonts w:ascii="Arial" w:cs="Arial" w:eastAsia="Arial" w:hAnsi="Arial"/>
          <w:sz w:val="16"/>
          <w:szCs w:val="16"/>
          <w:b w:val="1"/>
          <w:bCs w:val="1"/>
          <w:color w:val="auto"/>
        </w:rPr>
        <w:t xml:space="preserve"> </w:t>
      </w:r>
      <w:r>
        <w:rPr>
          <w:rFonts w:ascii="Arial" w:cs="Arial" w:eastAsia="Arial" w:hAnsi="Arial"/>
          <w:sz w:val="16"/>
          <w:szCs w:val="16"/>
          <w:color w:val="auto"/>
        </w:rPr>
        <w:t>has entered into this Confirmation and each Transaction in connection with its business or a line of business (including financial intermediation), or the financing of its business.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Representations:</w:t>
      </w:r>
    </w:p>
    <w:p>
      <w:pPr>
        <w:spacing w:after="0" w:line="164" w:lineRule="exact"/>
        <w:rPr>
          <w:sz w:val="20"/>
          <w:szCs w:val="20"/>
          <w:color w:val="auto"/>
        </w:rPr>
      </w:pPr>
    </w:p>
    <w:p>
      <w:pPr>
        <w:jc w:val="both"/>
        <w:spacing w:after="0" w:line="317" w:lineRule="auto"/>
        <w:rPr>
          <w:sz w:val="20"/>
          <w:szCs w:val="20"/>
          <w:color w:val="auto"/>
        </w:rPr>
      </w:pPr>
      <w:r>
        <w:rPr>
          <w:rFonts w:ascii="Arial" w:cs="Arial" w:eastAsia="Arial" w:hAnsi="Arial"/>
          <w:sz w:val="14"/>
          <w:szCs w:val="14"/>
          <w:b w:val="1"/>
          <w:bCs w:val="1"/>
          <w:color w:val="auto"/>
        </w:rPr>
        <w:t>Counterparty Representations</w:t>
      </w:r>
      <w:r>
        <w:rPr>
          <w:rFonts w:ascii="Arial" w:cs="Arial" w:eastAsia="Arial" w:hAnsi="Arial"/>
          <w:sz w:val="14"/>
          <w:szCs w:val="14"/>
          <w:color w:val="auto"/>
        </w:rPr>
        <w:t>. As of the date hereof and each Trade Date, Counterparty represents and warrants that it: (i) has such knowledge and experience in financial and</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affairs as to be capable of evaluating the merits and risks of entering into each Transaction; (ii) has consulted with its own legal, financial, accounting and tax advisors in connection with each Transaction; and (iii) is entering into each Transaction for a bona fide business purpose to hedge or repurchase Shares.</w:t>
      </w:r>
    </w:p>
    <w:p>
      <w:pPr>
        <w:sectPr>
          <w:pgSz w:w="11900" w:h="16838" w:orient="portrait"/>
          <w:cols w:equalWidth="0" w:num="1">
            <w:col w:w="11440"/>
          </w:cols>
          <w:pgMar w:left="240" w:top="127" w:right="219" w:bottom="0" w:gutter="0" w:footer="0" w:header="0"/>
          <w:type w:val="continuous"/>
        </w:sectPr>
      </w:pPr>
    </w:p>
    <w:bookmarkStart w:id="69" w:name="page70"/>
    <w:bookmarkEnd w:id="69"/>
    <w:p>
      <w:pPr>
        <w:ind w:left="4" w:right="20"/>
        <w:spacing w:after="0" w:line="270" w:lineRule="auto"/>
        <w:rPr>
          <w:sz w:val="20"/>
          <w:szCs w:val="20"/>
          <w:color w:val="auto"/>
        </w:rPr>
      </w:pPr>
      <w:r>
        <w:rPr>
          <w:rFonts w:ascii="Arial" w:cs="Arial" w:eastAsia="Arial" w:hAnsi="Arial"/>
          <w:sz w:val="16"/>
          <w:szCs w:val="16"/>
          <w:color w:val="auto"/>
        </w:rPr>
        <w:t>As of the date hereof and each Trade Date, Counterparty represents and warrants that it is not and has not been the subject of any civil proceeding of a judicial or administrative body of competent jurisdiction that could reasonably be expected to impair materially Counterparty’s ability to perform its obligations hereunder.</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of the date hereof and each Trade Date, Counterparty is not insolvent.</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Acknowledgements:</w:t>
      </w:r>
    </w:p>
    <w:p>
      <w:pPr>
        <w:spacing w:after="0" w:line="168" w:lineRule="exact"/>
        <w:rPr>
          <w:sz w:val="20"/>
          <w:szCs w:val="20"/>
          <w:color w:val="auto"/>
        </w:rPr>
      </w:pPr>
    </w:p>
    <w:p>
      <w:pPr>
        <w:ind w:left="4" w:right="20" w:hanging="4"/>
        <w:spacing w:after="0" w:line="270" w:lineRule="auto"/>
        <w:tabs>
          <w:tab w:leader="none" w:pos="22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parties acknowledge and agree that there are no other representations, agreements or other undertakings of the parties in relation to any Transaction, except as set forth in this Confirmation.</w:t>
      </w:r>
    </w:p>
    <w:p>
      <w:pPr>
        <w:spacing w:after="0" w:line="126" w:lineRule="exact"/>
        <w:rPr>
          <w:rFonts w:ascii="Arial" w:cs="Arial" w:eastAsia="Arial" w:hAnsi="Arial"/>
          <w:sz w:val="16"/>
          <w:szCs w:val="16"/>
          <w:color w:val="auto"/>
        </w:rPr>
      </w:pPr>
    </w:p>
    <w:p>
      <w:pPr>
        <w:ind w:left="224" w:hanging="224"/>
        <w:spacing w:after="0"/>
        <w:tabs>
          <w:tab w:leader="none" w:pos="22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parties hereto intend for:</w:t>
      </w:r>
    </w:p>
    <w:p>
      <w:pPr>
        <w:spacing w:after="0" w:line="172" w:lineRule="exact"/>
        <w:rPr>
          <w:rFonts w:ascii="Arial" w:cs="Arial" w:eastAsia="Arial" w:hAnsi="Arial"/>
          <w:sz w:val="16"/>
          <w:szCs w:val="16"/>
          <w:color w:val="auto"/>
        </w:rPr>
      </w:pPr>
    </w:p>
    <w:p>
      <w:pPr>
        <w:ind w:left="584" w:right="20" w:hanging="8"/>
        <w:spacing w:after="0" w:line="275" w:lineRule="auto"/>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each Transaction to be a “securities contract” as defined in Section 741(7) of Title 11 of the United States Code (the “</w:t>
      </w:r>
      <w:r>
        <w:rPr>
          <w:rFonts w:ascii="Arial" w:cs="Arial" w:eastAsia="Arial" w:hAnsi="Arial"/>
          <w:sz w:val="16"/>
          <w:szCs w:val="16"/>
          <w:b w:val="1"/>
          <w:bCs w:val="1"/>
          <w:u w:val="single" w:color="auto"/>
          <w:color w:val="auto"/>
        </w:rPr>
        <w:t>Bankruptcy Code</w:t>
      </w:r>
      <w:r>
        <w:rPr>
          <w:rFonts w:ascii="Arial" w:cs="Arial" w:eastAsia="Arial" w:hAnsi="Arial"/>
          <w:sz w:val="16"/>
          <w:szCs w:val="16"/>
          <w:color w:val="auto"/>
        </w:rPr>
        <w:t>”), qualifying for the protections under Sections 546 and 555 of the Bankruptcy Code;</w:t>
      </w:r>
    </w:p>
    <w:p>
      <w:pPr>
        <w:spacing w:after="0" w:line="122" w:lineRule="exact"/>
        <w:rPr>
          <w:rFonts w:ascii="Arial" w:cs="Arial" w:eastAsia="Arial" w:hAnsi="Arial"/>
          <w:sz w:val="16"/>
          <w:szCs w:val="16"/>
          <w:color w:val="auto"/>
        </w:rPr>
      </w:pPr>
    </w:p>
    <w:p>
      <w:pPr>
        <w:ind w:left="584" w:right="20" w:hanging="8"/>
        <w:spacing w:after="0" w:line="270" w:lineRule="auto"/>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 party’s right to liquidate each Transaction and to exercise any other remedies upon the occurrence of any Event of Default under the Agreement with respect to the other party to constitute a “contractual right” as defined in the Bankruptcy Code;</w:t>
      </w:r>
    </w:p>
    <w:p>
      <w:pPr>
        <w:spacing w:after="0" w:line="126" w:lineRule="exact"/>
        <w:rPr>
          <w:rFonts w:ascii="Arial" w:cs="Arial" w:eastAsia="Arial" w:hAnsi="Arial"/>
          <w:sz w:val="16"/>
          <w:szCs w:val="16"/>
          <w:color w:val="auto"/>
        </w:rPr>
      </w:pPr>
    </w:p>
    <w:p>
      <w:pPr>
        <w:ind w:left="584" w:right="20" w:hanging="8"/>
        <w:spacing w:after="0" w:line="270" w:lineRule="auto"/>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payments for, under or in connection with each Transaction, all payments for the Shares and the transfer of such Shares to constitute “settlement payments” as defined in the Bankruptcy Code.</w:t>
      </w:r>
    </w:p>
    <w:p>
      <w:pPr>
        <w:spacing w:after="0" w:line="134"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b w:val="1"/>
          <w:bCs w:val="1"/>
          <w:color w:val="auto"/>
        </w:rPr>
        <w:t xml:space="preserve">Amendment of </w:t>
      </w:r>
      <w:r>
        <w:rPr>
          <w:rFonts w:ascii="Arial" w:cs="Arial" w:eastAsia="Arial" w:hAnsi="Arial"/>
          <w:sz w:val="16"/>
          <w:szCs w:val="16"/>
          <w:b w:val="1"/>
          <w:bCs w:val="1"/>
          <w:u w:val="single" w:color="auto"/>
          <w:color w:val="auto"/>
        </w:rPr>
        <w:t>Section 6(d)(ii</w:t>
      </w:r>
      <w:r>
        <w:rPr>
          <w:rFonts w:ascii="Arial" w:cs="Arial" w:eastAsia="Arial" w:hAnsi="Arial"/>
          <w:sz w:val="16"/>
          <w:szCs w:val="16"/>
          <w:b w:val="1"/>
          <w:bCs w:val="1"/>
          <w:color w:val="auto"/>
        </w:rPr>
        <w:t>)</w:t>
      </w:r>
      <w:r>
        <w:rPr>
          <w:rFonts w:ascii="Arial" w:cs="Arial" w:eastAsia="Arial" w:hAnsi="Arial"/>
          <w:sz w:val="16"/>
          <w:szCs w:val="16"/>
          <w:color w:val="auto"/>
        </w:rPr>
        <w:t>. Section 6(d)(ii) of the Agreement is modified by deleting the words “on the day” in the second line thereof and substituting therefor “on the day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 three Local Business Days after the day”. </w:t>
      </w:r>
      <w:r>
        <w:rPr>
          <w:rFonts w:ascii="Arial" w:cs="Arial" w:eastAsia="Arial" w:hAnsi="Arial"/>
          <w:sz w:val="16"/>
          <w:szCs w:val="16"/>
          <w:u w:val="single" w:color="auto"/>
          <w:color w:val="auto"/>
        </w:rPr>
        <w:t>Section 6(d)(ii)</w:t>
      </w:r>
      <w:r>
        <w:rPr>
          <w:rFonts w:ascii="Arial" w:cs="Arial" w:eastAsia="Arial" w:hAnsi="Arial"/>
          <w:sz w:val="16"/>
          <w:szCs w:val="16"/>
          <w:color w:val="auto"/>
        </w:rPr>
        <w:t xml:space="preserve"> is further modified by deleting the words “two Local Business Days” in the fourth line thereof and substituting therefor “three Local Business Days.”</w:t>
      </w:r>
    </w:p>
    <w:p>
      <w:pPr>
        <w:spacing w:after="0" w:line="129"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b w:val="1"/>
          <w:bCs w:val="1"/>
          <w:color w:val="auto"/>
        </w:rPr>
        <w:t>Amendment of Definition of Reference Market-Makers</w:t>
      </w:r>
      <w:r>
        <w:rPr>
          <w:rFonts w:ascii="Arial" w:cs="Arial" w:eastAsia="Arial" w:hAnsi="Arial"/>
          <w:sz w:val="16"/>
          <w:szCs w:val="16"/>
          <w:color w:val="auto"/>
        </w:rPr>
        <w:t>. The definition of “Reference Market-Makers”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b w:val="1"/>
          <w:bCs w:val="1"/>
          <w:color w:val="auto"/>
        </w:rPr>
        <w:t xml:space="preserve"> </w:t>
      </w:r>
      <w:r>
        <w:rPr>
          <w:rFonts w:ascii="Arial" w:cs="Arial" w:eastAsia="Arial" w:hAnsi="Arial"/>
          <w:sz w:val="16"/>
          <w:szCs w:val="16"/>
          <w:color w:val="auto"/>
        </w:rPr>
        <w:t>is hereby amended by adding in clause (a) after the word</w:t>
      </w:r>
      <w:r>
        <w:rPr>
          <w:rFonts w:ascii="Arial" w:cs="Arial" w:eastAsia="Arial" w:hAnsi="Arial"/>
          <w:sz w:val="16"/>
          <w:szCs w:val="16"/>
          <w:b w:val="1"/>
          <w:bCs w:val="1"/>
          <w:color w:val="auto"/>
        </w:rPr>
        <w:t xml:space="preserve"> </w:t>
      </w:r>
      <w:r>
        <w:rPr>
          <w:rFonts w:ascii="Arial" w:cs="Arial" w:eastAsia="Arial" w:hAnsi="Arial"/>
          <w:sz w:val="16"/>
          <w:szCs w:val="16"/>
          <w:color w:val="auto"/>
        </w:rPr>
        <w:t>“credit” and before the word “and” the words “or to enter into transactions similar in nature to Transactions”.</w:t>
      </w:r>
    </w:p>
    <w:p>
      <w:pPr>
        <w:spacing w:after="0" w:line="118"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b w:val="1"/>
          <w:bCs w:val="1"/>
          <w:color w:val="auto"/>
        </w:rPr>
        <w:t>Disclosure</w:t>
      </w:r>
      <w:r>
        <w:rPr>
          <w:rFonts w:ascii="Arial" w:cs="Arial" w:eastAsia="Arial" w:hAnsi="Arial"/>
          <w:sz w:val="16"/>
          <w:szCs w:val="16"/>
          <w:color w:val="auto"/>
        </w:rPr>
        <w:t>. Each party hereby acknowledges and agrees that Bank has authorized Counterparty to disclose each Transaction and any related hedging transaction between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if and to the extent that Counterparty reasonably determines (after consultation with Bank) that such disclosure is required by law or by the rules of any securities exchange or similar trading platform.</w:t>
      </w:r>
    </w:p>
    <w:p>
      <w:pPr>
        <w:spacing w:after="0" w:line="141" w:lineRule="exact"/>
        <w:rPr>
          <w:sz w:val="20"/>
          <w:szCs w:val="20"/>
          <w:color w:val="auto"/>
        </w:rPr>
      </w:pPr>
    </w:p>
    <w:p>
      <w:pPr>
        <w:jc w:val="both"/>
        <w:ind w:left="4"/>
        <w:spacing w:after="0" w:line="298" w:lineRule="auto"/>
        <w:rPr>
          <w:sz w:val="20"/>
          <w:szCs w:val="20"/>
          <w:color w:val="auto"/>
        </w:rPr>
      </w:pPr>
      <w:r>
        <w:rPr>
          <w:rFonts w:ascii="Arial" w:cs="Arial" w:eastAsia="Arial" w:hAnsi="Arial"/>
          <w:sz w:val="14"/>
          <w:szCs w:val="14"/>
          <w:b w:val="1"/>
          <w:bCs w:val="1"/>
          <w:color w:val="auto"/>
        </w:rPr>
        <w:t>Severability</w:t>
      </w:r>
      <w:r>
        <w:rPr>
          <w:rFonts w:ascii="Arial" w:cs="Arial" w:eastAsia="Arial" w:hAnsi="Arial"/>
          <w:sz w:val="14"/>
          <w:szCs w:val="14"/>
          <w:color w:val="auto"/>
        </w:rPr>
        <w:t>. To the extent permitted by law, if any term, provision, covenant or condition of this Confirmation, or the application thereof to any party or circumstance, shall be held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to be invalid or unenforceable in whole or in part for any reason, the remaining terms, provisions, covenants, and conditions hereof shall continue in full force and effect as if this Confirmation had been executed with the invalid or unenforceable provision eliminated, so long as this Confirmation as so modified continues to express, without material change, the original intentions of the parties as to the subject matter of this Confirmation and the deletion of such portion of this Confirmation will not substantially impair the respective benefits or expectations of parties to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this severability provision shall not be applicable if any provision of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w:t>
      </w:r>
      <w:r>
        <w:rPr>
          <w:rFonts w:ascii="Arial" w:cs="Arial" w:eastAsia="Arial" w:hAnsi="Arial"/>
          <w:sz w:val="14"/>
          <w:szCs w:val="14"/>
          <w:u w:val="single" w:color="auto"/>
          <w:color w:val="auto"/>
        </w:rPr>
        <w:t>5</w:t>
      </w:r>
      <w:r>
        <w:rPr>
          <w:rFonts w:ascii="Arial" w:cs="Arial" w:eastAsia="Arial" w:hAnsi="Arial"/>
          <w:sz w:val="14"/>
          <w:szCs w:val="14"/>
          <w:color w:val="auto"/>
        </w:rPr>
        <w:t xml:space="preserve">, </w:t>
      </w:r>
      <w:r>
        <w:rPr>
          <w:rFonts w:ascii="Arial" w:cs="Arial" w:eastAsia="Arial" w:hAnsi="Arial"/>
          <w:sz w:val="14"/>
          <w:szCs w:val="14"/>
          <w:u w:val="single" w:color="auto"/>
          <w:color w:val="auto"/>
        </w:rPr>
        <w:t>6</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13</w:t>
      </w:r>
      <w:r>
        <w:rPr>
          <w:rFonts w:ascii="Arial" w:cs="Arial" w:eastAsia="Arial" w:hAnsi="Arial"/>
          <w:sz w:val="14"/>
          <w:szCs w:val="14"/>
          <w:color w:val="auto"/>
        </w:rPr>
        <w:t xml:space="preserve"> of the Agreement (or any definition or provision in </w:t>
      </w:r>
      <w:r>
        <w:rPr>
          <w:rFonts w:ascii="Arial" w:cs="Arial" w:eastAsia="Arial" w:hAnsi="Arial"/>
          <w:sz w:val="14"/>
          <w:szCs w:val="14"/>
          <w:u w:val="single" w:color="auto"/>
          <w:color w:val="auto"/>
        </w:rPr>
        <w:t>Section 14</w:t>
      </w:r>
      <w:r>
        <w:rPr>
          <w:rFonts w:ascii="Arial" w:cs="Arial" w:eastAsia="Arial" w:hAnsi="Arial"/>
          <w:sz w:val="14"/>
          <w:szCs w:val="14"/>
          <w:color w:val="auto"/>
        </w:rPr>
        <w:t xml:space="preserve"> to the extent that it relates to, or is used in or in connection with any such Section) shall be so held to be invalid or unenforceable.</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Affected Parties</w:t>
      </w:r>
      <w:r>
        <w:rPr>
          <w:rFonts w:ascii="Arial" w:cs="Arial" w:eastAsia="Arial" w:hAnsi="Arial"/>
          <w:sz w:val="14"/>
          <w:szCs w:val="14"/>
          <w:color w:val="auto"/>
        </w:rPr>
        <w:t>. For purposes of</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6(e)</w:t>
      </w:r>
      <w:r>
        <w:rPr>
          <w:rFonts w:ascii="Arial" w:cs="Arial" w:eastAsia="Arial" w:hAnsi="Arial"/>
          <w:sz w:val="14"/>
          <w:szCs w:val="14"/>
          <w:b w:val="1"/>
          <w:bCs w:val="1"/>
          <w:color w:val="auto"/>
        </w:rPr>
        <w:t xml:space="preserve"> </w:t>
      </w:r>
      <w:r>
        <w:rPr>
          <w:rFonts w:ascii="Arial" w:cs="Arial" w:eastAsia="Arial" w:hAnsi="Arial"/>
          <w:sz w:val="14"/>
          <w:szCs w:val="14"/>
          <w:color w:val="auto"/>
        </w:rPr>
        <w:t>of the Agreement, each party shall be deemed to be an Affected Party in connection with Illegality and any Tax Event.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624"/>
        <w:spacing w:after="0"/>
        <w:rPr>
          <w:sz w:val="20"/>
          <w:szCs w:val="20"/>
          <w:color w:val="auto"/>
        </w:rPr>
      </w:pPr>
      <w:r>
        <w:rPr>
          <w:rFonts w:ascii="Arial" w:cs="Arial" w:eastAsia="Arial" w:hAnsi="Arial"/>
          <w:sz w:val="12"/>
          <w:szCs w:val="12"/>
          <w:color w:val="3F3F3F"/>
        </w:rPr>
        <w:t>JPMorgan Chase Bank, National Association</w:t>
      </w:r>
    </w:p>
    <w:p>
      <w:pPr>
        <w:spacing w:after="0" w:line="15" w:lineRule="exact"/>
        <w:rPr>
          <w:sz w:val="20"/>
          <w:szCs w:val="20"/>
          <w:color w:val="auto"/>
        </w:rPr>
      </w:pPr>
    </w:p>
    <w:p>
      <w:pPr>
        <w:ind w:left="3764"/>
        <w:spacing w:after="0"/>
        <w:rPr>
          <w:sz w:val="20"/>
          <w:szCs w:val="20"/>
          <w:color w:val="auto"/>
        </w:rPr>
      </w:pPr>
      <w:r>
        <w:rPr>
          <w:rFonts w:ascii="Arial" w:cs="Arial" w:eastAsia="Arial" w:hAnsi="Arial"/>
          <w:sz w:val="12"/>
          <w:szCs w:val="12"/>
          <w:color w:val="3F3F3F"/>
        </w:rPr>
        <w:t>Organised under the laws of the United States as a National Banking Association</w:t>
      </w:r>
    </w:p>
    <w:p>
      <w:pPr>
        <w:spacing w:after="0" w:line="6" w:lineRule="exact"/>
        <w:rPr>
          <w:sz w:val="20"/>
          <w:szCs w:val="20"/>
          <w:color w:val="auto"/>
        </w:rPr>
      </w:pPr>
    </w:p>
    <w:p>
      <w:pPr>
        <w:ind w:left="4304"/>
        <w:spacing w:after="0"/>
        <w:rPr>
          <w:sz w:val="20"/>
          <w:szCs w:val="20"/>
          <w:color w:val="auto"/>
        </w:rPr>
      </w:pPr>
      <w:r>
        <w:rPr>
          <w:rFonts w:ascii="Arial" w:cs="Arial" w:eastAsia="Arial" w:hAnsi="Arial"/>
          <w:sz w:val="12"/>
          <w:szCs w:val="12"/>
          <w:color w:val="3F3F3F"/>
        </w:rPr>
        <w:t>Main Office 1111 Polaris Parkway, Columbus, Ohio 43271</w:t>
      </w:r>
    </w:p>
    <w:p>
      <w:pPr>
        <w:spacing w:after="0" w:line="6" w:lineRule="exact"/>
        <w:rPr>
          <w:sz w:val="20"/>
          <w:szCs w:val="20"/>
          <w:color w:val="auto"/>
        </w:rPr>
      </w:pPr>
    </w:p>
    <w:p>
      <w:pPr>
        <w:ind w:left="4104"/>
        <w:spacing w:after="0"/>
        <w:rPr>
          <w:sz w:val="20"/>
          <w:szCs w:val="20"/>
          <w:color w:val="auto"/>
        </w:rPr>
      </w:pPr>
      <w:r>
        <w:rPr>
          <w:rFonts w:ascii="Arial" w:cs="Arial" w:eastAsia="Arial" w:hAnsi="Arial"/>
          <w:sz w:val="12"/>
          <w:szCs w:val="12"/>
          <w:color w:val="3F3F3F"/>
        </w:rPr>
        <w:t>Registered as a branch in England &amp; Wales branch No. BR000746</w:t>
      </w:r>
    </w:p>
    <w:p>
      <w:pPr>
        <w:spacing w:after="0" w:line="6" w:lineRule="exact"/>
        <w:rPr>
          <w:sz w:val="20"/>
          <w:szCs w:val="20"/>
          <w:color w:val="auto"/>
        </w:rPr>
      </w:pPr>
    </w:p>
    <w:p>
      <w:pPr>
        <w:ind w:left="4184"/>
        <w:spacing w:after="0"/>
        <w:rPr>
          <w:sz w:val="20"/>
          <w:szCs w:val="20"/>
          <w:color w:val="auto"/>
        </w:rPr>
      </w:pPr>
      <w:r>
        <w:rPr>
          <w:rFonts w:ascii="Arial" w:cs="Arial" w:eastAsia="Arial" w:hAnsi="Arial"/>
          <w:sz w:val="12"/>
          <w:szCs w:val="12"/>
          <w:color w:val="3F3F3F"/>
        </w:rPr>
        <w:t>Registered Branch Office 125 London Wall, London EC2Y 5AJ</w:t>
      </w:r>
    </w:p>
    <w:p>
      <w:pPr>
        <w:spacing w:after="0" w:line="6" w:lineRule="exact"/>
        <w:rPr>
          <w:sz w:val="20"/>
          <w:szCs w:val="20"/>
          <w:color w:val="auto"/>
        </w:rPr>
      </w:pPr>
    </w:p>
    <w:p>
      <w:pPr>
        <w:ind w:left="4244"/>
        <w:spacing w:after="0"/>
        <w:rPr>
          <w:sz w:val="20"/>
          <w:szCs w:val="20"/>
          <w:color w:val="auto"/>
        </w:rPr>
      </w:pPr>
      <w:r>
        <w:rPr>
          <w:rFonts w:ascii="Arial" w:cs="Arial" w:eastAsia="Arial" w:hAnsi="Arial"/>
          <w:sz w:val="12"/>
          <w:szCs w:val="12"/>
          <w:color w:val="3F3F3F"/>
        </w:rPr>
        <w:t>Authorised and regulated by the Financial Services Authority</w:t>
      </w:r>
    </w:p>
    <w:p>
      <w:pPr>
        <w:sectPr>
          <w:pgSz w:w="11900" w:h="16838" w:orient="portrait"/>
          <w:cols w:equalWidth="0" w:num="1">
            <w:col w:w="11444"/>
          </w:cols>
          <w:pgMar w:left="236" w:top="131" w:right="219" w:bottom="1440" w:gutter="0" w:footer="0" w:header="0"/>
        </w:sectPr>
      </w:pPr>
    </w:p>
    <w:bookmarkStart w:id="70" w:name="page71"/>
    <w:bookmarkEnd w:id="70"/>
    <w:p>
      <w:pPr>
        <w:spacing w:after="0" w:line="459" w:lineRule="auto"/>
        <w:rPr>
          <w:sz w:val="20"/>
          <w:szCs w:val="20"/>
          <w:color w:val="auto"/>
        </w:rPr>
      </w:pPr>
      <w:r>
        <w:rPr>
          <w:rFonts w:ascii="Arial" w:cs="Arial" w:eastAsia="Arial" w:hAnsi="Arial"/>
          <w:sz w:val="16"/>
          <w:szCs w:val="16"/>
          <w:color w:val="auto"/>
        </w:rPr>
        <w:t>Please confirm that the foregoing correctly sets forth the terms of our agreement by executing the copy of this Master Confirmation enclosed for that purpose and returning it to us. Very truly yours,</w:t>
      </w:r>
    </w:p>
    <w:p>
      <w:pPr>
        <w:spacing w:after="0"/>
        <w:rPr>
          <w:sz w:val="20"/>
          <w:szCs w:val="20"/>
          <w:color w:val="auto"/>
        </w:rPr>
      </w:pPr>
      <w:r>
        <w:rPr>
          <w:rFonts w:ascii="Arial" w:cs="Arial" w:eastAsia="Arial" w:hAnsi="Arial"/>
          <w:sz w:val="16"/>
          <w:szCs w:val="16"/>
          <w:b w:val="1"/>
          <w:bCs w:val="1"/>
          <w:color w:val="auto"/>
        </w:rPr>
        <w:t>JPMORGAN CHASE BANK, NATIONAL ASSOCIATION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J.P. MORGAN SECURITIES LLC</w:t>
      </w:r>
      <w:r>
        <w:rPr>
          <w:rFonts w:ascii="Arial" w:cs="Arial" w:eastAsia="Arial" w:hAnsi="Arial"/>
          <w:sz w:val="16"/>
          <w:szCs w:val="16"/>
          <w:color w:val="auto"/>
        </w:rPr>
        <w:t>, as agent</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By: ___/s/ Jason M. Wood_____________</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Name: Jason M. Wood</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Title: Managing Director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Confirmed as of the date first above written: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ectPr>
          <w:pgSz w:w="11900" w:h="16838" w:orient="portrait"/>
          <w:cols w:equalWidth="0" w:num="1">
            <w:col w:w="11200"/>
          </w:cols>
          <w:pgMar w:left="240" w:top="671" w:right="45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By: ___/s/ Mark A. Snell_______________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By: ____/s/ Richard A. Vaccari_____________</w:t>
      </w:r>
    </w:p>
    <w:p>
      <w:pPr>
        <w:spacing w:after="0" w:line="187" w:lineRule="exact"/>
        <w:rPr>
          <w:sz w:val="20"/>
          <w:szCs w:val="20"/>
          <w:color w:val="auto"/>
        </w:rPr>
      </w:pPr>
    </w:p>
    <w:p>
      <w:pPr>
        <w:sectPr>
          <w:pgSz w:w="11900" w:h="16838" w:orient="portrait"/>
          <w:cols w:equalWidth="0" w:num="2">
            <w:col w:w="3300" w:space="720"/>
            <w:col w:w="7180"/>
          </w:cols>
          <w:pgMar w:left="240" w:top="671" w:right="4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Name: Mark A. Snell</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Title: Executive Vice President and Chief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Name: Richard A. Vaccari</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Title: Vice President and Treasurer</w:t>
      </w:r>
    </w:p>
    <w:p>
      <w:pPr>
        <w:sectPr>
          <w:pgSz w:w="11900" w:h="16838" w:orient="portrait"/>
          <w:cols w:equalWidth="0" w:num="2">
            <w:col w:w="3980" w:space="620"/>
            <w:col w:w="6600"/>
          </w:cols>
          <w:pgMar w:left="240" w:top="671" w:right="459" w:bottom="1440" w:gutter="0" w:footer="0" w:header="0"/>
          <w:type w:val="continuous"/>
        </w:sectPr>
      </w:pPr>
    </w:p>
    <w:bookmarkStart w:id="71" w:name="page72"/>
    <w:bookmarkEnd w:id="71"/>
    <w:p>
      <w:pPr>
        <w:ind w:left="10620"/>
        <w:spacing w:after="0"/>
        <w:rPr>
          <w:sz w:val="20"/>
          <w:szCs w:val="20"/>
          <w:color w:val="auto"/>
        </w:rPr>
      </w:pPr>
      <w:r>
        <w:rPr>
          <w:rFonts w:ascii="Arial" w:cs="Arial" w:eastAsia="Arial" w:hAnsi="Arial"/>
          <w:sz w:val="16"/>
          <w:szCs w:val="16"/>
          <w:b w:val="1"/>
          <w:bCs w:val="1"/>
          <w:u w:val="single" w:color="auto"/>
          <w:color w:val="auto"/>
        </w:rPr>
        <w:t>EXHIBIT A</w:t>
      </w:r>
    </w:p>
    <w:p>
      <w:pPr>
        <w:spacing w:after="0" w:line="176"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auto"/>
        </w:rPr>
        <w:t>FORM OF SUPPLEMENTAL CONFIRMATION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Confirmation of Collared ASAP Minus (VWAP Pricing, Fixed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Notional)</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20"/>
                <w:szCs w:val="20"/>
                <w:color w:val="auto"/>
              </w:rPr>
            </w:pPr>
            <w:r>
              <w:rPr>
                <w:rFonts w:ascii="Arial" w:cs="Arial" w:eastAsia="Arial" w:hAnsi="Arial"/>
                <w:sz w:val="16"/>
                <w:szCs w:val="16"/>
                <w:b w:val="1"/>
                <w:bCs w:val="1"/>
                <w:color w:val="auto"/>
              </w:rPr>
              <w:t>Date:</w:t>
            </w:r>
          </w:p>
        </w:tc>
        <w:tc>
          <w:tcPr>
            <w:tcW w:w="2820" w:type="dxa"/>
            <w:vAlign w:val="bottom"/>
            <w:gridSpan w:val="3"/>
          </w:tcPr>
          <w:p>
            <w:pPr>
              <w:ind w:left="220"/>
              <w:spacing w:after="0"/>
              <w:rPr>
                <w:sz w:val="20"/>
                <w:szCs w:val="20"/>
                <w:color w:val="auto"/>
              </w:rPr>
            </w:pPr>
            <w:r>
              <w:rPr>
                <w:rFonts w:ascii="Arial" w:cs="Arial" w:eastAsia="Arial" w:hAnsi="Arial"/>
                <w:sz w:val="16"/>
                <w:szCs w:val="16"/>
                <w:b w:val="1"/>
                <w:bCs w:val="1"/>
                <w:color w:val="auto"/>
              </w:rPr>
              <w:t>[l], 20</w:t>
            </w:r>
            <w:r>
              <w:rPr>
                <w:rFonts w:ascii="Arial" w:cs="Arial" w:eastAsia="Arial" w:hAnsi="Arial"/>
                <w:sz w:val="16"/>
                <w:szCs w:val="16"/>
                <w:color w:val="auto"/>
              </w:rPr>
              <w:t>[l]</w:t>
            </w:r>
          </w:p>
        </w:tc>
        <w:tc>
          <w:tcPr>
            <w:tcW w:w="1060" w:type="dxa"/>
            <w:vAlign w:val="bottom"/>
            <w:gridSpan w:val="3"/>
          </w:tcPr>
          <w:p>
            <w:pPr>
              <w:ind w:left="280"/>
              <w:spacing w:after="0"/>
              <w:rPr>
                <w:sz w:val="20"/>
                <w:szCs w:val="20"/>
                <w:color w:val="auto"/>
              </w:rPr>
            </w:pPr>
            <w:r>
              <w:rPr>
                <w:rFonts w:ascii="Arial" w:cs="Arial" w:eastAsia="Arial" w:hAnsi="Arial"/>
                <w:sz w:val="16"/>
                <w:szCs w:val="16"/>
                <w:b w:val="1"/>
                <w:bCs w:val="1"/>
                <w:color w:val="auto"/>
              </w:rPr>
              <w:t>Ref: ●</w:t>
            </w:r>
          </w:p>
        </w:tc>
      </w:tr>
      <w:tr>
        <w:trPr>
          <w:trHeight w:val="326"/>
        </w:trPr>
        <w:tc>
          <w:tcPr>
            <w:tcW w:w="920" w:type="dxa"/>
            <w:vAlign w:val="bottom"/>
          </w:tcPr>
          <w:p>
            <w:pPr>
              <w:spacing w:after="0"/>
              <w:rPr>
                <w:sz w:val="20"/>
                <w:szCs w:val="20"/>
                <w:color w:val="auto"/>
              </w:rPr>
            </w:pPr>
            <w:r>
              <w:rPr>
                <w:rFonts w:ascii="Arial" w:cs="Arial" w:eastAsia="Arial" w:hAnsi="Arial"/>
                <w:sz w:val="16"/>
                <w:szCs w:val="16"/>
                <w:b w:val="1"/>
                <w:bCs w:val="1"/>
                <w:color w:val="auto"/>
              </w:rPr>
              <w:t>To:</w:t>
            </w:r>
          </w:p>
        </w:tc>
        <w:tc>
          <w:tcPr>
            <w:tcW w:w="2820" w:type="dxa"/>
            <w:vAlign w:val="bottom"/>
            <w:gridSpan w:val="3"/>
          </w:tcPr>
          <w:p>
            <w:pPr>
              <w:ind w:left="220"/>
              <w:spacing w:after="0"/>
              <w:rPr>
                <w:sz w:val="20"/>
                <w:szCs w:val="20"/>
                <w:color w:val="auto"/>
              </w:rPr>
            </w:pPr>
            <w:r>
              <w:rPr>
                <w:rFonts w:ascii="Arial" w:cs="Arial" w:eastAsia="Arial" w:hAnsi="Arial"/>
                <w:sz w:val="16"/>
                <w:szCs w:val="16"/>
                <w:b w:val="1"/>
                <w:bCs w:val="1"/>
                <w:color w:val="auto"/>
              </w:rPr>
              <w:t>Sempra Energy (“Counterparty”)</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920" w:type="dxa"/>
            <w:vAlign w:val="bottom"/>
          </w:tcPr>
          <w:p>
            <w:pPr>
              <w:spacing w:after="0"/>
              <w:rPr>
                <w:sz w:val="17"/>
                <w:szCs w:val="17"/>
                <w:color w:val="auto"/>
              </w:rPr>
            </w:pPr>
          </w:p>
        </w:tc>
        <w:tc>
          <w:tcPr>
            <w:tcW w:w="1480" w:type="dxa"/>
            <w:vAlign w:val="bottom"/>
          </w:tcPr>
          <w:p>
            <w:pPr>
              <w:ind w:left="220"/>
              <w:spacing w:after="0"/>
              <w:rPr>
                <w:sz w:val="20"/>
                <w:szCs w:val="20"/>
                <w:color w:val="auto"/>
              </w:rPr>
            </w:pPr>
            <w:r>
              <w:rPr>
                <w:rFonts w:ascii="Arial" w:cs="Arial" w:eastAsia="Arial" w:hAnsi="Arial"/>
                <w:sz w:val="16"/>
                <w:szCs w:val="16"/>
                <w:color w:val="auto"/>
              </w:rPr>
              <w:t>101 Ash Street</w:t>
            </w:r>
          </w:p>
        </w:tc>
        <w:tc>
          <w:tcPr>
            <w:tcW w:w="9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920" w:type="dxa"/>
            <w:vAlign w:val="bottom"/>
          </w:tcPr>
          <w:p>
            <w:pPr>
              <w:spacing w:after="0"/>
              <w:rPr>
                <w:sz w:val="17"/>
                <w:szCs w:val="17"/>
                <w:color w:val="auto"/>
              </w:rPr>
            </w:pPr>
          </w:p>
        </w:tc>
        <w:tc>
          <w:tcPr>
            <w:tcW w:w="2820" w:type="dxa"/>
            <w:vAlign w:val="bottom"/>
            <w:gridSpan w:val="3"/>
          </w:tcPr>
          <w:p>
            <w:pPr>
              <w:ind w:left="220"/>
              <w:spacing w:after="0"/>
              <w:rPr>
                <w:sz w:val="20"/>
                <w:szCs w:val="20"/>
                <w:color w:val="auto"/>
              </w:rPr>
            </w:pPr>
            <w:r>
              <w:rPr>
                <w:rFonts w:ascii="Arial" w:cs="Arial" w:eastAsia="Arial" w:hAnsi="Arial"/>
                <w:sz w:val="16"/>
                <w:szCs w:val="16"/>
                <w:color w:val="auto"/>
              </w:rPr>
              <w:t>San Diego, CA 92101</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920" w:type="dxa"/>
            <w:vAlign w:val="bottom"/>
          </w:tcPr>
          <w:p>
            <w:pPr>
              <w:spacing w:after="0"/>
              <w:rPr>
                <w:sz w:val="20"/>
                <w:szCs w:val="20"/>
                <w:color w:val="auto"/>
              </w:rPr>
            </w:pPr>
            <w:r>
              <w:rPr>
                <w:rFonts w:ascii="Arial" w:cs="Arial" w:eastAsia="Arial" w:hAnsi="Arial"/>
                <w:sz w:val="16"/>
                <w:szCs w:val="16"/>
                <w:b w:val="1"/>
                <w:bCs w:val="1"/>
                <w:color w:val="auto"/>
              </w:rPr>
              <w:t>Attention:</w:t>
            </w:r>
          </w:p>
        </w:tc>
        <w:tc>
          <w:tcPr>
            <w:tcW w:w="2820" w:type="dxa"/>
            <w:vAlign w:val="bottom"/>
            <w:gridSpan w:val="3"/>
          </w:tcPr>
          <w:p>
            <w:pPr>
              <w:ind w:left="220"/>
              <w:spacing w:after="0"/>
              <w:rPr>
                <w:sz w:val="20"/>
                <w:szCs w:val="20"/>
                <w:color w:val="auto"/>
              </w:rPr>
            </w:pPr>
            <w:r>
              <w:rPr>
                <w:rFonts w:ascii="Arial" w:cs="Arial" w:eastAsia="Arial" w:hAnsi="Arial"/>
                <w:sz w:val="16"/>
                <w:szCs w:val="16"/>
                <w:color w:val="auto"/>
              </w:rPr>
              <w:t>Richard Vaccari, VP and Treasurer</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4"/>
        </w:trPr>
        <w:tc>
          <w:tcPr>
            <w:tcW w:w="920" w:type="dxa"/>
            <w:vAlign w:val="bottom"/>
          </w:tcPr>
          <w:p>
            <w:pPr>
              <w:spacing w:after="0"/>
              <w:rPr>
                <w:sz w:val="20"/>
                <w:szCs w:val="20"/>
                <w:color w:val="auto"/>
              </w:rPr>
            </w:pPr>
            <w:r>
              <w:rPr>
                <w:rFonts w:ascii="Arial" w:cs="Arial" w:eastAsia="Arial" w:hAnsi="Arial"/>
                <w:sz w:val="16"/>
                <w:szCs w:val="16"/>
                <w:b w:val="1"/>
                <w:bCs w:val="1"/>
                <w:color w:val="auto"/>
              </w:rPr>
              <w:t>From:</w:t>
            </w:r>
          </w:p>
        </w:tc>
        <w:tc>
          <w:tcPr>
            <w:tcW w:w="3880" w:type="dxa"/>
            <w:vAlign w:val="bottom"/>
            <w:gridSpan w:val="6"/>
          </w:tcPr>
          <w:p>
            <w:pPr>
              <w:ind w:left="220"/>
              <w:spacing w:after="0"/>
              <w:rPr>
                <w:sz w:val="20"/>
                <w:szCs w:val="20"/>
                <w:color w:val="auto"/>
              </w:rPr>
            </w:pPr>
            <w:r>
              <w:rPr>
                <w:rFonts w:ascii="Arial" w:cs="Arial" w:eastAsia="Arial" w:hAnsi="Arial"/>
                <w:sz w:val="16"/>
                <w:szCs w:val="16"/>
                <w:b w:val="1"/>
                <w:bCs w:val="1"/>
                <w:color w:val="auto"/>
                <w:w w:val="88"/>
              </w:rPr>
              <w:t>JPMorgan Chase Bank, National Association (“Bank”)</w:t>
            </w:r>
          </w:p>
        </w:tc>
      </w:tr>
      <w:tr>
        <w:trPr>
          <w:trHeight w:val="199"/>
        </w:trPr>
        <w:tc>
          <w:tcPr>
            <w:tcW w:w="920" w:type="dxa"/>
            <w:vAlign w:val="bottom"/>
          </w:tcPr>
          <w:p>
            <w:pPr>
              <w:spacing w:after="0"/>
              <w:rPr>
                <w:sz w:val="17"/>
                <w:szCs w:val="17"/>
                <w:color w:val="auto"/>
              </w:rPr>
            </w:pPr>
          </w:p>
        </w:tc>
        <w:tc>
          <w:tcPr>
            <w:tcW w:w="2820" w:type="dxa"/>
            <w:vAlign w:val="bottom"/>
            <w:gridSpan w:val="3"/>
          </w:tcPr>
          <w:p>
            <w:pPr>
              <w:ind w:left="220"/>
              <w:spacing w:after="0"/>
              <w:rPr>
                <w:sz w:val="20"/>
                <w:szCs w:val="20"/>
                <w:color w:val="auto"/>
              </w:rPr>
            </w:pPr>
            <w:r>
              <w:rPr>
                <w:rFonts w:ascii="Arial" w:cs="Arial" w:eastAsia="Arial" w:hAnsi="Arial"/>
                <w:sz w:val="16"/>
                <w:szCs w:val="16"/>
                <w:color w:val="auto"/>
              </w:rPr>
              <w:t>P.O. Box 161</w:t>
            </w:r>
          </w:p>
        </w:tc>
        <w:tc>
          <w:tcPr>
            <w:tcW w:w="5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2"/>
        </w:trPr>
        <w:tc>
          <w:tcPr>
            <w:tcW w:w="920" w:type="dxa"/>
            <w:vAlign w:val="bottom"/>
          </w:tcPr>
          <w:p>
            <w:pPr>
              <w:spacing w:after="0"/>
              <w:rPr>
                <w:sz w:val="16"/>
                <w:szCs w:val="16"/>
                <w:color w:val="auto"/>
              </w:rPr>
            </w:pPr>
          </w:p>
        </w:tc>
        <w:tc>
          <w:tcPr>
            <w:tcW w:w="2820" w:type="dxa"/>
            <w:vAlign w:val="bottom"/>
            <w:gridSpan w:val="3"/>
          </w:tcPr>
          <w:p>
            <w:pPr>
              <w:ind w:left="220"/>
              <w:spacing w:after="0"/>
              <w:rPr>
                <w:sz w:val="20"/>
                <w:szCs w:val="20"/>
                <w:color w:val="auto"/>
              </w:rPr>
            </w:pPr>
            <w:r>
              <w:rPr>
                <w:rFonts w:ascii="Arial" w:cs="Arial" w:eastAsia="Arial" w:hAnsi="Arial"/>
                <w:sz w:val="16"/>
                <w:szCs w:val="16"/>
                <w:color w:val="auto"/>
              </w:rPr>
              <w:t>60 Victoria Embankment</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920" w:type="dxa"/>
            <w:vAlign w:val="bottom"/>
          </w:tcPr>
          <w:p>
            <w:pPr>
              <w:spacing w:after="0"/>
              <w:rPr>
                <w:sz w:val="16"/>
                <w:szCs w:val="16"/>
                <w:color w:val="auto"/>
              </w:rPr>
            </w:pPr>
          </w:p>
        </w:tc>
        <w:tc>
          <w:tcPr>
            <w:tcW w:w="2820" w:type="dxa"/>
            <w:vAlign w:val="bottom"/>
            <w:gridSpan w:val="3"/>
          </w:tcPr>
          <w:p>
            <w:pPr>
              <w:ind w:left="220"/>
              <w:spacing w:after="0"/>
              <w:rPr>
                <w:sz w:val="20"/>
                <w:szCs w:val="20"/>
                <w:color w:val="auto"/>
              </w:rPr>
            </w:pPr>
            <w:r>
              <w:rPr>
                <w:rFonts w:ascii="Arial" w:cs="Arial" w:eastAsia="Arial" w:hAnsi="Arial"/>
                <w:sz w:val="16"/>
                <w:szCs w:val="16"/>
                <w:color w:val="auto"/>
              </w:rPr>
              <w:t>London EC4Y 0JP</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9"/>
        </w:trPr>
        <w:tc>
          <w:tcPr>
            <w:tcW w:w="920" w:type="dxa"/>
            <w:vAlign w:val="bottom"/>
          </w:tcPr>
          <w:p>
            <w:pPr>
              <w:spacing w:after="0"/>
              <w:rPr>
                <w:sz w:val="17"/>
                <w:szCs w:val="17"/>
                <w:color w:val="auto"/>
              </w:rPr>
            </w:pPr>
          </w:p>
        </w:tc>
        <w:tc>
          <w:tcPr>
            <w:tcW w:w="2820" w:type="dxa"/>
            <w:vAlign w:val="bottom"/>
            <w:gridSpan w:val="3"/>
          </w:tcPr>
          <w:p>
            <w:pPr>
              <w:ind w:left="220"/>
              <w:spacing w:after="0"/>
              <w:rPr>
                <w:sz w:val="20"/>
                <w:szCs w:val="20"/>
                <w:color w:val="auto"/>
              </w:rPr>
            </w:pPr>
            <w:r>
              <w:rPr>
                <w:rFonts w:ascii="Arial" w:cs="Arial" w:eastAsia="Arial" w:hAnsi="Arial"/>
                <w:sz w:val="16"/>
                <w:szCs w:val="16"/>
                <w:color w:val="auto"/>
              </w:rPr>
              <w:t>England</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Dear Sir / Madam:</w:t>
      </w:r>
    </w:p>
    <w:p>
      <w:pPr>
        <w:spacing w:after="0" w:line="164" w:lineRule="exact"/>
        <w:rPr>
          <w:sz w:val="20"/>
          <w:szCs w:val="20"/>
          <w:color w:val="auto"/>
        </w:rPr>
      </w:pPr>
    </w:p>
    <w:p>
      <w:pPr>
        <w:ind w:right="20" w:firstLine="576"/>
        <w:spacing w:after="0" w:line="270" w:lineRule="auto"/>
        <w:rPr>
          <w:sz w:val="20"/>
          <w:szCs w:val="20"/>
          <w:color w:val="auto"/>
        </w:rPr>
      </w:pPr>
      <w:r>
        <w:rPr>
          <w:rFonts w:ascii="Arial" w:cs="Arial" w:eastAsia="Arial" w:hAnsi="Arial"/>
          <w:sz w:val="16"/>
          <w:szCs w:val="16"/>
          <w:color w:val="auto"/>
        </w:rPr>
        <w:t>Capitalized terms used herein, unless defined herein, have the meanings set forth in the Master Confirmation of OTC Collared ASAP Minus (VWAP Pricing, Fixed Notional) between Counterparty and J.P. Morgan Securities LLC, as agent for Bank, dated as of September __, 20[l].</w:t>
      </w:r>
    </w:p>
    <w:p>
      <w:pPr>
        <w:spacing w:after="0" w:line="1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purpose of this Supplemental Confirmation is to confirm the terms and conditions of a Transaction under the Master Confirmation.</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terms of the Transaction to which the Supplemental Confirmation relates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200" w:type="dxa"/>
            <w:vAlign w:val="bottom"/>
          </w:tcPr>
          <w:p>
            <w:pPr>
              <w:spacing w:after="0"/>
              <w:rPr>
                <w:sz w:val="20"/>
                <w:szCs w:val="20"/>
                <w:color w:val="auto"/>
              </w:rPr>
            </w:pPr>
            <w:r>
              <w:rPr>
                <w:rFonts w:ascii="Arial" w:cs="Arial" w:eastAsia="Arial" w:hAnsi="Arial"/>
                <w:sz w:val="16"/>
                <w:szCs w:val="16"/>
                <w:color w:val="auto"/>
              </w:rPr>
              <w:t>Trade Date:</w:t>
            </w:r>
          </w:p>
        </w:tc>
        <w:tc>
          <w:tcPr>
            <w:tcW w:w="1000" w:type="dxa"/>
            <w:vAlign w:val="bottom"/>
            <w:gridSpan w:val="2"/>
          </w:tcPr>
          <w:p>
            <w:pPr>
              <w:ind w:left="180"/>
              <w:spacing w:after="0"/>
              <w:rPr>
                <w:sz w:val="20"/>
                <w:szCs w:val="20"/>
                <w:color w:val="auto"/>
              </w:rPr>
            </w:pPr>
            <w:r>
              <w:rPr>
                <w:rFonts w:ascii="Arial" w:cs="Arial" w:eastAsia="Arial" w:hAnsi="Arial"/>
                <w:sz w:val="16"/>
                <w:szCs w:val="16"/>
                <w:color w:val="auto"/>
              </w:rPr>
              <w:t>[l]</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2200" w:type="dxa"/>
            <w:vAlign w:val="bottom"/>
          </w:tcPr>
          <w:p>
            <w:pPr>
              <w:spacing w:after="0"/>
              <w:rPr>
                <w:sz w:val="20"/>
                <w:szCs w:val="20"/>
                <w:color w:val="auto"/>
              </w:rPr>
            </w:pPr>
            <w:r>
              <w:rPr>
                <w:rFonts w:ascii="Arial" w:cs="Arial" w:eastAsia="Arial" w:hAnsi="Arial"/>
                <w:sz w:val="16"/>
                <w:szCs w:val="16"/>
                <w:color w:val="auto"/>
              </w:rPr>
              <w:t>Hedging Initiation Date:</w:t>
            </w:r>
          </w:p>
        </w:tc>
        <w:tc>
          <w:tcPr>
            <w:tcW w:w="1000" w:type="dxa"/>
            <w:vAlign w:val="bottom"/>
            <w:gridSpan w:val="2"/>
          </w:tcPr>
          <w:p>
            <w:pPr>
              <w:ind w:left="180"/>
              <w:spacing w:after="0"/>
              <w:rPr>
                <w:sz w:val="20"/>
                <w:szCs w:val="20"/>
                <w:color w:val="auto"/>
              </w:rPr>
            </w:pPr>
            <w:r>
              <w:rPr>
                <w:rFonts w:ascii="Arial" w:cs="Arial" w:eastAsia="Arial" w:hAnsi="Arial"/>
                <w:sz w:val="16"/>
                <w:szCs w:val="16"/>
                <w:color w:val="auto"/>
              </w:rPr>
              <w:t>[l]</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200" w:type="dxa"/>
            <w:vAlign w:val="bottom"/>
          </w:tcPr>
          <w:p>
            <w:pPr>
              <w:spacing w:after="0"/>
              <w:rPr>
                <w:sz w:val="20"/>
                <w:szCs w:val="20"/>
                <w:color w:val="auto"/>
              </w:rPr>
            </w:pPr>
            <w:r>
              <w:rPr>
                <w:rFonts w:ascii="Arial" w:cs="Arial" w:eastAsia="Arial" w:hAnsi="Arial"/>
                <w:sz w:val="16"/>
                <w:szCs w:val="16"/>
                <w:color w:val="auto"/>
              </w:rPr>
              <w:t>Hedging Completion Date:</w:t>
            </w:r>
          </w:p>
        </w:tc>
        <w:tc>
          <w:tcPr>
            <w:tcW w:w="9240" w:type="dxa"/>
            <w:vAlign w:val="bottom"/>
            <w:gridSpan w:val="6"/>
          </w:tcPr>
          <w:p>
            <w:pPr>
              <w:ind w:left="180"/>
              <w:spacing w:after="0"/>
              <w:rPr>
                <w:sz w:val="20"/>
                <w:szCs w:val="20"/>
                <w:color w:val="auto"/>
              </w:rPr>
            </w:pPr>
            <w:r>
              <w:rPr>
                <w:rFonts w:ascii="Arial" w:cs="Arial" w:eastAsia="Arial" w:hAnsi="Arial"/>
                <w:sz w:val="16"/>
                <w:szCs w:val="16"/>
                <w:color w:val="auto"/>
                <w:w w:val="90"/>
              </w:rPr>
              <w:t>[l], subject to postponement by the Calculation Agent for each Scheduled Trading Day on which there is an event that would be a Suspension</w:t>
            </w:r>
          </w:p>
        </w:tc>
        <w:tc>
          <w:tcPr>
            <w:tcW w:w="0" w:type="dxa"/>
            <w:vAlign w:val="bottom"/>
          </w:tcPr>
          <w:p>
            <w:pPr>
              <w:spacing w:after="0"/>
              <w:rPr>
                <w:sz w:val="1"/>
                <w:szCs w:val="1"/>
                <w:color w:val="auto"/>
              </w:rPr>
            </w:pPr>
          </w:p>
        </w:tc>
      </w:tr>
      <w:tr>
        <w:trPr>
          <w:trHeight w:val="199"/>
        </w:trPr>
        <w:tc>
          <w:tcPr>
            <w:tcW w:w="2200" w:type="dxa"/>
            <w:vAlign w:val="bottom"/>
          </w:tcPr>
          <w:p>
            <w:pPr>
              <w:spacing w:after="0"/>
              <w:rPr>
                <w:sz w:val="17"/>
                <w:szCs w:val="17"/>
                <w:color w:val="auto"/>
              </w:rPr>
            </w:pPr>
          </w:p>
        </w:tc>
        <w:tc>
          <w:tcPr>
            <w:tcW w:w="5200" w:type="dxa"/>
            <w:vAlign w:val="bottom"/>
            <w:gridSpan w:val="5"/>
          </w:tcPr>
          <w:p>
            <w:pPr>
              <w:ind w:left="180"/>
              <w:spacing w:after="0"/>
              <w:rPr>
                <w:sz w:val="20"/>
                <w:szCs w:val="20"/>
                <w:color w:val="auto"/>
              </w:rPr>
            </w:pPr>
            <w:r>
              <w:rPr>
                <w:rFonts w:ascii="Arial" w:cs="Arial" w:eastAsia="Arial" w:hAnsi="Arial"/>
                <w:sz w:val="16"/>
                <w:szCs w:val="16"/>
                <w:color w:val="auto"/>
                <w:w w:val="89"/>
              </w:rPr>
              <w:t>Event or Disrupted Day, were the Hedging Period the Valuation Period instead.</w:t>
            </w: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200" w:type="dxa"/>
            <w:vAlign w:val="bottom"/>
          </w:tcPr>
          <w:p>
            <w:pPr>
              <w:spacing w:after="0"/>
              <w:rPr>
                <w:sz w:val="20"/>
                <w:szCs w:val="20"/>
                <w:color w:val="auto"/>
              </w:rPr>
            </w:pPr>
            <w:r>
              <w:rPr>
                <w:rFonts w:ascii="Arial" w:cs="Arial" w:eastAsia="Arial" w:hAnsi="Arial"/>
                <w:sz w:val="16"/>
                <w:szCs w:val="16"/>
                <w:color w:val="auto"/>
              </w:rPr>
              <w:t>Initial Hedge Position:</w:t>
            </w:r>
          </w:p>
        </w:tc>
        <w:tc>
          <w:tcPr>
            <w:tcW w:w="5200" w:type="dxa"/>
            <w:vAlign w:val="bottom"/>
            <w:gridSpan w:val="5"/>
          </w:tcPr>
          <w:p>
            <w:pPr>
              <w:ind w:left="180"/>
              <w:spacing w:after="0"/>
              <w:rPr>
                <w:sz w:val="20"/>
                <w:szCs w:val="20"/>
                <w:color w:val="auto"/>
              </w:rPr>
            </w:pPr>
            <w:r>
              <w:rPr>
                <w:rFonts w:ascii="Arial" w:cs="Arial" w:eastAsia="Arial" w:hAnsi="Arial"/>
                <w:sz w:val="16"/>
                <w:szCs w:val="16"/>
                <w:color w:val="auto"/>
                <w:w w:val="96"/>
              </w:rPr>
              <w:t>The number of Shares determined by Bank to be its initial hedge position</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200" w:type="dxa"/>
            <w:vAlign w:val="bottom"/>
          </w:tcPr>
          <w:p>
            <w:pPr>
              <w:spacing w:after="0"/>
              <w:rPr>
                <w:sz w:val="20"/>
                <w:szCs w:val="20"/>
                <w:color w:val="auto"/>
              </w:rPr>
            </w:pPr>
            <w:r>
              <w:rPr>
                <w:rFonts w:ascii="Arial" w:cs="Arial" w:eastAsia="Arial" w:hAnsi="Arial"/>
                <w:sz w:val="16"/>
                <w:szCs w:val="16"/>
                <w:color w:val="auto"/>
              </w:rPr>
              <w:t>Initial Settlement Date:</w:t>
            </w:r>
          </w:p>
        </w:tc>
        <w:tc>
          <w:tcPr>
            <w:tcW w:w="9240" w:type="dxa"/>
            <w:vAlign w:val="bottom"/>
            <w:gridSpan w:val="6"/>
          </w:tcPr>
          <w:p>
            <w:pPr>
              <w:ind w:left="180"/>
              <w:spacing w:after="0"/>
              <w:rPr>
                <w:sz w:val="20"/>
                <w:szCs w:val="20"/>
                <w:color w:val="auto"/>
              </w:rPr>
            </w:pPr>
            <w:r>
              <w:rPr>
                <w:rFonts w:ascii="Arial" w:cs="Arial" w:eastAsia="Arial" w:hAnsi="Arial"/>
                <w:sz w:val="16"/>
                <w:szCs w:val="16"/>
                <w:color w:val="auto"/>
              </w:rPr>
              <w:t>The Exchange Business Day immediately following the Hedging Completion Date</w:t>
            </w:r>
          </w:p>
        </w:tc>
        <w:tc>
          <w:tcPr>
            <w:tcW w:w="0" w:type="dxa"/>
            <w:vAlign w:val="bottom"/>
          </w:tcPr>
          <w:p>
            <w:pPr>
              <w:spacing w:after="0"/>
              <w:rPr>
                <w:sz w:val="1"/>
                <w:szCs w:val="1"/>
                <w:color w:val="auto"/>
              </w:rPr>
            </w:pPr>
          </w:p>
        </w:tc>
      </w:tr>
      <w:tr>
        <w:trPr>
          <w:trHeight w:val="348"/>
        </w:trPr>
        <w:tc>
          <w:tcPr>
            <w:tcW w:w="2200" w:type="dxa"/>
            <w:vAlign w:val="bottom"/>
          </w:tcPr>
          <w:p>
            <w:pPr>
              <w:spacing w:after="0"/>
              <w:rPr>
                <w:sz w:val="20"/>
                <w:szCs w:val="20"/>
                <w:color w:val="auto"/>
              </w:rPr>
            </w:pPr>
            <w:r>
              <w:rPr>
                <w:rFonts w:ascii="Arial" w:cs="Arial" w:eastAsia="Arial" w:hAnsi="Arial"/>
                <w:sz w:val="16"/>
                <w:szCs w:val="16"/>
                <w:color w:val="auto"/>
              </w:rPr>
              <w:t>Scheduled Valuation Date:</w:t>
            </w:r>
          </w:p>
        </w:tc>
        <w:tc>
          <w:tcPr>
            <w:tcW w:w="1000" w:type="dxa"/>
            <w:vAlign w:val="bottom"/>
            <w:gridSpan w:val="2"/>
          </w:tcPr>
          <w:p>
            <w:pPr>
              <w:ind w:left="180"/>
              <w:spacing w:after="0"/>
              <w:rPr>
                <w:sz w:val="20"/>
                <w:szCs w:val="20"/>
                <w:color w:val="auto"/>
              </w:rPr>
            </w:pPr>
            <w:r>
              <w:rPr>
                <w:rFonts w:ascii="Arial" w:cs="Arial" w:eastAsia="Arial" w:hAnsi="Arial"/>
                <w:sz w:val="16"/>
                <w:szCs w:val="16"/>
                <w:color w:val="auto"/>
              </w:rPr>
              <w:t>[l]</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200" w:type="dxa"/>
            <w:vAlign w:val="bottom"/>
          </w:tcPr>
          <w:p>
            <w:pPr>
              <w:spacing w:after="0"/>
              <w:rPr>
                <w:sz w:val="20"/>
                <w:szCs w:val="20"/>
                <w:color w:val="auto"/>
              </w:rPr>
            </w:pPr>
            <w:r>
              <w:rPr>
                <w:rFonts w:ascii="Arial" w:cs="Arial" w:eastAsia="Arial" w:hAnsi="Arial"/>
                <w:sz w:val="16"/>
                <w:szCs w:val="16"/>
                <w:color w:val="auto"/>
              </w:rPr>
              <w:t>First Acceleration Date:</w:t>
            </w:r>
          </w:p>
        </w:tc>
        <w:tc>
          <w:tcPr>
            <w:tcW w:w="1000" w:type="dxa"/>
            <w:vAlign w:val="bottom"/>
            <w:gridSpan w:val="2"/>
          </w:tcPr>
          <w:p>
            <w:pPr>
              <w:ind w:left="180"/>
              <w:spacing w:after="0"/>
              <w:rPr>
                <w:sz w:val="20"/>
                <w:szCs w:val="20"/>
                <w:color w:val="auto"/>
              </w:rPr>
            </w:pPr>
            <w:r>
              <w:rPr>
                <w:rFonts w:ascii="Arial" w:cs="Arial" w:eastAsia="Arial" w:hAnsi="Arial"/>
                <w:sz w:val="16"/>
                <w:szCs w:val="16"/>
                <w:color w:val="auto"/>
              </w:rPr>
              <w:t>[l]</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00" w:type="dxa"/>
            <w:vAlign w:val="bottom"/>
          </w:tcPr>
          <w:p>
            <w:pPr>
              <w:spacing w:after="0"/>
              <w:rPr>
                <w:sz w:val="20"/>
                <w:szCs w:val="20"/>
                <w:color w:val="auto"/>
              </w:rPr>
            </w:pPr>
            <w:r>
              <w:rPr>
                <w:rFonts w:ascii="Arial" w:cs="Arial" w:eastAsia="Arial" w:hAnsi="Arial"/>
                <w:sz w:val="16"/>
                <w:szCs w:val="16"/>
                <w:color w:val="auto"/>
              </w:rPr>
              <w:t>Initial Share Delivery:</w:t>
            </w:r>
          </w:p>
        </w:tc>
        <w:tc>
          <w:tcPr>
            <w:tcW w:w="9240" w:type="dxa"/>
            <w:vAlign w:val="bottom"/>
            <w:gridSpan w:val="6"/>
          </w:tcPr>
          <w:p>
            <w:pPr>
              <w:ind w:left="180"/>
              <w:spacing w:after="0"/>
              <w:rPr>
                <w:sz w:val="20"/>
                <w:szCs w:val="20"/>
                <w:color w:val="auto"/>
              </w:rPr>
            </w:pPr>
            <w:r>
              <w:rPr>
                <w:rFonts w:ascii="Arial" w:cs="Arial" w:eastAsia="Arial" w:hAnsi="Arial"/>
                <w:sz w:val="16"/>
                <w:szCs w:val="16"/>
                <w:color w:val="auto"/>
                <w:w w:val="94"/>
              </w:rPr>
              <w:t xml:space="preserve">A number of Shares equal to </w:t>
            </w:r>
            <w:r>
              <w:rPr>
                <w:rFonts w:ascii="Arial" w:cs="Arial" w:eastAsia="Arial" w:hAnsi="Arial"/>
                <w:sz w:val="16"/>
                <w:szCs w:val="16"/>
                <w:b w:val="1"/>
                <w:bCs w:val="1"/>
                <w:color w:val="auto"/>
                <w:w w:val="94"/>
              </w:rPr>
              <w:t>[l]</w:t>
            </w:r>
            <w:r>
              <w:rPr>
                <w:rFonts w:ascii="Arial" w:cs="Arial" w:eastAsia="Arial" w:hAnsi="Arial"/>
                <w:sz w:val="16"/>
                <w:szCs w:val="16"/>
                <w:color w:val="auto"/>
                <w:w w:val="94"/>
              </w:rPr>
              <w:t>of the result of dividing the Prepayment Amount by the closing price of the regular trading session on the</w:t>
            </w:r>
          </w:p>
        </w:tc>
        <w:tc>
          <w:tcPr>
            <w:tcW w:w="0" w:type="dxa"/>
            <w:vAlign w:val="bottom"/>
          </w:tcPr>
          <w:p>
            <w:pPr>
              <w:spacing w:after="0"/>
              <w:rPr>
                <w:sz w:val="1"/>
                <w:szCs w:val="1"/>
                <w:color w:val="auto"/>
              </w:rPr>
            </w:pPr>
          </w:p>
        </w:tc>
      </w:tr>
      <w:tr>
        <w:trPr>
          <w:trHeight w:val="199"/>
        </w:trPr>
        <w:tc>
          <w:tcPr>
            <w:tcW w:w="2200" w:type="dxa"/>
            <w:vAlign w:val="bottom"/>
          </w:tcPr>
          <w:p>
            <w:pPr>
              <w:spacing w:after="0"/>
              <w:rPr>
                <w:sz w:val="17"/>
                <w:szCs w:val="17"/>
                <w:color w:val="auto"/>
              </w:rPr>
            </w:pPr>
          </w:p>
        </w:tc>
        <w:tc>
          <w:tcPr>
            <w:tcW w:w="5200" w:type="dxa"/>
            <w:vAlign w:val="bottom"/>
            <w:gridSpan w:val="5"/>
          </w:tcPr>
          <w:p>
            <w:pPr>
              <w:ind w:left="180"/>
              <w:spacing w:after="0"/>
              <w:rPr>
                <w:sz w:val="20"/>
                <w:szCs w:val="20"/>
                <w:color w:val="auto"/>
              </w:rPr>
            </w:pPr>
            <w:r>
              <w:rPr>
                <w:rFonts w:ascii="Arial" w:cs="Arial" w:eastAsia="Arial" w:hAnsi="Arial"/>
                <w:sz w:val="16"/>
                <w:szCs w:val="16"/>
                <w:color w:val="auto"/>
              </w:rPr>
              <w:t>Exchange on the Trade Date.</w:t>
            </w: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2200" w:type="dxa"/>
            <w:vAlign w:val="bottom"/>
          </w:tcPr>
          <w:p>
            <w:pPr>
              <w:spacing w:after="0"/>
              <w:rPr>
                <w:sz w:val="20"/>
                <w:szCs w:val="20"/>
                <w:color w:val="auto"/>
              </w:rPr>
            </w:pPr>
            <w:r>
              <w:rPr>
                <w:rFonts w:ascii="Arial" w:cs="Arial" w:eastAsia="Arial" w:hAnsi="Arial"/>
                <w:sz w:val="16"/>
                <w:szCs w:val="16"/>
                <w:color w:val="auto"/>
              </w:rPr>
              <w:t>Additional Share Delivery:</w:t>
            </w:r>
          </w:p>
        </w:tc>
        <w:tc>
          <w:tcPr>
            <w:tcW w:w="9240" w:type="dxa"/>
            <w:vAlign w:val="bottom"/>
            <w:gridSpan w:val="6"/>
          </w:tcPr>
          <w:p>
            <w:pPr>
              <w:ind w:left="180"/>
              <w:spacing w:after="0"/>
              <w:rPr>
                <w:sz w:val="20"/>
                <w:szCs w:val="20"/>
                <w:color w:val="auto"/>
              </w:rPr>
            </w:pPr>
            <w:r>
              <w:rPr>
                <w:rFonts w:ascii="Arial" w:cs="Arial" w:eastAsia="Arial" w:hAnsi="Arial"/>
                <w:sz w:val="16"/>
                <w:szCs w:val="16"/>
                <w:color w:val="auto"/>
                <w:w w:val="91"/>
              </w:rPr>
              <w:t>A number of Shares equal to (i) the Minimum Shares, minus (ii) Initial Share Delivery; provided, however, that the Additional Share Delivery</w:t>
            </w:r>
          </w:p>
        </w:tc>
        <w:tc>
          <w:tcPr>
            <w:tcW w:w="0" w:type="dxa"/>
            <w:vAlign w:val="bottom"/>
          </w:tcPr>
          <w:p>
            <w:pPr>
              <w:spacing w:after="0"/>
              <w:rPr>
                <w:sz w:val="1"/>
                <w:szCs w:val="1"/>
                <w:color w:val="auto"/>
              </w:rPr>
            </w:pPr>
          </w:p>
        </w:tc>
      </w:tr>
      <w:tr>
        <w:trPr>
          <w:trHeight w:val="199"/>
        </w:trPr>
        <w:tc>
          <w:tcPr>
            <w:tcW w:w="2200" w:type="dxa"/>
            <w:vAlign w:val="bottom"/>
          </w:tcPr>
          <w:p>
            <w:pPr>
              <w:spacing w:after="0"/>
              <w:rPr>
                <w:sz w:val="17"/>
                <w:szCs w:val="17"/>
                <w:color w:val="auto"/>
              </w:rPr>
            </w:pPr>
          </w:p>
        </w:tc>
        <w:tc>
          <w:tcPr>
            <w:tcW w:w="5200" w:type="dxa"/>
            <w:vAlign w:val="bottom"/>
            <w:gridSpan w:val="5"/>
          </w:tcPr>
          <w:p>
            <w:pPr>
              <w:ind w:left="180"/>
              <w:spacing w:after="0"/>
              <w:rPr>
                <w:sz w:val="20"/>
                <w:szCs w:val="20"/>
                <w:color w:val="auto"/>
              </w:rPr>
            </w:pPr>
            <w:r>
              <w:rPr>
                <w:rFonts w:ascii="Arial" w:cs="Arial" w:eastAsia="Arial" w:hAnsi="Arial"/>
                <w:sz w:val="16"/>
                <w:szCs w:val="16"/>
                <w:color w:val="auto"/>
              </w:rPr>
              <w:t>cannot be less than zero.</w:t>
            </w: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200" w:type="dxa"/>
            <w:vAlign w:val="bottom"/>
          </w:tcPr>
          <w:p>
            <w:pPr>
              <w:spacing w:after="0"/>
              <w:rPr>
                <w:sz w:val="20"/>
                <w:szCs w:val="20"/>
                <w:color w:val="auto"/>
              </w:rPr>
            </w:pPr>
            <w:r>
              <w:rPr>
                <w:rFonts w:ascii="Arial" w:cs="Arial" w:eastAsia="Arial" w:hAnsi="Arial"/>
                <w:sz w:val="16"/>
                <w:szCs w:val="16"/>
                <w:color w:val="auto"/>
                <w:w w:val="98"/>
              </w:rPr>
              <w:t>Additional Share Delivery Date:</w:t>
            </w:r>
          </w:p>
        </w:tc>
        <w:tc>
          <w:tcPr>
            <w:tcW w:w="5200" w:type="dxa"/>
            <w:vAlign w:val="bottom"/>
            <w:gridSpan w:val="5"/>
          </w:tcPr>
          <w:p>
            <w:pPr>
              <w:ind w:left="180"/>
              <w:spacing w:after="0"/>
              <w:rPr>
                <w:sz w:val="20"/>
                <w:szCs w:val="20"/>
                <w:color w:val="auto"/>
              </w:rPr>
            </w:pPr>
            <w:r>
              <w:rPr>
                <w:rFonts w:ascii="Arial" w:cs="Arial" w:eastAsia="Arial" w:hAnsi="Arial"/>
                <w:sz w:val="16"/>
                <w:szCs w:val="16"/>
                <w:color w:val="auto"/>
                <w:w w:val="96"/>
              </w:rPr>
              <w:t>One (1) Exchange Business Day following the Hedging Completion Date.</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200" w:type="dxa"/>
            <w:vAlign w:val="bottom"/>
          </w:tcPr>
          <w:p>
            <w:pPr>
              <w:spacing w:after="0"/>
              <w:rPr>
                <w:sz w:val="20"/>
                <w:szCs w:val="20"/>
                <w:color w:val="auto"/>
              </w:rPr>
            </w:pPr>
            <w:r>
              <w:rPr>
                <w:rFonts w:ascii="Arial" w:cs="Arial" w:eastAsia="Arial" w:hAnsi="Arial"/>
                <w:sz w:val="16"/>
                <w:szCs w:val="16"/>
                <w:color w:val="auto"/>
              </w:rPr>
              <w:t>Prepayment Amount:</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[l]</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200" w:type="dxa"/>
            <w:vAlign w:val="bottom"/>
          </w:tcPr>
          <w:p>
            <w:pPr>
              <w:spacing w:after="0"/>
              <w:rPr>
                <w:sz w:val="20"/>
                <w:szCs w:val="20"/>
                <w:color w:val="auto"/>
              </w:rPr>
            </w:pPr>
            <w:r>
              <w:rPr>
                <w:rFonts w:ascii="Arial" w:cs="Arial" w:eastAsia="Arial" w:hAnsi="Arial"/>
                <w:sz w:val="16"/>
                <w:szCs w:val="16"/>
                <w:color w:val="auto"/>
              </w:rPr>
              <w:t>Prepayment Date:</w:t>
            </w:r>
          </w:p>
        </w:tc>
        <w:tc>
          <w:tcPr>
            <w:tcW w:w="5200" w:type="dxa"/>
            <w:vAlign w:val="bottom"/>
            <w:gridSpan w:val="5"/>
          </w:tcPr>
          <w:p>
            <w:pPr>
              <w:ind w:left="180"/>
              <w:spacing w:after="0"/>
              <w:rPr>
                <w:sz w:val="20"/>
                <w:szCs w:val="20"/>
                <w:color w:val="auto"/>
              </w:rPr>
            </w:pPr>
            <w:r>
              <w:rPr>
                <w:rFonts w:ascii="Arial" w:cs="Arial" w:eastAsia="Arial" w:hAnsi="Arial"/>
                <w:sz w:val="16"/>
                <w:szCs w:val="16"/>
                <w:color w:val="auto"/>
              </w:rPr>
              <w:t>Hedge Initiation Date, on a delivery versus payment basis</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200" w:type="dxa"/>
            <w:vAlign w:val="bottom"/>
          </w:tcPr>
          <w:p>
            <w:pPr>
              <w:spacing w:after="0"/>
              <w:rPr>
                <w:sz w:val="20"/>
                <w:szCs w:val="20"/>
                <w:color w:val="auto"/>
              </w:rPr>
            </w:pPr>
            <w:r>
              <w:rPr>
                <w:rFonts w:ascii="Arial" w:cs="Arial" w:eastAsia="Arial" w:hAnsi="Arial"/>
                <w:sz w:val="16"/>
                <w:szCs w:val="16"/>
                <w:color w:val="auto"/>
              </w:rPr>
              <w:t>Ordinary Dividend Amount:</w:t>
            </w:r>
          </w:p>
        </w:tc>
        <w:tc>
          <w:tcPr>
            <w:tcW w:w="5200" w:type="dxa"/>
            <w:vAlign w:val="bottom"/>
            <w:gridSpan w:val="5"/>
          </w:tcPr>
          <w:p>
            <w:pPr>
              <w:ind w:left="180"/>
              <w:spacing w:after="0"/>
              <w:rPr>
                <w:sz w:val="20"/>
                <w:szCs w:val="20"/>
                <w:color w:val="auto"/>
              </w:rPr>
            </w:pPr>
            <w:r>
              <w:rPr>
                <w:rFonts w:ascii="Arial" w:cs="Arial" w:eastAsia="Arial" w:hAnsi="Arial"/>
                <w:sz w:val="16"/>
                <w:szCs w:val="16"/>
                <w:color w:val="auto"/>
              </w:rPr>
              <w:t xml:space="preserve">USD </w:t>
            </w:r>
            <w:r>
              <w:rPr>
                <w:rFonts w:ascii="Arial" w:cs="Arial" w:eastAsia="Arial" w:hAnsi="Arial"/>
                <w:sz w:val="16"/>
                <w:szCs w:val="16"/>
                <w:b w:val="1"/>
                <w:bCs w:val="1"/>
                <w:color w:val="auto"/>
              </w:rPr>
              <w:t>[l]</w:t>
            </w:r>
            <w:r>
              <w:rPr>
                <w:rFonts w:ascii="Arial" w:cs="Arial" w:eastAsia="Arial" w:hAnsi="Arial"/>
                <w:sz w:val="16"/>
                <w:szCs w:val="16"/>
                <w:color w:val="auto"/>
              </w:rPr>
              <w:t xml:space="preserve"> per Share</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200" w:type="dxa"/>
            <w:vAlign w:val="bottom"/>
          </w:tcPr>
          <w:p>
            <w:pPr>
              <w:spacing w:after="0"/>
              <w:rPr>
                <w:sz w:val="20"/>
                <w:szCs w:val="20"/>
                <w:color w:val="auto"/>
              </w:rPr>
            </w:pPr>
            <w:r>
              <w:rPr>
                <w:rFonts w:ascii="Arial" w:cs="Arial" w:eastAsia="Arial" w:hAnsi="Arial"/>
                <w:sz w:val="16"/>
                <w:szCs w:val="16"/>
                <w:color w:val="auto"/>
              </w:rPr>
              <w:t>Scheduled Dividend Dates:</w:t>
            </w:r>
          </w:p>
        </w:tc>
        <w:tc>
          <w:tcPr>
            <w:tcW w:w="5200" w:type="dxa"/>
            <w:vAlign w:val="bottom"/>
            <w:gridSpan w:val="5"/>
          </w:tcPr>
          <w:p>
            <w:pPr>
              <w:ind w:left="180"/>
              <w:spacing w:after="0"/>
              <w:rPr>
                <w:sz w:val="20"/>
                <w:szCs w:val="20"/>
                <w:color w:val="auto"/>
              </w:rPr>
            </w:pPr>
            <w:r>
              <w:rPr>
                <w:rFonts w:ascii="Arial" w:cs="Arial" w:eastAsia="Arial" w:hAnsi="Arial"/>
                <w:sz w:val="16"/>
                <w:szCs w:val="16"/>
                <w:color w:val="auto"/>
              </w:rPr>
              <w:t xml:space="preserve">Ex-dividend dates of </w:t>
            </w:r>
            <w:r>
              <w:rPr>
                <w:rFonts w:ascii="Arial" w:cs="Arial" w:eastAsia="Arial" w:hAnsi="Arial"/>
                <w:sz w:val="16"/>
                <w:szCs w:val="16"/>
                <w:b w:val="1"/>
                <w:bCs w:val="1"/>
                <w:color w:val="auto"/>
              </w:rPr>
              <w:t>[l]</w:t>
            </w:r>
            <w:r>
              <w:rPr>
                <w:rFonts w:ascii="Arial" w:cs="Arial" w:eastAsia="Arial" w:hAnsi="Arial"/>
                <w:sz w:val="16"/>
                <w:szCs w:val="16"/>
                <w:color w:val="auto"/>
              </w:rPr>
              <w:t>,</w:t>
            </w:r>
            <w:r>
              <w:rPr>
                <w:rFonts w:ascii="Arial" w:cs="Arial" w:eastAsia="Arial" w:hAnsi="Arial"/>
                <w:sz w:val="16"/>
                <w:szCs w:val="16"/>
                <w:b w:val="1"/>
                <w:bCs w:val="1"/>
                <w:color w:val="auto"/>
              </w:rPr>
              <w:t>[l]</w:t>
            </w:r>
            <w:r>
              <w:rPr>
                <w:rFonts w:ascii="Arial" w:cs="Arial" w:eastAsia="Arial" w:hAnsi="Arial"/>
                <w:sz w:val="16"/>
                <w:szCs w:val="16"/>
                <w:color w:val="auto"/>
              </w:rPr>
              <w:t xml:space="preserve"> and </w:t>
            </w:r>
            <w:r>
              <w:rPr>
                <w:rFonts w:ascii="Arial" w:cs="Arial" w:eastAsia="Arial" w:hAnsi="Arial"/>
                <w:sz w:val="16"/>
                <w:szCs w:val="16"/>
                <w:b w:val="1"/>
                <w:bCs w:val="1"/>
                <w:color w:val="auto"/>
              </w:rPr>
              <w:t>[l]</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200" w:type="dxa"/>
            <w:vAlign w:val="bottom"/>
          </w:tcPr>
          <w:p>
            <w:pPr>
              <w:spacing w:after="0"/>
              <w:rPr>
                <w:sz w:val="20"/>
                <w:szCs w:val="20"/>
                <w:color w:val="auto"/>
              </w:rPr>
            </w:pPr>
            <w:r>
              <w:rPr>
                <w:rFonts w:ascii="Arial" w:cs="Arial" w:eastAsia="Arial" w:hAnsi="Arial"/>
                <w:sz w:val="16"/>
                <w:szCs w:val="16"/>
                <w:color w:val="auto"/>
              </w:rPr>
              <w:t>Cap Price:</w:t>
            </w:r>
          </w:p>
        </w:tc>
        <w:tc>
          <w:tcPr>
            <w:tcW w:w="520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[l] </w:t>
            </w:r>
            <w:r>
              <w:rPr>
                <w:rFonts w:ascii="Arial" w:cs="Arial" w:eastAsia="Arial" w:hAnsi="Arial"/>
                <w:sz w:val="16"/>
                <w:szCs w:val="16"/>
                <w:color w:val="auto"/>
              </w:rPr>
              <w:t>of the Initial Share Price</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200" w:type="dxa"/>
            <w:vAlign w:val="bottom"/>
          </w:tcPr>
          <w:p>
            <w:pPr>
              <w:spacing w:after="0"/>
              <w:rPr>
                <w:sz w:val="20"/>
                <w:szCs w:val="20"/>
                <w:color w:val="auto"/>
              </w:rPr>
            </w:pPr>
            <w:r>
              <w:rPr>
                <w:rFonts w:ascii="Arial" w:cs="Arial" w:eastAsia="Arial" w:hAnsi="Arial"/>
                <w:sz w:val="16"/>
                <w:szCs w:val="16"/>
                <w:color w:val="auto"/>
              </w:rPr>
              <w:t>Floor Price:</w:t>
            </w:r>
          </w:p>
        </w:tc>
        <w:tc>
          <w:tcPr>
            <w:tcW w:w="5200" w:type="dxa"/>
            <w:vAlign w:val="bottom"/>
            <w:gridSpan w:val="5"/>
          </w:tcPr>
          <w:p>
            <w:pPr>
              <w:ind w:left="180"/>
              <w:spacing w:after="0"/>
              <w:rPr>
                <w:sz w:val="20"/>
                <w:szCs w:val="20"/>
                <w:color w:val="auto"/>
              </w:rPr>
            </w:pPr>
            <w:r>
              <w:rPr>
                <w:rFonts w:ascii="Arial" w:cs="Arial" w:eastAsia="Arial" w:hAnsi="Arial"/>
                <w:sz w:val="16"/>
                <w:szCs w:val="16"/>
                <w:b w:val="1"/>
                <w:bCs w:val="1"/>
                <w:color w:val="auto"/>
              </w:rPr>
              <w:t xml:space="preserve">[l] </w:t>
            </w:r>
            <w:r>
              <w:rPr>
                <w:rFonts w:ascii="Arial" w:cs="Arial" w:eastAsia="Arial" w:hAnsi="Arial"/>
                <w:sz w:val="16"/>
                <w:szCs w:val="16"/>
                <w:color w:val="auto"/>
              </w:rPr>
              <w:t>of the Initial Share Price</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200" w:type="dxa"/>
            <w:vAlign w:val="bottom"/>
          </w:tcPr>
          <w:p>
            <w:pPr>
              <w:spacing w:after="0"/>
              <w:rPr>
                <w:sz w:val="20"/>
                <w:szCs w:val="20"/>
                <w:color w:val="auto"/>
              </w:rPr>
            </w:pPr>
            <w:r>
              <w:rPr>
                <w:rFonts w:ascii="Arial" w:cs="Arial" w:eastAsia="Arial" w:hAnsi="Arial"/>
                <w:sz w:val="16"/>
                <w:szCs w:val="16"/>
                <w:color w:val="auto"/>
              </w:rPr>
              <w:t>Minimum Shares:</w:t>
            </w:r>
          </w:p>
        </w:tc>
        <w:tc>
          <w:tcPr>
            <w:tcW w:w="5200" w:type="dxa"/>
            <w:vAlign w:val="bottom"/>
            <w:gridSpan w:val="5"/>
          </w:tcPr>
          <w:p>
            <w:pPr>
              <w:ind w:left="160"/>
              <w:spacing w:after="0"/>
              <w:rPr>
                <w:sz w:val="20"/>
                <w:szCs w:val="20"/>
                <w:color w:val="auto"/>
              </w:rPr>
            </w:pPr>
            <w:r>
              <w:rPr>
                <w:rFonts w:ascii="Arial" w:cs="Arial" w:eastAsia="Arial" w:hAnsi="Arial"/>
                <w:sz w:val="16"/>
                <w:szCs w:val="16"/>
                <w:color w:val="auto"/>
              </w:rPr>
              <w:t>Prepayment Amount divided by Cap Price</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200" w:type="dxa"/>
            <w:vAlign w:val="bottom"/>
          </w:tcPr>
          <w:p>
            <w:pPr>
              <w:spacing w:after="0"/>
              <w:rPr>
                <w:sz w:val="20"/>
                <w:szCs w:val="20"/>
                <w:color w:val="auto"/>
              </w:rPr>
            </w:pPr>
            <w:r>
              <w:rPr>
                <w:rFonts w:ascii="Arial" w:cs="Arial" w:eastAsia="Arial" w:hAnsi="Arial"/>
                <w:sz w:val="16"/>
                <w:szCs w:val="16"/>
                <w:color w:val="auto"/>
              </w:rPr>
              <w:t>Maximum Shares:</w:t>
            </w:r>
          </w:p>
        </w:tc>
        <w:tc>
          <w:tcPr>
            <w:tcW w:w="5200" w:type="dxa"/>
            <w:vAlign w:val="bottom"/>
            <w:gridSpan w:val="5"/>
          </w:tcPr>
          <w:p>
            <w:pPr>
              <w:ind w:left="160"/>
              <w:spacing w:after="0"/>
              <w:rPr>
                <w:sz w:val="20"/>
                <w:szCs w:val="20"/>
                <w:color w:val="auto"/>
              </w:rPr>
            </w:pPr>
            <w:r>
              <w:rPr>
                <w:rFonts w:ascii="Arial" w:cs="Arial" w:eastAsia="Arial" w:hAnsi="Arial"/>
                <w:sz w:val="16"/>
                <w:szCs w:val="16"/>
                <w:color w:val="auto"/>
              </w:rPr>
              <w:t>Prepayment Amount divided by Floor Price</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200" w:type="dxa"/>
            <w:vAlign w:val="bottom"/>
          </w:tcPr>
          <w:p>
            <w:pPr>
              <w:spacing w:after="0"/>
              <w:rPr>
                <w:sz w:val="20"/>
                <w:szCs w:val="20"/>
                <w:color w:val="auto"/>
              </w:rPr>
            </w:pPr>
            <w:r>
              <w:rPr>
                <w:rFonts w:ascii="Arial" w:cs="Arial" w:eastAsia="Arial" w:hAnsi="Arial"/>
                <w:sz w:val="16"/>
                <w:szCs w:val="16"/>
                <w:color w:val="auto"/>
              </w:rPr>
              <w:t>Settlement Price Adjustment</w:t>
            </w:r>
          </w:p>
        </w:tc>
        <w:tc>
          <w:tcPr>
            <w:tcW w:w="9240" w:type="dxa"/>
            <w:vAlign w:val="bottom"/>
            <w:gridSpan w:val="6"/>
            <w:vMerge w:val="restart"/>
          </w:tcPr>
          <w:p>
            <w:pPr>
              <w:ind w:left="160"/>
              <w:spacing w:after="0"/>
              <w:rPr>
                <w:sz w:val="20"/>
                <w:szCs w:val="20"/>
                <w:color w:val="auto"/>
              </w:rPr>
            </w:pPr>
            <w:r>
              <w:rPr>
                <w:rFonts w:ascii="Arial" w:cs="Arial" w:eastAsia="Arial" w:hAnsi="Arial"/>
                <w:sz w:val="16"/>
                <w:szCs w:val="16"/>
                <w:color w:val="auto"/>
              </w:rPr>
              <w:t xml:space="preserve">An amount equal to </w:t>
            </w:r>
            <w:r>
              <w:rPr>
                <w:rFonts w:ascii="Arial" w:cs="Arial" w:eastAsia="Arial" w:hAnsi="Arial"/>
                <w:sz w:val="16"/>
                <w:szCs w:val="16"/>
                <w:b w:val="1"/>
                <w:bCs w:val="1"/>
                <w:color w:val="auto"/>
              </w:rPr>
              <w:t>[l]</w:t>
            </w:r>
            <w:r>
              <w:rPr>
                <w:rFonts w:ascii="Arial" w:cs="Arial" w:eastAsia="Arial" w:hAnsi="Arial"/>
                <w:sz w:val="16"/>
                <w:szCs w:val="16"/>
                <w:color w:val="auto"/>
              </w:rPr>
              <w:t xml:space="preserve"> of the closing price of the Shares on the Trade Date as determined by Bank</w:t>
            </w:r>
          </w:p>
        </w:tc>
        <w:tc>
          <w:tcPr>
            <w:tcW w:w="0" w:type="dxa"/>
            <w:vAlign w:val="bottom"/>
          </w:tcPr>
          <w:p>
            <w:pPr>
              <w:spacing w:after="0"/>
              <w:rPr>
                <w:sz w:val="1"/>
                <w:szCs w:val="1"/>
                <w:color w:val="auto"/>
              </w:rPr>
            </w:pPr>
          </w:p>
        </w:tc>
      </w:tr>
      <w:tr>
        <w:trPr>
          <w:trHeight w:val="199"/>
        </w:trPr>
        <w:tc>
          <w:tcPr>
            <w:tcW w:w="2200" w:type="dxa"/>
            <w:vAlign w:val="bottom"/>
          </w:tcPr>
          <w:p>
            <w:pPr>
              <w:spacing w:after="0"/>
              <w:rPr>
                <w:sz w:val="20"/>
                <w:szCs w:val="20"/>
                <w:color w:val="auto"/>
              </w:rPr>
            </w:pPr>
            <w:r>
              <w:rPr>
                <w:rFonts w:ascii="Arial" w:cs="Arial" w:eastAsia="Arial" w:hAnsi="Arial"/>
                <w:sz w:val="16"/>
                <w:szCs w:val="16"/>
                <w:color w:val="auto"/>
              </w:rPr>
              <w:t>Amount:</w:t>
            </w:r>
          </w:p>
        </w:tc>
        <w:tc>
          <w:tcPr>
            <w:tcW w:w="924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2200" w:type="dxa"/>
            <w:vAlign w:val="bottom"/>
          </w:tcPr>
          <w:p>
            <w:pPr>
              <w:spacing w:after="0"/>
              <w:rPr>
                <w:sz w:val="20"/>
                <w:szCs w:val="20"/>
                <w:color w:val="auto"/>
              </w:rPr>
            </w:pPr>
            <w:r>
              <w:rPr>
                <w:rFonts w:ascii="Arial" w:cs="Arial" w:eastAsia="Arial" w:hAnsi="Arial"/>
                <w:sz w:val="16"/>
                <w:szCs w:val="16"/>
                <w:color w:val="auto"/>
              </w:rPr>
              <w:t>Credit Support Amount:</w:t>
            </w:r>
          </w:p>
        </w:tc>
        <w:tc>
          <w:tcPr>
            <w:tcW w:w="9240" w:type="dxa"/>
            <w:vAlign w:val="bottom"/>
            <w:gridSpan w:val="6"/>
          </w:tcPr>
          <w:p>
            <w:pPr>
              <w:ind w:left="180"/>
              <w:spacing w:after="0"/>
              <w:rPr>
                <w:sz w:val="20"/>
                <w:szCs w:val="20"/>
                <w:color w:val="auto"/>
              </w:rPr>
            </w:pPr>
            <w:r>
              <w:rPr>
                <w:rFonts w:ascii="Arial" w:cs="Arial" w:eastAsia="Arial" w:hAnsi="Arial"/>
                <w:sz w:val="16"/>
                <w:szCs w:val="16"/>
                <w:color w:val="auto"/>
                <w:w w:val="88"/>
              </w:rPr>
              <w:t xml:space="preserve">During the Hedging Period, an amount equal to </w:t>
            </w:r>
            <w:r>
              <w:rPr>
                <w:rFonts w:ascii="Arial" w:cs="Arial" w:eastAsia="Arial" w:hAnsi="Arial"/>
                <w:sz w:val="16"/>
                <w:szCs w:val="16"/>
                <w:b w:val="1"/>
                <w:bCs w:val="1"/>
                <w:color w:val="auto"/>
                <w:w w:val="88"/>
              </w:rPr>
              <w:t>[l]</w:t>
            </w:r>
            <w:r>
              <w:rPr>
                <w:rFonts w:ascii="Arial" w:cs="Arial" w:eastAsia="Arial" w:hAnsi="Arial"/>
                <w:sz w:val="16"/>
                <w:szCs w:val="16"/>
                <w:color w:val="auto"/>
                <w:w w:val="88"/>
              </w:rPr>
              <w:t>. After the Hedging Period, on each Valuation Date (as such term is used in the Credit Support</w:t>
            </w: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9240" w:type="dxa"/>
            <w:vAlign w:val="bottom"/>
            <w:gridSpan w:val="6"/>
          </w:tcPr>
          <w:p>
            <w:pPr>
              <w:ind w:left="180"/>
              <w:spacing w:after="0" w:line="169" w:lineRule="exact"/>
              <w:rPr>
                <w:sz w:val="20"/>
                <w:szCs w:val="20"/>
                <w:color w:val="auto"/>
              </w:rPr>
            </w:pPr>
            <w:r>
              <w:rPr>
                <w:rFonts w:ascii="Arial" w:cs="Arial" w:eastAsia="Arial" w:hAnsi="Arial"/>
                <w:sz w:val="16"/>
                <w:szCs w:val="16"/>
                <w:color w:val="auto"/>
                <w:w w:val="90"/>
              </w:rPr>
              <w:t xml:space="preserve">Annex (the </w:t>
            </w:r>
            <w:r>
              <w:rPr>
                <w:rFonts w:ascii="Arial" w:cs="Arial" w:eastAsia="Arial" w:hAnsi="Arial"/>
                <w:sz w:val="16"/>
                <w:szCs w:val="16"/>
                <w:b w:val="1"/>
                <w:bCs w:val="1"/>
                <w:color w:val="auto"/>
                <w:w w:val="90"/>
              </w:rPr>
              <w:t>“CSA”</w:t>
            </w:r>
            <w:r>
              <w:rPr>
                <w:rFonts w:ascii="Arial" w:cs="Arial" w:eastAsia="Arial" w:hAnsi="Arial"/>
                <w:sz w:val="16"/>
                <w:szCs w:val="16"/>
                <w:color w:val="auto"/>
                <w:w w:val="90"/>
              </w:rPr>
              <w:t>)) the Calculation Agent will determine the Settlement Price as if such Valuation Date were the Accelerated Valuation Date</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00" w:type="dxa"/>
            <w:vAlign w:val="bottom"/>
          </w:tcPr>
          <w:p>
            <w:pPr>
              <w:spacing w:after="0"/>
              <w:rPr>
                <w:sz w:val="14"/>
                <w:szCs w:val="14"/>
                <w:color w:val="auto"/>
              </w:rPr>
            </w:pPr>
          </w:p>
        </w:tc>
        <w:tc>
          <w:tcPr>
            <w:tcW w:w="9240" w:type="dxa"/>
            <w:vAlign w:val="bottom"/>
            <w:gridSpan w:val="6"/>
          </w:tcPr>
          <w:p>
            <w:pPr>
              <w:ind w:left="180"/>
              <w:spacing w:after="0" w:line="172" w:lineRule="exact"/>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“Interim Settlement Price”</w:t>
            </w:r>
            <w:r>
              <w:rPr>
                <w:rFonts w:ascii="Arial" w:cs="Arial" w:eastAsia="Arial" w:hAnsi="Arial"/>
                <w:sz w:val="16"/>
                <w:szCs w:val="16"/>
                <w:color w:val="auto"/>
              </w:rPr>
              <w:t>) and then calculate the Credit Support Amount as follows:</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Arial" w:cs="Arial" w:eastAsia="Arial" w:hAnsi="Arial"/>
                <w:sz w:val="16"/>
                <w:szCs w:val="16"/>
                <w:color w:val="auto"/>
              </w:rPr>
              <w:t>(i)</w:t>
            </w:r>
          </w:p>
        </w:tc>
        <w:tc>
          <w:tcPr>
            <w:tcW w:w="4200" w:type="dxa"/>
            <w:vAlign w:val="bottom"/>
            <w:gridSpan w:val="3"/>
          </w:tcPr>
          <w:p>
            <w:pPr>
              <w:ind w:left="260"/>
              <w:spacing w:after="0"/>
              <w:rPr>
                <w:sz w:val="20"/>
                <w:szCs w:val="20"/>
                <w:color w:val="auto"/>
              </w:rPr>
            </w:pPr>
            <w:r>
              <w:rPr>
                <w:rFonts w:ascii="Arial" w:cs="Arial" w:eastAsia="Arial" w:hAnsi="Arial"/>
                <w:sz w:val="16"/>
                <w:szCs w:val="16"/>
                <w:color w:val="auto"/>
                <w:w w:val="92"/>
              </w:rPr>
              <w:t>If the Interim Settlement Price is equal to or greater than the</w:t>
            </w:r>
          </w:p>
        </w:tc>
        <w:tc>
          <w:tcPr>
            <w:tcW w:w="4040" w:type="dxa"/>
            <w:vAlign w:val="bottom"/>
          </w:tcPr>
          <w:p>
            <w:pPr>
              <w:ind w:left="80"/>
              <w:spacing w:after="0"/>
              <w:rPr>
                <w:sz w:val="20"/>
                <w:szCs w:val="20"/>
                <w:color w:val="auto"/>
              </w:rPr>
            </w:pPr>
            <w:r>
              <w:rPr>
                <w:rFonts w:ascii="Arial" w:cs="Arial" w:eastAsia="Arial" w:hAnsi="Arial"/>
                <w:sz w:val="16"/>
                <w:szCs w:val="16"/>
                <w:color w:val="auto"/>
              </w:rPr>
              <w:t>Cap Price, zero.</w:t>
            </w:r>
          </w:p>
        </w:tc>
        <w:tc>
          <w:tcPr>
            <w:tcW w:w="0" w:type="dxa"/>
            <w:vAlign w:val="bottom"/>
          </w:tcPr>
          <w:p>
            <w:pPr>
              <w:spacing w:after="0"/>
              <w:rPr>
                <w:sz w:val="1"/>
                <w:szCs w:val="1"/>
                <w:color w:val="auto"/>
              </w:rPr>
            </w:pPr>
          </w:p>
        </w:tc>
      </w:tr>
      <w:tr>
        <w:trPr>
          <w:trHeight w:val="384"/>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Arial" w:cs="Arial" w:eastAsia="Arial" w:hAnsi="Arial"/>
                <w:sz w:val="16"/>
                <w:szCs w:val="16"/>
                <w:color w:val="auto"/>
              </w:rPr>
              <w:t>(ii)</w:t>
            </w:r>
          </w:p>
        </w:tc>
        <w:tc>
          <w:tcPr>
            <w:tcW w:w="4200" w:type="dxa"/>
            <w:vAlign w:val="bottom"/>
            <w:gridSpan w:val="3"/>
          </w:tcPr>
          <w:p>
            <w:pPr>
              <w:ind w:left="260"/>
              <w:spacing w:after="0"/>
              <w:rPr>
                <w:sz w:val="20"/>
                <w:szCs w:val="20"/>
                <w:color w:val="auto"/>
              </w:rPr>
            </w:pPr>
            <w:r>
              <w:rPr>
                <w:rFonts w:ascii="Arial" w:cs="Arial" w:eastAsia="Arial" w:hAnsi="Arial"/>
                <w:sz w:val="16"/>
                <w:szCs w:val="16"/>
                <w:color w:val="auto"/>
                <w:w w:val="97"/>
              </w:rPr>
              <w:t>If the Interim Settlement Price is less than the Cap Price:</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67" w:right="219" w:bottom="0" w:gutter="0" w:footer="0" w:header="0"/>
        </w:sectPr>
      </w:pPr>
    </w:p>
    <w:bookmarkStart w:id="72" w:name="page73"/>
    <w:bookmarkEnd w:id="72"/>
    <w:p>
      <w:pPr>
        <w:spacing w:after="0" w:line="4" w:lineRule="exact"/>
        <w:rPr>
          <w:sz w:val="20"/>
          <w:szCs w:val="20"/>
          <w:color w:val="auto"/>
        </w:rPr>
      </w:pPr>
    </w:p>
    <w:p>
      <w:pPr>
        <w:ind w:left="3460"/>
        <w:spacing w:after="0"/>
        <w:tabs>
          <w:tab w:leader="none" w:pos="400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4"/>
          <w:szCs w:val="14"/>
          <w:color w:val="auto"/>
        </w:rPr>
        <w:t>the minimum of (1) Maximum Shares – Minimum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 and (2) (Prepayment Amount/Interim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Settlement</w:t>
      </w:r>
    </w:p>
    <w:p>
      <w:pPr>
        <w:spacing w:after="0" w:line="49" w:lineRule="exact"/>
        <w:rPr>
          <w:sz w:val="20"/>
          <w:szCs w:val="20"/>
          <w:color w:val="auto"/>
        </w:rPr>
      </w:pPr>
    </w:p>
    <w:p>
      <w:pPr>
        <w:sectPr>
          <w:pgSz w:w="11900" w:h="16842" w:orient="portrait"/>
          <w:cols w:equalWidth="0" w:num="3">
            <w:col w:w="7180" w:space="300"/>
            <w:col w:w="3020" w:space="260"/>
            <w:col w:w="660"/>
          </w:cols>
          <w:pgMar w:left="240" w:top="131" w:right="239" w:bottom="0" w:gutter="0" w:footer="0" w:header="0"/>
        </w:sectPr>
      </w:pPr>
    </w:p>
    <w:p>
      <w:pPr>
        <w:ind w:left="3460"/>
        <w:spacing w:after="0"/>
        <w:rPr>
          <w:sz w:val="20"/>
          <w:szCs w:val="20"/>
          <w:color w:val="auto"/>
        </w:rPr>
      </w:pPr>
      <w:r>
        <w:rPr>
          <w:rFonts w:ascii="Arial" w:cs="Arial" w:eastAsia="Arial" w:hAnsi="Arial"/>
          <w:sz w:val="14"/>
          <w:szCs w:val="14"/>
          <w:color w:val="auto"/>
        </w:rPr>
        <w:t>Price) – Minimum Shares,</w:t>
      </w:r>
    </w:p>
    <w:p>
      <w:pPr>
        <w:sectPr>
          <w:pgSz w:w="11900" w:h="16842" w:orient="portrait"/>
          <w:cols w:equalWidth="0" w:num="1">
            <w:col w:w="11420"/>
          </w:cols>
          <w:pgMar w:left="240" w:top="131" w:right="239" w:bottom="0" w:gutter="0" w:footer="0" w:header="0"/>
          <w:type w:val="continuous"/>
        </w:sectPr>
      </w:pPr>
    </w:p>
    <w:p>
      <w:pPr>
        <w:spacing w:after="0" w:line="216" w:lineRule="exact"/>
        <w:rPr>
          <w:sz w:val="20"/>
          <w:szCs w:val="20"/>
          <w:color w:val="auto"/>
        </w:rPr>
      </w:pPr>
    </w:p>
    <w:p>
      <w:pPr>
        <w:ind w:left="4020" w:hanging="568"/>
        <w:spacing w:after="0"/>
        <w:tabs>
          <w:tab w:leader="none" w:pos="4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multiplied by the Interim Settlement Price.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20"/>
                <w:szCs w:val="20"/>
                <w:color w:val="auto"/>
              </w:rPr>
            </w:pPr>
            <w:r>
              <w:rPr>
                <w:rFonts w:ascii="Arial" w:cs="Arial" w:eastAsia="Arial" w:hAnsi="Arial"/>
                <w:sz w:val="16"/>
                <w:szCs w:val="16"/>
                <w:color w:val="auto"/>
              </w:rPr>
              <w:t>Valuation Date (for purposes</w:t>
            </w:r>
          </w:p>
        </w:tc>
        <w:tc>
          <w:tcPr>
            <w:tcW w:w="7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20" w:type="dxa"/>
            <w:vAlign w:val="bottom"/>
          </w:tcPr>
          <w:p>
            <w:pPr>
              <w:spacing w:after="0"/>
              <w:rPr>
                <w:sz w:val="16"/>
                <w:szCs w:val="16"/>
                <w:color w:val="auto"/>
              </w:rPr>
            </w:pPr>
          </w:p>
        </w:tc>
      </w:tr>
      <w:tr>
        <w:trPr>
          <w:trHeight w:val="199"/>
        </w:trPr>
        <w:tc>
          <w:tcPr>
            <w:tcW w:w="2080" w:type="dxa"/>
            <w:vAlign w:val="bottom"/>
          </w:tcPr>
          <w:p>
            <w:pPr>
              <w:spacing w:after="0"/>
              <w:rPr>
                <w:sz w:val="20"/>
                <w:szCs w:val="20"/>
                <w:color w:val="auto"/>
              </w:rPr>
            </w:pPr>
            <w:r>
              <w:rPr>
                <w:rFonts w:ascii="Arial" w:cs="Arial" w:eastAsia="Arial" w:hAnsi="Arial"/>
                <w:sz w:val="16"/>
                <w:szCs w:val="16"/>
                <w:color w:val="auto"/>
              </w:rPr>
              <w:t>of the CSA):</w:t>
            </w:r>
          </w:p>
        </w:tc>
        <w:tc>
          <w:tcPr>
            <w:tcW w:w="3300" w:type="dxa"/>
            <w:vAlign w:val="bottom"/>
            <w:gridSpan w:val="2"/>
          </w:tcPr>
          <w:p>
            <w:pPr>
              <w:ind w:left="300"/>
              <w:spacing w:after="0"/>
              <w:rPr>
                <w:sz w:val="20"/>
                <w:szCs w:val="20"/>
                <w:color w:val="auto"/>
              </w:rPr>
            </w:pPr>
            <w:r>
              <w:rPr>
                <w:rFonts w:ascii="Arial" w:cs="Arial" w:eastAsia="Arial" w:hAnsi="Arial"/>
                <w:sz w:val="16"/>
                <w:szCs w:val="16"/>
                <w:color w:val="auto"/>
                <w:w w:val="97"/>
              </w:rPr>
              <w:t>Every Monday during the Valuation Period.</w:t>
            </w:r>
          </w:p>
        </w:tc>
        <w:tc>
          <w:tcPr>
            <w:tcW w:w="10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384"/>
        </w:trPr>
        <w:tc>
          <w:tcPr>
            <w:tcW w:w="2080" w:type="dxa"/>
            <w:vAlign w:val="bottom"/>
          </w:tcPr>
          <w:p>
            <w:pPr>
              <w:spacing w:after="0"/>
              <w:rPr>
                <w:sz w:val="20"/>
                <w:szCs w:val="20"/>
                <w:color w:val="auto"/>
              </w:rPr>
            </w:pPr>
            <w:r>
              <w:rPr>
                <w:rFonts w:ascii="Arial" w:cs="Arial" w:eastAsia="Arial" w:hAnsi="Arial"/>
                <w:sz w:val="16"/>
                <w:szCs w:val="16"/>
                <w:color w:val="auto"/>
              </w:rPr>
              <w:t>Valuation Time:</w:t>
            </w:r>
          </w:p>
        </w:tc>
        <w:tc>
          <w:tcPr>
            <w:tcW w:w="3300" w:type="dxa"/>
            <w:vAlign w:val="bottom"/>
            <w:gridSpan w:val="2"/>
          </w:tcPr>
          <w:p>
            <w:pPr>
              <w:ind w:left="300"/>
              <w:spacing w:after="0"/>
              <w:rPr>
                <w:sz w:val="20"/>
                <w:szCs w:val="20"/>
                <w:color w:val="auto"/>
              </w:rPr>
            </w:pPr>
            <w:r>
              <w:rPr>
                <w:rFonts w:ascii="Arial" w:cs="Arial" w:eastAsia="Arial" w:hAnsi="Arial"/>
                <w:sz w:val="16"/>
                <w:szCs w:val="16"/>
                <w:color w:val="auto"/>
              </w:rPr>
              <w:t>5:00 PM EST</w:t>
            </w:r>
          </w:p>
        </w:tc>
        <w:tc>
          <w:tcPr>
            <w:tcW w:w="102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384"/>
        </w:trPr>
        <w:tc>
          <w:tcPr>
            <w:tcW w:w="2080" w:type="dxa"/>
            <w:vAlign w:val="bottom"/>
          </w:tcPr>
          <w:p>
            <w:pPr>
              <w:spacing w:after="0"/>
              <w:rPr>
                <w:sz w:val="20"/>
                <w:szCs w:val="20"/>
                <w:color w:val="auto"/>
              </w:rPr>
            </w:pPr>
            <w:r>
              <w:rPr>
                <w:rFonts w:ascii="Arial" w:cs="Arial" w:eastAsia="Arial" w:hAnsi="Arial"/>
                <w:sz w:val="16"/>
                <w:szCs w:val="16"/>
                <w:color w:val="auto"/>
              </w:rPr>
              <w:t>Notification Time:</w:t>
            </w:r>
          </w:p>
        </w:tc>
        <w:tc>
          <w:tcPr>
            <w:tcW w:w="9340" w:type="dxa"/>
            <w:vAlign w:val="bottom"/>
            <w:gridSpan w:val="4"/>
          </w:tcPr>
          <w:p>
            <w:pPr>
              <w:ind w:left="300"/>
              <w:spacing w:after="0"/>
              <w:rPr>
                <w:sz w:val="20"/>
                <w:szCs w:val="20"/>
                <w:color w:val="auto"/>
              </w:rPr>
            </w:pPr>
            <w:r>
              <w:rPr>
                <w:rFonts w:ascii="Arial" w:cs="Arial" w:eastAsia="Arial" w:hAnsi="Arial"/>
                <w:sz w:val="16"/>
                <w:szCs w:val="16"/>
                <w:color w:val="auto"/>
              </w:rPr>
              <w:t>1:00 PM EST on the next Local Business Day after the relevant Valuation Date</w:t>
            </w:r>
          </w:p>
        </w:tc>
      </w:tr>
      <w:tr>
        <w:trPr>
          <w:trHeight w:val="384"/>
        </w:trPr>
        <w:tc>
          <w:tcPr>
            <w:tcW w:w="2080" w:type="dxa"/>
            <w:vAlign w:val="bottom"/>
          </w:tcPr>
          <w:p>
            <w:pPr>
              <w:spacing w:after="0"/>
              <w:rPr>
                <w:sz w:val="20"/>
                <w:szCs w:val="20"/>
                <w:color w:val="auto"/>
              </w:rPr>
            </w:pPr>
            <w:r>
              <w:rPr>
                <w:rFonts w:ascii="Arial" w:cs="Arial" w:eastAsia="Arial" w:hAnsi="Arial"/>
                <w:sz w:val="16"/>
                <w:szCs w:val="16"/>
                <w:color w:val="auto"/>
              </w:rPr>
              <w:t>Valuation Agent:</w:t>
            </w:r>
          </w:p>
        </w:tc>
        <w:tc>
          <w:tcPr>
            <w:tcW w:w="720" w:type="dxa"/>
            <w:vAlign w:val="bottom"/>
          </w:tcPr>
          <w:p>
            <w:pPr>
              <w:ind w:left="300"/>
              <w:spacing w:after="0"/>
              <w:rPr>
                <w:sz w:val="20"/>
                <w:szCs w:val="20"/>
                <w:color w:val="auto"/>
              </w:rPr>
            </w:pPr>
            <w:r>
              <w:rPr>
                <w:rFonts w:ascii="Arial" w:cs="Arial" w:eastAsia="Arial" w:hAnsi="Arial"/>
                <w:sz w:val="16"/>
                <w:szCs w:val="16"/>
                <w:color w:val="auto"/>
              </w:rPr>
              <w:t>Bank</w:t>
            </w:r>
          </w:p>
        </w:tc>
        <w:tc>
          <w:tcPr>
            <w:tcW w:w="2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384"/>
        </w:trPr>
        <w:tc>
          <w:tcPr>
            <w:tcW w:w="2080" w:type="dxa"/>
            <w:vAlign w:val="bottom"/>
          </w:tcPr>
          <w:p>
            <w:pPr>
              <w:spacing w:after="0"/>
              <w:rPr>
                <w:sz w:val="20"/>
                <w:szCs w:val="20"/>
                <w:color w:val="auto"/>
              </w:rPr>
            </w:pPr>
            <w:r>
              <w:rPr>
                <w:rFonts w:ascii="Arial" w:cs="Arial" w:eastAsia="Arial" w:hAnsi="Arial"/>
                <w:sz w:val="16"/>
                <w:szCs w:val="16"/>
                <w:color w:val="auto"/>
              </w:rPr>
              <w:t>Minimum Transfer Amount:</w:t>
            </w:r>
          </w:p>
        </w:tc>
        <w:tc>
          <w:tcPr>
            <w:tcW w:w="3300" w:type="dxa"/>
            <w:vAlign w:val="bottom"/>
            <w:gridSpan w:val="2"/>
          </w:tcPr>
          <w:p>
            <w:pPr>
              <w:ind w:left="300"/>
              <w:spacing w:after="0"/>
              <w:rPr>
                <w:sz w:val="20"/>
                <w:szCs w:val="20"/>
                <w:color w:val="auto"/>
              </w:rPr>
            </w:pPr>
            <w:r>
              <w:rPr>
                <w:rFonts w:ascii="Arial" w:cs="Arial" w:eastAsia="Arial" w:hAnsi="Arial"/>
                <w:sz w:val="16"/>
                <w:szCs w:val="16"/>
                <w:color w:val="auto"/>
              </w:rPr>
              <w:t>USD500,000</w:t>
            </w:r>
          </w:p>
        </w:tc>
        <w:tc>
          <w:tcPr>
            <w:tcW w:w="102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384"/>
        </w:trPr>
        <w:tc>
          <w:tcPr>
            <w:tcW w:w="2080" w:type="dxa"/>
            <w:vAlign w:val="bottom"/>
          </w:tcPr>
          <w:p>
            <w:pPr>
              <w:spacing w:after="0"/>
              <w:rPr>
                <w:sz w:val="20"/>
                <w:szCs w:val="20"/>
                <w:color w:val="auto"/>
              </w:rPr>
            </w:pPr>
            <w:r>
              <w:rPr>
                <w:rFonts w:ascii="Arial" w:cs="Arial" w:eastAsia="Arial" w:hAnsi="Arial"/>
                <w:sz w:val="16"/>
                <w:szCs w:val="16"/>
                <w:color w:val="auto"/>
              </w:rPr>
              <w:t>Collateral:</w:t>
            </w:r>
          </w:p>
        </w:tc>
        <w:tc>
          <w:tcPr>
            <w:tcW w:w="9340" w:type="dxa"/>
            <w:vAlign w:val="bottom"/>
            <w:gridSpan w:val="4"/>
          </w:tcPr>
          <w:p>
            <w:pPr>
              <w:ind w:left="280"/>
              <w:spacing w:after="0"/>
              <w:rPr>
                <w:sz w:val="20"/>
                <w:szCs w:val="20"/>
                <w:color w:val="auto"/>
              </w:rPr>
            </w:pPr>
            <w:r>
              <w:rPr>
                <w:rFonts w:ascii="Arial" w:cs="Arial" w:eastAsia="Arial" w:hAnsi="Arial"/>
                <w:sz w:val="16"/>
                <w:szCs w:val="16"/>
                <w:color w:val="auto"/>
              </w:rPr>
              <w:t>Bank will pledge Eligible Collateral in the Credit Support subject to the terms as defined below and in the CSA.</w:t>
            </w:r>
          </w:p>
        </w:tc>
      </w:tr>
      <w:tr>
        <w:trPr>
          <w:trHeight w:val="377"/>
        </w:trPr>
        <w:tc>
          <w:tcPr>
            <w:tcW w:w="2080" w:type="dxa"/>
            <w:vAlign w:val="bottom"/>
          </w:tcPr>
          <w:p>
            <w:pPr>
              <w:spacing w:after="0"/>
              <w:rPr>
                <w:sz w:val="20"/>
                <w:szCs w:val="20"/>
                <w:color w:val="auto"/>
              </w:rPr>
            </w:pPr>
            <w:r>
              <w:rPr>
                <w:rFonts w:ascii="Arial" w:cs="Arial" w:eastAsia="Arial" w:hAnsi="Arial"/>
                <w:sz w:val="16"/>
                <w:szCs w:val="16"/>
                <w:color w:val="auto"/>
              </w:rPr>
              <w:t>Custodian:</w:t>
            </w:r>
          </w:p>
        </w:tc>
        <w:tc>
          <w:tcPr>
            <w:tcW w:w="9340" w:type="dxa"/>
            <w:vAlign w:val="bottom"/>
            <w:gridSpan w:val="4"/>
          </w:tcPr>
          <w:p>
            <w:pPr>
              <w:ind w:left="300"/>
              <w:spacing w:after="0"/>
              <w:rPr>
                <w:sz w:val="20"/>
                <w:szCs w:val="20"/>
                <w:color w:val="auto"/>
              </w:rPr>
            </w:pPr>
            <w:r>
              <w:rPr>
                <w:rFonts w:ascii="Arial" w:cs="Arial" w:eastAsia="Arial" w:hAnsi="Arial"/>
                <w:sz w:val="16"/>
                <w:szCs w:val="16"/>
                <w:color w:val="auto"/>
                <w:w w:val="88"/>
              </w:rPr>
              <w:t>JPMorgan Chase Bank, National Association, who shall maintain a collateral account in the name of Counterparty. Bank shall be responsible for</w:t>
            </w:r>
          </w:p>
        </w:tc>
      </w:tr>
      <w:tr>
        <w:trPr>
          <w:trHeight w:val="199"/>
        </w:trPr>
        <w:tc>
          <w:tcPr>
            <w:tcW w:w="2080" w:type="dxa"/>
            <w:vAlign w:val="bottom"/>
          </w:tcPr>
          <w:p>
            <w:pPr>
              <w:spacing w:after="0"/>
              <w:rPr>
                <w:sz w:val="17"/>
                <w:szCs w:val="17"/>
                <w:color w:val="auto"/>
              </w:rPr>
            </w:pPr>
          </w:p>
        </w:tc>
        <w:tc>
          <w:tcPr>
            <w:tcW w:w="3300" w:type="dxa"/>
            <w:vAlign w:val="bottom"/>
            <w:gridSpan w:val="2"/>
          </w:tcPr>
          <w:p>
            <w:pPr>
              <w:ind w:left="300"/>
              <w:spacing w:after="0"/>
              <w:rPr>
                <w:sz w:val="20"/>
                <w:szCs w:val="20"/>
                <w:color w:val="auto"/>
              </w:rPr>
            </w:pPr>
            <w:r>
              <w:rPr>
                <w:rFonts w:ascii="Arial" w:cs="Arial" w:eastAsia="Arial" w:hAnsi="Arial"/>
                <w:sz w:val="16"/>
                <w:szCs w:val="16"/>
                <w:color w:val="auto"/>
                <w:w w:val="90"/>
              </w:rPr>
              <w:t>all commercially reasonable fees of Custodian.</w:t>
            </w:r>
          </w:p>
        </w:tc>
        <w:tc>
          <w:tcPr>
            <w:tcW w:w="10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377"/>
        </w:trPr>
        <w:tc>
          <w:tcPr>
            <w:tcW w:w="2080" w:type="dxa"/>
            <w:vAlign w:val="bottom"/>
          </w:tcPr>
          <w:p>
            <w:pPr>
              <w:spacing w:after="0"/>
              <w:rPr>
                <w:sz w:val="20"/>
                <w:szCs w:val="20"/>
                <w:color w:val="auto"/>
              </w:rPr>
            </w:pPr>
            <w:r>
              <w:rPr>
                <w:rFonts w:ascii="Arial" w:cs="Arial" w:eastAsia="Arial" w:hAnsi="Arial"/>
                <w:sz w:val="16"/>
                <w:szCs w:val="16"/>
                <w:color w:val="auto"/>
              </w:rPr>
              <w:t>Eligible Collateral:</w:t>
            </w:r>
          </w:p>
        </w:tc>
        <w:tc>
          <w:tcPr>
            <w:tcW w:w="9340" w:type="dxa"/>
            <w:vAlign w:val="bottom"/>
            <w:gridSpan w:val="4"/>
          </w:tcPr>
          <w:p>
            <w:pPr>
              <w:ind w:left="300"/>
              <w:spacing w:after="0"/>
              <w:rPr>
                <w:sz w:val="20"/>
                <w:szCs w:val="20"/>
                <w:color w:val="auto"/>
              </w:rPr>
            </w:pPr>
            <w:r>
              <w:rPr>
                <w:rFonts w:ascii="Arial" w:cs="Arial" w:eastAsia="Arial" w:hAnsi="Arial"/>
                <w:sz w:val="16"/>
                <w:szCs w:val="16"/>
                <w:color w:val="auto"/>
                <w:w w:val="94"/>
              </w:rPr>
              <w:t>The following Items will qualify as “Eligible Collateral”; provided that the individual Item is not on credit watch with negative implications,</w:t>
            </w:r>
          </w:p>
        </w:tc>
      </w:tr>
      <w:tr>
        <w:trPr>
          <w:trHeight w:val="192"/>
        </w:trPr>
        <w:tc>
          <w:tcPr>
            <w:tcW w:w="2080" w:type="dxa"/>
            <w:vAlign w:val="bottom"/>
          </w:tcPr>
          <w:p>
            <w:pPr>
              <w:spacing w:after="0"/>
              <w:rPr>
                <w:sz w:val="16"/>
                <w:szCs w:val="16"/>
                <w:color w:val="auto"/>
              </w:rPr>
            </w:pPr>
          </w:p>
        </w:tc>
        <w:tc>
          <w:tcPr>
            <w:tcW w:w="9340" w:type="dxa"/>
            <w:vAlign w:val="bottom"/>
            <w:gridSpan w:val="4"/>
          </w:tcPr>
          <w:p>
            <w:pPr>
              <w:ind w:left="300"/>
              <w:spacing w:after="0"/>
              <w:rPr>
                <w:sz w:val="20"/>
                <w:szCs w:val="20"/>
                <w:color w:val="auto"/>
              </w:rPr>
            </w:pPr>
            <w:r>
              <w:rPr>
                <w:rFonts w:ascii="Arial" w:cs="Arial" w:eastAsia="Arial" w:hAnsi="Arial"/>
                <w:sz w:val="16"/>
                <w:szCs w:val="16"/>
                <w:color w:val="auto"/>
                <w:w w:val="89"/>
              </w:rPr>
              <w:t>except for those qualifying Items on Attachment Q1 and any others that the parties may agree from time to time; provided further that no more</w:t>
            </w:r>
          </w:p>
        </w:tc>
      </w:tr>
      <w:tr>
        <w:trPr>
          <w:trHeight w:val="192"/>
        </w:trPr>
        <w:tc>
          <w:tcPr>
            <w:tcW w:w="2080" w:type="dxa"/>
            <w:vAlign w:val="bottom"/>
          </w:tcPr>
          <w:p>
            <w:pPr>
              <w:spacing w:after="0"/>
              <w:rPr>
                <w:sz w:val="16"/>
                <w:szCs w:val="16"/>
                <w:color w:val="auto"/>
              </w:rPr>
            </w:pPr>
          </w:p>
        </w:tc>
        <w:tc>
          <w:tcPr>
            <w:tcW w:w="9340" w:type="dxa"/>
            <w:vAlign w:val="bottom"/>
            <w:gridSpan w:val="4"/>
          </w:tcPr>
          <w:p>
            <w:pPr>
              <w:ind w:left="300"/>
              <w:spacing w:after="0"/>
              <w:rPr>
                <w:sz w:val="20"/>
                <w:szCs w:val="20"/>
                <w:color w:val="auto"/>
              </w:rPr>
            </w:pPr>
            <w:r>
              <w:rPr>
                <w:rFonts w:ascii="Arial" w:cs="Arial" w:eastAsia="Arial" w:hAnsi="Arial"/>
                <w:sz w:val="16"/>
                <w:szCs w:val="16"/>
                <w:color w:val="auto"/>
                <w:w w:val="92"/>
              </w:rPr>
              <w:t>than 25 individual security positions may be used as Eligible Collateral; and provided further that the maximum portion of Eligible Collateral</w:t>
            </w:r>
          </w:p>
        </w:tc>
      </w:tr>
      <w:tr>
        <w:trPr>
          <w:trHeight w:val="199"/>
        </w:trPr>
        <w:tc>
          <w:tcPr>
            <w:tcW w:w="2080" w:type="dxa"/>
            <w:vAlign w:val="bottom"/>
          </w:tcPr>
          <w:p>
            <w:pPr>
              <w:spacing w:after="0"/>
              <w:rPr>
                <w:sz w:val="17"/>
                <w:szCs w:val="17"/>
                <w:color w:val="auto"/>
              </w:rPr>
            </w:pPr>
          </w:p>
        </w:tc>
        <w:tc>
          <w:tcPr>
            <w:tcW w:w="9340" w:type="dxa"/>
            <w:vAlign w:val="bottom"/>
            <w:gridSpan w:val="4"/>
          </w:tcPr>
          <w:p>
            <w:pPr>
              <w:ind w:left="300"/>
              <w:spacing w:after="0"/>
              <w:rPr>
                <w:sz w:val="20"/>
                <w:szCs w:val="20"/>
                <w:color w:val="auto"/>
              </w:rPr>
            </w:pPr>
            <w:r>
              <w:rPr>
                <w:rFonts w:ascii="Arial" w:cs="Arial" w:eastAsia="Arial" w:hAnsi="Arial"/>
                <w:sz w:val="16"/>
                <w:szCs w:val="16"/>
                <w:color w:val="auto"/>
              </w:rPr>
              <w:t>from any single non-U.S. government credit shall be limited to USD25 million:</w:t>
            </w:r>
          </w:p>
        </w:tc>
      </w:tr>
      <w:tr>
        <w:trPr>
          <w:trHeight w:val="373"/>
        </w:trPr>
        <w:tc>
          <w:tcPr>
            <w:tcW w:w="20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6"/>
                <w:szCs w:val="16"/>
                <w:b w:val="1"/>
                <w:bCs w:val="1"/>
                <w:color w:val="auto"/>
              </w:rPr>
              <w:t>Item</w:t>
            </w:r>
            <w:r>
              <w:rPr>
                <w:rFonts w:ascii="Arial" w:cs="Arial" w:eastAsia="Arial" w:hAnsi="Arial"/>
                <w:sz w:val="16"/>
                <w:szCs w:val="16"/>
                <w:color w:val="auto"/>
              </w:rPr>
              <w:t>:</w:t>
            </w:r>
          </w:p>
        </w:tc>
        <w:tc>
          <w:tcPr>
            <w:tcW w:w="2580" w:type="dxa"/>
            <w:vAlign w:val="bottom"/>
          </w:tcPr>
          <w:p>
            <w:pPr>
              <w:spacing w:after="0"/>
              <w:rPr>
                <w:sz w:val="24"/>
                <w:szCs w:val="24"/>
                <w:color w:val="auto"/>
              </w:rPr>
            </w:pPr>
          </w:p>
        </w:tc>
        <w:tc>
          <w:tcPr>
            <w:tcW w:w="1020" w:type="dxa"/>
            <w:vAlign w:val="bottom"/>
          </w:tcPr>
          <w:p>
            <w:pPr>
              <w:ind w:left="80"/>
              <w:spacing w:after="0"/>
              <w:rPr>
                <w:sz w:val="20"/>
                <w:szCs w:val="20"/>
                <w:color w:val="auto"/>
              </w:rPr>
            </w:pPr>
            <w:r>
              <w:rPr>
                <w:rFonts w:ascii="Arial" w:cs="Arial" w:eastAsia="Arial" w:hAnsi="Arial"/>
                <w:sz w:val="16"/>
                <w:szCs w:val="16"/>
                <w:b w:val="1"/>
                <w:bCs w:val="1"/>
                <w:color w:val="auto"/>
              </w:rPr>
              <w:t>Valuation</w:t>
            </w:r>
          </w:p>
        </w:tc>
        <w:tc>
          <w:tcPr>
            <w:tcW w:w="5020" w:type="dxa"/>
            <w:vAlign w:val="bottom"/>
          </w:tcPr>
          <w:p>
            <w:pPr>
              <w:ind w:left="140"/>
              <w:spacing w:after="0"/>
              <w:rPr>
                <w:sz w:val="20"/>
                <w:szCs w:val="20"/>
                <w:color w:val="auto"/>
              </w:rPr>
            </w:pPr>
            <w:r>
              <w:rPr>
                <w:rFonts w:ascii="Arial" w:cs="Arial" w:eastAsia="Arial" w:hAnsi="Arial"/>
                <w:sz w:val="16"/>
                <w:szCs w:val="16"/>
                <w:b w:val="1"/>
                <w:bCs w:val="1"/>
                <w:color w:val="auto"/>
              </w:rPr>
              <w:t>Maximum Share of</w:t>
            </w:r>
          </w:p>
        </w:tc>
      </w:tr>
      <w:tr>
        <w:trPr>
          <w:trHeight w:val="203"/>
        </w:trPr>
        <w:tc>
          <w:tcPr>
            <w:tcW w:w="2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6"/>
                <w:szCs w:val="16"/>
                <w:b w:val="1"/>
                <w:bCs w:val="1"/>
                <w:color w:val="auto"/>
              </w:rPr>
              <w:t>Percentage:</w:t>
            </w:r>
          </w:p>
        </w:tc>
        <w:tc>
          <w:tcPr>
            <w:tcW w:w="5020" w:type="dxa"/>
            <w:vAlign w:val="bottom"/>
          </w:tcPr>
          <w:p>
            <w:pPr>
              <w:ind w:left="140"/>
              <w:spacing w:after="0"/>
              <w:rPr>
                <w:sz w:val="20"/>
                <w:szCs w:val="20"/>
                <w:color w:val="auto"/>
              </w:rPr>
            </w:pPr>
            <w:r>
              <w:rPr>
                <w:rFonts w:ascii="Arial" w:cs="Arial" w:eastAsia="Arial" w:hAnsi="Arial"/>
                <w:sz w:val="16"/>
                <w:szCs w:val="16"/>
                <w:b w:val="1"/>
                <w:bCs w:val="1"/>
                <w:color w:val="auto"/>
              </w:rPr>
              <w:t>Eligible Collateral:</w:t>
            </w:r>
          </w:p>
        </w:tc>
      </w:tr>
      <w:tr>
        <w:trPr>
          <w:trHeight w:val="384"/>
        </w:trPr>
        <w:tc>
          <w:tcPr>
            <w:tcW w:w="20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6"/>
                <w:szCs w:val="16"/>
                <w:color w:val="auto"/>
              </w:rPr>
              <w:t>(A)</w:t>
            </w:r>
          </w:p>
        </w:tc>
        <w:tc>
          <w:tcPr>
            <w:tcW w:w="2580" w:type="dxa"/>
            <w:vAlign w:val="bottom"/>
          </w:tcPr>
          <w:p>
            <w:pPr>
              <w:ind w:left="80"/>
              <w:spacing w:after="0"/>
              <w:rPr>
                <w:sz w:val="20"/>
                <w:szCs w:val="20"/>
                <w:color w:val="auto"/>
              </w:rPr>
            </w:pPr>
            <w:r>
              <w:rPr>
                <w:rFonts w:ascii="Arial" w:cs="Arial" w:eastAsia="Arial" w:hAnsi="Arial"/>
                <w:sz w:val="16"/>
                <w:szCs w:val="16"/>
                <w:color w:val="auto"/>
              </w:rPr>
              <w:t>Cash</w:t>
            </w:r>
          </w:p>
        </w:tc>
        <w:tc>
          <w:tcPr>
            <w:tcW w:w="1020" w:type="dxa"/>
            <w:vAlign w:val="bottom"/>
          </w:tcPr>
          <w:p>
            <w:pPr>
              <w:jc w:val="right"/>
              <w:ind w:right="342"/>
              <w:spacing w:after="0"/>
              <w:rPr>
                <w:sz w:val="20"/>
                <w:szCs w:val="20"/>
                <w:color w:val="auto"/>
              </w:rPr>
            </w:pPr>
            <w:r>
              <w:rPr>
                <w:rFonts w:ascii="Arial" w:cs="Arial" w:eastAsia="Arial" w:hAnsi="Arial"/>
                <w:sz w:val="16"/>
                <w:szCs w:val="16"/>
                <w:color w:val="auto"/>
              </w:rPr>
              <w:t>100%</w:t>
            </w:r>
          </w:p>
        </w:tc>
        <w:tc>
          <w:tcPr>
            <w:tcW w:w="5020" w:type="dxa"/>
            <w:vAlign w:val="bottom"/>
          </w:tcPr>
          <w:p>
            <w:pPr>
              <w:jc w:val="right"/>
              <w:ind w:right="4062"/>
              <w:spacing w:after="0"/>
              <w:rPr>
                <w:sz w:val="20"/>
                <w:szCs w:val="20"/>
                <w:color w:val="auto"/>
              </w:rPr>
            </w:pPr>
            <w:r>
              <w:rPr>
                <w:rFonts w:ascii="Arial" w:cs="Arial" w:eastAsia="Arial" w:hAnsi="Arial"/>
                <w:sz w:val="16"/>
                <w:szCs w:val="16"/>
                <w:color w:val="auto"/>
              </w:rPr>
              <w:t>100%</w:t>
            </w:r>
          </w:p>
        </w:tc>
      </w:tr>
    </w:tbl>
    <w:p>
      <w:pPr>
        <w:spacing w:after="0" w:line="185" w:lineRule="exact"/>
        <w:rPr>
          <w:sz w:val="20"/>
          <w:szCs w:val="20"/>
          <w:color w:val="auto"/>
        </w:rPr>
      </w:pPr>
    </w:p>
    <w:p>
      <w:pPr>
        <w:ind w:left="2880" w:hanging="508"/>
        <w:spacing w:after="0"/>
        <w:tabs>
          <w:tab w:leader="none" w:pos="2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Negotiable debt obligations issued by the U.S. Treasury Department having a remaining maturity of</w:t>
      </w:r>
    </w:p>
    <w:p>
      <w:pPr>
        <w:spacing w:after="0" w:line="15" w:lineRule="exact"/>
        <w:rPr>
          <w:sz w:val="20"/>
          <w:szCs w:val="20"/>
          <w:color w:val="auto"/>
        </w:rPr>
      </w:pPr>
    </w:p>
    <w:p>
      <w:pPr>
        <w:ind w:left="2380"/>
        <w:spacing w:after="0"/>
        <w:tabs>
          <w:tab w:leader="none" w:pos="3980" w:val="left"/>
          <w:tab w:leader="none" w:pos="4500" w:val="left"/>
        </w:tabs>
        <w:rPr>
          <w:sz w:val="20"/>
          <w:szCs w:val="20"/>
          <w:color w:val="auto"/>
        </w:rPr>
      </w:pPr>
      <w:r>
        <w:rPr>
          <w:rFonts w:ascii="Arial" w:cs="Arial" w:eastAsia="Arial" w:hAnsi="Arial"/>
          <w:sz w:val="16"/>
          <w:szCs w:val="16"/>
          <w:color w:val="auto"/>
        </w:rPr>
        <w:t>not more than one year</w:t>
        <w:tab/>
        <w:t>100%</w:t>
      </w:r>
      <w:r>
        <w:rPr>
          <w:sz w:val="20"/>
          <w:szCs w:val="20"/>
          <w:color w:val="auto"/>
        </w:rPr>
        <w:tab/>
      </w:r>
      <w:r>
        <w:rPr>
          <w:rFonts w:ascii="Arial" w:cs="Arial" w:eastAsia="Arial" w:hAnsi="Arial"/>
          <w:sz w:val="14"/>
          <w:szCs w:val="14"/>
          <w:color w:val="auto"/>
        </w:rPr>
        <w:t>100%</w:t>
      </w:r>
    </w:p>
    <w:p>
      <w:pPr>
        <w:spacing w:after="0" w:line="193" w:lineRule="exact"/>
        <w:rPr>
          <w:sz w:val="20"/>
          <w:szCs w:val="20"/>
          <w:color w:val="auto"/>
        </w:rPr>
      </w:pPr>
    </w:p>
    <w:p>
      <w:pPr>
        <w:jc w:val="both"/>
        <w:ind w:left="2380" w:right="2300" w:hanging="8"/>
        <w:spacing w:after="0" w:line="287" w:lineRule="auto"/>
        <w:tabs>
          <w:tab w:leader="none" w:pos="2884" w:val="left"/>
        </w:tabs>
        <w:numPr>
          <w:ilvl w:val="0"/>
          <w:numId w:val="53"/>
        </w:numPr>
        <w:rPr>
          <w:rFonts w:ascii="Arial" w:cs="Arial" w:eastAsia="Arial" w:hAnsi="Arial"/>
          <w:sz w:val="14"/>
          <w:szCs w:val="14"/>
          <w:color w:val="auto"/>
        </w:rPr>
      </w:pPr>
      <w:r>
        <w:rPr>
          <w:rFonts w:ascii="Arial" w:cs="Arial" w:eastAsia="Arial" w:hAnsi="Arial"/>
          <w:sz w:val="14"/>
          <w:szCs w:val="14"/>
          <w:color w:val="auto"/>
        </w:rPr>
        <w:t>Securities with maturities of 90 days or less from the date of acquisition issued by the U.S., Switzerland, Canada, England or a member state of the European Union (excluding Greece, Italy, Portugal, Spain, Ireland, and any Countries with sovereign debt ratings below Aa1/AA+) or by an instrumentality or agency of the U.S. government, Switzerland, Canada, England or a member state of the European Union (excluding Greece, Italy Portugal, Spain, Ireland, and any Countries with sovereign debt ratings below Aa1/AA+) having the same credit rating as its government 100% USD50 million maximum</w:t>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per non-U.S. country</w:t>
      </w:r>
    </w:p>
    <w:p>
      <w:pPr>
        <w:spacing w:after="0" w:line="193" w:lineRule="exact"/>
        <w:rPr>
          <w:sz w:val="20"/>
          <w:szCs w:val="20"/>
          <w:color w:val="auto"/>
        </w:rPr>
      </w:pPr>
    </w:p>
    <w:p>
      <w:pPr>
        <w:jc w:val="both"/>
        <w:ind w:left="2380" w:right="2300" w:hanging="8"/>
        <w:spacing w:after="0" w:line="291" w:lineRule="auto"/>
        <w:tabs>
          <w:tab w:leader="none" w:pos="2884" w:val="left"/>
        </w:tabs>
        <w:numPr>
          <w:ilvl w:val="0"/>
          <w:numId w:val="54"/>
        </w:numPr>
        <w:rPr>
          <w:rFonts w:ascii="Arial" w:cs="Arial" w:eastAsia="Arial" w:hAnsi="Arial"/>
          <w:sz w:val="14"/>
          <w:szCs w:val="14"/>
          <w:color w:val="auto"/>
        </w:rPr>
      </w:pPr>
      <w:r>
        <w:rPr>
          <w:rFonts w:ascii="Arial" w:cs="Arial" w:eastAsia="Arial" w:hAnsi="Arial"/>
          <w:sz w:val="14"/>
          <w:szCs w:val="14"/>
          <w:color w:val="auto"/>
        </w:rPr>
        <w:t>Certificates of deposit and eurodollar time deposits with maturities of 90 days or less from the date of acquisition and overnight bank deposits of any commercial bank having stable ratings of at least A/A-1</w:t>
      </w:r>
    </w:p>
    <w:p>
      <w:pPr>
        <w:spacing w:after="0" w:line="1" w:lineRule="exact"/>
        <w:rPr>
          <w:sz w:val="20"/>
          <w:szCs w:val="20"/>
          <w:color w:val="auto"/>
        </w:rPr>
      </w:pPr>
    </w:p>
    <w:p>
      <w:pPr>
        <w:ind w:left="2380"/>
        <w:spacing w:after="0"/>
        <w:tabs>
          <w:tab w:leader="none" w:pos="4980" w:val="left"/>
        </w:tabs>
        <w:rPr>
          <w:sz w:val="20"/>
          <w:szCs w:val="20"/>
          <w:color w:val="auto"/>
        </w:rPr>
      </w:pPr>
      <w:r>
        <w:rPr>
          <w:rFonts w:ascii="Arial" w:cs="Arial" w:eastAsia="Arial" w:hAnsi="Arial"/>
          <w:sz w:val="16"/>
          <w:szCs w:val="16"/>
          <w:color w:val="auto"/>
        </w:rPr>
        <w:t>by S&amp;P and A2/P-1 by Moody’s 100%</w:t>
      </w:r>
      <w:r>
        <w:rPr>
          <w:sz w:val="20"/>
          <w:szCs w:val="20"/>
          <w:color w:val="auto"/>
        </w:rPr>
        <w:tab/>
      </w:r>
      <w:r>
        <w:rPr>
          <w:rFonts w:ascii="Arial" w:cs="Arial" w:eastAsia="Arial" w:hAnsi="Arial"/>
          <w:sz w:val="14"/>
          <w:szCs w:val="14"/>
          <w:color w:val="auto"/>
        </w:rPr>
        <w:t>100%</w:t>
      </w:r>
    </w:p>
    <w:p>
      <w:pPr>
        <w:spacing w:after="0" w:line="193" w:lineRule="exact"/>
        <w:rPr>
          <w:sz w:val="20"/>
          <w:szCs w:val="20"/>
          <w:color w:val="auto"/>
        </w:rPr>
      </w:pPr>
    </w:p>
    <w:p>
      <w:pPr>
        <w:jc w:val="both"/>
        <w:ind w:left="2380" w:right="2300" w:hanging="8"/>
        <w:spacing w:after="0" w:line="260" w:lineRule="auto"/>
        <w:tabs>
          <w:tab w:leader="none" w:pos="28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Repurchase obligations of any commercial bank satisfying the requirements of clause (D) of this definition, having a term of not more than seven days with respect to securities issued by the U.S. Government 100% 100%</w:t>
      </w:r>
    </w:p>
    <w:p>
      <w:pPr>
        <w:spacing w:after="0" w:line="170" w:lineRule="exact"/>
        <w:rPr>
          <w:rFonts w:ascii="Arial" w:cs="Arial" w:eastAsia="Arial" w:hAnsi="Arial"/>
          <w:sz w:val="16"/>
          <w:szCs w:val="16"/>
          <w:color w:val="auto"/>
        </w:rPr>
      </w:pPr>
    </w:p>
    <w:p>
      <w:pPr>
        <w:ind w:left="2880" w:hanging="508"/>
        <w:spacing w:after="0"/>
        <w:tabs>
          <w:tab w:leader="none" w:pos="2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Commercial paper of a corporate issuer having stable ratings of at least A/A-1 by S&amp;P and A2/P-1</w:t>
      </w:r>
    </w:p>
    <w:p>
      <w:pPr>
        <w:spacing w:after="0" w:line="15" w:lineRule="exact"/>
        <w:rPr>
          <w:sz w:val="20"/>
          <w:szCs w:val="20"/>
          <w:color w:val="auto"/>
        </w:rPr>
      </w:pPr>
    </w:p>
    <w:p>
      <w:pPr>
        <w:ind w:left="2380"/>
        <w:spacing w:after="0"/>
        <w:tabs>
          <w:tab w:leader="none" w:pos="7240" w:val="left"/>
        </w:tabs>
        <w:rPr>
          <w:sz w:val="20"/>
          <w:szCs w:val="20"/>
          <w:color w:val="auto"/>
        </w:rPr>
      </w:pPr>
      <w:r>
        <w:rPr>
          <w:rFonts w:ascii="Arial" w:cs="Arial" w:eastAsia="Arial" w:hAnsi="Arial"/>
          <w:sz w:val="16"/>
          <w:szCs w:val="16"/>
          <w:color w:val="auto"/>
        </w:rPr>
        <w:t>by Moody’s and maturing within 90 days after the day of acquisition 100%</w:t>
      </w:r>
      <w:r>
        <w:rPr>
          <w:sz w:val="20"/>
          <w:szCs w:val="20"/>
          <w:color w:val="auto"/>
        </w:rPr>
        <w:tab/>
      </w:r>
      <w:r>
        <w:rPr>
          <w:rFonts w:ascii="Arial" w:cs="Arial" w:eastAsia="Arial" w:hAnsi="Arial"/>
          <w:sz w:val="14"/>
          <w:szCs w:val="14"/>
          <w:color w:val="auto"/>
        </w:rPr>
        <w:t>100%</w:t>
      </w:r>
    </w:p>
    <w:p>
      <w:pPr>
        <w:spacing w:after="0" w:line="193" w:lineRule="exact"/>
        <w:rPr>
          <w:sz w:val="20"/>
          <w:szCs w:val="20"/>
          <w:color w:val="auto"/>
        </w:rPr>
      </w:pPr>
    </w:p>
    <w:p>
      <w:pPr>
        <w:jc w:val="both"/>
        <w:ind w:left="2380" w:right="2300" w:hanging="8"/>
        <w:spacing w:after="0" w:line="288" w:lineRule="auto"/>
        <w:tabs>
          <w:tab w:leader="none" w:pos="2884"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Securities with maturities of 90 days or less from the date of acquisition issued by any state, commonwealth or territory of the U.S., by any political subdivision or taxing authority of any such state, commonwealth or territory, the securities of which state, commonwealth, territory, political subdivision or taxing authority (as the case may be) having stable ratings of at least A by S&amp;P and A2 by Moody’s 99%</w:t>
      </w:r>
    </w:p>
    <w:p>
      <w:pPr>
        <w:spacing w:after="0" w:line="2" w:lineRule="exact"/>
        <w:rPr>
          <w:rFonts w:ascii="Arial" w:cs="Arial" w:eastAsia="Arial" w:hAnsi="Arial"/>
          <w:sz w:val="14"/>
          <w:szCs w:val="14"/>
          <w:color w:val="auto"/>
        </w:rPr>
      </w:pPr>
    </w:p>
    <w:p>
      <w:pPr>
        <w:ind w:left="2480"/>
        <w:spacing w:after="0"/>
        <w:rPr>
          <w:rFonts w:ascii="Arial" w:cs="Arial" w:eastAsia="Arial" w:hAnsi="Arial"/>
          <w:sz w:val="14"/>
          <w:szCs w:val="14"/>
          <w:color w:val="auto"/>
        </w:rPr>
      </w:pPr>
      <w:r>
        <w:rPr>
          <w:rFonts w:ascii="Arial" w:cs="Arial" w:eastAsia="Arial" w:hAnsi="Arial"/>
          <w:sz w:val="16"/>
          <w:szCs w:val="16"/>
          <w:color w:val="auto"/>
        </w:rPr>
        <w:t>100%</w:t>
      </w:r>
    </w:p>
    <w:p>
      <w:pPr>
        <w:spacing w:after="0" w:line="193" w:lineRule="exact"/>
        <w:rPr>
          <w:rFonts w:ascii="Arial" w:cs="Arial" w:eastAsia="Arial" w:hAnsi="Arial"/>
          <w:sz w:val="14"/>
          <w:szCs w:val="14"/>
          <w:color w:val="auto"/>
        </w:rPr>
      </w:pPr>
    </w:p>
    <w:p>
      <w:pPr>
        <w:jc w:val="both"/>
        <w:ind w:left="2380" w:right="2300" w:hanging="8"/>
        <w:spacing w:after="0" w:line="260" w:lineRule="auto"/>
        <w:tabs>
          <w:tab w:leader="none" w:pos="2884"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Securities with maturities of 90 days or less from the date of acquisition backed by standby letters of credit issued by any Lender or any commercial bank satisfying the requirements of clause (D) of this definition 100% 20%</w:t>
      </w:r>
    </w:p>
    <w:p>
      <w:pPr>
        <w:spacing w:after="0" w:line="170" w:lineRule="exact"/>
        <w:rPr>
          <w:rFonts w:ascii="Arial" w:cs="Arial" w:eastAsia="Arial" w:hAnsi="Arial"/>
          <w:sz w:val="16"/>
          <w:szCs w:val="16"/>
          <w:color w:val="auto"/>
        </w:rPr>
      </w:pPr>
    </w:p>
    <w:p>
      <w:pPr>
        <w:jc w:val="both"/>
        <w:ind w:left="2380" w:right="2300" w:hanging="8"/>
        <w:spacing w:after="0" w:line="291" w:lineRule="auto"/>
        <w:tabs>
          <w:tab w:leader="none" w:pos="2884" w:val="left"/>
        </w:tabs>
        <w:numPr>
          <w:ilvl w:val="0"/>
          <w:numId w:val="56"/>
        </w:numPr>
        <w:rPr>
          <w:rFonts w:ascii="Arial" w:cs="Arial" w:eastAsia="Arial" w:hAnsi="Arial"/>
          <w:sz w:val="14"/>
          <w:szCs w:val="14"/>
          <w:color w:val="auto"/>
        </w:rPr>
      </w:pPr>
      <w:r>
        <w:rPr>
          <w:rFonts w:ascii="Arial" w:cs="Arial" w:eastAsia="Arial" w:hAnsi="Arial"/>
          <w:sz w:val="14"/>
          <w:szCs w:val="14"/>
          <w:color w:val="auto"/>
        </w:rPr>
        <w:t>Shares of money market mutual or similar funds that conform with Rule 2a-7 of the Investment Companies Act of 1940 and having a minimum asset size of $3billion which invest exclusively in assets</w:t>
      </w:r>
    </w:p>
    <w:p>
      <w:pPr>
        <w:spacing w:after="0" w:line="1" w:lineRule="exact"/>
        <w:rPr>
          <w:sz w:val="20"/>
          <w:szCs w:val="20"/>
          <w:color w:val="auto"/>
        </w:rPr>
      </w:pPr>
    </w:p>
    <w:p>
      <w:pPr>
        <w:jc w:val="center"/>
        <w:ind w:right="100"/>
        <w:spacing w:after="0"/>
        <w:tabs>
          <w:tab w:leader="none" w:pos="140" w:val="left"/>
        </w:tabs>
        <w:rPr>
          <w:sz w:val="20"/>
          <w:szCs w:val="20"/>
          <w:color w:val="auto"/>
        </w:rPr>
      </w:pPr>
      <w:r>
        <w:rPr>
          <w:rFonts w:ascii="Arial" w:cs="Arial" w:eastAsia="Arial" w:hAnsi="Arial"/>
          <w:sz w:val="16"/>
          <w:szCs w:val="16"/>
          <w:color w:val="auto"/>
        </w:rPr>
        <w:t>satisfying the requirements of clauses (C) through (H) of this definition 100%</w:t>
      </w:r>
      <w:r>
        <w:rPr>
          <w:sz w:val="20"/>
          <w:szCs w:val="20"/>
          <w:color w:val="auto"/>
        </w:rPr>
        <w:tab/>
      </w:r>
      <w:r>
        <w:rPr>
          <w:rFonts w:ascii="Arial" w:cs="Arial" w:eastAsia="Arial" w:hAnsi="Arial"/>
          <w:sz w:val="14"/>
          <w:szCs w:val="14"/>
          <w:color w:val="auto"/>
        </w:rPr>
        <w:t>USD50 million per fund</w:t>
      </w:r>
    </w:p>
    <w:p>
      <w:pPr>
        <w:spacing w:after="0" w:line="193" w:lineRule="exact"/>
        <w:rPr>
          <w:sz w:val="20"/>
          <w:szCs w:val="20"/>
          <w:color w:val="auto"/>
        </w:rPr>
      </w:pPr>
    </w:p>
    <w:p>
      <w:pPr>
        <w:jc w:val="both"/>
        <w:ind w:left="2380" w:right="2300" w:hanging="8"/>
        <w:spacing w:after="0" w:line="288" w:lineRule="auto"/>
        <w:tabs>
          <w:tab w:leader="none" w:pos="2884" w:val="left"/>
        </w:tabs>
        <w:numPr>
          <w:ilvl w:val="0"/>
          <w:numId w:val="57"/>
        </w:numPr>
        <w:rPr>
          <w:rFonts w:ascii="Arial" w:cs="Arial" w:eastAsia="Arial" w:hAnsi="Arial"/>
          <w:sz w:val="14"/>
          <w:szCs w:val="14"/>
          <w:color w:val="auto"/>
        </w:rPr>
      </w:pPr>
      <w:r>
        <w:rPr>
          <w:rFonts w:ascii="Arial" w:cs="Arial" w:eastAsia="Arial" w:hAnsi="Arial"/>
          <w:sz w:val="14"/>
          <w:szCs w:val="14"/>
          <w:color w:val="auto"/>
        </w:rPr>
        <w:t>Non-Callable Agency Debt having a remaining maturity of not more than one year. For purposes hereof, “Non-Callable Agency Debt” means fixed rate, non-callable, non-amortizing U.S. Dollar-denominated senior debt securities of fixed maturity in book entry form issued by the Federal Home Loan Banks (including their consolidated obligations issued through the Office of Finance of the Federal Home Loan Bank System) (“FHLB”), Fannie Mae, the Federal Home Loan Mortgage Corporation (“Freddie</w:t>
      </w:r>
    </w:p>
    <w:p>
      <w:pPr>
        <w:spacing w:after="0" w:line="1" w:lineRule="exact"/>
        <w:rPr>
          <w:sz w:val="20"/>
          <w:szCs w:val="20"/>
          <w:color w:val="auto"/>
        </w:rPr>
      </w:pPr>
    </w:p>
    <w:p>
      <w:pPr>
        <w:ind w:left="2380"/>
        <w:spacing w:after="0"/>
        <w:tabs>
          <w:tab w:leader="none" w:pos="6060" w:val="left"/>
        </w:tabs>
        <w:rPr>
          <w:sz w:val="20"/>
          <w:szCs w:val="20"/>
          <w:color w:val="auto"/>
        </w:rPr>
      </w:pPr>
      <w:r>
        <w:rPr>
          <w:rFonts w:ascii="Arial" w:cs="Arial" w:eastAsia="Arial" w:hAnsi="Arial"/>
          <w:sz w:val="16"/>
          <w:szCs w:val="16"/>
          <w:color w:val="auto"/>
        </w:rPr>
        <w:t>Mac”) or the Federal Farm Credit Banks (“FFCB”) 99%</w:t>
      </w:r>
      <w:r>
        <w:rPr>
          <w:sz w:val="20"/>
          <w:szCs w:val="20"/>
          <w:color w:val="auto"/>
        </w:rPr>
        <w:tab/>
      </w:r>
      <w:r>
        <w:rPr>
          <w:rFonts w:ascii="Arial" w:cs="Arial" w:eastAsia="Arial" w:hAnsi="Arial"/>
          <w:sz w:val="14"/>
          <w:szCs w:val="14"/>
          <w:color w:val="auto"/>
        </w:rPr>
        <w:t>100%</w:t>
      </w:r>
    </w:p>
    <w:p>
      <w:pPr>
        <w:spacing w:after="0" w:line="193" w:lineRule="exact"/>
        <w:rPr>
          <w:sz w:val="20"/>
          <w:szCs w:val="20"/>
          <w:color w:val="auto"/>
        </w:rPr>
      </w:pPr>
    </w:p>
    <w:p>
      <w:pPr>
        <w:jc w:val="both"/>
        <w:ind w:left="2380" w:right="2300" w:hanging="8"/>
        <w:spacing w:after="0" w:line="288" w:lineRule="auto"/>
        <w:tabs>
          <w:tab w:leader="none" w:pos="2884" w:val="left"/>
        </w:tabs>
        <w:numPr>
          <w:ilvl w:val="0"/>
          <w:numId w:val="58"/>
        </w:numPr>
        <w:rPr>
          <w:rFonts w:ascii="Arial" w:cs="Arial" w:eastAsia="Arial" w:hAnsi="Arial"/>
          <w:sz w:val="14"/>
          <w:szCs w:val="14"/>
          <w:color w:val="auto"/>
        </w:rPr>
      </w:pPr>
      <w:r>
        <w:rPr>
          <w:rFonts w:ascii="Arial" w:cs="Arial" w:eastAsia="Arial" w:hAnsi="Arial"/>
          <w:sz w:val="14"/>
          <w:szCs w:val="14"/>
          <w:color w:val="auto"/>
        </w:rPr>
        <w:t>Non-Callable Agency Discount Notes having a remaining maturity of not more than twelve months. For purposes hereof, “Non-Callable Agency Discount Notes” means non-callable U.S. Dollar-denominated discount notes sold at a discount from their principal amount payable at maturity with an original maturity of 360 days or less in book entry form and issued by Fannie Mae, Freddie Mac, FHLB or FFCB 99%</w:t>
      </w:r>
    </w:p>
    <w:p>
      <w:pPr>
        <w:spacing w:after="0" w:line="2" w:lineRule="exact"/>
        <w:rPr>
          <w:rFonts w:ascii="Arial" w:cs="Arial" w:eastAsia="Arial" w:hAnsi="Arial"/>
          <w:sz w:val="14"/>
          <w:szCs w:val="14"/>
          <w:color w:val="auto"/>
        </w:rPr>
      </w:pPr>
    </w:p>
    <w:p>
      <w:pPr>
        <w:ind w:left="2480"/>
        <w:spacing w:after="0"/>
        <w:rPr>
          <w:rFonts w:ascii="Arial" w:cs="Arial" w:eastAsia="Arial" w:hAnsi="Arial"/>
          <w:sz w:val="14"/>
          <w:szCs w:val="14"/>
          <w:color w:val="auto"/>
        </w:rPr>
      </w:pPr>
      <w:r>
        <w:rPr>
          <w:rFonts w:ascii="Arial" w:cs="Arial" w:eastAsia="Arial" w:hAnsi="Arial"/>
          <w:sz w:val="16"/>
          <w:szCs w:val="16"/>
          <w:color w:val="auto"/>
        </w:rPr>
        <w:t>100%</w:t>
      </w:r>
    </w:p>
    <w:p>
      <w:pPr>
        <w:spacing w:after="0" w:line="193" w:lineRule="exact"/>
        <w:rPr>
          <w:rFonts w:ascii="Arial" w:cs="Arial" w:eastAsia="Arial" w:hAnsi="Arial"/>
          <w:sz w:val="14"/>
          <w:szCs w:val="14"/>
          <w:color w:val="auto"/>
        </w:rPr>
      </w:pPr>
    </w:p>
    <w:p>
      <w:pPr>
        <w:jc w:val="both"/>
        <w:ind w:left="2380" w:right="2300" w:hanging="8"/>
        <w:spacing w:after="0" w:line="291" w:lineRule="auto"/>
        <w:tabs>
          <w:tab w:leader="none" w:pos="2884" w:val="left"/>
        </w:tabs>
        <w:numPr>
          <w:ilvl w:val="0"/>
          <w:numId w:val="58"/>
        </w:numPr>
        <w:rPr>
          <w:rFonts w:ascii="Arial" w:cs="Arial" w:eastAsia="Arial" w:hAnsi="Arial"/>
          <w:sz w:val="14"/>
          <w:szCs w:val="14"/>
          <w:color w:val="auto"/>
        </w:rPr>
      </w:pPr>
      <w:r>
        <w:rPr>
          <w:rFonts w:ascii="Arial" w:cs="Arial" w:eastAsia="Arial" w:hAnsi="Arial"/>
          <w:sz w:val="14"/>
          <w:szCs w:val="14"/>
          <w:color w:val="auto"/>
        </w:rPr>
        <w:t>Callable Agency Debt having a remaining maturity of not more than one year. For purposes hereof, “Callable Agency Debt” means fixed-rate, callable, non-amortizing U.S. Dollar-denominated senior debt</w:t>
      </w:r>
    </w:p>
    <w:p>
      <w:pPr>
        <w:spacing w:after="0" w:line="1" w:lineRule="exact"/>
        <w:rPr>
          <w:sz w:val="20"/>
          <w:szCs w:val="20"/>
          <w:color w:val="auto"/>
        </w:rPr>
      </w:pPr>
    </w:p>
    <w:p>
      <w:pPr>
        <w:ind w:left="2380"/>
        <w:spacing w:after="0"/>
        <w:tabs>
          <w:tab w:leader="none" w:pos="7200" w:val="left"/>
          <w:tab w:leader="none" w:pos="7640" w:val="left"/>
        </w:tabs>
        <w:rPr>
          <w:sz w:val="20"/>
          <w:szCs w:val="20"/>
          <w:color w:val="auto"/>
        </w:rPr>
      </w:pPr>
      <w:r>
        <w:rPr>
          <w:rFonts w:ascii="Arial" w:cs="Arial" w:eastAsia="Arial" w:hAnsi="Arial"/>
          <w:sz w:val="14"/>
          <w:szCs w:val="14"/>
          <w:color w:val="auto"/>
        </w:rPr>
        <w:t>securities in book entry form issued by FHLB, Fannie Mae or Freddie Mac</w:t>
      </w:r>
      <w:r>
        <w:rPr>
          <w:sz w:val="20"/>
          <w:szCs w:val="20"/>
          <w:color w:val="auto"/>
        </w:rPr>
        <w:tab/>
      </w:r>
      <w:r>
        <w:rPr>
          <w:rFonts w:ascii="Arial" w:cs="Arial" w:eastAsia="Arial" w:hAnsi="Arial"/>
          <w:sz w:val="16"/>
          <w:szCs w:val="16"/>
          <w:color w:val="auto"/>
        </w:rPr>
        <w:t>99%</w:t>
      </w:r>
      <w:r>
        <w:rPr>
          <w:sz w:val="20"/>
          <w:szCs w:val="20"/>
          <w:color w:val="auto"/>
        </w:rPr>
        <w:tab/>
      </w:r>
      <w:r>
        <w:rPr>
          <w:rFonts w:ascii="Arial" w:cs="Arial" w:eastAsia="Arial" w:hAnsi="Arial"/>
          <w:sz w:val="14"/>
          <w:szCs w:val="14"/>
          <w:color w:val="auto"/>
        </w:rPr>
        <w:t>100%</w:t>
      </w:r>
    </w:p>
    <w:p>
      <w:pPr>
        <w:spacing w:after="0" w:line="193" w:lineRule="exact"/>
        <w:rPr>
          <w:sz w:val="20"/>
          <w:szCs w:val="20"/>
          <w:color w:val="auto"/>
        </w:rPr>
      </w:pPr>
    </w:p>
    <w:p>
      <w:pPr>
        <w:ind w:left="2880" w:hanging="508"/>
        <w:spacing w:after="0"/>
        <w:tabs>
          <w:tab w:leader="none" w:pos="2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Negotiable debt obligations issued by the U.S. Treasury Department having a remaining maturity of</w:t>
      </w:r>
    </w:p>
    <w:p>
      <w:pPr>
        <w:spacing w:after="0" w:line="15" w:lineRule="exact"/>
        <w:rPr>
          <w:sz w:val="20"/>
          <w:szCs w:val="20"/>
          <w:color w:val="auto"/>
        </w:rPr>
      </w:pPr>
    </w:p>
    <w:p>
      <w:pPr>
        <w:ind w:left="2380"/>
        <w:spacing w:after="0"/>
        <w:tabs>
          <w:tab w:leader="none" w:pos="5820" w:val="left"/>
        </w:tabs>
        <w:rPr>
          <w:sz w:val="20"/>
          <w:szCs w:val="20"/>
          <w:color w:val="auto"/>
        </w:rPr>
      </w:pPr>
      <w:r>
        <w:rPr>
          <w:rFonts w:ascii="Arial" w:cs="Arial" w:eastAsia="Arial" w:hAnsi="Arial"/>
          <w:sz w:val="16"/>
          <w:szCs w:val="16"/>
          <w:color w:val="auto"/>
        </w:rPr>
        <w:t>more than one year but not more than ten years 99%</w:t>
      </w:r>
      <w:r>
        <w:rPr>
          <w:sz w:val="20"/>
          <w:szCs w:val="20"/>
          <w:color w:val="auto"/>
        </w:rPr>
        <w:tab/>
      </w:r>
      <w:r>
        <w:rPr>
          <w:rFonts w:ascii="Arial" w:cs="Arial" w:eastAsia="Arial" w:hAnsi="Arial"/>
          <w:sz w:val="14"/>
          <w:szCs w:val="14"/>
          <w:color w:val="auto"/>
        </w:rPr>
        <w:t>100%</w:t>
      </w:r>
    </w:p>
    <w:p>
      <w:pPr>
        <w:sectPr>
          <w:pgSz w:w="11900" w:h="16842" w:orient="portrait"/>
          <w:cols w:equalWidth="0" w:num="1">
            <w:col w:w="11420"/>
          </w:cols>
          <w:pgMar w:left="240" w:top="131" w:right="239" w:bottom="0" w:gutter="0" w:footer="0" w:header="0"/>
          <w:type w:val="continuous"/>
        </w:sectPr>
      </w:pPr>
    </w:p>
    <w:bookmarkStart w:id="73" w:name="page74"/>
    <w:bookmarkEnd w:id="73"/>
    <w:p>
      <w:pPr>
        <w:ind w:left="2880" w:hanging="508"/>
        <w:spacing w:after="0"/>
        <w:tabs>
          <w:tab w:leader="none" w:pos="2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Non-Callable Agency Debt and Callable Agency Debt having a remaining maturity of more than</w:t>
      </w:r>
    </w:p>
    <w:p>
      <w:pPr>
        <w:spacing w:after="0" w:line="38" w:lineRule="exact"/>
        <w:rPr>
          <w:sz w:val="20"/>
          <w:szCs w:val="20"/>
          <w:color w:val="auto"/>
        </w:rPr>
      </w:pPr>
    </w:p>
    <w:p>
      <w:pPr>
        <w:ind w:left="2380"/>
        <w:spacing w:after="0"/>
        <w:tabs>
          <w:tab w:leader="none" w:pos="5140" w:val="left"/>
        </w:tabs>
        <w:rPr>
          <w:sz w:val="20"/>
          <w:szCs w:val="20"/>
          <w:color w:val="auto"/>
        </w:rPr>
      </w:pPr>
      <w:r>
        <w:rPr>
          <w:rFonts w:ascii="Arial" w:cs="Arial" w:eastAsia="Arial" w:hAnsi="Arial"/>
          <w:sz w:val="16"/>
          <w:szCs w:val="16"/>
          <w:color w:val="auto"/>
        </w:rPr>
        <w:t>one year but not more than ten years 98%</w:t>
      </w:r>
      <w:r>
        <w:rPr>
          <w:sz w:val="20"/>
          <w:szCs w:val="20"/>
          <w:color w:val="auto"/>
        </w:rPr>
        <w:tab/>
      </w:r>
      <w:r>
        <w:rPr>
          <w:rFonts w:ascii="Arial" w:cs="Arial" w:eastAsia="Arial" w:hAnsi="Arial"/>
          <w:sz w:val="14"/>
          <w:szCs w:val="14"/>
          <w:color w:val="auto"/>
        </w:rPr>
        <w:t>100%</w:t>
      </w:r>
    </w:p>
    <w:p>
      <w:pPr>
        <w:spacing w:after="0" w:line="193" w:lineRule="exact"/>
        <w:rPr>
          <w:sz w:val="20"/>
          <w:szCs w:val="20"/>
          <w:color w:val="auto"/>
        </w:rPr>
      </w:pPr>
    </w:p>
    <w:p>
      <w:pPr>
        <w:ind w:left="2880" w:hanging="508"/>
        <w:spacing w:after="0"/>
        <w:tabs>
          <w:tab w:leader="none" w:pos="28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Negotiable debt obligations issued by the U.S. Treasury Department having a remaining maturity of</w:t>
      </w:r>
    </w:p>
    <w:p>
      <w:pPr>
        <w:spacing w:after="0" w:line="38" w:lineRule="exact"/>
        <w:rPr>
          <w:sz w:val="20"/>
          <w:szCs w:val="20"/>
          <w:color w:val="auto"/>
        </w:rPr>
      </w:pPr>
    </w:p>
    <w:p>
      <w:pPr>
        <w:ind w:left="2380"/>
        <w:spacing w:after="0"/>
        <w:tabs>
          <w:tab w:leader="none" w:pos="4100" w:val="left"/>
        </w:tabs>
        <w:rPr>
          <w:sz w:val="20"/>
          <w:szCs w:val="20"/>
          <w:color w:val="auto"/>
        </w:rPr>
      </w:pPr>
      <w:r>
        <w:rPr>
          <w:rFonts w:ascii="Arial" w:cs="Arial" w:eastAsia="Arial" w:hAnsi="Arial"/>
          <w:sz w:val="16"/>
          <w:szCs w:val="16"/>
          <w:color w:val="auto"/>
        </w:rPr>
        <w:t>more than ten years 98%</w:t>
      </w:r>
      <w:r>
        <w:rPr>
          <w:sz w:val="20"/>
          <w:szCs w:val="20"/>
          <w:color w:val="auto"/>
        </w:rPr>
        <w:tab/>
      </w:r>
      <w:r>
        <w:rPr>
          <w:rFonts w:ascii="Arial" w:cs="Arial" w:eastAsia="Arial" w:hAnsi="Arial"/>
          <w:sz w:val="14"/>
          <w:szCs w:val="14"/>
          <w:color w:val="auto"/>
        </w:rPr>
        <w:t>100%</w:t>
      </w:r>
    </w:p>
    <w:p>
      <w:pPr>
        <w:spacing w:after="0" w:line="193" w:lineRule="exact"/>
        <w:rPr>
          <w:sz w:val="20"/>
          <w:szCs w:val="20"/>
          <w:color w:val="auto"/>
        </w:rPr>
      </w:pPr>
    </w:p>
    <w:p>
      <w:pPr>
        <w:ind w:left="2880" w:hanging="508"/>
        <w:spacing w:after="0"/>
        <w:tabs>
          <w:tab w:leader="none" w:pos="28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Non-Callable Agency Debt and Callable Agency Debt having a remaining maturity of more than</w:t>
      </w:r>
    </w:p>
    <w:p>
      <w:pPr>
        <w:spacing w:after="0" w:line="38" w:lineRule="exact"/>
        <w:rPr>
          <w:sz w:val="20"/>
          <w:szCs w:val="20"/>
          <w:color w:val="auto"/>
        </w:rPr>
      </w:pPr>
    </w:p>
    <w:p>
      <w:pPr>
        <w:ind w:left="2380"/>
        <w:spacing w:after="0"/>
        <w:tabs>
          <w:tab w:leader="none" w:pos="3440" w:val="left"/>
        </w:tabs>
        <w:rPr>
          <w:sz w:val="20"/>
          <w:szCs w:val="20"/>
          <w:color w:val="auto"/>
        </w:rPr>
      </w:pPr>
      <w:r>
        <w:rPr>
          <w:rFonts w:ascii="Arial" w:cs="Arial" w:eastAsia="Arial" w:hAnsi="Arial"/>
          <w:sz w:val="16"/>
          <w:szCs w:val="16"/>
          <w:color w:val="auto"/>
        </w:rPr>
        <w:t>ten years 97%</w:t>
      </w:r>
      <w:r>
        <w:rPr>
          <w:sz w:val="20"/>
          <w:szCs w:val="20"/>
          <w:color w:val="auto"/>
        </w:rPr>
        <w:tab/>
      </w:r>
      <w:r>
        <w:rPr>
          <w:rFonts w:ascii="Arial" w:cs="Arial" w:eastAsia="Arial" w:hAnsi="Arial"/>
          <w:sz w:val="14"/>
          <w:szCs w:val="14"/>
          <w:color w:val="auto"/>
        </w:rPr>
        <w:t>100%</w:t>
      </w:r>
    </w:p>
    <w:p>
      <w:pPr>
        <w:spacing w:after="0" w:line="193" w:lineRule="exact"/>
        <w:rPr>
          <w:sz w:val="20"/>
          <w:szCs w:val="20"/>
          <w:color w:val="auto"/>
        </w:rPr>
      </w:pPr>
    </w:p>
    <w:p>
      <w:pPr>
        <w:jc w:val="both"/>
        <w:ind w:left="2380" w:right="2320"/>
        <w:spacing w:after="0" w:line="314" w:lineRule="auto"/>
        <w:rPr>
          <w:sz w:val="20"/>
          <w:szCs w:val="20"/>
          <w:color w:val="auto"/>
        </w:rPr>
      </w:pPr>
      <w:r>
        <w:rPr>
          <w:rFonts w:ascii="Arial" w:cs="Arial" w:eastAsia="Arial" w:hAnsi="Arial"/>
          <w:sz w:val="14"/>
          <w:szCs w:val="14"/>
          <w:color w:val="auto"/>
        </w:rPr>
        <w:t>(Q) Corporate Debt having stable ratings of AA or better by Standard &amp; Poor’s and Aa2 or better by Moody’s having a remaining maturity of less than 1 year or as otherwise mutually agreed by the Parties and listed in Attachment Q1 having a remaining maturity of less than one year 97% 50%</w:t>
      </w:r>
    </w:p>
    <w:p>
      <w:pPr>
        <w:sectPr>
          <w:pgSz w:w="11900" w:h="16838" w:orient="portrait"/>
          <w:cols w:equalWidth="0" w:num="1">
            <w:col w:w="11440"/>
          </w:cols>
          <w:pgMar w:left="240" w:top="323" w:right="219" w:bottom="1440" w:gutter="0" w:footer="0" w:header="0"/>
        </w:sectPr>
      </w:pP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Rounding:</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Delivery Amount and the Return Amount will be rounded up and down, respectively, to the nearest integral multiple of USD10,000.</w:t>
      </w:r>
    </w:p>
    <w:p>
      <w:pPr>
        <w:spacing w:after="0" w:line="200" w:lineRule="exact"/>
        <w:rPr>
          <w:sz w:val="20"/>
          <w:szCs w:val="20"/>
          <w:color w:val="auto"/>
        </w:rPr>
      </w:pPr>
    </w:p>
    <w:p>
      <w:pPr>
        <w:sectPr>
          <w:pgSz w:w="11900" w:h="16838" w:orient="portrait"/>
          <w:cols w:equalWidth="0" w:num="2">
            <w:col w:w="1660" w:space="720"/>
            <w:col w:w="9060"/>
          </w:cols>
          <w:pgMar w:left="240" w:top="323" w:right="2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Interest Rate: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Interest Rate for any day means the greater of (x) 0% or (y) the Federal Funds Overnight Rate. For the purposes hereof, “Federal Funds Overnight Rate” means, for any day, an interest rate per annum equal to the rate published as the Federal Funds Effective Rate that appears on Telerate Page 118 or on Bloomberg Page FEDL01 for such day.</w:t>
      </w:r>
    </w:p>
    <w:p>
      <w:pPr>
        <w:spacing w:after="0" w:line="200" w:lineRule="exact"/>
        <w:rPr>
          <w:sz w:val="20"/>
          <w:szCs w:val="20"/>
          <w:color w:val="auto"/>
        </w:rPr>
      </w:pPr>
    </w:p>
    <w:p>
      <w:pPr>
        <w:sectPr>
          <w:pgSz w:w="11900" w:h="16838" w:orient="portrait"/>
          <w:cols w:equalWidth="0" w:num="2">
            <w:col w:w="1660" w:space="720"/>
            <w:col w:w="9060"/>
          </w:cols>
          <w:pgMar w:left="240" w:top="323" w:right="219" w:bottom="1440" w:gutter="0" w:footer="0" w:header="0"/>
          <w:type w:val="continuous"/>
        </w:sectPr>
      </w:pP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Counterparty may terminate the Transaction specified in this Supplemental Confirmation by giving written notice to Bank on or before the Scheduled Trading Day immediately prior to the Hedging Initiation Date. Upon any such termination, neither party shall have any payment or delivery obligations as a result of this Transaction and all obligations and rights under this Transaction shall cease.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This Transaction is subject to a Plan (as defined in the Master Confirmation) that commences on the Trade Date.</w:t>
      </w:r>
    </w:p>
    <w:p>
      <w:pPr>
        <w:sectPr>
          <w:pgSz w:w="11900" w:h="16838" w:orient="portrait"/>
          <w:cols w:equalWidth="0" w:num="1">
            <w:col w:w="11440"/>
          </w:cols>
          <w:pgMar w:left="240" w:top="323" w:right="219" w:bottom="1440" w:gutter="0" w:footer="0" w:header="0"/>
          <w:type w:val="continuous"/>
        </w:sectPr>
      </w:pPr>
    </w:p>
    <w:bookmarkStart w:id="74" w:name="page75"/>
    <w:bookmarkEnd w:id="74"/>
    <w:p>
      <w:pPr>
        <w:spacing w:after="0" w:line="270" w:lineRule="auto"/>
        <w:rPr>
          <w:sz w:val="20"/>
          <w:szCs w:val="20"/>
          <w:color w:val="auto"/>
        </w:rPr>
      </w:pPr>
      <w:r>
        <w:rPr>
          <w:rFonts w:ascii="Arial" w:cs="Arial" w:eastAsia="Arial" w:hAnsi="Arial"/>
          <w:sz w:val="16"/>
          <w:szCs w:val="16"/>
          <w:color w:val="auto"/>
        </w:rPr>
        <w:t>Please confirm that the foregoing correctly sets forth the terms of our agreement by executing the copy of this Supplemental Confirmation enclosed for that purpose and returning it to us.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JPMORGAN CHASE BANK, NATIONAL ASSOCIATION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J.P. MORGAN SECURITIES LLC</w:t>
      </w:r>
      <w:r>
        <w:rPr>
          <w:rFonts w:ascii="Arial" w:cs="Arial" w:eastAsia="Arial" w:hAnsi="Arial"/>
          <w:sz w:val="16"/>
          <w:szCs w:val="16"/>
          <w:color w:val="auto"/>
        </w:rPr>
        <w:t>, as agent for</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___________________________________</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Title: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Confirmed as of the date first above written: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ectPr>
          <w:pgSz w:w="11900" w:h="16838" w:orient="portrait"/>
          <w:cols w:equalWidth="0" w:num="1">
            <w:col w:w="11420"/>
          </w:cols>
          <w:pgMar w:left="240" w:top="671" w:right="2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By: 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By: ___________________________________</w:t>
      </w:r>
    </w:p>
    <w:p>
      <w:pPr>
        <w:spacing w:after="0" w:line="199" w:lineRule="exact"/>
        <w:rPr>
          <w:sz w:val="20"/>
          <w:szCs w:val="20"/>
          <w:color w:val="auto"/>
        </w:rPr>
      </w:pPr>
    </w:p>
    <w:p>
      <w:pPr>
        <w:sectPr>
          <w:pgSz w:w="11900" w:h="16838" w:orient="portrait"/>
          <w:cols w:equalWidth="0" w:num="2">
            <w:col w:w="3300" w:space="720"/>
            <w:col w:w="7400"/>
          </w:cols>
          <w:pgMar w:left="240" w:top="671" w:right="239" w:bottom="1440" w:gutter="0" w:footer="0" w:header="0"/>
          <w:type w:val="continuous"/>
        </w:sectPr>
      </w:pPr>
    </w:p>
    <w:p>
      <w:pPr>
        <w:ind w:left="280"/>
        <w:spacing w:after="0"/>
        <w:rPr>
          <w:sz w:val="20"/>
          <w:szCs w:val="20"/>
          <w:color w:val="auto"/>
        </w:rPr>
      </w:pPr>
      <w:r>
        <w:rPr>
          <w:rFonts w:ascii="Arial" w:cs="Arial" w:eastAsia="Arial" w:hAnsi="Arial"/>
          <w:sz w:val="14"/>
          <w:szCs w:val="14"/>
          <w:color w:val="auto"/>
        </w:rPr>
        <w:t>Name:</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ectPr>
          <w:pgSz w:w="11900" w:h="16838" w:orient="portrait"/>
          <w:cols w:equalWidth="0" w:num="2">
            <w:col w:w="3880" w:space="720"/>
            <w:col w:w="6820"/>
          </w:cols>
          <w:pgMar w:left="240" w:top="671" w:right="239" w:bottom="1440" w:gutter="0" w:footer="0" w:header="0"/>
          <w:type w:val="continuous"/>
        </w:sectPr>
      </w:pPr>
    </w:p>
    <w:bookmarkStart w:id="75" w:name="page76"/>
    <w:bookmarkEnd w:id="75"/>
    <w:p>
      <w:pPr>
        <w:ind w:left="5040"/>
        <w:spacing w:after="0"/>
        <w:rPr>
          <w:sz w:val="20"/>
          <w:szCs w:val="20"/>
          <w:color w:val="auto"/>
        </w:rPr>
      </w:pPr>
      <w:r>
        <w:rPr>
          <w:rFonts w:ascii="Arial" w:cs="Arial" w:eastAsia="Arial" w:hAnsi="Arial"/>
          <w:sz w:val="16"/>
          <w:szCs w:val="16"/>
          <w:b w:val="1"/>
          <w:bCs w:val="1"/>
          <w:color w:val="auto"/>
        </w:rPr>
        <w:t>ATTACHMENT Q1</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following securities are considered Other Eligible Support so long as their credit ratings and outlooks are no worse than shown in the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0219"/>
          </w:cols>
          <w:pgMar w:left="240" w:top="667" w:right="1440" w:bottom="1440" w:gutter="0" w:footer="0" w:header="0"/>
        </w:sectPr>
      </w:pPr>
    </w:p>
    <w:bookmarkStart w:id="76" w:name="page77"/>
    <w:bookmarkEnd w:id="76"/>
    <w:p>
      <w:pPr>
        <w:jc w:val="center"/>
        <w:ind w:right="-1220"/>
        <w:spacing w:after="0"/>
        <w:rPr>
          <w:sz w:val="20"/>
          <w:szCs w:val="20"/>
          <w:color w:val="auto"/>
        </w:rPr>
      </w:pPr>
      <w:r>
        <w:rPr>
          <w:rFonts w:ascii="Arial" w:cs="Arial" w:eastAsia="Arial" w:hAnsi="Arial"/>
          <w:sz w:val="16"/>
          <w:szCs w:val="16"/>
          <w:b w:val="1"/>
          <w:bCs w:val="1"/>
          <w:color w:val="auto"/>
        </w:rPr>
        <w:t>SCHEDULE A</w:t>
      </w:r>
    </w:p>
    <w:p>
      <w:pPr>
        <w:spacing w:after="0" w:line="176" w:lineRule="exact"/>
        <w:rPr>
          <w:sz w:val="20"/>
          <w:szCs w:val="20"/>
          <w:color w:val="auto"/>
        </w:rPr>
      </w:pPr>
    </w:p>
    <w:p>
      <w:pPr>
        <w:jc w:val="right"/>
        <w:ind w:right="3119"/>
        <w:spacing w:after="0"/>
        <w:rPr>
          <w:sz w:val="20"/>
          <w:szCs w:val="20"/>
          <w:color w:val="auto"/>
        </w:rPr>
      </w:pPr>
      <w:r>
        <w:rPr>
          <w:rFonts w:ascii="Arial" w:cs="Arial" w:eastAsia="Arial" w:hAnsi="Arial"/>
          <w:sz w:val="16"/>
          <w:szCs w:val="16"/>
          <w:b w:val="1"/>
          <w:bCs w:val="1"/>
          <w:color w:val="auto"/>
        </w:rPr>
        <w:t>Share Purchase Activity by Counterparty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0219"/>
          </w:cols>
          <w:pgMar w:left="240" w:top="666" w:right="1440"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6"/>
          <w:szCs w:val="16"/>
          <w:b w:val="1"/>
          <w:bCs w:val="1"/>
          <w:color w:val="auto"/>
        </w:rPr>
        <w:t>EXHIBIT 12.1</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COMPUTATION OF RATIO OF EARNINGS TO COMBINED FIXED CHARGES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PREFERRED STOCK DIVIDENDS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04"/>
        </w:trPr>
        <w:tc>
          <w:tcPr>
            <w:tcW w:w="4020" w:type="dxa"/>
            <w:vAlign w:val="bottom"/>
          </w:tcPr>
          <w:p>
            <w:pPr>
              <w:spacing w:after="0"/>
              <w:rPr>
                <w:sz w:val="17"/>
                <w:szCs w:val="17"/>
                <w:color w:val="auto"/>
              </w:rPr>
            </w:pPr>
          </w:p>
        </w:tc>
        <w:tc>
          <w:tcPr>
            <w:tcW w:w="1020" w:type="dxa"/>
            <w:vAlign w:val="bottom"/>
          </w:tcPr>
          <w:p>
            <w:pPr>
              <w:jc w:val="right"/>
              <w:ind w:right="280"/>
              <w:spacing w:after="0"/>
              <w:rPr>
                <w:sz w:val="20"/>
                <w:szCs w:val="20"/>
                <w:color w:val="auto"/>
              </w:rPr>
            </w:pPr>
            <w:r>
              <w:rPr>
                <w:rFonts w:ascii="Arial" w:cs="Arial" w:eastAsia="Arial" w:hAnsi="Arial"/>
                <w:sz w:val="16"/>
                <w:szCs w:val="16"/>
                <w:color w:val="auto"/>
              </w:rPr>
              <w:t>2005</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2006</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2007</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2008</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2009</w:t>
            </w:r>
          </w:p>
        </w:tc>
        <w:tc>
          <w:tcPr>
            <w:tcW w:w="1540" w:type="dxa"/>
            <w:vAlign w:val="bottom"/>
            <w:gridSpan w:val="2"/>
          </w:tcPr>
          <w:p>
            <w:pPr>
              <w:jc w:val="right"/>
              <w:ind w:right="420"/>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20"/>
                <w:szCs w:val="20"/>
                <w:color w:val="auto"/>
              </w:rPr>
            </w:pPr>
            <w:r>
              <w:rPr>
                <w:rFonts w:ascii="Arial" w:cs="Arial" w:eastAsia="Arial" w:hAnsi="Arial"/>
                <w:sz w:val="16"/>
                <w:szCs w:val="16"/>
                <w:color w:val="auto"/>
              </w:rPr>
              <w:t>Fixed charges and preferred stock dividends:</w:t>
            </w: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20" w:type="dxa"/>
            <w:vAlign w:val="bottom"/>
          </w:tcPr>
          <w:p>
            <w:pPr>
              <w:spacing w:after="0"/>
              <w:rPr>
                <w:sz w:val="20"/>
                <w:szCs w:val="20"/>
                <w:color w:val="auto"/>
              </w:rPr>
            </w:pPr>
            <w:r>
              <w:rPr>
                <w:rFonts w:ascii="Arial" w:cs="Arial" w:eastAsia="Arial" w:hAnsi="Arial"/>
                <w:sz w:val="16"/>
                <w:szCs w:val="16"/>
                <w:color w:val="auto"/>
              </w:rPr>
              <w:t>Interest</w:t>
            </w:r>
          </w:p>
        </w:tc>
        <w:tc>
          <w:tcPr>
            <w:tcW w:w="1020" w:type="dxa"/>
            <w:vAlign w:val="bottom"/>
          </w:tcPr>
          <w:p>
            <w:pPr>
              <w:jc w:val="right"/>
              <w:spacing w:after="0"/>
              <w:rPr>
                <w:sz w:val="20"/>
                <w:szCs w:val="20"/>
                <w:color w:val="auto"/>
              </w:rPr>
            </w:pPr>
            <w:r>
              <w:rPr>
                <w:rFonts w:ascii="Arial" w:cs="Arial" w:eastAsia="Arial" w:hAnsi="Arial"/>
                <w:sz w:val="16"/>
                <w:szCs w:val="16"/>
                <w:color w:val="auto"/>
              </w:rPr>
              <w:t>$ 342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$ 413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$ 379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$ 353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$ 455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$ 366</w:t>
            </w:r>
          </w:p>
        </w:tc>
        <w:tc>
          <w:tcPr>
            <w:tcW w:w="0" w:type="dxa"/>
            <w:vAlign w:val="bottom"/>
          </w:tcPr>
          <w:p>
            <w:pPr>
              <w:spacing w:after="0"/>
              <w:rPr>
                <w:sz w:val="1"/>
                <w:szCs w:val="1"/>
                <w:color w:val="auto"/>
              </w:rPr>
            </w:pPr>
          </w:p>
        </w:tc>
      </w:tr>
      <w:tr>
        <w:trPr>
          <w:trHeight w:val="204"/>
        </w:trPr>
        <w:tc>
          <w:tcPr>
            <w:tcW w:w="4020" w:type="dxa"/>
            <w:vAlign w:val="bottom"/>
          </w:tcPr>
          <w:p>
            <w:pPr>
              <w:spacing w:after="0"/>
              <w:rPr>
                <w:sz w:val="20"/>
                <w:szCs w:val="20"/>
                <w:color w:val="auto"/>
              </w:rPr>
            </w:pPr>
            <w:r>
              <w:rPr>
                <w:rFonts w:ascii="Arial" w:cs="Arial" w:eastAsia="Arial" w:hAnsi="Arial"/>
                <w:sz w:val="16"/>
                <w:szCs w:val="16"/>
                <w:color w:val="auto"/>
              </w:rPr>
              <w:t>Interest portion of annual rentals</w:t>
            </w: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4020" w:type="dxa"/>
            <w:vAlign w:val="bottom"/>
          </w:tcPr>
          <w:p>
            <w:pPr>
              <w:spacing w:after="0"/>
              <w:rPr>
                <w:sz w:val="20"/>
                <w:szCs w:val="20"/>
                <w:color w:val="auto"/>
              </w:rPr>
            </w:pPr>
            <w:r>
              <w:rPr>
                <w:rFonts w:ascii="Arial" w:cs="Arial" w:eastAsia="Arial" w:hAnsi="Arial"/>
                <w:sz w:val="16"/>
                <w:szCs w:val="16"/>
                <w:color w:val="auto"/>
              </w:rPr>
              <w:t>Preferred dividends of subsidiaries (1)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6"/>
        </w:trPr>
        <w:tc>
          <w:tcPr>
            <w:tcW w:w="4020" w:type="dxa"/>
            <w:vAlign w:val="bottom"/>
          </w:tcPr>
          <w:p>
            <w:pPr>
              <w:ind w:left="220"/>
              <w:spacing w:after="0"/>
              <w:rPr>
                <w:sz w:val="20"/>
                <w:szCs w:val="20"/>
                <w:color w:val="auto"/>
              </w:rPr>
            </w:pPr>
            <w:r>
              <w:rPr>
                <w:rFonts w:ascii="Arial" w:cs="Arial" w:eastAsia="Arial" w:hAnsi="Arial"/>
                <w:sz w:val="16"/>
                <w:szCs w:val="16"/>
                <w:color w:val="auto"/>
              </w:rPr>
              <w:t>Total fixed charges</w:t>
            </w:r>
          </w:p>
        </w:tc>
        <w:tc>
          <w:tcPr>
            <w:tcW w:w="1020" w:type="dxa"/>
            <w:vAlign w:val="bottom"/>
          </w:tcPr>
          <w:p>
            <w:pPr>
              <w:jc w:val="right"/>
              <w:spacing w:after="0"/>
              <w:rPr>
                <w:sz w:val="20"/>
                <w:szCs w:val="20"/>
                <w:color w:val="auto"/>
              </w:rPr>
            </w:pPr>
            <w:r>
              <w:rPr>
                <w:rFonts w:ascii="Arial" w:cs="Arial" w:eastAsia="Arial" w:hAnsi="Arial"/>
                <w:sz w:val="16"/>
                <w:szCs w:val="16"/>
                <w:color w:val="auto"/>
              </w:rPr>
              <w:t>357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434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399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369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470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04"/>
        </w:trPr>
        <w:tc>
          <w:tcPr>
            <w:tcW w:w="4020" w:type="dxa"/>
            <w:vAlign w:val="bottom"/>
          </w:tcPr>
          <w:p>
            <w:pPr>
              <w:spacing w:after="0"/>
              <w:rPr>
                <w:sz w:val="20"/>
                <w:szCs w:val="20"/>
                <w:color w:val="auto"/>
              </w:rPr>
            </w:pPr>
            <w:r>
              <w:rPr>
                <w:rFonts w:ascii="Arial" w:cs="Arial" w:eastAsia="Arial" w:hAnsi="Arial"/>
                <w:sz w:val="16"/>
                <w:szCs w:val="16"/>
                <w:color w:val="auto"/>
              </w:rPr>
              <w:t>Preferred dividends for purpose of ratio</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4020" w:type="dxa"/>
            <w:vAlign w:val="bottom"/>
          </w:tcPr>
          <w:p>
            <w:pPr>
              <w:spacing w:after="0" w:line="171" w:lineRule="exact"/>
              <w:rPr>
                <w:sz w:val="20"/>
                <w:szCs w:val="20"/>
                <w:color w:val="auto"/>
              </w:rPr>
            </w:pPr>
            <w:r>
              <w:rPr>
                <w:rFonts w:ascii="Arial" w:cs="Arial" w:eastAsia="Arial" w:hAnsi="Arial"/>
                <w:sz w:val="16"/>
                <w:szCs w:val="16"/>
                <w:color w:val="auto"/>
              </w:rPr>
              <w:t>Total fixed charges and preferred dividends for</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$ 357</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$ 434</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$ 399</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$ 369</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$ 470</w:t>
            </w:r>
          </w:p>
        </w:tc>
        <w:tc>
          <w:tcPr>
            <w:tcW w:w="1540" w:type="dxa"/>
            <w:vAlign w:val="bottom"/>
            <w:gridSpan w:val="2"/>
            <w:vMerge w:val="restart"/>
          </w:tcPr>
          <w:p>
            <w:pPr>
              <w:jc w:val="right"/>
              <w:spacing w:after="0"/>
              <w:rPr>
                <w:sz w:val="20"/>
                <w:szCs w:val="20"/>
                <w:color w:val="auto"/>
              </w:rPr>
            </w:pPr>
            <w:r>
              <w:rPr>
                <w:rFonts w:ascii="Arial" w:cs="Arial" w:eastAsia="Arial" w:hAnsi="Arial"/>
                <w:sz w:val="16"/>
                <w:szCs w:val="16"/>
                <w:color w:val="auto"/>
              </w:rPr>
              <w:t>$ 377</w:t>
            </w:r>
          </w:p>
        </w:tc>
        <w:tc>
          <w:tcPr>
            <w:tcW w:w="0" w:type="dxa"/>
            <w:vAlign w:val="bottom"/>
          </w:tcPr>
          <w:p>
            <w:pPr>
              <w:spacing w:after="0"/>
              <w:rPr>
                <w:sz w:val="1"/>
                <w:szCs w:val="1"/>
                <w:color w:val="auto"/>
              </w:rPr>
            </w:pPr>
          </w:p>
        </w:tc>
      </w:tr>
      <w:tr>
        <w:trPr>
          <w:trHeight w:val="157"/>
        </w:trPr>
        <w:tc>
          <w:tcPr>
            <w:tcW w:w="4020" w:type="dxa"/>
            <w:vAlign w:val="bottom"/>
          </w:tcPr>
          <w:p>
            <w:pPr>
              <w:ind w:left="240"/>
              <w:spacing w:after="0" w:line="157" w:lineRule="exact"/>
              <w:rPr>
                <w:sz w:val="20"/>
                <w:szCs w:val="20"/>
                <w:color w:val="auto"/>
              </w:rPr>
            </w:pPr>
            <w:r>
              <w:rPr>
                <w:rFonts w:ascii="Arial" w:cs="Arial" w:eastAsia="Arial" w:hAnsi="Arial"/>
                <w:sz w:val="16"/>
                <w:szCs w:val="16"/>
                <w:color w:val="auto"/>
              </w:rPr>
              <w:t>purpose of ratio</w:t>
            </w:r>
          </w:p>
        </w:tc>
        <w:tc>
          <w:tcPr>
            <w:tcW w:w="102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6"/>
                <w:szCs w:val="16"/>
                <w:color w:val="auto"/>
              </w:rPr>
              <w:t>Earnings: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2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20" w:type="dxa"/>
            <w:vAlign w:val="bottom"/>
          </w:tcPr>
          <w:p>
            <w:pPr>
              <w:spacing w:after="0"/>
              <w:rPr>
                <w:sz w:val="20"/>
                <w:szCs w:val="20"/>
                <w:color w:val="auto"/>
              </w:rPr>
            </w:pPr>
            <w:r>
              <w:rPr>
                <w:rFonts w:ascii="Arial" w:cs="Arial" w:eastAsia="Arial" w:hAnsi="Arial"/>
                <w:sz w:val="16"/>
                <w:szCs w:val="16"/>
                <w:color w:val="auto"/>
              </w:rPr>
              <w:t>Pretax income from continuing operations before</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20" w:type="dxa"/>
            <w:vAlign w:val="bottom"/>
          </w:tcPr>
          <w:p>
            <w:pPr>
              <w:ind w:left="240"/>
              <w:spacing w:after="0" w:line="180" w:lineRule="exact"/>
              <w:rPr>
                <w:sz w:val="20"/>
                <w:szCs w:val="20"/>
                <w:color w:val="auto"/>
              </w:rPr>
            </w:pPr>
            <w:r>
              <w:rPr>
                <w:rFonts w:ascii="Arial" w:cs="Arial" w:eastAsia="Arial" w:hAnsi="Arial"/>
                <w:sz w:val="16"/>
                <w:szCs w:val="16"/>
                <w:color w:val="auto"/>
              </w:rPr>
              <w:t>adjustment for income or loss from equity</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20" w:type="dxa"/>
            <w:vAlign w:val="bottom"/>
          </w:tcPr>
          <w:p>
            <w:pPr>
              <w:ind w:left="240"/>
              <w:spacing w:after="0"/>
              <w:rPr>
                <w:sz w:val="20"/>
                <w:szCs w:val="20"/>
                <w:color w:val="auto"/>
              </w:rPr>
            </w:pPr>
            <w:r>
              <w:rPr>
                <w:rFonts w:ascii="Arial" w:cs="Arial" w:eastAsia="Arial" w:hAnsi="Arial"/>
                <w:sz w:val="16"/>
                <w:szCs w:val="16"/>
                <w:color w:val="auto"/>
              </w:rPr>
              <w:t>investees</w:t>
            </w:r>
          </w:p>
        </w:tc>
        <w:tc>
          <w:tcPr>
            <w:tcW w:w="1020" w:type="dxa"/>
            <w:vAlign w:val="bottom"/>
          </w:tcPr>
          <w:p>
            <w:pPr>
              <w:jc w:val="right"/>
              <w:spacing w:after="0"/>
              <w:rPr>
                <w:sz w:val="20"/>
                <w:szCs w:val="20"/>
                <w:color w:val="auto"/>
              </w:rPr>
            </w:pPr>
            <w:r>
              <w:rPr>
                <w:rFonts w:ascii="Arial" w:cs="Arial" w:eastAsia="Arial" w:hAnsi="Arial"/>
                <w:sz w:val="16"/>
                <w:szCs w:val="16"/>
                <w:color w:val="auto"/>
              </w:rPr>
              <w:t>$ 891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$ 1,579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$ 1,538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$ 1,009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$ 977</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$ 741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Add: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20" w:type="dxa"/>
            <w:vAlign w:val="bottom"/>
          </w:tcPr>
          <w:p>
            <w:pPr>
              <w:ind w:left="100"/>
              <w:spacing w:after="0"/>
              <w:rPr>
                <w:sz w:val="20"/>
                <w:szCs w:val="20"/>
                <w:color w:val="auto"/>
              </w:rPr>
            </w:pPr>
            <w:r>
              <w:rPr>
                <w:rFonts w:ascii="Arial" w:cs="Arial" w:eastAsia="Arial" w:hAnsi="Arial"/>
                <w:sz w:val="16"/>
                <w:szCs w:val="16"/>
                <w:color w:val="auto"/>
              </w:rPr>
              <w:t>Total fixed charges (from above)</w:t>
            </w:r>
          </w:p>
        </w:tc>
        <w:tc>
          <w:tcPr>
            <w:tcW w:w="1020" w:type="dxa"/>
            <w:vAlign w:val="bottom"/>
          </w:tcPr>
          <w:p>
            <w:pPr>
              <w:jc w:val="right"/>
              <w:spacing w:after="0"/>
              <w:rPr>
                <w:sz w:val="20"/>
                <w:szCs w:val="20"/>
                <w:color w:val="auto"/>
              </w:rPr>
            </w:pPr>
            <w:r>
              <w:rPr>
                <w:rFonts w:ascii="Arial" w:cs="Arial" w:eastAsia="Arial" w:hAnsi="Arial"/>
                <w:sz w:val="16"/>
                <w:szCs w:val="16"/>
                <w:color w:val="auto"/>
              </w:rPr>
              <w:t>357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434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399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369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470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04"/>
        </w:trPr>
        <w:tc>
          <w:tcPr>
            <w:tcW w:w="4020" w:type="dxa"/>
            <w:vAlign w:val="bottom"/>
          </w:tcPr>
          <w:p>
            <w:pPr>
              <w:ind w:left="100"/>
              <w:spacing w:after="0"/>
              <w:rPr>
                <w:sz w:val="20"/>
                <w:szCs w:val="20"/>
                <w:color w:val="auto"/>
              </w:rPr>
            </w:pPr>
            <w:r>
              <w:rPr>
                <w:rFonts w:ascii="Arial" w:cs="Arial" w:eastAsia="Arial" w:hAnsi="Arial"/>
                <w:sz w:val="16"/>
                <w:szCs w:val="16"/>
                <w:color w:val="auto"/>
              </w:rPr>
              <w:t>Distributed income of equity investees</w:t>
            </w:r>
          </w:p>
        </w:tc>
        <w:tc>
          <w:tcPr>
            <w:tcW w:w="1020" w:type="dxa"/>
            <w:vAlign w:val="bottom"/>
          </w:tcPr>
          <w:p>
            <w:pPr>
              <w:jc w:val="right"/>
              <w:spacing w:after="0"/>
              <w:rPr>
                <w:sz w:val="20"/>
                <w:szCs w:val="20"/>
                <w:color w:val="auto"/>
              </w:rPr>
            </w:pPr>
            <w:r>
              <w:rPr>
                <w:rFonts w:ascii="Arial" w:cs="Arial" w:eastAsia="Arial" w:hAnsi="Arial"/>
                <w:sz w:val="16"/>
                <w:szCs w:val="16"/>
                <w:color w:val="auto"/>
              </w:rPr>
              <w:t>73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431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493</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Less: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440"/>
          </w:cols>
          <w:pgMar w:left="240" w:top="1115" w:right="219" w:bottom="1440" w:gutter="0" w:footer="0" w:header="0"/>
        </w:sectPr>
      </w:pPr>
    </w:p>
    <w:p>
      <w:pPr>
        <w:ind w:left="100"/>
        <w:spacing w:after="0"/>
        <w:rPr>
          <w:sz w:val="20"/>
          <w:szCs w:val="20"/>
          <w:color w:val="auto"/>
        </w:rPr>
      </w:pPr>
      <w:r>
        <w:rPr>
          <w:rFonts w:ascii="Arial" w:cs="Arial" w:eastAsia="Arial" w:hAnsi="Arial"/>
          <w:sz w:val="16"/>
          <w:szCs w:val="16"/>
          <w:color w:val="auto"/>
        </w:rPr>
        <w:t>Interest capitalized</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Preferred dividends of subsidiaries (1)</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Total earnings for purpose of ratio</w:t>
      </w:r>
    </w:p>
    <w:p>
      <w:pPr>
        <w:spacing w:after="0" w:line="20" w:lineRule="exact"/>
        <w:rPr>
          <w:sz w:val="20"/>
          <w:szCs w:val="20"/>
          <w:color w:val="auto"/>
        </w:rPr>
      </w:pPr>
    </w:p>
    <w:p>
      <w:pPr>
        <w:ind w:left="240" w:hanging="229"/>
        <w:spacing w:after="0" w:line="246" w:lineRule="auto"/>
        <w:rPr>
          <w:sz w:val="20"/>
          <w:szCs w:val="20"/>
          <w:color w:val="auto"/>
        </w:rPr>
      </w:pPr>
      <w:r>
        <w:rPr>
          <w:rFonts w:ascii="Arial" w:cs="Arial" w:eastAsia="Arial" w:hAnsi="Arial"/>
          <w:sz w:val="16"/>
          <w:szCs w:val="16"/>
          <w:color w:val="auto"/>
        </w:rPr>
        <w:t>Ratio of earnings to combined fixed charges and preferred stock dividends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Ratio of earnings to fixed charges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jc w:val="right"/>
              <w:spacing w:after="0"/>
              <w:rPr>
                <w:sz w:val="20"/>
                <w:szCs w:val="20"/>
                <w:color w:val="auto"/>
              </w:rPr>
            </w:pPr>
            <w:r>
              <w:rPr>
                <w:rFonts w:ascii="Arial" w:cs="Arial" w:eastAsia="Arial" w:hAnsi="Arial"/>
                <w:sz w:val="16"/>
                <w:szCs w:val="16"/>
                <w:color w:val="auto"/>
              </w:rPr>
              <w:t>28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04"/>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196"/>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$ 1,283</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$ 2,376</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$ 1,846</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$ 1,401</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$ 1,854</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$ 1,332</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24"/>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2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22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96"/>
        </w:trPr>
        <w:tc>
          <w:tcPr>
            <w:tcW w:w="1020" w:type="dxa"/>
            <w:vAlign w:val="bottom"/>
          </w:tcPr>
          <w:p>
            <w:pPr>
              <w:jc w:val="right"/>
              <w:spacing w:after="0"/>
              <w:rPr>
                <w:sz w:val="20"/>
                <w:szCs w:val="20"/>
                <w:color w:val="auto"/>
              </w:rPr>
            </w:pPr>
            <w:r>
              <w:rPr>
                <w:rFonts w:ascii="Arial" w:cs="Arial" w:eastAsia="Arial" w:hAnsi="Arial"/>
                <w:sz w:val="16"/>
                <w:szCs w:val="16"/>
                <w:color w:val="auto"/>
              </w:rPr>
              <w:t>3.59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5.47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4.63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3.80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3.94</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3.53</w:t>
            </w: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440" w:space="580"/>
            <w:col w:w="7420"/>
          </w:cols>
          <w:pgMar w:left="240" w:top="1115" w:right="219" w:bottom="1440" w:gutter="0" w:footer="0" w:header="0"/>
          <w:type w:val="continuous"/>
        </w:sectPr>
      </w:pPr>
    </w:p>
    <w:p>
      <w:pPr>
        <w:spacing w:after="0" w:line="27" w:lineRule="exact"/>
        <w:rPr>
          <w:sz w:val="20"/>
          <w:szCs w:val="20"/>
          <w:color w:val="auto"/>
        </w:rPr>
      </w:pPr>
    </w:p>
    <w:p>
      <w:pPr>
        <w:ind w:left="380" w:right="120" w:hanging="296"/>
        <w:spacing w:after="0" w:line="246" w:lineRule="auto"/>
        <w:tabs>
          <w:tab w:leader="none" w:pos="3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440"/>
          </w:cols>
          <w:pgMar w:left="240" w:top="1115" w:right="219" w:bottom="1440" w:gutter="0" w:footer="0" w:header="0"/>
          <w:type w:val="continuous"/>
        </w:sectPr>
      </w:pPr>
    </w:p>
    <w:bookmarkStart w:id="78" w:name="page79"/>
    <w:bookmarkEnd w:id="78"/>
    <w:p>
      <w:pPr>
        <w:jc w:val="center"/>
        <w:ind w:right="20"/>
        <w:spacing w:after="0"/>
        <w:rPr>
          <w:sz w:val="20"/>
          <w:szCs w:val="20"/>
          <w:color w:val="auto"/>
        </w:rPr>
      </w:pPr>
      <w:r>
        <w:rPr>
          <w:rFonts w:ascii="Arial" w:cs="Arial" w:eastAsia="Arial" w:hAnsi="Arial"/>
          <w:sz w:val="16"/>
          <w:szCs w:val="16"/>
          <w:b w:val="1"/>
          <w:bCs w:val="1"/>
          <w:color w:val="auto"/>
        </w:rPr>
        <w:t>EXHIBIT 12.2</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COMPUTATION OF RATIO OF EARNINGS TO COMBINED FIXED CHARGES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PREFERRED STOCK DIVIDENDS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1080" w:type="dxa"/>
            <w:vAlign w:val="bottom"/>
          </w:tcPr>
          <w:p>
            <w:pPr>
              <w:jc w:val="right"/>
              <w:ind w:right="300"/>
              <w:spacing w:after="0"/>
              <w:rPr>
                <w:sz w:val="20"/>
                <w:szCs w:val="20"/>
                <w:color w:val="auto"/>
              </w:rPr>
            </w:pPr>
            <w:r>
              <w:rPr>
                <w:rFonts w:ascii="Arial" w:cs="Arial" w:eastAsia="Arial" w:hAnsi="Arial"/>
                <w:sz w:val="16"/>
                <w:szCs w:val="16"/>
                <w:color w:val="auto"/>
              </w:rPr>
              <w:t>2005</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2006</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2007</w:t>
            </w: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2008</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2009</w:t>
            </w:r>
          </w:p>
        </w:tc>
        <w:tc>
          <w:tcPr>
            <w:tcW w:w="1540" w:type="dxa"/>
            <w:vAlign w:val="bottom"/>
            <w:gridSpan w:val="2"/>
          </w:tcPr>
          <w:p>
            <w:pPr>
              <w:jc w:val="right"/>
              <w:ind w:right="420"/>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208"/>
        </w:trPr>
        <w:tc>
          <w:tcPr>
            <w:tcW w:w="3600" w:type="dxa"/>
            <w:vAlign w:val="bottom"/>
          </w:tcPr>
          <w:p>
            <w:pPr>
              <w:spacing w:after="0"/>
              <w:rPr>
                <w:sz w:val="20"/>
                <w:szCs w:val="20"/>
                <w:color w:val="auto"/>
              </w:rPr>
            </w:pPr>
            <w:r>
              <w:rPr>
                <w:rFonts w:ascii="Arial" w:cs="Arial" w:eastAsia="Arial" w:hAnsi="Arial"/>
                <w:sz w:val="16"/>
                <w:szCs w:val="16"/>
                <w:color w:val="auto"/>
              </w:rPr>
              <w:t>Fixed Charges and Preferred Stock Dividends:</w:t>
            </w: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Interest</w:t>
            </w:r>
          </w:p>
        </w:tc>
        <w:tc>
          <w:tcPr>
            <w:tcW w:w="1080" w:type="dxa"/>
            <w:vAlign w:val="bottom"/>
          </w:tcPr>
          <w:p>
            <w:pPr>
              <w:jc w:val="right"/>
              <w:spacing w:after="0"/>
              <w:rPr>
                <w:sz w:val="20"/>
                <w:szCs w:val="20"/>
                <w:color w:val="auto"/>
              </w:rPr>
            </w:pPr>
            <w:r>
              <w:rPr>
                <w:rFonts w:ascii="Arial" w:cs="Arial" w:eastAsia="Arial" w:hAnsi="Arial"/>
                <w:sz w:val="16"/>
                <w:szCs w:val="16"/>
                <w:color w:val="auto"/>
              </w:rPr>
              <w:t>$ 77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$ 102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$ 105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$ 107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$ 118</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$ 110</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Interest portion of annual rentals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20"/>
                <w:szCs w:val="20"/>
                <w:color w:val="auto"/>
              </w:rPr>
            </w:pPr>
            <w:r>
              <w:rPr>
                <w:rFonts w:ascii="Arial" w:cs="Arial" w:eastAsia="Arial" w:hAnsi="Arial"/>
                <w:sz w:val="16"/>
                <w:szCs w:val="16"/>
                <w:color w:val="auto"/>
              </w:rPr>
              <w:t>Total fixed charges</w:t>
            </w:r>
          </w:p>
        </w:tc>
        <w:tc>
          <w:tcPr>
            <w:tcW w:w="1080" w:type="dxa"/>
            <w:vAlign w:val="bottom"/>
          </w:tcPr>
          <w:p>
            <w:pPr>
              <w:jc w:val="right"/>
              <w:spacing w:after="0"/>
              <w:rPr>
                <w:sz w:val="20"/>
                <w:szCs w:val="20"/>
                <w:color w:val="auto"/>
              </w:rPr>
            </w:pPr>
            <w:r>
              <w:rPr>
                <w:rFonts w:ascii="Arial" w:cs="Arial" w:eastAsia="Arial" w:hAnsi="Arial"/>
                <w:sz w:val="16"/>
                <w:szCs w:val="16"/>
                <w:color w:val="auto"/>
              </w:rPr>
              <w:t>80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119</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Preferred stock dividends (1)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3"/>
        </w:trPr>
        <w:tc>
          <w:tcPr>
            <w:tcW w:w="3600" w:type="dxa"/>
            <w:vAlign w:val="bottom"/>
          </w:tcPr>
          <w:p>
            <w:pPr>
              <w:spacing w:after="0"/>
              <w:rPr>
                <w:sz w:val="20"/>
                <w:szCs w:val="20"/>
                <w:color w:val="auto"/>
              </w:rPr>
            </w:pPr>
            <w:r>
              <w:rPr>
                <w:rFonts w:ascii="Arial" w:cs="Arial" w:eastAsia="Arial" w:hAnsi="Arial"/>
                <w:sz w:val="16"/>
                <w:szCs w:val="16"/>
                <w:color w:val="auto"/>
              </w:rPr>
              <w:t>Combined fixed charges and preferred stock</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$ 86</w:t>
            </w:r>
          </w:p>
        </w:tc>
        <w:tc>
          <w:tcPr>
            <w:tcW w:w="1300" w:type="dxa"/>
            <w:vAlign w:val="bottom"/>
            <w:gridSpan w:val="2"/>
            <w:vMerge w:val="restart"/>
          </w:tcPr>
          <w:p>
            <w:pPr>
              <w:jc w:val="right"/>
              <w:spacing w:after="0"/>
              <w:rPr>
                <w:sz w:val="20"/>
                <w:szCs w:val="20"/>
                <w:color w:val="auto"/>
              </w:rPr>
            </w:pPr>
            <w:r>
              <w:rPr>
                <w:rFonts w:ascii="Arial" w:cs="Arial" w:eastAsia="Arial" w:hAnsi="Arial"/>
                <w:sz w:val="16"/>
                <w:szCs w:val="16"/>
                <w:color w:val="auto"/>
              </w:rPr>
              <w:t>$ 113</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$ 115</w:t>
            </w:r>
          </w:p>
        </w:tc>
        <w:tc>
          <w:tcPr>
            <w:tcW w:w="1300" w:type="dxa"/>
            <w:vAlign w:val="bottom"/>
            <w:gridSpan w:val="2"/>
            <w:vMerge w:val="restart"/>
          </w:tcPr>
          <w:p>
            <w:pPr>
              <w:jc w:val="right"/>
              <w:spacing w:after="0"/>
              <w:rPr>
                <w:sz w:val="20"/>
                <w:szCs w:val="20"/>
                <w:color w:val="auto"/>
              </w:rPr>
            </w:pPr>
            <w:r>
              <w:rPr>
                <w:rFonts w:ascii="Arial" w:cs="Arial" w:eastAsia="Arial" w:hAnsi="Arial"/>
                <w:sz w:val="16"/>
                <w:szCs w:val="16"/>
                <w:color w:val="auto"/>
              </w:rPr>
              <w:t>$ 115</w:t>
            </w:r>
          </w:p>
        </w:tc>
        <w:tc>
          <w:tcPr>
            <w:tcW w:w="1300" w:type="dxa"/>
            <w:vAlign w:val="bottom"/>
            <w:gridSpan w:val="2"/>
            <w:vMerge w:val="restart"/>
          </w:tcPr>
          <w:p>
            <w:pPr>
              <w:jc w:val="right"/>
              <w:spacing w:after="0"/>
              <w:rPr>
                <w:sz w:val="20"/>
                <w:szCs w:val="20"/>
                <w:color w:val="auto"/>
              </w:rPr>
            </w:pPr>
            <w:r>
              <w:rPr>
                <w:rFonts w:ascii="Arial" w:cs="Arial" w:eastAsia="Arial" w:hAnsi="Arial"/>
                <w:sz w:val="16"/>
                <w:szCs w:val="16"/>
                <w:color w:val="auto"/>
              </w:rPr>
              <w:t>$ 126</w:t>
            </w:r>
          </w:p>
        </w:tc>
        <w:tc>
          <w:tcPr>
            <w:tcW w:w="1540" w:type="dxa"/>
            <w:vAlign w:val="bottom"/>
            <w:gridSpan w:val="2"/>
            <w:vMerge w:val="restart"/>
          </w:tcPr>
          <w:p>
            <w:pPr>
              <w:jc w:val="right"/>
              <w:spacing w:after="0"/>
              <w:rPr>
                <w:sz w:val="20"/>
                <w:szCs w:val="20"/>
                <w:color w:val="auto"/>
              </w:rPr>
            </w:pPr>
            <w:r>
              <w:rPr>
                <w:rFonts w:ascii="Arial" w:cs="Arial" w:eastAsia="Arial" w:hAnsi="Arial"/>
                <w:sz w:val="16"/>
                <w:szCs w:val="16"/>
                <w:color w:val="auto"/>
              </w:rPr>
              <w:t>$ 117</w:t>
            </w:r>
          </w:p>
        </w:tc>
        <w:tc>
          <w:tcPr>
            <w:tcW w:w="0" w:type="dxa"/>
            <w:vAlign w:val="bottom"/>
          </w:tcPr>
          <w:p>
            <w:pPr>
              <w:spacing w:after="0"/>
              <w:rPr>
                <w:sz w:val="1"/>
                <w:szCs w:val="1"/>
                <w:color w:val="auto"/>
              </w:rPr>
            </w:pPr>
          </w:p>
        </w:tc>
      </w:tr>
      <w:tr>
        <w:trPr>
          <w:trHeight w:val="157"/>
        </w:trPr>
        <w:tc>
          <w:tcPr>
            <w:tcW w:w="3600" w:type="dxa"/>
            <w:vAlign w:val="bottom"/>
          </w:tcPr>
          <w:p>
            <w:pPr>
              <w:ind w:left="240"/>
              <w:spacing w:after="0" w:line="157" w:lineRule="exact"/>
              <w:rPr>
                <w:sz w:val="20"/>
                <w:szCs w:val="20"/>
                <w:color w:val="auto"/>
              </w:rPr>
            </w:pPr>
            <w:r>
              <w:rPr>
                <w:rFonts w:ascii="Arial" w:cs="Arial" w:eastAsia="Arial" w:hAnsi="Arial"/>
                <w:sz w:val="16"/>
                <w:szCs w:val="16"/>
                <w:color w:val="auto"/>
              </w:rPr>
              <w:t>dividends for purpose of ratio</w:t>
            </w:r>
          </w:p>
        </w:tc>
        <w:tc>
          <w:tcPr>
            <w:tcW w:w="1080" w:type="dxa"/>
            <w:vAlign w:val="bottom"/>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6"/>
                <w:szCs w:val="16"/>
                <w:color w:val="auto"/>
              </w:rPr>
              <w:t>Earnings: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0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Pretax income from continuing operations</w:t>
            </w:r>
          </w:p>
        </w:tc>
        <w:tc>
          <w:tcPr>
            <w:tcW w:w="1080" w:type="dxa"/>
            <w:vAlign w:val="bottom"/>
          </w:tcPr>
          <w:p>
            <w:pPr>
              <w:jc w:val="right"/>
              <w:spacing w:after="0"/>
              <w:rPr>
                <w:sz w:val="20"/>
                <w:szCs w:val="20"/>
                <w:color w:val="auto"/>
              </w:rPr>
            </w:pPr>
            <w:r>
              <w:rPr>
                <w:rFonts w:ascii="Arial" w:cs="Arial" w:eastAsia="Arial" w:hAnsi="Arial"/>
                <w:sz w:val="16"/>
                <w:szCs w:val="16"/>
                <w:color w:val="auto"/>
              </w:rPr>
              <w:t>$ 356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$ 394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$ 406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$ 451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$ 550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$ 365</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Total fixed charges (from above)</w:t>
            </w:r>
          </w:p>
        </w:tc>
        <w:tc>
          <w:tcPr>
            <w:tcW w:w="1080" w:type="dxa"/>
            <w:vAlign w:val="bottom"/>
          </w:tcPr>
          <w:p>
            <w:pPr>
              <w:jc w:val="right"/>
              <w:spacing w:after="0"/>
              <w:rPr>
                <w:sz w:val="20"/>
                <w:szCs w:val="20"/>
                <w:color w:val="auto"/>
              </w:rPr>
            </w:pPr>
            <w:r>
              <w:rPr>
                <w:rFonts w:ascii="Arial" w:cs="Arial" w:eastAsia="Arial" w:hAnsi="Arial"/>
                <w:sz w:val="16"/>
                <w:szCs w:val="16"/>
                <w:color w:val="auto"/>
              </w:rPr>
              <w:t>80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119</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Less: Interest capitalized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20"/>
                <w:szCs w:val="20"/>
                <w:color w:val="auto"/>
              </w:rPr>
            </w:pPr>
            <w:r>
              <w:rPr>
                <w:rFonts w:ascii="Arial" w:cs="Arial" w:eastAsia="Arial" w:hAnsi="Arial"/>
                <w:sz w:val="16"/>
                <w:szCs w:val="16"/>
                <w:color w:val="auto"/>
              </w:rPr>
              <w:t>Total earnings for purpose of ratio</w:t>
            </w:r>
          </w:p>
        </w:tc>
        <w:tc>
          <w:tcPr>
            <w:tcW w:w="1080" w:type="dxa"/>
            <w:vAlign w:val="bottom"/>
          </w:tcPr>
          <w:p>
            <w:pPr>
              <w:jc w:val="right"/>
              <w:spacing w:after="0"/>
              <w:rPr>
                <w:sz w:val="20"/>
                <w:szCs w:val="20"/>
                <w:color w:val="auto"/>
              </w:rPr>
            </w:pPr>
            <w:r>
              <w:rPr>
                <w:rFonts w:ascii="Arial" w:cs="Arial" w:eastAsia="Arial" w:hAnsi="Arial"/>
                <w:sz w:val="16"/>
                <w:szCs w:val="16"/>
                <w:color w:val="auto"/>
              </w:rPr>
              <w:t>$ 435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$ 498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$ 511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$ 546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$ 665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$ 476</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6"/>
                <w:szCs w:val="16"/>
                <w:color w:val="auto"/>
              </w:rPr>
              <w:t>Ratio of earnings to combined fixed charges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600" w:type="dxa"/>
            <w:vAlign w:val="bottom"/>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5.06</w:t>
            </w:r>
          </w:p>
        </w:tc>
        <w:tc>
          <w:tcPr>
            <w:tcW w:w="220" w:type="dxa"/>
            <w:vAlign w:val="bottom"/>
            <w:vMerge w:val="restart"/>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4.41</w:t>
            </w:r>
          </w:p>
        </w:tc>
        <w:tc>
          <w:tcPr>
            <w:tcW w:w="220" w:type="dxa"/>
            <w:vAlign w:val="bottom"/>
            <w:vMerge w:val="restart"/>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4.44</w:t>
            </w:r>
          </w:p>
        </w:tc>
        <w:tc>
          <w:tcPr>
            <w:tcW w:w="200" w:type="dxa"/>
            <w:vAlign w:val="bottom"/>
            <w:vMerge w:val="restart"/>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4.75</w:t>
            </w:r>
          </w:p>
        </w:tc>
        <w:tc>
          <w:tcPr>
            <w:tcW w:w="220" w:type="dxa"/>
            <w:vAlign w:val="bottom"/>
            <w:vMerge w:val="restart"/>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5.28</w:t>
            </w:r>
          </w:p>
        </w:tc>
        <w:tc>
          <w:tcPr>
            <w:tcW w:w="220" w:type="dxa"/>
            <w:vAlign w:val="bottom"/>
            <w:vMerge w:val="restart"/>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162"/>
        </w:trPr>
        <w:tc>
          <w:tcPr>
            <w:tcW w:w="3600" w:type="dxa"/>
            <w:vAlign w:val="bottom"/>
          </w:tcPr>
          <w:p>
            <w:pPr>
              <w:ind w:left="240"/>
              <w:spacing w:after="0" w:line="157" w:lineRule="exact"/>
              <w:rPr>
                <w:sz w:val="20"/>
                <w:szCs w:val="20"/>
                <w:color w:val="auto"/>
              </w:rPr>
            </w:pPr>
            <w:r>
              <w:rPr>
                <w:rFonts w:ascii="Arial" w:cs="Arial" w:eastAsia="Arial" w:hAnsi="Arial"/>
                <w:sz w:val="16"/>
                <w:szCs w:val="16"/>
                <w:color w:val="auto"/>
              </w:rPr>
              <w:t>and preferred stock dividends</w:t>
            </w:r>
          </w:p>
        </w:tc>
        <w:tc>
          <w:tcPr>
            <w:tcW w:w="10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600" w:type="dxa"/>
            <w:vAlign w:val="bottom"/>
          </w:tcPr>
          <w:p>
            <w:pPr>
              <w:spacing w:after="0"/>
              <w:rPr>
                <w:sz w:val="20"/>
                <w:szCs w:val="20"/>
                <w:color w:val="auto"/>
              </w:rPr>
            </w:pPr>
            <w:r>
              <w:rPr>
                <w:rFonts w:ascii="Arial" w:cs="Arial" w:eastAsia="Arial" w:hAnsi="Arial"/>
                <w:sz w:val="16"/>
                <w:szCs w:val="16"/>
                <w:color w:val="auto"/>
              </w:rPr>
              <w:t>Ratio of earnings to fixed charges</w:t>
            </w:r>
          </w:p>
        </w:tc>
        <w:tc>
          <w:tcPr>
            <w:tcW w:w="1080" w:type="dxa"/>
            <w:vAlign w:val="bottom"/>
          </w:tcPr>
          <w:p>
            <w:pPr>
              <w:jc w:val="right"/>
              <w:spacing w:after="0"/>
              <w:rPr>
                <w:sz w:val="20"/>
                <w:szCs w:val="20"/>
                <w:color w:val="auto"/>
              </w:rPr>
            </w:pPr>
            <w:r>
              <w:rPr>
                <w:rFonts w:ascii="Arial" w:cs="Arial" w:eastAsia="Arial" w:hAnsi="Arial"/>
                <w:sz w:val="16"/>
                <w:szCs w:val="16"/>
                <w:color w:val="auto"/>
              </w:rPr>
              <w:t>5.44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4.74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4.73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5.06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5.59</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0" w:right="360" w:hanging="378"/>
        <w:spacing w:after="0" w:line="246" w:lineRule="auto"/>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440"/>
          </w:cols>
          <w:pgMar w:left="240" w:top="1115" w:right="21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6"/>
          <w:szCs w:val="16"/>
          <w:b w:val="1"/>
          <w:bCs w:val="1"/>
          <w:color w:val="auto"/>
        </w:rPr>
        <w:t>EXHIBIT 12.3</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PACIFIC ENTERPRISES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COMPUTATION OF RATIO OF EARNINGS TO COMBINED FIXED CHARGES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PREFERRED STOCK DIVIDENDS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1080" w:type="dxa"/>
            <w:vAlign w:val="bottom"/>
          </w:tcPr>
          <w:p>
            <w:pPr>
              <w:jc w:val="right"/>
              <w:ind w:right="300"/>
              <w:spacing w:after="0"/>
              <w:rPr>
                <w:sz w:val="20"/>
                <w:szCs w:val="20"/>
                <w:color w:val="auto"/>
              </w:rPr>
            </w:pPr>
            <w:r>
              <w:rPr>
                <w:rFonts w:ascii="Arial" w:cs="Arial" w:eastAsia="Arial" w:hAnsi="Arial"/>
                <w:sz w:val="16"/>
                <w:szCs w:val="16"/>
                <w:color w:val="auto"/>
              </w:rPr>
              <w:t>2005</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2006</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2007</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2008</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2009</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Arial" w:cs="Arial" w:eastAsia="Arial" w:hAnsi="Arial"/>
                <w:sz w:val="16"/>
                <w:szCs w:val="16"/>
                <w:color w:val="auto"/>
              </w:rPr>
              <w:t>Fixed Charges:</w:t>
            </w: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Interest</w:t>
            </w:r>
          </w:p>
        </w:tc>
        <w:tc>
          <w:tcPr>
            <w:tcW w:w="1080" w:type="dxa"/>
            <w:vAlign w:val="bottom"/>
          </w:tcPr>
          <w:p>
            <w:pPr>
              <w:jc w:val="right"/>
              <w:spacing w:after="0"/>
              <w:rPr>
                <w:sz w:val="20"/>
                <w:szCs w:val="20"/>
                <w:color w:val="auto"/>
              </w:rPr>
            </w:pPr>
            <w:r>
              <w:rPr>
                <w:rFonts w:ascii="Arial" w:cs="Arial" w:eastAsia="Arial" w:hAnsi="Arial"/>
                <w:sz w:val="16"/>
                <w:szCs w:val="16"/>
                <w:color w:val="auto"/>
              </w:rPr>
              <w:t>$ 55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$ 78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$ 78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$ 68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$ 75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$ 54</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Interest portion of annual rentals</w:t>
            </w: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Preferred dividends of subsidiary (1)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Arial" w:cs="Arial" w:eastAsia="Arial" w:hAnsi="Arial"/>
                <w:sz w:val="16"/>
                <w:szCs w:val="16"/>
                <w:color w:val="auto"/>
              </w:rPr>
              <w:t>Total fixed charges</w:t>
            </w: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Preferred stock dividends (1)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Arial" w:cs="Arial" w:eastAsia="Arial" w:hAnsi="Arial"/>
                <w:sz w:val="16"/>
                <w:szCs w:val="16"/>
                <w:color w:val="auto"/>
              </w:rPr>
              <w:t>Combined fixed charges and preferred stock</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$ 66</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$ 90</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$ 89</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$ 78</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$ 84</w:t>
            </w:r>
          </w:p>
        </w:tc>
        <w:tc>
          <w:tcPr>
            <w:tcW w:w="1560" w:type="dxa"/>
            <w:vAlign w:val="bottom"/>
            <w:gridSpan w:val="2"/>
            <w:vMerge w:val="restart"/>
          </w:tcPr>
          <w:p>
            <w:pPr>
              <w:jc w:val="right"/>
              <w:spacing w:after="0"/>
              <w:rPr>
                <w:sz w:val="20"/>
                <w:szCs w:val="20"/>
                <w:color w:val="auto"/>
              </w:rPr>
            </w:pPr>
            <w:r>
              <w:rPr>
                <w:rFonts w:ascii="Arial" w:cs="Arial" w:eastAsia="Arial" w:hAnsi="Arial"/>
                <w:sz w:val="16"/>
                <w:szCs w:val="16"/>
                <w:color w:val="auto"/>
              </w:rPr>
              <w:t>$ 60</w:t>
            </w:r>
          </w:p>
        </w:tc>
        <w:tc>
          <w:tcPr>
            <w:tcW w:w="0" w:type="dxa"/>
            <w:vAlign w:val="bottom"/>
          </w:tcPr>
          <w:p>
            <w:pPr>
              <w:spacing w:after="0"/>
              <w:rPr>
                <w:sz w:val="1"/>
                <w:szCs w:val="1"/>
                <w:color w:val="auto"/>
              </w:rPr>
            </w:pPr>
          </w:p>
        </w:tc>
      </w:tr>
      <w:tr>
        <w:trPr>
          <w:trHeight w:val="157"/>
        </w:trPr>
        <w:tc>
          <w:tcPr>
            <w:tcW w:w="3280" w:type="dxa"/>
            <w:vAlign w:val="bottom"/>
          </w:tcPr>
          <w:p>
            <w:pPr>
              <w:ind w:left="240"/>
              <w:spacing w:after="0" w:line="157" w:lineRule="exact"/>
              <w:rPr>
                <w:sz w:val="20"/>
                <w:szCs w:val="20"/>
                <w:color w:val="auto"/>
              </w:rPr>
            </w:pPr>
            <w:r>
              <w:rPr>
                <w:rFonts w:ascii="Arial" w:cs="Arial" w:eastAsia="Arial" w:hAnsi="Arial"/>
                <w:sz w:val="16"/>
                <w:szCs w:val="16"/>
                <w:color w:val="auto"/>
              </w:rPr>
              <w:t>dividends for purpose of ratio</w:t>
            </w:r>
          </w:p>
        </w:tc>
        <w:tc>
          <w:tcPr>
            <w:tcW w:w="1080" w:type="dxa"/>
            <w:vAlign w:val="bottom"/>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6"/>
                <w:szCs w:val="16"/>
                <w:color w:val="auto"/>
              </w:rPr>
              <w:t>Earnings: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8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Pretax income from continuing operations</w:t>
            </w:r>
          </w:p>
        </w:tc>
        <w:tc>
          <w:tcPr>
            <w:tcW w:w="1080" w:type="dxa"/>
            <w:vAlign w:val="bottom"/>
          </w:tcPr>
          <w:p>
            <w:pPr>
              <w:jc w:val="right"/>
              <w:spacing w:after="0"/>
              <w:rPr>
                <w:sz w:val="20"/>
                <w:szCs w:val="20"/>
                <w:color w:val="auto"/>
              </w:rPr>
            </w:pPr>
            <w:r>
              <w:rPr>
                <w:rFonts w:ascii="Arial" w:cs="Arial" w:eastAsia="Arial" w:hAnsi="Arial"/>
                <w:sz w:val="16"/>
                <w:szCs w:val="16"/>
                <w:color w:val="auto"/>
              </w:rPr>
              <w:t>$ 325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$ 426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$ 408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$ 394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$ 415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$ 347</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Total fixed charges (from above)</w:t>
            </w: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Less: Interest capitalized</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Less: Preferred dividends of subsidiary (1)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Arial" w:cs="Arial" w:eastAsia="Arial" w:hAnsi="Arial"/>
                <w:sz w:val="16"/>
                <w:szCs w:val="16"/>
                <w:color w:val="auto"/>
              </w:rPr>
              <w:t>Total earnings for purpose of ratio</w:t>
            </w:r>
          </w:p>
        </w:tc>
        <w:tc>
          <w:tcPr>
            <w:tcW w:w="1080" w:type="dxa"/>
            <w:vAlign w:val="bottom"/>
          </w:tcPr>
          <w:p>
            <w:pPr>
              <w:jc w:val="right"/>
              <w:spacing w:after="0"/>
              <w:rPr>
                <w:sz w:val="20"/>
                <w:szCs w:val="20"/>
                <w:color w:val="auto"/>
              </w:rPr>
            </w:pPr>
            <w:r>
              <w:rPr>
                <w:rFonts w:ascii="Arial" w:cs="Arial" w:eastAsia="Arial" w:hAnsi="Arial"/>
                <w:sz w:val="16"/>
                <w:szCs w:val="16"/>
                <w:color w:val="auto"/>
              </w:rPr>
              <w:t>$ 384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$ 508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$ 489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$ 465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$ 490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$ 402</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6"/>
                <w:szCs w:val="16"/>
                <w:color w:val="auto"/>
              </w:rPr>
              <w:t>Ratio of earnings to combined fixed charges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80" w:type="dxa"/>
            <w:vAlign w:val="bottom"/>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5.82</w:t>
            </w:r>
          </w:p>
        </w:tc>
        <w:tc>
          <w:tcPr>
            <w:tcW w:w="220" w:type="dxa"/>
            <w:vAlign w:val="bottom"/>
            <w:vMerge w:val="restart"/>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5.64</w:t>
            </w:r>
          </w:p>
        </w:tc>
        <w:tc>
          <w:tcPr>
            <w:tcW w:w="20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5.49</w:t>
            </w:r>
          </w:p>
        </w:tc>
        <w:tc>
          <w:tcPr>
            <w:tcW w:w="20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5.96</w:t>
            </w:r>
          </w:p>
        </w:tc>
        <w:tc>
          <w:tcPr>
            <w:tcW w:w="20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5.83</w:t>
            </w:r>
          </w:p>
        </w:tc>
        <w:tc>
          <w:tcPr>
            <w:tcW w:w="200" w:type="dxa"/>
            <w:vAlign w:val="bottom"/>
            <w:vMerge w:val="restart"/>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162"/>
        </w:trPr>
        <w:tc>
          <w:tcPr>
            <w:tcW w:w="3280" w:type="dxa"/>
            <w:vAlign w:val="bottom"/>
          </w:tcPr>
          <w:p>
            <w:pPr>
              <w:ind w:left="240"/>
              <w:spacing w:after="0" w:line="157" w:lineRule="exact"/>
              <w:rPr>
                <w:sz w:val="20"/>
                <w:szCs w:val="20"/>
                <w:color w:val="auto"/>
              </w:rPr>
            </w:pPr>
            <w:r>
              <w:rPr>
                <w:rFonts w:ascii="Arial" w:cs="Arial" w:eastAsia="Arial" w:hAnsi="Arial"/>
                <w:sz w:val="16"/>
                <w:szCs w:val="16"/>
                <w:color w:val="auto"/>
              </w:rPr>
              <w:t>and preferred stock dividends</w:t>
            </w:r>
          </w:p>
        </w:tc>
        <w:tc>
          <w:tcPr>
            <w:tcW w:w="10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280" w:type="dxa"/>
            <w:vAlign w:val="bottom"/>
          </w:tcPr>
          <w:p>
            <w:pPr>
              <w:spacing w:after="0"/>
              <w:rPr>
                <w:sz w:val="20"/>
                <w:szCs w:val="20"/>
                <w:color w:val="auto"/>
              </w:rPr>
            </w:pPr>
            <w:r>
              <w:rPr>
                <w:rFonts w:ascii="Arial" w:cs="Arial" w:eastAsia="Arial" w:hAnsi="Arial"/>
                <w:sz w:val="16"/>
                <w:szCs w:val="16"/>
                <w:color w:val="auto"/>
              </w:rPr>
              <w:t>Ratio of earnings to fixed charges</w:t>
            </w:r>
          </w:p>
        </w:tc>
        <w:tc>
          <w:tcPr>
            <w:tcW w:w="1080" w:type="dxa"/>
            <w:vAlign w:val="bottom"/>
          </w:tcPr>
          <w:p>
            <w:pPr>
              <w:jc w:val="right"/>
              <w:spacing w:after="0"/>
              <w:rPr>
                <w:sz w:val="20"/>
                <w:szCs w:val="20"/>
                <w:color w:val="auto"/>
              </w:rPr>
            </w:pPr>
            <w:r>
              <w:rPr>
                <w:rFonts w:ascii="Arial" w:cs="Arial" w:eastAsia="Arial" w:hAnsi="Arial"/>
                <w:sz w:val="16"/>
                <w:szCs w:val="16"/>
                <w:color w:val="auto"/>
              </w:rPr>
              <w:t>6.40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6.05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5.89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6.46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6.28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0" w:right="200" w:hanging="408"/>
        <w:spacing w:after="0" w:line="246" w:lineRule="auto"/>
        <w:tabs>
          <w:tab w:leader="none" w:pos="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computing this ratio, “Preferred dividends of subsidiary” and "Preferred stock dividends" represent the before-tax earnings necessary to pay such dividends, computed at the effective tax rates for the applicable periods.</w:t>
      </w:r>
    </w:p>
    <w:p>
      <w:pPr>
        <w:sectPr>
          <w:pgSz w:w="11900" w:h="16838" w:orient="portrait"/>
          <w:cols w:equalWidth="0" w:num="1">
            <w:col w:w="11200"/>
          </w:cols>
          <w:pgMar w:left="240" w:top="1115" w:right="459" w:bottom="144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b w:val="1"/>
          <w:bCs w:val="1"/>
          <w:color w:val="auto"/>
        </w:rPr>
        <w:t>EXHIBIT 12.4</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COMPUTATION OF RATIO OF EARNINGS TO COMBINED FIXED CHARGES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PREFERRED STOCK DIVIDENDS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1080" w:type="dxa"/>
            <w:vAlign w:val="bottom"/>
          </w:tcPr>
          <w:p>
            <w:pPr>
              <w:jc w:val="right"/>
              <w:ind w:right="300"/>
              <w:spacing w:after="0"/>
              <w:rPr>
                <w:sz w:val="20"/>
                <w:szCs w:val="20"/>
                <w:color w:val="auto"/>
              </w:rPr>
            </w:pPr>
            <w:r>
              <w:rPr>
                <w:rFonts w:ascii="Arial" w:cs="Arial" w:eastAsia="Arial" w:hAnsi="Arial"/>
                <w:sz w:val="16"/>
                <w:szCs w:val="16"/>
                <w:color w:val="auto"/>
              </w:rPr>
              <w:t>2005</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2006</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2007</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2008</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2009</w:t>
            </w:r>
          </w:p>
        </w:tc>
        <w:tc>
          <w:tcPr>
            <w:tcW w:w="1620" w:type="dxa"/>
            <w:vAlign w:val="bottom"/>
            <w:gridSpan w:val="2"/>
          </w:tcPr>
          <w:p>
            <w:pPr>
              <w:jc w:val="right"/>
              <w:ind w:right="460"/>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Arial" w:cs="Arial" w:eastAsia="Arial" w:hAnsi="Arial"/>
                <w:sz w:val="16"/>
                <w:szCs w:val="16"/>
                <w:color w:val="auto"/>
              </w:rPr>
              <w:t>Fixed Charges:</w:t>
            </w: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Interest</w:t>
            </w:r>
          </w:p>
        </w:tc>
        <w:tc>
          <w:tcPr>
            <w:tcW w:w="1080" w:type="dxa"/>
            <w:vAlign w:val="bottom"/>
          </w:tcPr>
          <w:p>
            <w:pPr>
              <w:jc w:val="right"/>
              <w:spacing w:after="0"/>
              <w:rPr>
                <w:sz w:val="20"/>
                <w:szCs w:val="20"/>
                <w:color w:val="auto"/>
              </w:rPr>
            </w:pPr>
            <w:r>
              <w:rPr>
                <w:rFonts w:ascii="Arial" w:cs="Arial" w:eastAsia="Arial" w:hAnsi="Arial"/>
                <w:sz w:val="16"/>
                <w:szCs w:val="16"/>
                <w:color w:val="auto"/>
              </w:rPr>
              <w:t>$ 50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$ 72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$ 72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$ 65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$ 74</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$ 54</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Interest portion of annual rentals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Arial" w:cs="Arial" w:eastAsia="Arial" w:hAnsi="Arial"/>
                <w:sz w:val="16"/>
                <w:szCs w:val="16"/>
                <w:color w:val="auto"/>
              </w:rPr>
              <w:t>Total fixed charges</w:t>
            </w: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Preferred stock dividends (1)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Arial" w:cs="Arial" w:eastAsia="Arial" w:hAnsi="Arial"/>
                <w:sz w:val="16"/>
                <w:szCs w:val="16"/>
                <w:color w:val="auto"/>
              </w:rPr>
              <w:t>Combined fixed charges and preferred stock</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$ 55</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$ 78</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$ 77</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$ 69</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$ 77</w:t>
            </w:r>
          </w:p>
        </w:tc>
        <w:tc>
          <w:tcPr>
            <w:tcW w:w="1620" w:type="dxa"/>
            <w:vAlign w:val="bottom"/>
            <w:gridSpan w:val="2"/>
            <w:vMerge w:val="restart"/>
          </w:tcPr>
          <w:p>
            <w:pPr>
              <w:jc w:val="right"/>
              <w:spacing w:after="0"/>
              <w:rPr>
                <w:sz w:val="20"/>
                <w:szCs w:val="20"/>
                <w:color w:val="auto"/>
              </w:rPr>
            </w:pPr>
            <w:r>
              <w:rPr>
                <w:rFonts w:ascii="Arial" w:cs="Arial" w:eastAsia="Arial" w:hAnsi="Arial"/>
                <w:sz w:val="16"/>
                <w:szCs w:val="16"/>
                <w:color w:val="auto"/>
              </w:rPr>
              <w:t>$ 57</w:t>
            </w:r>
          </w:p>
        </w:tc>
        <w:tc>
          <w:tcPr>
            <w:tcW w:w="0" w:type="dxa"/>
            <w:vAlign w:val="bottom"/>
          </w:tcPr>
          <w:p>
            <w:pPr>
              <w:spacing w:after="0"/>
              <w:rPr>
                <w:sz w:val="1"/>
                <w:szCs w:val="1"/>
                <w:color w:val="auto"/>
              </w:rPr>
            </w:pPr>
          </w:p>
        </w:tc>
      </w:tr>
      <w:tr>
        <w:trPr>
          <w:trHeight w:val="157"/>
        </w:trPr>
        <w:tc>
          <w:tcPr>
            <w:tcW w:w="3280" w:type="dxa"/>
            <w:vAlign w:val="bottom"/>
          </w:tcPr>
          <w:p>
            <w:pPr>
              <w:spacing w:after="0" w:line="157" w:lineRule="exact"/>
              <w:rPr>
                <w:sz w:val="20"/>
                <w:szCs w:val="20"/>
                <w:color w:val="auto"/>
              </w:rPr>
            </w:pPr>
            <w:r>
              <w:rPr>
                <w:rFonts w:ascii="Arial" w:cs="Arial" w:eastAsia="Arial" w:hAnsi="Arial"/>
                <w:sz w:val="16"/>
                <w:szCs w:val="16"/>
                <w:color w:val="auto"/>
              </w:rPr>
              <w:t>dividends for purpose of ratio</w:t>
            </w:r>
          </w:p>
        </w:tc>
        <w:tc>
          <w:tcPr>
            <w:tcW w:w="1080" w:type="dxa"/>
            <w:vAlign w:val="bottom"/>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6"/>
                <w:szCs w:val="16"/>
                <w:color w:val="auto"/>
              </w:rPr>
              <w:t>Earnings: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8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Pretax income from continuing operations</w:t>
            </w:r>
          </w:p>
        </w:tc>
        <w:tc>
          <w:tcPr>
            <w:tcW w:w="1080" w:type="dxa"/>
            <w:vAlign w:val="bottom"/>
          </w:tcPr>
          <w:p>
            <w:pPr>
              <w:jc w:val="right"/>
              <w:spacing w:after="0"/>
              <w:rPr>
                <w:sz w:val="20"/>
                <w:szCs w:val="20"/>
                <w:color w:val="auto"/>
              </w:rPr>
            </w:pPr>
            <w:r>
              <w:rPr>
                <w:rFonts w:ascii="Arial" w:cs="Arial" w:eastAsia="Arial" w:hAnsi="Arial"/>
                <w:sz w:val="16"/>
                <w:szCs w:val="16"/>
                <w:color w:val="auto"/>
              </w:rPr>
              <w:t>$ 309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$ 397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$ 391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$ 385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$ 418</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$ 345</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Add: Total fixed charges (from above)</w:t>
            </w: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Less: Interest capitalized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Arial" w:cs="Arial" w:eastAsia="Arial" w:hAnsi="Arial"/>
                <w:sz w:val="16"/>
                <w:szCs w:val="16"/>
                <w:color w:val="auto"/>
              </w:rPr>
              <w:t>Total earnings for purpose of ratio</w:t>
            </w:r>
          </w:p>
        </w:tc>
        <w:tc>
          <w:tcPr>
            <w:tcW w:w="1080" w:type="dxa"/>
            <w:vAlign w:val="bottom"/>
          </w:tcPr>
          <w:p>
            <w:pPr>
              <w:jc w:val="right"/>
              <w:spacing w:after="0"/>
              <w:rPr>
                <w:sz w:val="20"/>
                <w:szCs w:val="20"/>
                <w:color w:val="auto"/>
              </w:rPr>
            </w:pPr>
            <w:r>
              <w:rPr>
                <w:rFonts w:ascii="Arial" w:cs="Arial" w:eastAsia="Arial" w:hAnsi="Arial"/>
                <w:sz w:val="16"/>
                <w:szCs w:val="16"/>
                <w:color w:val="auto"/>
              </w:rPr>
              <w:t>$ 362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$ 472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$ 465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$ 452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$ 492</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$ 400</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6"/>
                <w:szCs w:val="16"/>
                <w:color w:val="auto"/>
              </w:rPr>
              <w:t>Ratio of earnings to combined fixed charges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80" w:type="dxa"/>
            <w:vAlign w:val="bottom"/>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6.58</w:t>
            </w:r>
          </w:p>
        </w:tc>
        <w:tc>
          <w:tcPr>
            <w:tcW w:w="220" w:type="dxa"/>
            <w:vAlign w:val="bottom"/>
            <w:vMerge w:val="restart"/>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6.05</w:t>
            </w:r>
          </w:p>
        </w:tc>
        <w:tc>
          <w:tcPr>
            <w:tcW w:w="20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6.04</w:t>
            </w:r>
          </w:p>
        </w:tc>
        <w:tc>
          <w:tcPr>
            <w:tcW w:w="20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6.55</w:t>
            </w:r>
          </w:p>
        </w:tc>
        <w:tc>
          <w:tcPr>
            <w:tcW w:w="20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6.39</w:t>
            </w:r>
          </w:p>
        </w:tc>
        <w:tc>
          <w:tcPr>
            <w:tcW w:w="200" w:type="dxa"/>
            <w:vAlign w:val="bottom"/>
            <w:vMerge w:val="restart"/>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162"/>
        </w:trPr>
        <w:tc>
          <w:tcPr>
            <w:tcW w:w="3280" w:type="dxa"/>
            <w:vAlign w:val="bottom"/>
          </w:tcPr>
          <w:p>
            <w:pPr>
              <w:spacing w:after="0" w:line="157" w:lineRule="exact"/>
              <w:rPr>
                <w:sz w:val="20"/>
                <w:szCs w:val="20"/>
                <w:color w:val="auto"/>
              </w:rPr>
            </w:pPr>
            <w:r>
              <w:rPr>
                <w:rFonts w:ascii="Arial" w:cs="Arial" w:eastAsia="Arial" w:hAnsi="Arial"/>
                <w:sz w:val="16"/>
                <w:szCs w:val="16"/>
                <w:color w:val="auto"/>
              </w:rPr>
              <w:t>and preferred stock dividends</w:t>
            </w:r>
          </w:p>
        </w:tc>
        <w:tc>
          <w:tcPr>
            <w:tcW w:w="10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280" w:type="dxa"/>
            <w:vAlign w:val="bottom"/>
          </w:tcPr>
          <w:p>
            <w:pPr>
              <w:spacing w:after="0"/>
              <w:rPr>
                <w:sz w:val="20"/>
                <w:szCs w:val="20"/>
                <w:color w:val="auto"/>
              </w:rPr>
            </w:pPr>
            <w:r>
              <w:rPr>
                <w:rFonts w:ascii="Arial" w:cs="Arial" w:eastAsia="Arial" w:hAnsi="Arial"/>
                <w:sz w:val="16"/>
                <w:szCs w:val="16"/>
                <w:color w:val="auto"/>
              </w:rPr>
              <w:t>Ratio of earnings to fixed charges</w:t>
            </w:r>
          </w:p>
        </w:tc>
        <w:tc>
          <w:tcPr>
            <w:tcW w:w="1080" w:type="dxa"/>
            <w:vAlign w:val="bottom"/>
          </w:tcPr>
          <w:p>
            <w:pPr>
              <w:jc w:val="right"/>
              <w:spacing w:after="0"/>
              <w:rPr>
                <w:sz w:val="20"/>
                <w:szCs w:val="20"/>
                <w:color w:val="auto"/>
              </w:rPr>
            </w:pPr>
            <w:r>
              <w:rPr>
                <w:rFonts w:ascii="Arial" w:cs="Arial" w:eastAsia="Arial" w:hAnsi="Arial"/>
                <w:sz w:val="16"/>
                <w:szCs w:val="16"/>
                <w:color w:val="auto"/>
              </w:rPr>
              <w:t>6.83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6.21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6.20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6.75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6.56</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0" w:right="120" w:hanging="408"/>
        <w:spacing w:after="0" w:line="246" w:lineRule="auto"/>
        <w:tabs>
          <w:tab w:leader="none" w:pos="6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60"/>
          </w:cols>
          <w:pgMar w:left="240" w:top="1115" w:right="39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color w:val="auto"/>
        </w:rPr>
        <w:t>EXHIBIT 31.1</w:t>
      </w:r>
    </w:p>
    <w:p>
      <w:pPr>
        <w:spacing w:after="0" w:line="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color w:val="auto"/>
        </w:rPr>
        <w:t>I, Donald E. Felsinger, certify that:</w:t>
      </w:r>
    </w:p>
    <w:p>
      <w:pPr>
        <w:spacing w:after="0" w:line="200" w:lineRule="exact"/>
        <w:rPr>
          <w:sz w:val="20"/>
          <w:szCs w:val="20"/>
          <w:color w:val="auto"/>
        </w:rPr>
      </w:pPr>
    </w:p>
    <w:p>
      <w:pPr>
        <w:ind w:left="284" w:hanging="284"/>
        <w:spacing w:after="0"/>
        <w:tabs>
          <w:tab w:leader="none" w:pos="284"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have reviewed this report on Form 10-Q of Sempra Energy;</w:t>
      </w:r>
    </w:p>
    <w:p>
      <w:pPr>
        <w:spacing w:after="0" w:line="200" w:lineRule="exact"/>
        <w:rPr>
          <w:rFonts w:ascii="Arial" w:cs="Arial" w:eastAsia="Arial" w:hAnsi="Arial"/>
          <w:sz w:val="16"/>
          <w:szCs w:val="16"/>
          <w:color w:val="auto"/>
        </w:rPr>
      </w:pPr>
    </w:p>
    <w:p>
      <w:pPr>
        <w:ind w:left="284" w:right="80" w:hanging="284"/>
        <w:spacing w:after="0" w:line="270" w:lineRule="auto"/>
        <w:tabs>
          <w:tab w:leader="none" w:pos="284"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284" w:right="180" w:hanging="284"/>
        <w:spacing w:after="0" w:line="270" w:lineRule="auto"/>
        <w:tabs>
          <w:tab w:leader="none" w:pos="284"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6"/>
          <w:szCs w:val="16"/>
          <w:color w:val="auto"/>
        </w:rPr>
      </w:pPr>
    </w:p>
    <w:p>
      <w:pPr>
        <w:ind w:left="284" w:hanging="284"/>
        <w:spacing w:after="0"/>
        <w:tabs>
          <w:tab w:leader="none" w:pos="284"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38" w:lineRule="exact"/>
        <w:rPr>
          <w:rFonts w:ascii="Arial" w:cs="Arial" w:eastAsia="Arial" w:hAnsi="Arial"/>
          <w:sz w:val="14"/>
          <w:szCs w:val="14"/>
          <w:color w:val="auto"/>
        </w:rPr>
      </w:pPr>
    </w:p>
    <w:p>
      <w:pPr>
        <w:ind w:left="284"/>
        <w:spacing w:after="0"/>
        <w:rPr>
          <w:rFonts w:ascii="Arial" w:cs="Arial" w:eastAsia="Arial" w:hAnsi="Arial"/>
          <w:sz w:val="14"/>
          <w:szCs w:val="14"/>
          <w:color w:val="auto"/>
        </w:rPr>
      </w:pPr>
      <w:r>
        <w:rPr>
          <w:rFonts w:ascii="Arial" w:cs="Arial" w:eastAsia="Arial" w:hAnsi="Arial"/>
          <w:sz w:val="16"/>
          <w:szCs w:val="16"/>
          <w:color w:val="auto"/>
        </w:rPr>
        <w:t>15d-15(e)) and internal control over financial reporting (as defined in Exchange Act Rules 13(a)-15(f) and 15d-15(f)) for the registrant and have:</w:t>
      </w:r>
    </w:p>
    <w:p>
      <w:pPr>
        <w:spacing w:after="0" w:line="193" w:lineRule="exact"/>
        <w:rPr>
          <w:rFonts w:ascii="Arial" w:cs="Arial" w:eastAsia="Arial" w:hAnsi="Arial"/>
          <w:sz w:val="14"/>
          <w:szCs w:val="14"/>
          <w:color w:val="auto"/>
        </w:rPr>
      </w:pPr>
    </w:p>
    <w:p>
      <w:pPr>
        <w:ind w:left="864" w:right="80" w:hanging="288"/>
        <w:spacing w:after="0" w:line="260" w:lineRule="auto"/>
        <w:tabs>
          <w:tab w:leader="none" w:pos="864"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864" w:right="500" w:hanging="288"/>
        <w:spacing w:after="0" w:line="260" w:lineRule="auto"/>
        <w:tabs>
          <w:tab w:leader="none" w:pos="864"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left="864" w:right="260" w:hanging="288"/>
        <w:spacing w:after="0" w:line="270" w:lineRule="auto"/>
        <w:tabs>
          <w:tab w:leader="none" w:pos="864"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864" w:right="260" w:hanging="288"/>
        <w:spacing w:after="0" w:line="260" w:lineRule="auto"/>
        <w:tabs>
          <w:tab w:leader="none" w:pos="864"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284" w:right="240" w:hanging="284"/>
        <w:spacing w:after="0" w:line="270" w:lineRule="auto"/>
        <w:tabs>
          <w:tab w:leader="none" w:pos="284"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rFonts w:ascii="Arial" w:cs="Arial" w:eastAsia="Arial" w:hAnsi="Arial"/>
          <w:sz w:val="16"/>
          <w:szCs w:val="16"/>
          <w:color w:val="auto"/>
        </w:rPr>
      </w:pPr>
    </w:p>
    <w:p>
      <w:pPr>
        <w:ind w:left="864" w:right="60" w:hanging="288"/>
        <w:spacing w:after="0" w:line="270" w:lineRule="auto"/>
        <w:tabs>
          <w:tab w:leader="none" w:pos="864"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6"/>
          <w:szCs w:val="16"/>
          <w:color w:val="auto"/>
        </w:rPr>
      </w:pPr>
    </w:p>
    <w:p>
      <w:pPr>
        <w:ind w:left="864" w:hanging="288"/>
        <w:spacing w:after="0"/>
        <w:tabs>
          <w:tab w:leader="none" w:pos="864" w:val="left"/>
        </w:tabs>
        <w:numPr>
          <w:ilvl w:val="1"/>
          <w:numId w:val="6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584"/>
        <w:spacing w:after="0"/>
        <w:rPr>
          <w:sz w:val="20"/>
          <w:szCs w:val="20"/>
          <w:color w:val="auto"/>
        </w:rPr>
      </w:pPr>
      <w:r>
        <w:rPr>
          <w:rFonts w:ascii="Arial" w:cs="Arial" w:eastAsia="Arial" w:hAnsi="Arial"/>
          <w:sz w:val="16"/>
          <w:szCs w:val="16"/>
          <w:color w:val="auto"/>
        </w:rPr>
        <w:t>November 9, 2010</w:t>
      </w:r>
    </w:p>
    <w:p>
      <w:pPr>
        <w:spacing w:after="0" w:line="232" w:lineRule="exact"/>
        <w:rPr>
          <w:sz w:val="20"/>
          <w:szCs w:val="20"/>
          <w:color w:val="auto"/>
        </w:rPr>
      </w:pPr>
    </w:p>
    <w:p>
      <w:pPr>
        <w:ind w:left="9884"/>
        <w:spacing w:after="0"/>
        <w:rPr>
          <w:sz w:val="20"/>
          <w:szCs w:val="20"/>
          <w:color w:val="auto"/>
        </w:rPr>
      </w:pPr>
      <w:r>
        <w:rPr>
          <w:rFonts w:ascii="Arial" w:cs="Arial" w:eastAsia="Arial" w:hAnsi="Arial"/>
          <w:sz w:val="15"/>
          <w:szCs w:val="15"/>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4991100</wp:posOffset>
            </wp:positionH>
            <wp:positionV relativeFrom="paragraph">
              <wp:posOffset>27940</wp:posOffset>
            </wp:positionV>
            <wp:extent cx="22707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70760" cy="7620"/>
                    </a:xfrm>
                    <a:prstGeom prst="rect">
                      <a:avLst/>
                    </a:prstGeom>
                    <a:noFill/>
                  </pic:spPr>
                </pic:pic>
              </a:graphicData>
            </a:graphic>
          </wp:anchor>
        </w:drawing>
      </w:r>
    </w:p>
    <w:p>
      <w:pPr>
        <w:spacing w:after="0" w:line="36" w:lineRule="exact"/>
        <w:rPr>
          <w:sz w:val="20"/>
          <w:szCs w:val="20"/>
          <w:color w:val="auto"/>
        </w:rPr>
      </w:pPr>
    </w:p>
    <w:p>
      <w:pPr>
        <w:ind w:left="10144"/>
        <w:spacing w:after="0"/>
        <w:rPr>
          <w:sz w:val="20"/>
          <w:szCs w:val="20"/>
          <w:color w:val="auto"/>
        </w:rPr>
      </w:pPr>
      <w:r>
        <w:rPr>
          <w:rFonts w:ascii="Arial" w:cs="Arial" w:eastAsia="Arial" w:hAnsi="Arial"/>
          <w:sz w:val="14"/>
          <w:szCs w:val="14"/>
          <w:color w:val="auto"/>
        </w:rPr>
        <w:t>Donald E. Felsinger</w:t>
      </w:r>
    </w:p>
    <w:p>
      <w:pPr>
        <w:spacing w:after="0" w:line="55" w:lineRule="exact"/>
        <w:rPr>
          <w:sz w:val="20"/>
          <w:szCs w:val="20"/>
          <w:color w:val="auto"/>
        </w:rPr>
      </w:pPr>
    </w:p>
    <w:p>
      <w:pPr>
        <w:ind w:left="9884"/>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4"/>
          </w:cols>
          <w:pgMar w:left="236" w:top="131" w:right="21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color w:val="auto"/>
        </w:rPr>
        <w:t>EXHIBIT 31.2</w:t>
      </w:r>
    </w:p>
    <w:p>
      <w:pPr>
        <w:spacing w:after="0" w:line="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color w:val="auto"/>
        </w:rPr>
        <w:t>I, Mark A. Snell, certify that:</w:t>
      </w:r>
    </w:p>
    <w:p>
      <w:pPr>
        <w:spacing w:after="0" w:line="200" w:lineRule="exact"/>
        <w:rPr>
          <w:sz w:val="20"/>
          <w:szCs w:val="20"/>
          <w:color w:val="auto"/>
        </w:rPr>
      </w:pPr>
    </w:p>
    <w:p>
      <w:pPr>
        <w:ind w:left="284" w:hanging="284"/>
        <w:spacing w:after="0"/>
        <w:tabs>
          <w:tab w:leader="none" w:pos="284" w:val="left"/>
        </w:tabs>
        <w:numPr>
          <w:ilvl w:val="0"/>
          <w:numId w:val="68"/>
        </w:numPr>
        <w:rPr>
          <w:rFonts w:ascii="Arial" w:cs="Arial" w:eastAsia="Arial" w:hAnsi="Arial"/>
          <w:sz w:val="16"/>
          <w:szCs w:val="16"/>
          <w:color w:val="auto"/>
        </w:rPr>
      </w:pPr>
      <w:r>
        <w:rPr>
          <w:rFonts w:ascii="Arial" w:cs="Arial" w:eastAsia="Arial" w:hAnsi="Arial"/>
          <w:sz w:val="16"/>
          <w:szCs w:val="16"/>
          <w:color w:val="auto"/>
        </w:rPr>
        <w:t>I have reviewed this report on Form 10-Q of Sempra Energy;</w:t>
      </w:r>
    </w:p>
    <w:p>
      <w:pPr>
        <w:spacing w:after="0" w:line="200" w:lineRule="exact"/>
        <w:rPr>
          <w:rFonts w:ascii="Arial" w:cs="Arial" w:eastAsia="Arial" w:hAnsi="Arial"/>
          <w:sz w:val="16"/>
          <w:szCs w:val="16"/>
          <w:color w:val="auto"/>
        </w:rPr>
      </w:pPr>
    </w:p>
    <w:p>
      <w:pPr>
        <w:ind w:left="284" w:right="80" w:hanging="284"/>
        <w:spacing w:after="0" w:line="270" w:lineRule="auto"/>
        <w:tabs>
          <w:tab w:leader="none" w:pos="284"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284" w:right="180" w:hanging="284"/>
        <w:spacing w:after="0" w:line="270" w:lineRule="auto"/>
        <w:tabs>
          <w:tab w:leader="none" w:pos="284"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6"/>
          <w:szCs w:val="16"/>
          <w:color w:val="auto"/>
        </w:rPr>
      </w:pPr>
    </w:p>
    <w:p>
      <w:pPr>
        <w:ind w:left="284" w:hanging="284"/>
        <w:spacing w:after="0"/>
        <w:tabs>
          <w:tab w:leader="none" w:pos="284"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38" w:lineRule="exact"/>
        <w:rPr>
          <w:rFonts w:ascii="Arial" w:cs="Arial" w:eastAsia="Arial" w:hAnsi="Arial"/>
          <w:sz w:val="14"/>
          <w:szCs w:val="14"/>
          <w:color w:val="auto"/>
        </w:rPr>
      </w:pPr>
    </w:p>
    <w:p>
      <w:pPr>
        <w:ind w:left="284"/>
        <w:spacing w:after="0"/>
        <w:rPr>
          <w:rFonts w:ascii="Arial" w:cs="Arial" w:eastAsia="Arial" w:hAnsi="Arial"/>
          <w:sz w:val="14"/>
          <w:szCs w:val="14"/>
          <w:color w:val="auto"/>
        </w:rPr>
      </w:pPr>
      <w:r>
        <w:rPr>
          <w:rFonts w:ascii="Arial" w:cs="Arial" w:eastAsia="Arial" w:hAnsi="Arial"/>
          <w:sz w:val="16"/>
          <w:szCs w:val="16"/>
          <w:color w:val="auto"/>
        </w:rPr>
        <w:t>15d-15(e)) and internal control over financial reporting (as defined in Exchange Act Rules 13(a)-15(f) and 15d-15(f)) for the registrant and have:</w:t>
      </w:r>
    </w:p>
    <w:p>
      <w:pPr>
        <w:spacing w:after="0" w:line="193" w:lineRule="exact"/>
        <w:rPr>
          <w:rFonts w:ascii="Arial" w:cs="Arial" w:eastAsia="Arial" w:hAnsi="Arial"/>
          <w:sz w:val="14"/>
          <w:szCs w:val="14"/>
          <w:color w:val="auto"/>
        </w:rPr>
      </w:pPr>
    </w:p>
    <w:p>
      <w:pPr>
        <w:ind w:left="864" w:right="80" w:hanging="288"/>
        <w:spacing w:after="0" w:line="260" w:lineRule="auto"/>
        <w:tabs>
          <w:tab w:leader="none" w:pos="864"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864" w:right="500" w:hanging="288"/>
        <w:spacing w:after="0" w:line="260" w:lineRule="auto"/>
        <w:tabs>
          <w:tab w:leader="none" w:pos="864"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left="864" w:right="260" w:hanging="288"/>
        <w:spacing w:after="0" w:line="270" w:lineRule="auto"/>
        <w:tabs>
          <w:tab w:leader="none" w:pos="864"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864" w:right="260" w:hanging="288"/>
        <w:spacing w:after="0" w:line="260" w:lineRule="auto"/>
        <w:tabs>
          <w:tab w:leader="none" w:pos="864"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284" w:right="240" w:hanging="284"/>
        <w:spacing w:after="0" w:line="270" w:lineRule="auto"/>
        <w:tabs>
          <w:tab w:leader="none" w:pos="284"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rFonts w:ascii="Arial" w:cs="Arial" w:eastAsia="Arial" w:hAnsi="Arial"/>
          <w:sz w:val="16"/>
          <w:szCs w:val="16"/>
          <w:color w:val="auto"/>
        </w:rPr>
      </w:pPr>
    </w:p>
    <w:p>
      <w:pPr>
        <w:ind w:left="864" w:right="60" w:hanging="288"/>
        <w:spacing w:after="0" w:line="270" w:lineRule="auto"/>
        <w:tabs>
          <w:tab w:leader="none" w:pos="864"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6"/>
          <w:szCs w:val="16"/>
          <w:color w:val="auto"/>
        </w:rPr>
      </w:pPr>
    </w:p>
    <w:p>
      <w:pPr>
        <w:ind w:left="864" w:hanging="288"/>
        <w:spacing w:after="0"/>
        <w:tabs>
          <w:tab w:leader="none" w:pos="864" w:val="left"/>
        </w:tabs>
        <w:numPr>
          <w:ilvl w:val="1"/>
          <w:numId w:val="6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584"/>
        <w:spacing w:after="0"/>
        <w:rPr>
          <w:sz w:val="20"/>
          <w:szCs w:val="20"/>
          <w:color w:val="auto"/>
        </w:rPr>
      </w:pPr>
      <w:r>
        <w:rPr>
          <w:rFonts w:ascii="Arial" w:cs="Arial" w:eastAsia="Arial" w:hAnsi="Arial"/>
          <w:sz w:val="16"/>
          <w:szCs w:val="16"/>
          <w:color w:val="auto"/>
        </w:rPr>
        <w:t>November 9, 2010</w:t>
      </w:r>
    </w:p>
    <w:p>
      <w:pPr>
        <w:spacing w:after="0" w:line="232" w:lineRule="exact"/>
        <w:rPr>
          <w:sz w:val="20"/>
          <w:szCs w:val="20"/>
          <w:color w:val="auto"/>
        </w:rPr>
      </w:pPr>
    </w:p>
    <w:p>
      <w:pPr>
        <w:ind w:left="10264"/>
        <w:spacing w:after="0"/>
        <w:rPr>
          <w:sz w:val="20"/>
          <w:szCs w:val="20"/>
          <w:color w:val="auto"/>
        </w:rPr>
      </w:pPr>
      <w:r>
        <w:rPr>
          <w:rFonts w:ascii="Arial" w:cs="Arial" w:eastAsia="Arial" w:hAnsi="Arial"/>
          <w:sz w:val="15"/>
          <w:szCs w:val="15"/>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27940</wp:posOffset>
            </wp:positionV>
            <wp:extent cx="222504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25040" cy="7620"/>
                    </a:xfrm>
                    <a:prstGeom prst="rect">
                      <a:avLst/>
                    </a:prstGeom>
                    <a:noFill/>
                  </pic:spPr>
                </pic:pic>
              </a:graphicData>
            </a:graphic>
          </wp:anchor>
        </w:drawing>
      </w:r>
    </w:p>
    <w:p>
      <w:pPr>
        <w:spacing w:after="0" w:line="36" w:lineRule="exact"/>
        <w:rPr>
          <w:sz w:val="20"/>
          <w:szCs w:val="20"/>
          <w:color w:val="auto"/>
        </w:rPr>
      </w:pPr>
    </w:p>
    <w:p>
      <w:pPr>
        <w:ind w:left="10504"/>
        <w:spacing w:after="0"/>
        <w:rPr>
          <w:sz w:val="20"/>
          <w:szCs w:val="20"/>
          <w:color w:val="auto"/>
        </w:rPr>
      </w:pPr>
      <w:r>
        <w:rPr>
          <w:rFonts w:ascii="Arial" w:cs="Arial" w:eastAsia="Arial" w:hAnsi="Arial"/>
          <w:sz w:val="15"/>
          <w:szCs w:val="15"/>
          <w:color w:val="auto"/>
        </w:rPr>
        <w:t>Mark A. Snell</w:t>
      </w:r>
    </w:p>
    <w:p>
      <w:pPr>
        <w:spacing w:after="0" w:line="44" w:lineRule="exact"/>
        <w:rPr>
          <w:sz w:val="20"/>
          <w:szCs w:val="20"/>
          <w:color w:val="auto"/>
        </w:rPr>
      </w:pPr>
    </w:p>
    <w:p>
      <w:pPr>
        <w:ind w:left="9944"/>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4"/>
          </w:cols>
          <w:pgMar w:left="236" w:top="130" w:right="21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color w:val="auto"/>
        </w:rPr>
        <w:t>EXHIBIT 31.3</w:t>
      </w:r>
    </w:p>
    <w:p>
      <w:pPr>
        <w:spacing w:after="0" w:line="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color w:val="auto"/>
        </w:rPr>
        <w:t>I, Jessie J. Knight, Jr., certify that:</w:t>
      </w:r>
    </w:p>
    <w:p>
      <w:pPr>
        <w:spacing w:after="0" w:line="200" w:lineRule="exact"/>
        <w:rPr>
          <w:sz w:val="20"/>
          <w:szCs w:val="20"/>
          <w:color w:val="auto"/>
        </w:rPr>
      </w:pPr>
    </w:p>
    <w:p>
      <w:pPr>
        <w:ind w:left="284" w:hanging="284"/>
        <w:spacing w:after="0"/>
        <w:tabs>
          <w:tab w:leader="none" w:pos="284" w:val="left"/>
        </w:tabs>
        <w:numPr>
          <w:ilvl w:val="0"/>
          <w:numId w:val="69"/>
        </w:numPr>
        <w:rPr>
          <w:rFonts w:ascii="Arial" w:cs="Arial" w:eastAsia="Arial" w:hAnsi="Arial"/>
          <w:sz w:val="16"/>
          <w:szCs w:val="16"/>
          <w:color w:val="auto"/>
        </w:rPr>
      </w:pPr>
      <w:r>
        <w:rPr>
          <w:rFonts w:ascii="Arial" w:cs="Arial" w:eastAsia="Arial" w:hAnsi="Arial"/>
          <w:sz w:val="16"/>
          <w:szCs w:val="16"/>
          <w:color w:val="auto"/>
        </w:rPr>
        <w:t>I have reviewed this report on Form 10-Q of San Diego Gas &amp; Electric Company;</w:t>
      </w:r>
    </w:p>
    <w:p>
      <w:pPr>
        <w:spacing w:after="0" w:line="200" w:lineRule="exact"/>
        <w:rPr>
          <w:rFonts w:ascii="Arial" w:cs="Arial" w:eastAsia="Arial" w:hAnsi="Arial"/>
          <w:sz w:val="16"/>
          <w:szCs w:val="16"/>
          <w:color w:val="auto"/>
        </w:rPr>
      </w:pPr>
    </w:p>
    <w:p>
      <w:pPr>
        <w:ind w:left="284" w:right="80" w:hanging="284"/>
        <w:spacing w:after="0" w:line="270" w:lineRule="auto"/>
        <w:tabs>
          <w:tab w:leader="none" w:pos="284"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284" w:right="180" w:hanging="284"/>
        <w:spacing w:after="0" w:line="270" w:lineRule="auto"/>
        <w:tabs>
          <w:tab w:leader="none" w:pos="284"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6"/>
          <w:szCs w:val="16"/>
          <w:color w:val="auto"/>
        </w:rPr>
      </w:pPr>
    </w:p>
    <w:p>
      <w:pPr>
        <w:ind w:left="284" w:hanging="284"/>
        <w:spacing w:after="0"/>
        <w:tabs>
          <w:tab w:leader="none" w:pos="284"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38" w:lineRule="exact"/>
        <w:rPr>
          <w:rFonts w:ascii="Arial" w:cs="Arial" w:eastAsia="Arial" w:hAnsi="Arial"/>
          <w:sz w:val="14"/>
          <w:szCs w:val="14"/>
          <w:color w:val="auto"/>
        </w:rPr>
      </w:pPr>
    </w:p>
    <w:p>
      <w:pPr>
        <w:ind w:left="284"/>
        <w:spacing w:after="0"/>
        <w:rPr>
          <w:rFonts w:ascii="Arial" w:cs="Arial" w:eastAsia="Arial" w:hAnsi="Arial"/>
          <w:sz w:val="14"/>
          <w:szCs w:val="14"/>
          <w:color w:val="auto"/>
        </w:rPr>
      </w:pPr>
      <w:r>
        <w:rPr>
          <w:rFonts w:ascii="Arial" w:cs="Arial" w:eastAsia="Arial" w:hAnsi="Arial"/>
          <w:sz w:val="16"/>
          <w:szCs w:val="16"/>
          <w:color w:val="auto"/>
        </w:rPr>
        <w:t>15d-15(e)) and internal control over financial reporting (as defined in Exchange Act Rules 13(a)-15(f) and 15d-15(f)) for the registrant and have:</w:t>
      </w:r>
    </w:p>
    <w:p>
      <w:pPr>
        <w:spacing w:after="0" w:line="193" w:lineRule="exact"/>
        <w:rPr>
          <w:rFonts w:ascii="Arial" w:cs="Arial" w:eastAsia="Arial" w:hAnsi="Arial"/>
          <w:sz w:val="14"/>
          <w:szCs w:val="14"/>
          <w:color w:val="auto"/>
        </w:rPr>
      </w:pPr>
    </w:p>
    <w:p>
      <w:pPr>
        <w:ind w:left="864" w:right="80" w:hanging="288"/>
        <w:spacing w:after="0" w:line="260" w:lineRule="auto"/>
        <w:tabs>
          <w:tab w:leader="none" w:pos="864"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864" w:right="500" w:hanging="288"/>
        <w:spacing w:after="0" w:line="260" w:lineRule="auto"/>
        <w:tabs>
          <w:tab w:leader="none" w:pos="864"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left="864" w:right="260" w:hanging="288"/>
        <w:spacing w:after="0" w:line="270" w:lineRule="auto"/>
        <w:tabs>
          <w:tab w:leader="none" w:pos="864"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864" w:right="260" w:hanging="288"/>
        <w:spacing w:after="0" w:line="260" w:lineRule="auto"/>
        <w:tabs>
          <w:tab w:leader="none" w:pos="864" w:val="left"/>
        </w:tabs>
        <w:numPr>
          <w:ilvl w:val="1"/>
          <w:numId w:val="6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284" w:right="240" w:hanging="284"/>
        <w:spacing w:after="0" w:line="270" w:lineRule="auto"/>
        <w:tabs>
          <w:tab w:leader="none" w:pos="284"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rFonts w:ascii="Arial" w:cs="Arial" w:eastAsia="Arial" w:hAnsi="Arial"/>
          <w:sz w:val="16"/>
          <w:szCs w:val="16"/>
          <w:color w:val="auto"/>
        </w:rPr>
      </w:pPr>
    </w:p>
    <w:p>
      <w:pPr>
        <w:ind w:left="864" w:right="60" w:hanging="288"/>
        <w:spacing w:after="0" w:line="270" w:lineRule="auto"/>
        <w:tabs>
          <w:tab w:leader="none" w:pos="864"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6"/>
          <w:szCs w:val="16"/>
          <w:color w:val="auto"/>
        </w:rPr>
      </w:pPr>
    </w:p>
    <w:p>
      <w:pPr>
        <w:ind w:left="584" w:right="80" w:hanging="8"/>
        <w:spacing w:after="0" w:line="520" w:lineRule="auto"/>
        <w:tabs>
          <w:tab w:leader="none" w:pos="872"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 November 9, 2010</w:t>
      </w:r>
    </w:p>
    <w:p>
      <w:pPr>
        <w:spacing w:after="0" w:line="3" w:lineRule="exact"/>
        <w:rPr>
          <w:sz w:val="20"/>
          <w:szCs w:val="20"/>
          <w:color w:val="auto"/>
        </w:rPr>
      </w:pPr>
    </w:p>
    <w:p>
      <w:pPr>
        <w:ind w:left="9924"/>
        <w:spacing w:after="0"/>
        <w:rPr>
          <w:sz w:val="20"/>
          <w:szCs w:val="20"/>
          <w:color w:val="auto"/>
        </w:rPr>
      </w:pPr>
      <w:r>
        <w:rPr>
          <w:rFonts w:ascii="Arial" w:cs="Arial" w:eastAsia="Arial" w:hAnsi="Arial"/>
          <w:sz w:val="14"/>
          <w:szCs w:val="14"/>
          <w:color w:val="auto"/>
        </w:rPr>
        <w:t>/S/ Jessie J. Knight, Jr</w:t>
      </w:r>
      <w:r>
        <w:rPr>
          <w:rFonts w:ascii="Arial" w:cs="Arial" w:eastAsia="Arial" w:hAnsi="Arial"/>
          <w:sz w:val="14"/>
          <w:szCs w:val="14"/>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4945380</wp:posOffset>
            </wp:positionH>
            <wp:positionV relativeFrom="paragraph">
              <wp:posOffset>35560</wp:posOffset>
            </wp:positionV>
            <wp:extent cx="231648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16480" cy="7620"/>
                    </a:xfrm>
                    <a:prstGeom prst="rect">
                      <a:avLst/>
                    </a:prstGeom>
                    <a:noFill/>
                  </pic:spPr>
                </pic:pic>
              </a:graphicData>
            </a:graphic>
          </wp:anchor>
        </w:drawing>
      </w:r>
    </w:p>
    <w:p>
      <w:pPr>
        <w:spacing w:after="0" w:line="47" w:lineRule="exact"/>
        <w:rPr>
          <w:sz w:val="20"/>
          <w:szCs w:val="20"/>
          <w:color w:val="auto"/>
        </w:rPr>
      </w:pPr>
    </w:p>
    <w:p>
      <w:pPr>
        <w:ind w:left="10204"/>
        <w:spacing w:after="0"/>
        <w:rPr>
          <w:sz w:val="20"/>
          <w:szCs w:val="20"/>
          <w:color w:val="auto"/>
        </w:rPr>
      </w:pPr>
      <w:r>
        <w:rPr>
          <w:rFonts w:ascii="Arial" w:cs="Arial" w:eastAsia="Arial" w:hAnsi="Arial"/>
          <w:sz w:val="14"/>
          <w:szCs w:val="14"/>
          <w:color w:val="auto"/>
        </w:rPr>
        <w:t>Jessie J. Knight, Jr.</w:t>
      </w:r>
    </w:p>
    <w:p>
      <w:pPr>
        <w:spacing w:after="0" w:line="55" w:lineRule="exact"/>
        <w:rPr>
          <w:sz w:val="20"/>
          <w:szCs w:val="20"/>
          <w:color w:val="auto"/>
        </w:rPr>
      </w:pPr>
    </w:p>
    <w:p>
      <w:pPr>
        <w:ind w:left="9884"/>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4"/>
          </w:cols>
          <w:pgMar w:left="236" w:top="130" w:right="21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color w:val="auto"/>
        </w:rPr>
        <w:t>EXHIBIT 31.4</w:t>
      </w:r>
    </w:p>
    <w:p>
      <w:pPr>
        <w:spacing w:after="0" w:line="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color w:val="auto"/>
        </w:rPr>
        <w:t>I, Robert M. Schlax, certify that:</w:t>
      </w:r>
    </w:p>
    <w:p>
      <w:pPr>
        <w:spacing w:after="0" w:line="200" w:lineRule="exact"/>
        <w:rPr>
          <w:sz w:val="20"/>
          <w:szCs w:val="20"/>
          <w:color w:val="auto"/>
        </w:rPr>
      </w:pPr>
    </w:p>
    <w:p>
      <w:pPr>
        <w:ind w:left="284" w:hanging="284"/>
        <w:spacing w:after="0"/>
        <w:tabs>
          <w:tab w:leader="none" w:pos="284" w:val="left"/>
        </w:tabs>
        <w:numPr>
          <w:ilvl w:val="0"/>
          <w:numId w:val="70"/>
        </w:numPr>
        <w:rPr>
          <w:rFonts w:ascii="Arial" w:cs="Arial" w:eastAsia="Arial" w:hAnsi="Arial"/>
          <w:sz w:val="16"/>
          <w:szCs w:val="16"/>
          <w:color w:val="auto"/>
        </w:rPr>
      </w:pPr>
      <w:r>
        <w:rPr>
          <w:rFonts w:ascii="Arial" w:cs="Arial" w:eastAsia="Arial" w:hAnsi="Arial"/>
          <w:sz w:val="16"/>
          <w:szCs w:val="16"/>
          <w:color w:val="auto"/>
        </w:rPr>
        <w:t>I have reviewed this report on Form 10-Q of San Diego Gas &amp; Electric Company;</w:t>
      </w:r>
    </w:p>
    <w:p>
      <w:pPr>
        <w:spacing w:after="0" w:line="200" w:lineRule="exact"/>
        <w:rPr>
          <w:rFonts w:ascii="Arial" w:cs="Arial" w:eastAsia="Arial" w:hAnsi="Arial"/>
          <w:sz w:val="16"/>
          <w:szCs w:val="16"/>
          <w:color w:val="auto"/>
        </w:rPr>
      </w:pPr>
    </w:p>
    <w:p>
      <w:pPr>
        <w:ind w:left="284" w:right="80" w:hanging="284"/>
        <w:spacing w:after="0" w:line="270" w:lineRule="auto"/>
        <w:tabs>
          <w:tab w:leader="none" w:pos="284"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284" w:right="180" w:hanging="284"/>
        <w:spacing w:after="0" w:line="270" w:lineRule="auto"/>
        <w:tabs>
          <w:tab w:leader="none" w:pos="284"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6"/>
          <w:szCs w:val="16"/>
          <w:color w:val="auto"/>
        </w:rPr>
      </w:pPr>
    </w:p>
    <w:p>
      <w:pPr>
        <w:ind w:left="284" w:hanging="284"/>
        <w:spacing w:after="0"/>
        <w:tabs>
          <w:tab w:leader="none" w:pos="284"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38" w:lineRule="exact"/>
        <w:rPr>
          <w:rFonts w:ascii="Arial" w:cs="Arial" w:eastAsia="Arial" w:hAnsi="Arial"/>
          <w:sz w:val="14"/>
          <w:szCs w:val="14"/>
          <w:color w:val="auto"/>
        </w:rPr>
      </w:pPr>
    </w:p>
    <w:p>
      <w:pPr>
        <w:ind w:left="284"/>
        <w:spacing w:after="0"/>
        <w:rPr>
          <w:rFonts w:ascii="Arial" w:cs="Arial" w:eastAsia="Arial" w:hAnsi="Arial"/>
          <w:sz w:val="14"/>
          <w:szCs w:val="14"/>
          <w:color w:val="auto"/>
        </w:rPr>
      </w:pPr>
      <w:r>
        <w:rPr>
          <w:rFonts w:ascii="Arial" w:cs="Arial" w:eastAsia="Arial" w:hAnsi="Arial"/>
          <w:sz w:val="16"/>
          <w:szCs w:val="16"/>
          <w:color w:val="auto"/>
        </w:rPr>
        <w:t>15d-15(e)) and internal control over financial reporting (as defined in Exchange Act Rules 13(a)-15(f) and 15d-15(f)) for the registrant and have:</w:t>
      </w:r>
    </w:p>
    <w:p>
      <w:pPr>
        <w:spacing w:after="0" w:line="193" w:lineRule="exact"/>
        <w:rPr>
          <w:rFonts w:ascii="Arial" w:cs="Arial" w:eastAsia="Arial" w:hAnsi="Arial"/>
          <w:sz w:val="14"/>
          <w:szCs w:val="14"/>
          <w:color w:val="auto"/>
        </w:rPr>
      </w:pPr>
    </w:p>
    <w:p>
      <w:pPr>
        <w:ind w:left="864" w:right="80" w:hanging="288"/>
        <w:spacing w:after="0" w:line="260" w:lineRule="auto"/>
        <w:tabs>
          <w:tab w:leader="none" w:pos="864"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864" w:right="500" w:hanging="288"/>
        <w:spacing w:after="0" w:line="260" w:lineRule="auto"/>
        <w:tabs>
          <w:tab w:leader="none" w:pos="864"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left="864" w:right="260" w:hanging="288"/>
        <w:spacing w:after="0" w:line="270" w:lineRule="auto"/>
        <w:tabs>
          <w:tab w:leader="none" w:pos="864"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864" w:right="260" w:hanging="288"/>
        <w:spacing w:after="0" w:line="260" w:lineRule="auto"/>
        <w:tabs>
          <w:tab w:leader="none" w:pos="864"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284" w:right="240" w:hanging="284"/>
        <w:spacing w:after="0" w:line="270" w:lineRule="auto"/>
        <w:tabs>
          <w:tab w:leader="none" w:pos="284"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rFonts w:ascii="Arial" w:cs="Arial" w:eastAsia="Arial" w:hAnsi="Arial"/>
          <w:sz w:val="16"/>
          <w:szCs w:val="16"/>
          <w:color w:val="auto"/>
        </w:rPr>
      </w:pPr>
    </w:p>
    <w:p>
      <w:pPr>
        <w:ind w:left="864" w:right="60" w:hanging="288"/>
        <w:spacing w:after="0" w:line="270" w:lineRule="auto"/>
        <w:tabs>
          <w:tab w:leader="none" w:pos="864"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6"/>
          <w:szCs w:val="16"/>
          <w:color w:val="auto"/>
        </w:rPr>
      </w:pPr>
    </w:p>
    <w:p>
      <w:pPr>
        <w:ind w:left="584" w:right="80" w:hanging="8"/>
        <w:spacing w:after="0" w:line="520" w:lineRule="auto"/>
        <w:tabs>
          <w:tab w:leader="none" w:pos="872"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 November 9, 2010</w:t>
      </w:r>
    </w:p>
    <w:p>
      <w:pPr>
        <w:spacing w:after="0" w:line="3" w:lineRule="exact"/>
        <w:rPr>
          <w:sz w:val="20"/>
          <w:szCs w:val="20"/>
          <w:color w:val="auto"/>
        </w:rPr>
      </w:pPr>
    </w:p>
    <w:p>
      <w:pPr>
        <w:ind w:left="10024"/>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27940</wp:posOffset>
            </wp:positionV>
            <wp:extent cx="217932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79320" cy="7620"/>
                    </a:xfrm>
                    <a:prstGeom prst="rect">
                      <a:avLst/>
                    </a:prstGeom>
                    <a:noFill/>
                  </pic:spPr>
                </pic:pic>
              </a:graphicData>
            </a:graphic>
          </wp:anchor>
        </w:drawing>
      </w:r>
    </w:p>
    <w:p>
      <w:pPr>
        <w:spacing w:after="0" w:line="36" w:lineRule="exact"/>
        <w:rPr>
          <w:sz w:val="20"/>
          <w:szCs w:val="20"/>
          <w:color w:val="auto"/>
        </w:rPr>
      </w:pPr>
    </w:p>
    <w:p>
      <w:pPr>
        <w:ind w:left="10284"/>
        <w:spacing w:after="0"/>
        <w:rPr>
          <w:sz w:val="20"/>
          <w:szCs w:val="20"/>
          <w:color w:val="auto"/>
        </w:rPr>
      </w:pPr>
      <w:r>
        <w:rPr>
          <w:rFonts w:ascii="Arial" w:cs="Arial" w:eastAsia="Arial" w:hAnsi="Arial"/>
          <w:sz w:val="15"/>
          <w:szCs w:val="15"/>
          <w:color w:val="auto"/>
        </w:rPr>
        <w:t>Robert M. Schlax</w:t>
      </w:r>
    </w:p>
    <w:p>
      <w:pPr>
        <w:spacing w:after="0" w:line="44" w:lineRule="exact"/>
        <w:rPr>
          <w:sz w:val="20"/>
          <w:szCs w:val="20"/>
          <w:color w:val="auto"/>
        </w:rPr>
      </w:pPr>
    </w:p>
    <w:p>
      <w:pPr>
        <w:ind w:left="9944"/>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4"/>
          </w:cols>
          <w:pgMar w:left="236" w:top="131" w:right="21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color w:val="auto"/>
        </w:rPr>
        <w:t>EXHIBIT 31.5</w:t>
      </w:r>
    </w:p>
    <w:p>
      <w:pPr>
        <w:spacing w:after="0" w:line="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color w:val="auto"/>
        </w:rPr>
        <w:t>I, Michael W. Allman, certify that:</w:t>
      </w:r>
    </w:p>
    <w:p>
      <w:pPr>
        <w:spacing w:after="0" w:line="200" w:lineRule="exact"/>
        <w:rPr>
          <w:sz w:val="20"/>
          <w:szCs w:val="20"/>
          <w:color w:val="auto"/>
        </w:rPr>
      </w:pPr>
    </w:p>
    <w:p>
      <w:pPr>
        <w:ind w:left="284" w:hanging="284"/>
        <w:spacing w:after="0"/>
        <w:tabs>
          <w:tab w:leader="none" w:pos="284"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have reviewed this report on Form 10-Q of Pacific Enterprises;</w:t>
      </w:r>
    </w:p>
    <w:p>
      <w:pPr>
        <w:spacing w:after="0" w:line="200" w:lineRule="exact"/>
        <w:rPr>
          <w:rFonts w:ascii="Arial" w:cs="Arial" w:eastAsia="Arial" w:hAnsi="Arial"/>
          <w:sz w:val="16"/>
          <w:szCs w:val="16"/>
          <w:color w:val="auto"/>
        </w:rPr>
      </w:pPr>
    </w:p>
    <w:p>
      <w:pPr>
        <w:ind w:left="284" w:right="80" w:hanging="284"/>
        <w:spacing w:after="0" w:line="270" w:lineRule="auto"/>
        <w:tabs>
          <w:tab w:leader="none" w:pos="284"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284" w:right="180" w:hanging="284"/>
        <w:spacing w:after="0" w:line="270" w:lineRule="auto"/>
        <w:tabs>
          <w:tab w:leader="none" w:pos="284"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6"/>
          <w:szCs w:val="16"/>
          <w:color w:val="auto"/>
        </w:rPr>
      </w:pPr>
    </w:p>
    <w:p>
      <w:pPr>
        <w:ind w:left="284" w:hanging="284"/>
        <w:spacing w:after="0"/>
        <w:tabs>
          <w:tab w:leader="none" w:pos="284"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38" w:lineRule="exact"/>
        <w:rPr>
          <w:rFonts w:ascii="Arial" w:cs="Arial" w:eastAsia="Arial" w:hAnsi="Arial"/>
          <w:sz w:val="14"/>
          <w:szCs w:val="14"/>
          <w:color w:val="auto"/>
        </w:rPr>
      </w:pPr>
    </w:p>
    <w:p>
      <w:pPr>
        <w:ind w:left="284"/>
        <w:spacing w:after="0"/>
        <w:rPr>
          <w:rFonts w:ascii="Arial" w:cs="Arial" w:eastAsia="Arial" w:hAnsi="Arial"/>
          <w:sz w:val="14"/>
          <w:szCs w:val="14"/>
          <w:color w:val="auto"/>
        </w:rPr>
      </w:pPr>
      <w:r>
        <w:rPr>
          <w:rFonts w:ascii="Arial" w:cs="Arial" w:eastAsia="Arial" w:hAnsi="Arial"/>
          <w:sz w:val="16"/>
          <w:szCs w:val="16"/>
          <w:color w:val="auto"/>
        </w:rPr>
        <w:t>15d-15(e)) and internal control over financial reporting (as defined in Exchange Act Rules 13(a)-15(f) and 15d-15(f)) for the registrant and have:</w:t>
      </w:r>
    </w:p>
    <w:p>
      <w:pPr>
        <w:spacing w:after="0" w:line="193" w:lineRule="exact"/>
        <w:rPr>
          <w:rFonts w:ascii="Arial" w:cs="Arial" w:eastAsia="Arial" w:hAnsi="Arial"/>
          <w:sz w:val="14"/>
          <w:szCs w:val="14"/>
          <w:color w:val="auto"/>
        </w:rPr>
      </w:pPr>
    </w:p>
    <w:p>
      <w:pPr>
        <w:ind w:left="864" w:right="80" w:hanging="288"/>
        <w:spacing w:after="0" w:line="260" w:lineRule="auto"/>
        <w:tabs>
          <w:tab w:leader="none" w:pos="864"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864" w:right="500" w:hanging="288"/>
        <w:spacing w:after="0" w:line="260" w:lineRule="auto"/>
        <w:tabs>
          <w:tab w:leader="none" w:pos="864"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left="864" w:right="260" w:hanging="288"/>
        <w:spacing w:after="0" w:line="270" w:lineRule="auto"/>
        <w:tabs>
          <w:tab w:leader="none" w:pos="864"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864" w:right="260" w:hanging="288"/>
        <w:spacing w:after="0" w:line="260" w:lineRule="auto"/>
        <w:tabs>
          <w:tab w:leader="none" w:pos="864"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284" w:right="240" w:hanging="284"/>
        <w:spacing w:after="0" w:line="270" w:lineRule="auto"/>
        <w:tabs>
          <w:tab w:leader="none" w:pos="284"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rFonts w:ascii="Arial" w:cs="Arial" w:eastAsia="Arial" w:hAnsi="Arial"/>
          <w:sz w:val="16"/>
          <w:szCs w:val="16"/>
          <w:color w:val="auto"/>
        </w:rPr>
      </w:pPr>
    </w:p>
    <w:p>
      <w:pPr>
        <w:ind w:left="864" w:right="60" w:hanging="288"/>
        <w:spacing w:after="0" w:line="270" w:lineRule="auto"/>
        <w:tabs>
          <w:tab w:leader="none" w:pos="864"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6"/>
          <w:szCs w:val="16"/>
          <w:color w:val="auto"/>
        </w:rPr>
      </w:pPr>
    </w:p>
    <w:p>
      <w:pPr>
        <w:ind w:left="864" w:hanging="288"/>
        <w:spacing w:after="0"/>
        <w:tabs>
          <w:tab w:leader="none" w:pos="864" w:val="left"/>
        </w:tabs>
        <w:numPr>
          <w:ilvl w:val="1"/>
          <w:numId w:val="7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584"/>
        <w:spacing w:after="0"/>
        <w:rPr>
          <w:sz w:val="20"/>
          <w:szCs w:val="20"/>
          <w:color w:val="auto"/>
        </w:rPr>
      </w:pPr>
      <w:r>
        <w:rPr>
          <w:rFonts w:ascii="Arial" w:cs="Arial" w:eastAsia="Arial" w:hAnsi="Arial"/>
          <w:sz w:val="16"/>
          <w:szCs w:val="16"/>
          <w:color w:val="auto"/>
        </w:rPr>
        <w:t>November 9, 2010</w:t>
      </w:r>
    </w:p>
    <w:p>
      <w:pPr>
        <w:spacing w:after="0" w:line="232" w:lineRule="exact"/>
        <w:rPr>
          <w:sz w:val="20"/>
          <w:szCs w:val="20"/>
          <w:color w:val="auto"/>
        </w:rPr>
      </w:pPr>
    </w:p>
    <w:p>
      <w:pPr>
        <w:ind w:left="9904"/>
        <w:spacing w:after="0"/>
        <w:rPr>
          <w:sz w:val="20"/>
          <w:szCs w:val="20"/>
          <w:color w:val="auto"/>
        </w:rPr>
      </w:pPr>
      <w:r>
        <w:rPr>
          <w:rFonts w:ascii="Arial" w:cs="Arial" w:eastAsia="Arial" w:hAnsi="Arial"/>
          <w:sz w:val="15"/>
          <w:szCs w:val="15"/>
          <w:color w:val="auto"/>
        </w:rPr>
        <w:t>/S/ 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5356860</wp:posOffset>
            </wp:positionH>
            <wp:positionV relativeFrom="paragraph">
              <wp:posOffset>27940</wp:posOffset>
            </wp:positionV>
            <wp:extent cx="19050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05000" cy="7620"/>
                    </a:xfrm>
                    <a:prstGeom prst="rect">
                      <a:avLst/>
                    </a:prstGeom>
                    <a:noFill/>
                  </pic:spPr>
                </pic:pic>
              </a:graphicData>
            </a:graphic>
          </wp:anchor>
        </w:drawing>
      </w:r>
    </w:p>
    <w:p>
      <w:pPr>
        <w:spacing w:after="0" w:line="36" w:lineRule="exact"/>
        <w:rPr>
          <w:sz w:val="20"/>
          <w:szCs w:val="20"/>
          <w:color w:val="auto"/>
        </w:rPr>
      </w:pPr>
    </w:p>
    <w:p>
      <w:pPr>
        <w:ind w:left="10164"/>
        <w:spacing w:after="0"/>
        <w:rPr>
          <w:sz w:val="20"/>
          <w:szCs w:val="20"/>
          <w:color w:val="auto"/>
        </w:rPr>
      </w:pPr>
      <w:r>
        <w:rPr>
          <w:rFonts w:ascii="Arial" w:cs="Arial" w:eastAsia="Arial" w:hAnsi="Arial"/>
          <w:sz w:val="15"/>
          <w:szCs w:val="15"/>
          <w:color w:val="auto"/>
        </w:rPr>
        <w:t>Michael W. Allman</w:t>
      </w:r>
    </w:p>
    <w:p>
      <w:pPr>
        <w:spacing w:after="0" w:line="44" w:lineRule="exact"/>
        <w:rPr>
          <w:sz w:val="20"/>
          <w:szCs w:val="20"/>
          <w:color w:val="auto"/>
        </w:rPr>
      </w:pPr>
    </w:p>
    <w:p>
      <w:pPr>
        <w:ind w:left="9884"/>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4"/>
          </w:cols>
          <w:pgMar w:left="236" w:top="130" w:right="21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color w:val="auto"/>
        </w:rPr>
        <w:t>EXHIBIT 31.6</w:t>
      </w:r>
    </w:p>
    <w:p>
      <w:pPr>
        <w:spacing w:after="0" w:line="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color w:val="auto"/>
        </w:rPr>
        <w:t>I, Robert M. Schlax, certify that:</w:t>
      </w:r>
    </w:p>
    <w:p>
      <w:pPr>
        <w:spacing w:after="0" w:line="200" w:lineRule="exact"/>
        <w:rPr>
          <w:sz w:val="20"/>
          <w:szCs w:val="20"/>
          <w:color w:val="auto"/>
        </w:rPr>
      </w:pPr>
    </w:p>
    <w:p>
      <w:pPr>
        <w:ind w:left="284" w:hanging="284"/>
        <w:spacing w:after="0"/>
        <w:tabs>
          <w:tab w:leader="none" w:pos="284" w:val="left"/>
        </w:tabs>
        <w:numPr>
          <w:ilvl w:val="0"/>
          <w:numId w:val="72"/>
        </w:numPr>
        <w:rPr>
          <w:rFonts w:ascii="Arial" w:cs="Arial" w:eastAsia="Arial" w:hAnsi="Arial"/>
          <w:sz w:val="16"/>
          <w:szCs w:val="16"/>
          <w:color w:val="auto"/>
        </w:rPr>
      </w:pPr>
      <w:r>
        <w:rPr>
          <w:rFonts w:ascii="Arial" w:cs="Arial" w:eastAsia="Arial" w:hAnsi="Arial"/>
          <w:sz w:val="16"/>
          <w:szCs w:val="16"/>
          <w:color w:val="auto"/>
        </w:rPr>
        <w:t>I have reviewed this report on Form 10-Q of Pacific Enterprises;</w:t>
      </w:r>
    </w:p>
    <w:p>
      <w:pPr>
        <w:spacing w:after="0" w:line="200" w:lineRule="exact"/>
        <w:rPr>
          <w:rFonts w:ascii="Arial" w:cs="Arial" w:eastAsia="Arial" w:hAnsi="Arial"/>
          <w:sz w:val="16"/>
          <w:szCs w:val="16"/>
          <w:color w:val="auto"/>
        </w:rPr>
      </w:pPr>
    </w:p>
    <w:p>
      <w:pPr>
        <w:ind w:left="284" w:right="80" w:hanging="284"/>
        <w:spacing w:after="0" w:line="270" w:lineRule="auto"/>
        <w:tabs>
          <w:tab w:leader="none" w:pos="284"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284" w:right="180" w:hanging="284"/>
        <w:spacing w:after="0" w:line="270" w:lineRule="auto"/>
        <w:tabs>
          <w:tab w:leader="none" w:pos="284"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6"/>
          <w:szCs w:val="16"/>
          <w:color w:val="auto"/>
        </w:rPr>
      </w:pPr>
    </w:p>
    <w:p>
      <w:pPr>
        <w:ind w:left="284" w:hanging="284"/>
        <w:spacing w:after="0"/>
        <w:tabs>
          <w:tab w:leader="none" w:pos="284"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38" w:lineRule="exact"/>
        <w:rPr>
          <w:rFonts w:ascii="Arial" w:cs="Arial" w:eastAsia="Arial" w:hAnsi="Arial"/>
          <w:sz w:val="14"/>
          <w:szCs w:val="14"/>
          <w:color w:val="auto"/>
        </w:rPr>
      </w:pPr>
    </w:p>
    <w:p>
      <w:pPr>
        <w:ind w:left="284"/>
        <w:spacing w:after="0"/>
        <w:rPr>
          <w:rFonts w:ascii="Arial" w:cs="Arial" w:eastAsia="Arial" w:hAnsi="Arial"/>
          <w:sz w:val="14"/>
          <w:szCs w:val="14"/>
          <w:color w:val="auto"/>
        </w:rPr>
      </w:pPr>
      <w:r>
        <w:rPr>
          <w:rFonts w:ascii="Arial" w:cs="Arial" w:eastAsia="Arial" w:hAnsi="Arial"/>
          <w:sz w:val="16"/>
          <w:szCs w:val="16"/>
          <w:color w:val="auto"/>
        </w:rPr>
        <w:t>15d-15(e)) and internal control over financial reporting (as defined in Exchange Act Rules 13(a)-15(f) and 15d-15(f)) for the registrant and have:</w:t>
      </w:r>
    </w:p>
    <w:p>
      <w:pPr>
        <w:spacing w:after="0" w:line="193" w:lineRule="exact"/>
        <w:rPr>
          <w:rFonts w:ascii="Arial" w:cs="Arial" w:eastAsia="Arial" w:hAnsi="Arial"/>
          <w:sz w:val="14"/>
          <w:szCs w:val="14"/>
          <w:color w:val="auto"/>
        </w:rPr>
      </w:pPr>
    </w:p>
    <w:p>
      <w:pPr>
        <w:ind w:left="864" w:right="80" w:hanging="288"/>
        <w:spacing w:after="0" w:line="260" w:lineRule="auto"/>
        <w:tabs>
          <w:tab w:leader="none" w:pos="864"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864" w:right="500" w:hanging="288"/>
        <w:spacing w:after="0" w:line="260" w:lineRule="auto"/>
        <w:tabs>
          <w:tab w:leader="none" w:pos="864"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left="864" w:right="260" w:hanging="288"/>
        <w:spacing w:after="0" w:line="270" w:lineRule="auto"/>
        <w:tabs>
          <w:tab w:leader="none" w:pos="864"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864" w:right="260" w:hanging="288"/>
        <w:spacing w:after="0" w:line="260" w:lineRule="auto"/>
        <w:tabs>
          <w:tab w:leader="none" w:pos="864"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284" w:right="240" w:hanging="284"/>
        <w:spacing w:after="0" w:line="270" w:lineRule="auto"/>
        <w:tabs>
          <w:tab w:leader="none" w:pos="28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rFonts w:ascii="Arial" w:cs="Arial" w:eastAsia="Arial" w:hAnsi="Arial"/>
          <w:sz w:val="16"/>
          <w:szCs w:val="16"/>
          <w:color w:val="auto"/>
        </w:rPr>
      </w:pPr>
    </w:p>
    <w:p>
      <w:pPr>
        <w:ind w:left="864" w:right="60" w:hanging="288"/>
        <w:spacing w:after="0" w:line="270" w:lineRule="auto"/>
        <w:tabs>
          <w:tab w:leader="none" w:pos="864"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6"/>
          <w:szCs w:val="16"/>
          <w:color w:val="auto"/>
        </w:rPr>
      </w:pPr>
    </w:p>
    <w:p>
      <w:pPr>
        <w:ind w:left="584" w:right="80" w:hanging="8"/>
        <w:spacing w:after="0" w:line="520" w:lineRule="auto"/>
        <w:tabs>
          <w:tab w:leader="none" w:pos="872" w:val="left"/>
        </w:tabs>
        <w:numPr>
          <w:ilvl w:val="1"/>
          <w:numId w:val="7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 November 9, 2010</w:t>
      </w:r>
    </w:p>
    <w:p>
      <w:pPr>
        <w:spacing w:after="0" w:line="3" w:lineRule="exact"/>
        <w:rPr>
          <w:sz w:val="20"/>
          <w:szCs w:val="20"/>
          <w:color w:val="auto"/>
        </w:rPr>
      </w:pPr>
    </w:p>
    <w:p>
      <w:pPr>
        <w:ind w:left="10024"/>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5539740</wp:posOffset>
            </wp:positionH>
            <wp:positionV relativeFrom="paragraph">
              <wp:posOffset>27940</wp:posOffset>
            </wp:positionV>
            <wp:extent cx="172212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22120" cy="7620"/>
                    </a:xfrm>
                    <a:prstGeom prst="rect">
                      <a:avLst/>
                    </a:prstGeom>
                    <a:noFill/>
                  </pic:spPr>
                </pic:pic>
              </a:graphicData>
            </a:graphic>
          </wp:anchor>
        </w:drawing>
      </w:r>
    </w:p>
    <w:p>
      <w:pPr>
        <w:spacing w:after="0" w:line="36" w:lineRule="exact"/>
        <w:rPr>
          <w:sz w:val="20"/>
          <w:szCs w:val="20"/>
          <w:color w:val="auto"/>
        </w:rPr>
      </w:pPr>
    </w:p>
    <w:p>
      <w:pPr>
        <w:ind w:left="10284"/>
        <w:spacing w:after="0"/>
        <w:rPr>
          <w:sz w:val="20"/>
          <w:szCs w:val="20"/>
          <w:color w:val="auto"/>
        </w:rPr>
      </w:pPr>
      <w:r>
        <w:rPr>
          <w:rFonts w:ascii="Arial" w:cs="Arial" w:eastAsia="Arial" w:hAnsi="Arial"/>
          <w:sz w:val="15"/>
          <w:szCs w:val="15"/>
          <w:color w:val="auto"/>
        </w:rPr>
        <w:t>Robert M. Schlax</w:t>
      </w:r>
    </w:p>
    <w:p>
      <w:pPr>
        <w:spacing w:after="0" w:line="44" w:lineRule="exact"/>
        <w:rPr>
          <w:sz w:val="20"/>
          <w:szCs w:val="20"/>
          <w:color w:val="auto"/>
        </w:rPr>
      </w:pPr>
    </w:p>
    <w:p>
      <w:pPr>
        <w:ind w:left="9944"/>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4"/>
          </w:cols>
          <w:pgMar w:left="236" w:top="130" w:right="21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color w:val="auto"/>
        </w:rPr>
        <w:t>EXHIBIT 31.7</w:t>
      </w:r>
    </w:p>
    <w:p>
      <w:pPr>
        <w:spacing w:after="0" w:line="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color w:val="auto"/>
        </w:rPr>
        <w:t>I, Michael W. Allman, certify that:</w:t>
      </w:r>
    </w:p>
    <w:p>
      <w:pPr>
        <w:spacing w:after="0" w:line="200" w:lineRule="exact"/>
        <w:rPr>
          <w:sz w:val="20"/>
          <w:szCs w:val="20"/>
          <w:color w:val="auto"/>
        </w:rPr>
      </w:pPr>
    </w:p>
    <w:p>
      <w:pPr>
        <w:ind w:left="284" w:hanging="284"/>
        <w:spacing w:after="0"/>
        <w:tabs>
          <w:tab w:leader="none" w:pos="284" w:val="left"/>
        </w:tabs>
        <w:numPr>
          <w:ilvl w:val="0"/>
          <w:numId w:val="73"/>
        </w:numPr>
        <w:rPr>
          <w:rFonts w:ascii="Arial" w:cs="Arial" w:eastAsia="Arial" w:hAnsi="Arial"/>
          <w:sz w:val="16"/>
          <w:szCs w:val="16"/>
          <w:color w:val="auto"/>
        </w:rPr>
      </w:pPr>
      <w:r>
        <w:rPr>
          <w:rFonts w:ascii="Arial" w:cs="Arial" w:eastAsia="Arial" w:hAnsi="Arial"/>
          <w:sz w:val="16"/>
          <w:szCs w:val="16"/>
          <w:color w:val="auto"/>
        </w:rPr>
        <w:t>I have reviewed this report on Form 10-Q of Southern California Gas Company;</w:t>
      </w:r>
    </w:p>
    <w:p>
      <w:pPr>
        <w:spacing w:after="0" w:line="200" w:lineRule="exact"/>
        <w:rPr>
          <w:rFonts w:ascii="Arial" w:cs="Arial" w:eastAsia="Arial" w:hAnsi="Arial"/>
          <w:sz w:val="16"/>
          <w:szCs w:val="16"/>
          <w:color w:val="auto"/>
        </w:rPr>
      </w:pPr>
    </w:p>
    <w:p>
      <w:pPr>
        <w:ind w:left="284" w:right="80" w:hanging="284"/>
        <w:spacing w:after="0" w:line="270" w:lineRule="auto"/>
        <w:tabs>
          <w:tab w:leader="none" w:pos="284"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284" w:right="180" w:hanging="284"/>
        <w:spacing w:after="0" w:line="270" w:lineRule="auto"/>
        <w:tabs>
          <w:tab w:leader="none" w:pos="284"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6"/>
          <w:szCs w:val="16"/>
          <w:color w:val="auto"/>
        </w:rPr>
      </w:pPr>
    </w:p>
    <w:p>
      <w:pPr>
        <w:ind w:left="284" w:hanging="284"/>
        <w:spacing w:after="0"/>
        <w:tabs>
          <w:tab w:leader="none" w:pos="284"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38" w:lineRule="exact"/>
        <w:rPr>
          <w:rFonts w:ascii="Arial" w:cs="Arial" w:eastAsia="Arial" w:hAnsi="Arial"/>
          <w:sz w:val="14"/>
          <w:szCs w:val="14"/>
          <w:color w:val="auto"/>
        </w:rPr>
      </w:pPr>
    </w:p>
    <w:p>
      <w:pPr>
        <w:ind w:left="284"/>
        <w:spacing w:after="0"/>
        <w:rPr>
          <w:rFonts w:ascii="Arial" w:cs="Arial" w:eastAsia="Arial" w:hAnsi="Arial"/>
          <w:sz w:val="14"/>
          <w:szCs w:val="14"/>
          <w:color w:val="auto"/>
        </w:rPr>
      </w:pPr>
      <w:r>
        <w:rPr>
          <w:rFonts w:ascii="Arial" w:cs="Arial" w:eastAsia="Arial" w:hAnsi="Arial"/>
          <w:sz w:val="16"/>
          <w:szCs w:val="16"/>
          <w:color w:val="auto"/>
        </w:rPr>
        <w:t>15d-15(e)) and internal control over financial reporting (as defined in Exchange Act Rules 13(a)-15(f) and 15d-15(f)) for the registrant and have:</w:t>
      </w:r>
    </w:p>
    <w:p>
      <w:pPr>
        <w:spacing w:after="0" w:line="193" w:lineRule="exact"/>
        <w:rPr>
          <w:rFonts w:ascii="Arial" w:cs="Arial" w:eastAsia="Arial" w:hAnsi="Arial"/>
          <w:sz w:val="14"/>
          <w:szCs w:val="14"/>
          <w:color w:val="auto"/>
        </w:rPr>
      </w:pPr>
    </w:p>
    <w:p>
      <w:pPr>
        <w:ind w:left="864" w:right="80" w:hanging="288"/>
        <w:spacing w:after="0" w:line="260" w:lineRule="auto"/>
        <w:tabs>
          <w:tab w:leader="none" w:pos="864"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864" w:right="500" w:hanging="288"/>
        <w:spacing w:after="0" w:line="260" w:lineRule="auto"/>
        <w:tabs>
          <w:tab w:leader="none" w:pos="864"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left="864" w:right="260" w:hanging="288"/>
        <w:spacing w:after="0" w:line="270" w:lineRule="auto"/>
        <w:tabs>
          <w:tab w:leader="none" w:pos="864"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864" w:right="260" w:hanging="288"/>
        <w:spacing w:after="0" w:line="260" w:lineRule="auto"/>
        <w:tabs>
          <w:tab w:leader="none" w:pos="864" w:val="left"/>
        </w:tabs>
        <w:numPr>
          <w:ilvl w:val="1"/>
          <w:numId w:val="7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284" w:right="240" w:hanging="284"/>
        <w:spacing w:after="0" w:line="270" w:lineRule="auto"/>
        <w:tabs>
          <w:tab w:leader="none" w:pos="284"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rFonts w:ascii="Arial" w:cs="Arial" w:eastAsia="Arial" w:hAnsi="Arial"/>
          <w:sz w:val="16"/>
          <w:szCs w:val="16"/>
          <w:color w:val="auto"/>
        </w:rPr>
      </w:pPr>
    </w:p>
    <w:p>
      <w:pPr>
        <w:ind w:left="864" w:right="60" w:hanging="288"/>
        <w:spacing w:after="0" w:line="270" w:lineRule="auto"/>
        <w:tabs>
          <w:tab w:leader="none" w:pos="864"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6"/>
          <w:szCs w:val="16"/>
          <w:color w:val="auto"/>
        </w:rPr>
      </w:pPr>
    </w:p>
    <w:p>
      <w:pPr>
        <w:ind w:left="584" w:right="80" w:hanging="8"/>
        <w:spacing w:after="0" w:line="520" w:lineRule="auto"/>
        <w:tabs>
          <w:tab w:leader="none" w:pos="872" w:val="left"/>
        </w:tabs>
        <w:numPr>
          <w:ilvl w:val="1"/>
          <w:numId w:val="7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 November 9, 2010</w:t>
      </w:r>
    </w:p>
    <w:p>
      <w:pPr>
        <w:spacing w:after="0" w:line="3" w:lineRule="exact"/>
        <w:rPr>
          <w:sz w:val="20"/>
          <w:szCs w:val="20"/>
          <w:color w:val="auto"/>
        </w:rPr>
      </w:pPr>
    </w:p>
    <w:p>
      <w:pPr>
        <w:ind w:left="9904"/>
        <w:spacing w:after="0"/>
        <w:rPr>
          <w:sz w:val="20"/>
          <w:szCs w:val="20"/>
          <w:color w:val="auto"/>
        </w:rPr>
      </w:pPr>
      <w:r>
        <w:rPr>
          <w:rFonts w:ascii="Arial" w:cs="Arial" w:eastAsia="Arial" w:hAnsi="Arial"/>
          <w:sz w:val="15"/>
          <w:szCs w:val="15"/>
          <w:color w:val="auto"/>
        </w:rPr>
        <w:t>/S/ 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27940</wp:posOffset>
            </wp:positionV>
            <wp:extent cx="21336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33600" cy="7620"/>
                    </a:xfrm>
                    <a:prstGeom prst="rect">
                      <a:avLst/>
                    </a:prstGeom>
                    <a:noFill/>
                  </pic:spPr>
                </pic:pic>
              </a:graphicData>
            </a:graphic>
          </wp:anchor>
        </w:drawing>
      </w:r>
    </w:p>
    <w:p>
      <w:pPr>
        <w:spacing w:after="0" w:line="36" w:lineRule="exact"/>
        <w:rPr>
          <w:sz w:val="20"/>
          <w:szCs w:val="20"/>
          <w:color w:val="auto"/>
        </w:rPr>
      </w:pPr>
    </w:p>
    <w:p>
      <w:pPr>
        <w:ind w:left="10164"/>
        <w:spacing w:after="0"/>
        <w:rPr>
          <w:sz w:val="20"/>
          <w:szCs w:val="20"/>
          <w:color w:val="auto"/>
        </w:rPr>
      </w:pPr>
      <w:r>
        <w:rPr>
          <w:rFonts w:ascii="Arial" w:cs="Arial" w:eastAsia="Arial" w:hAnsi="Arial"/>
          <w:sz w:val="15"/>
          <w:szCs w:val="15"/>
          <w:color w:val="auto"/>
        </w:rPr>
        <w:t>Michael W. Allman</w:t>
      </w:r>
    </w:p>
    <w:p>
      <w:pPr>
        <w:spacing w:after="0" w:line="44" w:lineRule="exact"/>
        <w:rPr>
          <w:sz w:val="20"/>
          <w:szCs w:val="20"/>
          <w:color w:val="auto"/>
        </w:rPr>
      </w:pPr>
    </w:p>
    <w:p>
      <w:pPr>
        <w:ind w:left="9884"/>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4"/>
          </w:cols>
          <w:pgMar w:left="236" w:top="131" w:right="21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color w:val="auto"/>
        </w:rPr>
        <w:t>EXHIBIT 31.8</w:t>
      </w:r>
    </w:p>
    <w:p>
      <w:pPr>
        <w:spacing w:after="0" w:line="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CERTIFICATION</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color w:val="auto"/>
        </w:rPr>
        <w:t>I, Robert M. Schlax, certify that:</w:t>
      </w:r>
    </w:p>
    <w:p>
      <w:pPr>
        <w:spacing w:after="0" w:line="200" w:lineRule="exact"/>
        <w:rPr>
          <w:sz w:val="20"/>
          <w:szCs w:val="20"/>
          <w:color w:val="auto"/>
        </w:rPr>
      </w:pPr>
    </w:p>
    <w:p>
      <w:pPr>
        <w:ind w:left="284" w:hanging="284"/>
        <w:spacing w:after="0"/>
        <w:tabs>
          <w:tab w:leader="none" w:pos="284"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have reviewed this report on Form 10-Q of Southern California Gas Company;</w:t>
      </w:r>
    </w:p>
    <w:p>
      <w:pPr>
        <w:spacing w:after="0" w:line="200" w:lineRule="exact"/>
        <w:rPr>
          <w:rFonts w:ascii="Arial" w:cs="Arial" w:eastAsia="Arial" w:hAnsi="Arial"/>
          <w:sz w:val="16"/>
          <w:szCs w:val="16"/>
          <w:color w:val="auto"/>
        </w:rPr>
      </w:pPr>
    </w:p>
    <w:p>
      <w:pPr>
        <w:ind w:left="284" w:right="80" w:hanging="284"/>
        <w:spacing w:after="0" w:line="270" w:lineRule="auto"/>
        <w:tabs>
          <w:tab w:leader="none" w:pos="284"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284" w:right="180" w:hanging="284"/>
        <w:spacing w:after="0" w:line="270" w:lineRule="auto"/>
        <w:tabs>
          <w:tab w:leader="none" w:pos="284"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6"/>
          <w:szCs w:val="16"/>
          <w:color w:val="auto"/>
        </w:rPr>
      </w:pPr>
    </w:p>
    <w:p>
      <w:pPr>
        <w:ind w:left="284" w:hanging="284"/>
        <w:spacing w:after="0"/>
        <w:tabs>
          <w:tab w:leader="none" w:pos="284"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38" w:lineRule="exact"/>
        <w:rPr>
          <w:rFonts w:ascii="Arial" w:cs="Arial" w:eastAsia="Arial" w:hAnsi="Arial"/>
          <w:sz w:val="14"/>
          <w:szCs w:val="14"/>
          <w:color w:val="auto"/>
        </w:rPr>
      </w:pPr>
    </w:p>
    <w:p>
      <w:pPr>
        <w:ind w:left="284"/>
        <w:spacing w:after="0"/>
        <w:rPr>
          <w:rFonts w:ascii="Arial" w:cs="Arial" w:eastAsia="Arial" w:hAnsi="Arial"/>
          <w:sz w:val="14"/>
          <w:szCs w:val="14"/>
          <w:color w:val="auto"/>
        </w:rPr>
      </w:pPr>
      <w:r>
        <w:rPr>
          <w:rFonts w:ascii="Arial" w:cs="Arial" w:eastAsia="Arial" w:hAnsi="Arial"/>
          <w:sz w:val="16"/>
          <w:szCs w:val="16"/>
          <w:color w:val="auto"/>
        </w:rPr>
        <w:t>15d-15(e)) and internal control over financial reporting (as defined in Exchange Act Rules 13(a)-15(f) and 15d-15(f)) for the registrant and have:</w:t>
      </w:r>
    </w:p>
    <w:p>
      <w:pPr>
        <w:spacing w:after="0" w:line="193" w:lineRule="exact"/>
        <w:rPr>
          <w:rFonts w:ascii="Arial" w:cs="Arial" w:eastAsia="Arial" w:hAnsi="Arial"/>
          <w:sz w:val="14"/>
          <w:szCs w:val="14"/>
          <w:color w:val="auto"/>
        </w:rPr>
      </w:pPr>
    </w:p>
    <w:p>
      <w:pPr>
        <w:ind w:left="864" w:right="80" w:hanging="288"/>
        <w:spacing w:after="0" w:line="260" w:lineRule="auto"/>
        <w:tabs>
          <w:tab w:leader="none" w:pos="864"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864" w:right="500" w:hanging="288"/>
        <w:spacing w:after="0" w:line="260" w:lineRule="auto"/>
        <w:tabs>
          <w:tab w:leader="none" w:pos="864"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left="864" w:right="260" w:hanging="288"/>
        <w:spacing w:after="0" w:line="270" w:lineRule="auto"/>
        <w:tabs>
          <w:tab w:leader="none" w:pos="864"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864" w:right="260" w:hanging="288"/>
        <w:spacing w:after="0" w:line="260" w:lineRule="auto"/>
        <w:tabs>
          <w:tab w:leader="none" w:pos="864"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284" w:right="240" w:hanging="284"/>
        <w:spacing w:after="0" w:line="270" w:lineRule="auto"/>
        <w:tabs>
          <w:tab w:leader="none" w:pos="284"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rFonts w:ascii="Arial" w:cs="Arial" w:eastAsia="Arial" w:hAnsi="Arial"/>
          <w:sz w:val="16"/>
          <w:szCs w:val="16"/>
          <w:color w:val="auto"/>
        </w:rPr>
      </w:pPr>
    </w:p>
    <w:p>
      <w:pPr>
        <w:ind w:left="864" w:right="60" w:hanging="288"/>
        <w:spacing w:after="0" w:line="270" w:lineRule="auto"/>
        <w:tabs>
          <w:tab w:leader="none" w:pos="864"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6"/>
          <w:szCs w:val="16"/>
          <w:color w:val="auto"/>
        </w:rPr>
      </w:pPr>
    </w:p>
    <w:p>
      <w:pPr>
        <w:ind w:left="584" w:right="80" w:hanging="8"/>
        <w:spacing w:after="0" w:line="520" w:lineRule="auto"/>
        <w:tabs>
          <w:tab w:leader="none" w:pos="872"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 November 9, 2010</w:t>
      </w:r>
    </w:p>
    <w:p>
      <w:pPr>
        <w:spacing w:after="0" w:line="3" w:lineRule="exact"/>
        <w:rPr>
          <w:sz w:val="20"/>
          <w:szCs w:val="20"/>
          <w:color w:val="auto"/>
        </w:rPr>
      </w:pPr>
    </w:p>
    <w:p>
      <w:pPr>
        <w:ind w:left="10024"/>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27940</wp:posOffset>
            </wp:positionV>
            <wp:extent cx="20421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42160" cy="7620"/>
                    </a:xfrm>
                    <a:prstGeom prst="rect">
                      <a:avLst/>
                    </a:prstGeom>
                    <a:noFill/>
                  </pic:spPr>
                </pic:pic>
              </a:graphicData>
            </a:graphic>
          </wp:anchor>
        </w:drawing>
      </w:r>
    </w:p>
    <w:p>
      <w:pPr>
        <w:spacing w:after="0" w:line="36" w:lineRule="exact"/>
        <w:rPr>
          <w:sz w:val="20"/>
          <w:szCs w:val="20"/>
          <w:color w:val="auto"/>
        </w:rPr>
      </w:pPr>
    </w:p>
    <w:p>
      <w:pPr>
        <w:ind w:left="10284"/>
        <w:spacing w:after="0"/>
        <w:rPr>
          <w:sz w:val="20"/>
          <w:szCs w:val="20"/>
          <w:color w:val="auto"/>
        </w:rPr>
      </w:pPr>
      <w:r>
        <w:rPr>
          <w:rFonts w:ascii="Arial" w:cs="Arial" w:eastAsia="Arial" w:hAnsi="Arial"/>
          <w:sz w:val="15"/>
          <w:szCs w:val="15"/>
          <w:color w:val="auto"/>
        </w:rPr>
        <w:t>Robert M. Schlax</w:t>
      </w:r>
    </w:p>
    <w:p>
      <w:pPr>
        <w:spacing w:after="0" w:line="44" w:lineRule="exact"/>
        <w:rPr>
          <w:sz w:val="20"/>
          <w:szCs w:val="20"/>
          <w:color w:val="auto"/>
        </w:rPr>
      </w:pPr>
    </w:p>
    <w:p>
      <w:pPr>
        <w:ind w:left="9944"/>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4"/>
          </w:cols>
          <w:pgMar w:left="236" w:top="130" w:right="21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color w:val="auto"/>
        </w:rPr>
        <w:t>Exhibit 32.1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Executive Officer</w:t>
      </w:r>
    </w:p>
    <w:p>
      <w:pPr>
        <w:spacing w:after="0" w:line="200"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Pursuant to 18 U.S.C. Sec 1350, as created by Section 906 of the Sarbanes-Oxley Act of 2002, the undersigned Chief Executive Officer of Sempra Energy (the "Company") certifies that:</w:t>
      </w:r>
    </w:p>
    <w:p>
      <w:pPr>
        <w:spacing w:after="0" w:line="162" w:lineRule="exact"/>
        <w:rPr>
          <w:sz w:val="20"/>
          <w:szCs w:val="20"/>
          <w:color w:val="auto"/>
        </w:rPr>
      </w:pPr>
    </w:p>
    <w:p>
      <w:pPr>
        <w:ind w:left="1140" w:right="140" w:hanging="568"/>
        <w:spacing w:after="0" w:line="342" w:lineRule="auto"/>
        <w:tabs>
          <w:tab w:leader="none" w:pos="11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Quarterly Report on Form 10-Q of the Company filed with the Securities and Exchange Commission for the quarter ended September 30, 2010 (the "Quarterly Report") fully complies with the requirements of Section 13(a) or Section 15(d), as applicable, of the Securities Exchange Act of 1934, as amended; and</w:t>
      </w:r>
    </w:p>
    <w:p>
      <w:pPr>
        <w:spacing w:after="0" w:line="117" w:lineRule="exact"/>
        <w:rPr>
          <w:rFonts w:ascii="Arial" w:cs="Arial" w:eastAsia="Arial" w:hAnsi="Arial"/>
          <w:sz w:val="14"/>
          <w:szCs w:val="14"/>
          <w:color w:val="auto"/>
        </w:rPr>
      </w:pPr>
    </w:p>
    <w:p>
      <w:pPr>
        <w:ind w:left="1140" w:hanging="568"/>
        <w:spacing w:after="0"/>
        <w:tabs>
          <w:tab w:leader="none" w:pos="11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November 9, 2010</w:t>
      </w:r>
    </w:p>
    <w:p>
      <w:pPr>
        <w:spacing w:after="0" w:line="316" w:lineRule="exact"/>
        <w:rPr>
          <w:sz w:val="20"/>
          <w:szCs w:val="20"/>
          <w:color w:val="auto"/>
        </w:rPr>
      </w:pPr>
    </w:p>
    <w:p>
      <w:pPr>
        <w:ind w:left="9880"/>
        <w:spacing w:after="0"/>
        <w:rPr>
          <w:sz w:val="20"/>
          <w:szCs w:val="20"/>
          <w:color w:val="auto"/>
        </w:rPr>
      </w:pPr>
      <w:r>
        <w:rPr>
          <w:rFonts w:ascii="Arial" w:cs="Arial" w:eastAsia="Arial" w:hAnsi="Arial"/>
          <w:sz w:val="15"/>
          <w:szCs w:val="15"/>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5262880</wp:posOffset>
            </wp:positionH>
            <wp:positionV relativeFrom="paragraph">
              <wp:posOffset>27940</wp:posOffset>
            </wp:positionV>
            <wp:extent cx="199644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96440" cy="7620"/>
                    </a:xfrm>
                    <a:prstGeom prst="rect">
                      <a:avLst/>
                    </a:prstGeom>
                    <a:noFill/>
                  </pic:spPr>
                </pic:pic>
              </a:graphicData>
            </a:graphic>
          </wp:anchor>
        </w:drawing>
      </w:r>
    </w:p>
    <w:p>
      <w:pPr>
        <w:spacing w:after="0" w:line="36" w:lineRule="exact"/>
        <w:rPr>
          <w:sz w:val="20"/>
          <w:szCs w:val="20"/>
          <w:color w:val="auto"/>
        </w:rPr>
      </w:pPr>
    </w:p>
    <w:p>
      <w:pPr>
        <w:ind w:left="10140"/>
        <w:spacing w:after="0"/>
        <w:rPr>
          <w:sz w:val="20"/>
          <w:szCs w:val="20"/>
          <w:color w:val="auto"/>
        </w:rPr>
      </w:pPr>
      <w:r>
        <w:rPr>
          <w:rFonts w:ascii="Arial" w:cs="Arial" w:eastAsia="Arial" w:hAnsi="Arial"/>
          <w:sz w:val="14"/>
          <w:szCs w:val="14"/>
          <w:color w:val="auto"/>
        </w:rPr>
        <w:t>Donald E. Felsinger</w:t>
      </w:r>
    </w:p>
    <w:p>
      <w:pPr>
        <w:spacing w:after="0" w:line="55" w:lineRule="exact"/>
        <w:rPr>
          <w:sz w:val="20"/>
          <w:szCs w:val="20"/>
          <w:color w:val="auto"/>
        </w:rPr>
      </w:pPr>
    </w:p>
    <w:p>
      <w:pPr>
        <w:ind w:left="988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130" w:right="21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color w:val="auto"/>
        </w:rPr>
        <w:t>Exhibit 32.2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Financial Officer</w:t>
      </w:r>
    </w:p>
    <w:p>
      <w:pPr>
        <w:spacing w:after="0" w:line="200"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Pursuant to 18 U.S.C. Sec 1350, as created by Section 906 of the Sarbanes-Oxley Act of 2002, the undersigned Chief Financial Officer of Sempra Energy (the "Company") certifies that:</w:t>
      </w:r>
    </w:p>
    <w:p>
      <w:pPr>
        <w:spacing w:after="0" w:line="162" w:lineRule="exact"/>
        <w:rPr>
          <w:sz w:val="20"/>
          <w:szCs w:val="20"/>
          <w:color w:val="auto"/>
        </w:rPr>
      </w:pPr>
    </w:p>
    <w:p>
      <w:pPr>
        <w:ind w:left="1140" w:right="140" w:hanging="568"/>
        <w:spacing w:after="0" w:line="342" w:lineRule="auto"/>
        <w:tabs>
          <w:tab w:leader="none" w:pos="11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Quarterly Report on Form 10-Q of the Company filed with the Securities and Exchange Commission for the quarter ended September 30, 2010 (the "Quarterly Report") fully complies with the requirements of Section 13(a) or Section 15(d), as applicable, of the Securities Exchange Act of 1934, as amended; and</w:t>
      </w:r>
    </w:p>
    <w:p>
      <w:pPr>
        <w:spacing w:after="0" w:line="117" w:lineRule="exact"/>
        <w:rPr>
          <w:rFonts w:ascii="Arial" w:cs="Arial" w:eastAsia="Arial" w:hAnsi="Arial"/>
          <w:sz w:val="14"/>
          <w:szCs w:val="14"/>
          <w:color w:val="auto"/>
        </w:rPr>
      </w:pPr>
    </w:p>
    <w:p>
      <w:pPr>
        <w:ind w:left="1140" w:hanging="568"/>
        <w:spacing w:after="0"/>
        <w:tabs>
          <w:tab w:leader="none" w:pos="11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November 9, 2010</w:t>
      </w:r>
    </w:p>
    <w:p>
      <w:pPr>
        <w:spacing w:after="0" w:line="316" w:lineRule="exact"/>
        <w:rPr>
          <w:sz w:val="20"/>
          <w:szCs w:val="20"/>
          <w:color w:val="auto"/>
        </w:rPr>
      </w:pPr>
    </w:p>
    <w:p>
      <w:pPr>
        <w:ind w:left="10260"/>
        <w:spacing w:after="0"/>
        <w:rPr>
          <w:sz w:val="20"/>
          <w:szCs w:val="20"/>
          <w:color w:val="auto"/>
        </w:rPr>
      </w:pPr>
      <w:r>
        <w:rPr>
          <w:rFonts w:ascii="Arial" w:cs="Arial" w:eastAsia="Arial" w:hAnsi="Arial"/>
          <w:sz w:val="15"/>
          <w:szCs w:val="15"/>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27940</wp:posOffset>
            </wp:positionV>
            <wp:extent cx="208788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87880" cy="7620"/>
                    </a:xfrm>
                    <a:prstGeom prst="rect">
                      <a:avLst/>
                    </a:prstGeom>
                    <a:noFill/>
                  </pic:spPr>
                </pic:pic>
              </a:graphicData>
            </a:graphic>
          </wp:anchor>
        </w:drawing>
      </w:r>
    </w:p>
    <w:p>
      <w:pPr>
        <w:spacing w:after="0" w:line="36" w:lineRule="exact"/>
        <w:rPr>
          <w:sz w:val="20"/>
          <w:szCs w:val="20"/>
          <w:color w:val="auto"/>
        </w:rPr>
      </w:pPr>
    </w:p>
    <w:p>
      <w:pPr>
        <w:ind w:left="10500"/>
        <w:spacing w:after="0"/>
        <w:rPr>
          <w:sz w:val="20"/>
          <w:szCs w:val="20"/>
          <w:color w:val="auto"/>
        </w:rPr>
      </w:pPr>
      <w:r>
        <w:rPr>
          <w:rFonts w:ascii="Arial" w:cs="Arial" w:eastAsia="Arial" w:hAnsi="Arial"/>
          <w:sz w:val="15"/>
          <w:szCs w:val="15"/>
          <w:color w:val="auto"/>
        </w:rPr>
        <w:t>Mark A. Snell</w:t>
      </w:r>
    </w:p>
    <w:p>
      <w:pPr>
        <w:spacing w:after="0" w:line="44" w:lineRule="exact"/>
        <w:rPr>
          <w:sz w:val="20"/>
          <w:szCs w:val="20"/>
          <w:color w:val="auto"/>
        </w:rPr>
      </w:pPr>
    </w:p>
    <w:p>
      <w:pPr>
        <w:ind w:left="994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0"/>
          </w:cols>
          <w:pgMar w:left="240" w:top="131" w:right="21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color w:val="auto"/>
        </w:rPr>
        <w:t>Exhibit 32.3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Executive Officer</w:t>
      </w:r>
    </w:p>
    <w:p>
      <w:pPr>
        <w:spacing w:after="0" w:line="200"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Pursuant to 18 U.S.C. Sec 1350, as created by Section 906 of the Sarbanes-Oxley Act of 2002, the undersigned Chief Executive Officer of San Diego Gas &amp; Electric Company (the "Company") certifies that:</w:t>
      </w:r>
    </w:p>
    <w:p>
      <w:pPr>
        <w:spacing w:after="0" w:line="162" w:lineRule="exact"/>
        <w:rPr>
          <w:sz w:val="20"/>
          <w:szCs w:val="20"/>
          <w:color w:val="auto"/>
        </w:rPr>
      </w:pPr>
    </w:p>
    <w:p>
      <w:pPr>
        <w:ind w:left="1140" w:right="140" w:hanging="568"/>
        <w:spacing w:after="0" w:line="342" w:lineRule="auto"/>
        <w:tabs>
          <w:tab w:leader="none" w:pos="11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Quarterly Report on Form 10-Q of the Company filed with the Securities and Exchange Commission for the quarter ended September 30, 2010 (the "Quarterly Report") fully complies with the requirements of Section 13(a) or Section 15(d), as applicable, of the Securities Exchange Act of 1934, as amended; and</w:t>
      </w:r>
    </w:p>
    <w:p>
      <w:pPr>
        <w:spacing w:after="0" w:line="117" w:lineRule="exact"/>
        <w:rPr>
          <w:rFonts w:ascii="Arial" w:cs="Arial" w:eastAsia="Arial" w:hAnsi="Arial"/>
          <w:sz w:val="14"/>
          <w:szCs w:val="14"/>
          <w:color w:val="auto"/>
        </w:rPr>
      </w:pPr>
    </w:p>
    <w:p>
      <w:pPr>
        <w:ind w:left="1140" w:hanging="568"/>
        <w:spacing w:after="0"/>
        <w:tabs>
          <w:tab w:leader="none" w:pos="11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November 9, 2010</w:t>
      </w:r>
    </w:p>
    <w:p>
      <w:pPr>
        <w:spacing w:after="0" w:line="316" w:lineRule="exact"/>
        <w:rPr>
          <w:sz w:val="20"/>
          <w:szCs w:val="20"/>
          <w:color w:val="auto"/>
        </w:rPr>
      </w:pPr>
    </w:p>
    <w:p>
      <w:pPr>
        <w:ind w:left="9940"/>
        <w:spacing w:after="0"/>
        <w:rPr>
          <w:sz w:val="20"/>
          <w:szCs w:val="20"/>
          <w:color w:val="auto"/>
        </w:rPr>
      </w:pPr>
      <w:r>
        <w:rPr>
          <w:rFonts w:ascii="Arial" w:cs="Arial" w:eastAsia="Arial" w:hAnsi="Arial"/>
          <w:sz w:val="14"/>
          <w:szCs w:val="14"/>
          <w:color w:val="auto"/>
        </w:rPr>
        <w:t>/S/ 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35560</wp:posOffset>
            </wp:positionV>
            <wp:extent cx="21336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33600" cy="7620"/>
                    </a:xfrm>
                    <a:prstGeom prst="rect">
                      <a:avLst/>
                    </a:prstGeom>
                    <a:noFill/>
                  </pic:spPr>
                </pic:pic>
              </a:graphicData>
            </a:graphic>
          </wp:anchor>
        </w:drawing>
      </w:r>
    </w:p>
    <w:p>
      <w:pPr>
        <w:spacing w:after="0" w:line="47"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Jessie J. Knight, Jr.</w:t>
      </w:r>
    </w:p>
    <w:p>
      <w:pPr>
        <w:spacing w:after="0" w:line="55" w:lineRule="exact"/>
        <w:rPr>
          <w:sz w:val="20"/>
          <w:szCs w:val="20"/>
          <w:color w:val="auto"/>
        </w:rPr>
      </w:pPr>
    </w:p>
    <w:p>
      <w:pPr>
        <w:ind w:left="988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130" w:right="21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color w:val="auto"/>
        </w:rPr>
        <w:t>Exhibit 32.4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Financial Officer</w:t>
      </w:r>
    </w:p>
    <w:p>
      <w:pPr>
        <w:spacing w:after="0" w:line="200"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Pursuant to 18 U.S.C. Sec 1350, as created by Section 906 of the Sarbanes-Oxley Act of 2002, the undersigned Chief Financial Officer of San Diego Gas &amp; Electric Company (the "Company") certifies that:</w:t>
      </w:r>
    </w:p>
    <w:p>
      <w:pPr>
        <w:spacing w:after="0" w:line="162" w:lineRule="exact"/>
        <w:rPr>
          <w:sz w:val="20"/>
          <w:szCs w:val="20"/>
          <w:color w:val="auto"/>
        </w:rPr>
      </w:pPr>
    </w:p>
    <w:p>
      <w:pPr>
        <w:ind w:left="1140" w:right="140" w:hanging="568"/>
        <w:spacing w:after="0" w:line="342" w:lineRule="auto"/>
        <w:tabs>
          <w:tab w:leader="none" w:pos="11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Quarterly Report on Form 10-Q of the Company filed with the Securities and Exchange Commission for the quarter ended September 30, 2010 (the "Quarterly Report") fully complies with the requirements of Section 13(a) or Section 15(d), as applicable, of the Securities Exchange Act of 1934, as amended; and</w:t>
      </w:r>
    </w:p>
    <w:p>
      <w:pPr>
        <w:spacing w:after="0" w:line="117" w:lineRule="exact"/>
        <w:rPr>
          <w:rFonts w:ascii="Arial" w:cs="Arial" w:eastAsia="Arial" w:hAnsi="Arial"/>
          <w:sz w:val="14"/>
          <w:szCs w:val="14"/>
          <w:color w:val="auto"/>
        </w:rPr>
      </w:pPr>
    </w:p>
    <w:p>
      <w:pPr>
        <w:ind w:left="1140" w:hanging="568"/>
        <w:spacing w:after="0"/>
        <w:tabs>
          <w:tab w:leader="none" w:pos="11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November 9, 2010</w:t>
      </w:r>
    </w:p>
    <w:p>
      <w:pPr>
        <w:spacing w:after="0" w:line="316"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27940</wp:posOffset>
            </wp:positionV>
            <wp:extent cx="208788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87880" cy="7620"/>
                    </a:xfrm>
                    <a:prstGeom prst="rect">
                      <a:avLst/>
                    </a:prstGeom>
                    <a:noFill/>
                  </pic:spPr>
                </pic:pic>
              </a:graphicData>
            </a:graphic>
          </wp:anchor>
        </w:drawing>
      </w:r>
    </w:p>
    <w:p>
      <w:pPr>
        <w:spacing w:after="0" w:line="36" w:lineRule="exact"/>
        <w:rPr>
          <w:sz w:val="20"/>
          <w:szCs w:val="20"/>
          <w:color w:val="auto"/>
        </w:rPr>
      </w:pPr>
    </w:p>
    <w:p>
      <w:pPr>
        <w:ind w:left="10280"/>
        <w:spacing w:after="0"/>
        <w:rPr>
          <w:sz w:val="20"/>
          <w:szCs w:val="20"/>
          <w:color w:val="auto"/>
        </w:rPr>
      </w:pPr>
      <w:r>
        <w:rPr>
          <w:rFonts w:ascii="Arial" w:cs="Arial" w:eastAsia="Arial" w:hAnsi="Arial"/>
          <w:sz w:val="15"/>
          <w:szCs w:val="15"/>
          <w:color w:val="auto"/>
        </w:rPr>
        <w:t>Robert M. Schlax</w:t>
      </w:r>
    </w:p>
    <w:p>
      <w:pPr>
        <w:spacing w:after="0" w:line="44" w:lineRule="exact"/>
        <w:rPr>
          <w:sz w:val="20"/>
          <w:szCs w:val="20"/>
          <w:color w:val="auto"/>
        </w:rPr>
      </w:pPr>
    </w:p>
    <w:p>
      <w:pPr>
        <w:ind w:left="994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0"/>
          </w:cols>
          <w:pgMar w:left="240" w:top="130" w:right="21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color w:val="auto"/>
        </w:rPr>
        <w:t>Exhibit 32.6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Pursuant to 18 U.S.C. Sec 1350, as created by Section 906 of the Sarbanes-Oxley Act of 2002, the undersigned Chief Financial Officer of Pacific Enterprises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certifies that:</w:t>
      </w:r>
    </w:p>
    <w:p>
      <w:pPr>
        <w:spacing w:after="0" w:line="217" w:lineRule="exact"/>
        <w:rPr>
          <w:sz w:val="20"/>
          <w:szCs w:val="20"/>
          <w:color w:val="auto"/>
        </w:rPr>
      </w:pPr>
    </w:p>
    <w:p>
      <w:pPr>
        <w:ind w:left="1140" w:right="120" w:hanging="568"/>
        <w:spacing w:after="0" w:line="342" w:lineRule="auto"/>
        <w:tabs>
          <w:tab w:leader="none" w:pos="11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Quarterly Report on Form 10-Q of the Company filed with the Securities and Exchange Commission for the quarter ended September 30, 2010 (the "Quarterly Report") fully complies with the requirements of Section 13(a) or Section 15(d), as applicable, of the Securities Exchange Act of 1934, as amended; and</w:t>
      </w:r>
    </w:p>
    <w:p>
      <w:pPr>
        <w:spacing w:after="0" w:line="117" w:lineRule="exact"/>
        <w:rPr>
          <w:rFonts w:ascii="Arial" w:cs="Arial" w:eastAsia="Arial" w:hAnsi="Arial"/>
          <w:sz w:val="14"/>
          <w:szCs w:val="14"/>
          <w:color w:val="auto"/>
        </w:rPr>
      </w:pPr>
    </w:p>
    <w:p>
      <w:pPr>
        <w:ind w:left="1140" w:hanging="568"/>
        <w:spacing w:after="0"/>
        <w:tabs>
          <w:tab w:leader="none" w:pos="11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November 9, 2010</w:t>
      </w:r>
    </w:p>
    <w:p>
      <w:pPr>
        <w:spacing w:after="0" w:line="316"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5537200</wp:posOffset>
            </wp:positionH>
            <wp:positionV relativeFrom="paragraph">
              <wp:posOffset>27940</wp:posOffset>
            </wp:positionV>
            <wp:extent cx="172212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22120" cy="7620"/>
                    </a:xfrm>
                    <a:prstGeom prst="rect">
                      <a:avLst/>
                    </a:prstGeom>
                    <a:noFill/>
                  </pic:spPr>
                </pic:pic>
              </a:graphicData>
            </a:graphic>
          </wp:anchor>
        </w:drawing>
      </w:r>
    </w:p>
    <w:p>
      <w:pPr>
        <w:spacing w:after="0" w:line="36" w:lineRule="exact"/>
        <w:rPr>
          <w:sz w:val="20"/>
          <w:szCs w:val="20"/>
          <w:color w:val="auto"/>
        </w:rPr>
      </w:pPr>
    </w:p>
    <w:p>
      <w:pPr>
        <w:ind w:left="10280"/>
        <w:spacing w:after="0"/>
        <w:rPr>
          <w:sz w:val="20"/>
          <w:szCs w:val="20"/>
          <w:color w:val="auto"/>
        </w:rPr>
      </w:pPr>
      <w:r>
        <w:rPr>
          <w:rFonts w:ascii="Arial" w:cs="Arial" w:eastAsia="Arial" w:hAnsi="Arial"/>
          <w:sz w:val="15"/>
          <w:szCs w:val="15"/>
          <w:color w:val="auto"/>
        </w:rPr>
        <w:t>Robert M. Schlax</w:t>
      </w:r>
    </w:p>
    <w:p>
      <w:pPr>
        <w:spacing w:after="0" w:line="44" w:lineRule="exact"/>
        <w:rPr>
          <w:sz w:val="20"/>
          <w:szCs w:val="20"/>
          <w:color w:val="auto"/>
        </w:rPr>
      </w:pPr>
    </w:p>
    <w:p>
      <w:pPr>
        <w:ind w:left="994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0"/>
          </w:cols>
          <w:pgMar w:left="240" w:top="131" w:right="21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color w:val="auto"/>
        </w:rPr>
        <w:t>Exhibit 32.5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Pursuant to 18 U.S.C. Sec 1350, as created by Section 906 of the Sarbanes-Oxley Act of 2002, the undersigned Chief Executive Officer of Pacific Enterprises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certifies that:</w:t>
      </w:r>
    </w:p>
    <w:p>
      <w:pPr>
        <w:spacing w:after="0" w:line="193" w:lineRule="exact"/>
        <w:rPr>
          <w:sz w:val="20"/>
          <w:szCs w:val="20"/>
          <w:color w:val="auto"/>
        </w:rPr>
      </w:pPr>
    </w:p>
    <w:p>
      <w:pPr>
        <w:ind w:left="1140" w:right="140" w:hanging="568"/>
        <w:spacing w:after="0" w:line="342" w:lineRule="auto"/>
        <w:tabs>
          <w:tab w:leader="none" w:pos="11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Quarterly Report on Form 10-Q of the Company filed with the Securities and Exchange Commission for the quarter ended September 30, 2010 (the "Quarterly Report") fully complies with the requirements of Section 13(a) or Section 15(d), as applicable, of the Securities Exchange Act of 1934, as amended; and</w:t>
      </w:r>
    </w:p>
    <w:p>
      <w:pPr>
        <w:spacing w:after="0" w:line="117" w:lineRule="exact"/>
        <w:rPr>
          <w:rFonts w:ascii="Arial" w:cs="Arial" w:eastAsia="Arial" w:hAnsi="Arial"/>
          <w:sz w:val="14"/>
          <w:szCs w:val="14"/>
          <w:color w:val="auto"/>
        </w:rPr>
      </w:pPr>
    </w:p>
    <w:p>
      <w:pPr>
        <w:ind w:left="1140" w:hanging="568"/>
        <w:spacing w:after="0"/>
        <w:tabs>
          <w:tab w:leader="none" w:pos="11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November 9, 2010</w:t>
      </w:r>
    </w:p>
    <w:p>
      <w:pPr>
        <w:spacing w:after="0" w:line="316" w:lineRule="exact"/>
        <w:rPr>
          <w:sz w:val="20"/>
          <w:szCs w:val="20"/>
          <w:color w:val="auto"/>
        </w:rPr>
      </w:pPr>
    </w:p>
    <w:p>
      <w:pPr>
        <w:ind w:left="9900"/>
        <w:spacing w:after="0"/>
        <w:rPr>
          <w:sz w:val="20"/>
          <w:szCs w:val="20"/>
          <w:color w:val="auto"/>
        </w:rPr>
      </w:pPr>
      <w:r>
        <w:rPr>
          <w:rFonts w:ascii="Arial" w:cs="Arial" w:eastAsia="Arial" w:hAnsi="Arial"/>
          <w:sz w:val="15"/>
          <w:szCs w:val="15"/>
          <w:color w:val="auto"/>
        </w:rPr>
        <w:t>/S/ 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27940</wp:posOffset>
            </wp:positionV>
            <wp:extent cx="176784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67840" cy="7620"/>
                    </a:xfrm>
                    <a:prstGeom prst="rect">
                      <a:avLst/>
                    </a:prstGeom>
                    <a:noFill/>
                  </pic:spPr>
                </pic:pic>
              </a:graphicData>
            </a:graphic>
          </wp:anchor>
        </w:drawing>
      </w:r>
    </w:p>
    <w:p>
      <w:pPr>
        <w:spacing w:after="0" w:line="36" w:lineRule="exact"/>
        <w:rPr>
          <w:sz w:val="20"/>
          <w:szCs w:val="20"/>
          <w:color w:val="auto"/>
        </w:rPr>
      </w:pPr>
    </w:p>
    <w:p>
      <w:pPr>
        <w:ind w:left="10160"/>
        <w:spacing w:after="0"/>
        <w:rPr>
          <w:sz w:val="20"/>
          <w:szCs w:val="20"/>
          <w:color w:val="auto"/>
        </w:rPr>
      </w:pPr>
      <w:r>
        <w:rPr>
          <w:rFonts w:ascii="Arial" w:cs="Arial" w:eastAsia="Arial" w:hAnsi="Arial"/>
          <w:sz w:val="15"/>
          <w:szCs w:val="15"/>
          <w:color w:val="auto"/>
        </w:rPr>
        <w:t>Michael W. Allman</w:t>
      </w:r>
    </w:p>
    <w:p>
      <w:pPr>
        <w:spacing w:after="0" w:line="44" w:lineRule="exact"/>
        <w:rPr>
          <w:sz w:val="20"/>
          <w:szCs w:val="20"/>
          <w:color w:val="auto"/>
        </w:rPr>
      </w:pPr>
    </w:p>
    <w:p>
      <w:pPr>
        <w:ind w:left="988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130" w:right="21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color w:val="auto"/>
        </w:rPr>
        <w:t>Exhibit 32.7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Executive Officer</w:t>
      </w:r>
    </w:p>
    <w:p>
      <w:pPr>
        <w:spacing w:after="0" w:line="200" w:lineRule="exact"/>
        <w:rPr>
          <w:sz w:val="20"/>
          <w:szCs w:val="20"/>
          <w:color w:val="auto"/>
        </w:rPr>
      </w:pPr>
    </w:p>
    <w:p>
      <w:pPr>
        <w:ind w:right="320"/>
        <w:spacing w:after="0" w:line="270" w:lineRule="auto"/>
        <w:rPr>
          <w:sz w:val="20"/>
          <w:szCs w:val="20"/>
          <w:color w:val="auto"/>
        </w:rPr>
      </w:pPr>
      <w:r>
        <w:rPr>
          <w:rFonts w:ascii="Arial" w:cs="Arial" w:eastAsia="Arial" w:hAnsi="Arial"/>
          <w:sz w:val="16"/>
          <w:szCs w:val="16"/>
          <w:color w:val="auto"/>
        </w:rPr>
        <w:t>Pursuant to 18 U.S.C. Sec 1350, as created by Section 906 of the Sarbanes-Oxley Act of 2002, the undersigned Chief Executive Officer of Southern California Gas Company (the "Company") certifies that:</w:t>
      </w:r>
    </w:p>
    <w:p>
      <w:pPr>
        <w:spacing w:after="0" w:line="162" w:lineRule="exact"/>
        <w:rPr>
          <w:sz w:val="20"/>
          <w:szCs w:val="20"/>
          <w:color w:val="auto"/>
        </w:rPr>
      </w:pPr>
    </w:p>
    <w:p>
      <w:pPr>
        <w:ind w:left="1140" w:right="140" w:hanging="568"/>
        <w:spacing w:after="0" w:line="342" w:lineRule="auto"/>
        <w:tabs>
          <w:tab w:leader="none" w:pos="11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Quarterly Report on Form 10-Q of the Company filed with the Securities and Exchange Commission for the quarter ended September 30, 2010 (the "Quarterly Report") fully complies with the requirements of Section 13(a) or Section 15(d), as applicable, of the Securities Exchange Act of 1934, as amended; and</w:t>
      </w:r>
    </w:p>
    <w:p>
      <w:pPr>
        <w:spacing w:after="0" w:line="117" w:lineRule="exact"/>
        <w:rPr>
          <w:rFonts w:ascii="Arial" w:cs="Arial" w:eastAsia="Arial" w:hAnsi="Arial"/>
          <w:sz w:val="14"/>
          <w:szCs w:val="14"/>
          <w:color w:val="auto"/>
        </w:rPr>
      </w:pPr>
    </w:p>
    <w:p>
      <w:pPr>
        <w:ind w:left="1140" w:hanging="568"/>
        <w:spacing w:after="0"/>
        <w:tabs>
          <w:tab w:leader="none" w:pos="11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November 9, 2010</w:t>
      </w:r>
    </w:p>
    <w:p>
      <w:pPr>
        <w:spacing w:after="0" w:line="316" w:lineRule="exact"/>
        <w:rPr>
          <w:sz w:val="20"/>
          <w:szCs w:val="20"/>
          <w:color w:val="auto"/>
        </w:rPr>
      </w:pPr>
    </w:p>
    <w:p>
      <w:pPr>
        <w:ind w:left="9900"/>
        <w:spacing w:after="0"/>
        <w:rPr>
          <w:sz w:val="20"/>
          <w:szCs w:val="20"/>
          <w:color w:val="auto"/>
        </w:rPr>
      </w:pPr>
      <w:r>
        <w:rPr>
          <w:rFonts w:ascii="Arial" w:cs="Arial" w:eastAsia="Arial" w:hAnsi="Arial"/>
          <w:sz w:val="15"/>
          <w:szCs w:val="15"/>
          <w:color w:val="auto"/>
        </w:rPr>
        <w:t>/S/ 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27940</wp:posOffset>
            </wp:positionV>
            <wp:extent cx="204216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42160" cy="7620"/>
                    </a:xfrm>
                    <a:prstGeom prst="rect">
                      <a:avLst/>
                    </a:prstGeom>
                    <a:noFill/>
                  </pic:spPr>
                </pic:pic>
              </a:graphicData>
            </a:graphic>
          </wp:anchor>
        </w:drawing>
      </w:r>
    </w:p>
    <w:p>
      <w:pPr>
        <w:spacing w:after="0" w:line="36" w:lineRule="exact"/>
        <w:rPr>
          <w:sz w:val="20"/>
          <w:szCs w:val="20"/>
          <w:color w:val="auto"/>
        </w:rPr>
      </w:pPr>
    </w:p>
    <w:p>
      <w:pPr>
        <w:ind w:left="10160"/>
        <w:spacing w:after="0"/>
        <w:rPr>
          <w:sz w:val="20"/>
          <w:szCs w:val="20"/>
          <w:color w:val="auto"/>
        </w:rPr>
      </w:pPr>
      <w:r>
        <w:rPr>
          <w:rFonts w:ascii="Arial" w:cs="Arial" w:eastAsia="Arial" w:hAnsi="Arial"/>
          <w:sz w:val="15"/>
          <w:szCs w:val="15"/>
          <w:color w:val="auto"/>
        </w:rPr>
        <w:t>Michael W. Allman</w:t>
      </w:r>
    </w:p>
    <w:p>
      <w:pPr>
        <w:spacing w:after="0" w:line="44" w:lineRule="exact"/>
        <w:rPr>
          <w:sz w:val="20"/>
          <w:szCs w:val="20"/>
          <w:color w:val="auto"/>
        </w:rPr>
      </w:pPr>
    </w:p>
    <w:p>
      <w:pPr>
        <w:ind w:left="988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130" w:right="21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color w:val="auto"/>
        </w:rPr>
        <w:t>Exhibit 32.8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Chief Financial Officer</w:t>
      </w:r>
    </w:p>
    <w:p>
      <w:pPr>
        <w:spacing w:after="0" w:line="200" w:lineRule="exact"/>
        <w:rPr>
          <w:sz w:val="20"/>
          <w:szCs w:val="20"/>
          <w:color w:val="auto"/>
        </w:rPr>
      </w:pPr>
    </w:p>
    <w:p>
      <w:pPr>
        <w:ind w:right="360"/>
        <w:spacing w:after="0" w:line="270" w:lineRule="auto"/>
        <w:rPr>
          <w:sz w:val="20"/>
          <w:szCs w:val="20"/>
          <w:color w:val="auto"/>
        </w:rPr>
      </w:pPr>
      <w:r>
        <w:rPr>
          <w:rFonts w:ascii="Arial" w:cs="Arial" w:eastAsia="Arial" w:hAnsi="Arial"/>
          <w:sz w:val="16"/>
          <w:szCs w:val="16"/>
          <w:color w:val="auto"/>
        </w:rPr>
        <w:t>Pursuant to 18 U.S.C. Sec 1350, as created by Section 906 of the Sarbanes-Oxley Act of 2002, the undersigned Chief Financial Officer of Southern California Gas Company (the "Company") certifies that:</w:t>
      </w:r>
    </w:p>
    <w:p>
      <w:pPr>
        <w:spacing w:after="0" w:line="162" w:lineRule="exact"/>
        <w:rPr>
          <w:sz w:val="20"/>
          <w:szCs w:val="20"/>
          <w:color w:val="auto"/>
        </w:rPr>
      </w:pPr>
    </w:p>
    <w:p>
      <w:pPr>
        <w:ind w:left="1140" w:right="140" w:hanging="568"/>
        <w:spacing w:after="0" w:line="342" w:lineRule="auto"/>
        <w:tabs>
          <w:tab w:leader="none" w:pos="11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Quarterly Report on Form 10-Q of the Company filed with the Securities and Exchange Commission for the quarter ended September 30, 2010 (the "Quarterly Report") fully complies with the requirements of Section 13(a) or Section 15(d), as applicable, of the Securities Exchange Act of 1934, as amended; and</w:t>
      </w:r>
    </w:p>
    <w:p>
      <w:pPr>
        <w:spacing w:after="0" w:line="117" w:lineRule="exact"/>
        <w:rPr>
          <w:rFonts w:ascii="Arial" w:cs="Arial" w:eastAsia="Arial" w:hAnsi="Arial"/>
          <w:sz w:val="14"/>
          <w:szCs w:val="14"/>
          <w:color w:val="auto"/>
        </w:rPr>
      </w:pPr>
    </w:p>
    <w:p>
      <w:pPr>
        <w:ind w:left="1140" w:hanging="568"/>
        <w:spacing w:after="0"/>
        <w:tabs>
          <w:tab w:leader="none" w:pos="11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November 9, 2010</w:t>
      </w:r>
    </w:p>
    <w:p>
      <w:pPr>
        <w:spacing w:after="0" w:line="200" w:lineRule="exact"/>
        <w:rPr>
          <w:sz w:val="20"/>
          <w:szCs w:val="20"/>
          <w:color w:val="auto"/>
        </w:rPr>
      </w:pPr>
    </w:p>
    <w:p>
      <w:pPr>
        <w:spacing w:after="0" w:line="380"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27940</wp:posOffset>
            </wp:positionV>
            <wp:extent cx="204216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42160" cy="7620"/>
                    </a:xfrm>
                    <a:prstGeom prst="rect">
                      <a:avLst/>
                    </a:prstGeom>
                    <a:noFill/>
                  </pic:spPr>
                </pic:pic>
              </a:graphicData>
            </a:graphic>
          </wp:anchor>
        </w:drawing>
      </w:r>
    </w:p>
    <w:p>
      <w:pPr>
        <w:spacing w:after="0" w:line="36" w:lineRule="exact"/>
        <w:rPr>
          <w:sz w:val="20"/>
          <w:szCs w:val="20"/>
          <w:color w:val="auto"/>
        </w:rPr>
      </w:pPr>
    </w:p>
    <w:p>
      <w:pPr>
        <w:ind w:left="10280"/>
        <w:spacing w:after="0"/>
        <w:rPr>
          <w:sz w:val="20"/>
          <w:szCs w:val="20"/>
          <w:color w:val="auto"/>
        </w:rPr>
      </w:pPr>
      <w:r>
        <w:rPr>
          <w:rFonts w:ascii="Arial" w:cs="Arial" w:eastAsia="Arial" w:hAnsi="Arial"/>
          <w:sz w:val="15"/>
          <w:szCs w:val="15"/>
          <w:color w:val="auto"/>
        </w:rPr>
        <w:t>Robert M. Schlax</w:t>
      </w:r>
    </w:p>
    <w:p>
      <w:pPr>
        <w:spacing w:after="0" w:line="44" w:lineRule="exact"/>
        <w:rPr>
          <w:sz w:val="20"/>
          <w:szCs w:val="20"/>
          <w:color w:val="auto"/>
        </w:rPr>
      </w:pPr>
    </w:p>
    <w:p>
      <w:pPr>
        <w:ind w:left="994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0"/>
          </w:cols>
          <w:pgMar w:left="240" w:top="131" w:right="219" w:bottom="1440"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upperLetter"/>
      <w:start w:val="24"/>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344"/>
    </w:lvl>
  </w:abstractNum>
  <w:abstractNum w:abstractNumId="3">
    <w:nsid w:val="2A487CB0"/>
    <w:multiLevelType w:val="hybridMultilevel"/>
    <w:lvl w:ilvl="0">
      <w:lvlJc w:val="left"/>
      <w:lvlText w:val="&lt;"/>
      <w:numFmt w:val="bullet"/>
      <w:start w:val="1"/>
    </w:lvl>
  </w:abstractNum>
  <w:abstractNum w:abstractNumId="4">
    <w:nsid w:val="1D4ED43B"/>
    <w:multiLevelType w:val="hybridMultilevel"/>
    <w:lvl w:ilvl="0">
      <w:lvlJc w:val="left"/>
      <w:lvlText w:val="&lt;"/>
      <w:numFmt w:val="bullet"/>
      <w:start w:val="1"/>
    </w:lvl>
  </w:abstractNum>
  <w:abstractNum w:abstractNumId="5">
    <w:nsid w:val="725A06FB"/>
    <w:multiLevelType w:val="hybridMultilevel"/>
    <w:lvl w:ilvl="0">
      <w:lvlJc w:val="left"/>
      <w:lvlText w:val="&lt;"/>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lt;"/>
      <w:numFmt w:val="bullet"/>
      <w:start w:val="1"/>
    </w:lvl>
  </w:abstractNum>
  <w:abstractNum w:abstractNumId="8">
    <w:nsid w:val="7A6D8D3C"/>
    <w:multiLevelType w:val="hybridMultilevel"/>
    <w:lvl w:ilvl="0">
      <w:lvlJc w:val="left"/>
      <w:lvlText w:val="&lt;"/>
      <w:numFmt w:val="bullet"/>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lt;"/>
      <w:numFmt w:val="bullet"/>
      <w:start w:val="1"/>
    </w:lvl>
  </w:abstractNum>
  <w:abstractNum w:abstractNumId="11">
    <w:nsid w:val="6DE91B18"/>
    <w:multiLevelType w:val="hybridMultilevel"/>
    <w:lvl w:ilvl="0">
      <w:lvlJc w:val="left"/>
      <w:lvlText w:val="&amp;"/>
      <w:numFmt w:val="bullet"/>
      <w:start w:val="1"/>
    </w:lvl>
  </w:abstractNum>
  <w:abstractNum w:abstractNumId="12">
    <w:nsid w:val="38437FDB"/>
    <w:multiLevelType w:val="hybridMultilevel"/>
    <w:lvl w:ilvl="0">
      <w:lvlJc w:val="left"/>
      <w:lvlText w:val="&lt;"/>
      <w:numFmt w:val="bullet"/>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lt;"/>
      <w:numFmt w:val="bullet"/>
      <w:start w:val="1"/>
    </w:lvl>
  </w:abstractNum>
  <w:abstractNum w:abstractNumId="15">
    <w:nsid w:val="684A481A"/>
    <w:multiLevelType w:val="hybridMultilevel"/>
    <w:lvl w:ilvl="0">
      <w:lvlJc w:val="left"/>
      <w:lvlText w:val="&lt;"/>
      <w:numFmt w:val="bullet"/>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lt;"/>
      <w:numFmt w:val="bullet"/>
      <w:start w:val="1"/>
    </w:lvl>
  </w:abstractNum>
  <w:abstractNum w:abstractNumId="25">
    <w:nsid w:val="374A3FE6"/>
    <w:multiLevelType w:val="hybridMultilevel"/>
    <w:lvl w:ilvl="0">
      <w:lvlJc w:val="left"/>
      <w:lvlText w:val="&lt;"/>
      <w:numFmt w:val="bullet"/>
      <w:start w:val="1"/>
    </w:lvl>
    <w:lvl w:ilvl="1">
      <w:lvlJc w:val="left"/>
      <w:lvlText w:val="(%2)"/>
      <w:numFmt w:val="decimal"/>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1)"/>
      <w:numFmt w:val="decimal"/>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2"/>
    </w:lvl>
  </w:abstractNum>
  <w:abstractNum w:abstractNumId="33">
    <w:nsid w:val="235BA861"/>
    <w:multiLevelType w:val="hybridMultilevel"/>
    <w:lvl w:ilvl="0">
      <w:lvlJc w:val="left"/>
      <w:lvlText w:val="%1."/>
      <w:numFmt w:val="decimal"/>
      <w:start w:val="4"/>
    </w:lvl>
  </w:abstractNum>
  <w:abstractNum w:abstractNumId="34">
    <w:nsid w:val="47398C89"/>
    <w:multiLevelType w:val="hybridMultilevel"/>
    <w:lvl w:ilvl="0">
      <w:lvlJc w:val="left"/>
      <w:lvlText w:val="&lt;"/>
      <w:numFmt w:val="bullet"/>
      <w:start w:val="1"/>
    </w:lvl>
  </w:abstractNum>
  <w:abstractNum w:abstractNumId="35">
    <w:nsid w:val="354FE9F9"/>
    <w:multiLevelType w:val="hybridMultilevel"/>
    <w:lvl w:ilvl="0">
      <w:lvlJc w:val="left"/>
      <w:lvlText w:val="&lt;"/>
      <w:numFmt w:val="bullet"/>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lt;"/>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upperLetter"/>
      <w:start w:val="1"/>
    </w:lvl>
  </w:abstractNum>
  <w:abstractNum w:abstractNumId="42">
    <w:nsid w:val="7E0C57B1"/>
    <w:multiLevelType w:val="hybridMultilevel"/>
    <w:lvl w:ilvl="0">
      <w:lvlJc w:val="left"/>
      <w:lvlText w:val="%1."/>
      <w:numFmt w:val="decimal"/>
      <w:start w:val="1"/>
    </w:lvl>
    <w:lvl w:ilvl="1">
      <w:lvlJc w:val="left"/>
      <w:lvlText w:val="%2."/>
      <w:numFmt w:val="lowerLetter"/>
      <w:start w:val="1"/>
    </w:lvl>
  </w:abstractNum>
  <w:abstractNum w:abstractNumId="43">
    <w:nsid w:val="77AE35EB"/>
    <w:multiLevelType w:val="hybridMultilevel"/>
    <w:lvl w:ilvl="0">
      <w:lvlJc w:val="left"/>
      <w:lvlText w:val="(%1)"/>
      <w:numFmt w:val="lowerLetter"/>
      <w:start w:val="1"/>
    </w:lvl>
  </w:abstractNum>
  <w:abstractNum w:abstractNumId="44">
    <w:nsid w:val="579BE4F1"/>
    <w:multiLevelType w:val="hybridMultilevel"/>
    <w:lvl w:ilvl="0">
      <w:lvlJc w:val="left"/>
      <w:lvlText w:val="(%1)"/>
      <w:numFmt w:val="lowerLetter"/>
      <w:start w:val="8"/>
    </w:lvl>
  </w:abstractNum>
  <w:abstractNum w:abstractNumId="45">
    <w:nsid w:val="310C50B3"/>
    <w:multiLevelType w:val="hybridMultilevel"/>
    <w:lvl w:ilvl="0">
      <w:lvlJc w:val="left"/>
      <w:lvlText w:val="(%1)"/>
      <w:numFmt w:val="lowerLetter"/>
      <w:start w:val="1"/>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upperLetter"/>
      <w:start w:val="9"/>
    </w:lvl>
  </w:abstractNum>
  <w:abstractNum w:abstractNumId="48">
    <w:nsid w:val="25A70BF7"/>
    <w:multiLevelType w:val="hybridMultilevel"/>
    <w:lvl w:ilvl="0">
      <w:lvlJc w:val="left"/>
      <w:lvlText w:val="(%1)"/>
      <w:numFmt w:val="upperLetter"/>
      <w:start w:val="35"/>
    </w:lvl>
    <w:lvl w:ilvl="1">
      <w:lvlJc w:val="left"/>
      <w:lvlText w:val="(%2)"/>
      <w:numFmt w:val="lowerRoman"/>
      <w:start w:val="1"/>
    </w:lvl>
  </w:abstractNum>
  <w:abstractNum w:abstractNumId="49">
    <w:nsid w:val="1DBABF00"/>
    <w:multiLevelType w:val="hybridMultilevel"/>
    <w:lvl w:ilvl="0">
      <w:lvlJc w:val="left"/>
      <w:lvlText w:val="(%1)"/>
      <w:numFmt w:val="decimal"/>
      <w:start w:val="1"/>
    </w:lvl>
    <w:lvl w:ilvl="1">
      <w:lvlJc w:val="left"/>
      <w:lvlText w:val="(%2)"/>
      <w:numFmt w:val="lowerLetter"/>
      <w:start w:val="1"/>
    </w:lvl>
  </w:abstractNum>
  <w:abstractNum w:abstractNumId="50">
    <w:nsid w:val="4AD084E9"/>
    <w:multiLevelType w:val="hybridMultilevel"/>
    <w:lvl w:ilvl="0">
      <w:lvlJc w:val="left"/>
      <w:lvlText w:val="(%1)"/>
      <w:numFmt w:val="upperLetter"/>
      <w:start w:val="35"/>
    </w:lvl>
  </w:abstractNum>
  <w:abstractNum w:abstractNumId="51">
    <w:nsid w:val="1F48EAA1"/>
    <w:multiLevelType w:val="hybridMultilevel"/>
    <w:lvl w:ilvl="0">
      <w:lvlJc w:val="left"/>
      <w:lvlText w:val="(%1)"/>
      <w:numFmt w:val="upperLetter"/>
      <w:start w:val="2"/>
    </w:lvl>
  </w:abstractNum>
  <w:abstractNum w:abstractNumId="52">
    <w:nsid w:val="1381823A"/>
    <w:multiLevelType w:val="hybridMultilevel"/>
    <w:lvl w:ilvl="0">
      <w:lvlJc w:val="left"/>
      <w:lvlText w:val="(%1)"/>
      <w:numFmt w:val="upperLetter"/>
      <w:start w:val="3"/>
    </w:lvl>
  </w:abstractNum>
  <w:abstractNum w:abstractNumId="53">
    <w:nsid w:val="5DB70AE5"/>
    <w:multiLevelType w:val="hybridMultilevel"/>
    <w:lvl w:ilvl="0">
      <w:lvlJc w:val="left"/>
      <w:lvlText w:val="(%1)"/>
      <w:numFmt w:val="upperLetter"/>
      <w:start w:val="4"/>
    </w:lvl>
  </w:abstractNum>
  <w:abstractNum w:abstractNumId="54">
    <w:nsid w:val="100F8FCA"/>
    <w:multiLevelType w:val="hybridMultilevel"/>
    <w:lvl w:ilvl="0">
      <w:lvlJc w:val="left"/>
      <w:lvlText w:val="(%1)"/>
      <w:numFmt w:val="upperLetter"/>
      <w:start w:val="5"/>
    </w:lvl>
  </w:abstractNum>
  <w:abstractNum w:abstractNumId="55">
    <w:nsid w:val="6590700B"/>
    <w:multiLevelType w:val="hybridMultilevel"/>
    <w:lvl w:ilvl="0">
      <w:lvlJc w:val="left"/>
      <w:lvlText w:val="(%1)"/>
      <w:numFmt w:val="upperLetter"/>
      <w:start w:val="7"/>
    </w:lvl>
  </w:abstractNum>
  <w:abstractNum w:abstractNumId="56">
    <w:nsid w:val="15014ACB"/>
    <w:multiLevelType w:val="hybridMultilevel"/>
    <w:lvl w:ilvl="0">
      <w:lvlJc w:val="left"/>
      <w:lvlText w:val="(%1)"/>
      <w:numFmt w:val="upperLetter"/>
      <w:start w:val="10"/>
    </w:lvl>
  </w:abstractNum>
  <w:abstractNum w:abstractNumId="57">
    <w:nsid w:val="5F5E7FD0"/>
    <w:multiLevelType w:val="hybridMultilevel"/>
    <w:lvl w:ilvl="0">
      <w:lvlJc w:val="left"/>
      <w:lvlText w:val="(%1)"/>
      <w:numFmt w:val="upperLetter"/>
      <w:start w:val="11"/>
    </w:lvl>
  </w:abstractNum>
  <w:abstractNum w:abstractNumId="58">
    <w:nsid w:val="98A3148"/>
    <w:multiLevelType w:val="hybridMultilevel"/>
    <w:lvl w:ilvl="0">
      <w:lvlJc w:val="left"/>
      <w:lvlText w:val="(%1)"/>
      <w:numFmt w:val="upperLetter"/>
      <w:start w:val="13"/>
    </w:lvl>
  </w:abstractNum>
  <w:abstractNum w:abstractNumId="59">
    <w:nsid w:val="799D0247"/>
    <w:multiLevelType w:val="hybridMultilevel"/>
    <w:lvl w:ilvl="0">
      <w:lvlJc w:val="left"/>
      <w:lvlText w:val="(%1)"/>
      <w:numFmt w:val="upperLetter"/>
      <w:start w:val="14"/>
    </w:lvl>
  </w:abstractNum>
  <w:abstractNum w:abstractNumId="60">
    <w:nsid w:val="6B94764"/>
    <w:multiLevelType w:val="hybridMultilevel"/>
    <w:lvl w:ilvl="0">
      <w:lvlJc w:val="left"/>
      <w:lvlText w:val="(%1)"/>
      <w:numFmt w:val="upperLetter"/>
      <w:start w:val="15"/>
    </w:lvl>
  </w:abstractNum>
  <w:abstractNum w:abstractNumId="61">
    <w:nsid w:val="42C296BD"/>
    <w:multiLevelType w:val="hybridMultilevel"/>
    <w:lvl w:ilvl="0">
      <w:lvlJc w:val="left"/>
      <w:lvlText w:val="(%1)"/>
      <w:numFmt w:val="upperLetter"/>
      <w:start w:val="16"/>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1"/>
    </w:lvl>
    <w:lvl w:ilvl="1">
      <w:lvlJc w:val="left"/>
      <w:lvlText w:val="%2)"/>
      <w:numFmt w:val="lowerLetter"/>
      <w:start w:val="1"/>
    </w:lvl>
  </w:abstractNum>
  <w:abstractNum w:abstractNumId="67">
    <w:nsid w:val="7BD3EE7B"/>
    <w:multiLevelType w:val="hybridMultilevel"/>
    <w:lvl w:ilvl="0">
      <w:lvlJc w:val="left"/>
      <w:lvlText w:val="%1."/>
      <w:numFmt w:val="decimal"/>
      <w:start w:val="1"/>
    </w:lvl>
    <w:lvl w:ilvl="1">
      <w:lvlJc w:val="left"/>
      <w:lvlText w:val="%2)"/>
      <w:numFmt w:val="lowerLetter"/>
      <w:start w:val="1"/>
    </w:lvl>
  </w:abstractNum>
  <w:abstractNum w:abstractNumId="68">
    <w:nsid w:val="51D9C564"/>
    <w:multiLevelType w:val="hybridMultilevel"/>
    <w:lvl w:ilvl="0">
      <w:lvlJc w:val="left"/>
      <w:lvlText w:val="%1."/>
      <w:numFmt w:val="decimal"/>
      <w:start w:val="1"/>
    </w:lvl>
    <w:lvl w:ilvl="1">
      <w:lvlJc w:val="left"/>
      <w:lvlText w:val="%2)"/>
      <w:numFmt w:val="lowerLetter"/>
      <w:start w:val="1"/>
    </w:lvl>
  </w:abstractNum>
  <w:abstractNum w:abstractNumId="69">
    <w:nsid w:val="613EFDC5"/>
    <w:multiLevelType w:val="hybridMultilevel"/>
    <w:lvl w:ilvl="0">
      <w:lvlJc w:val="left"/>
      <w:lvlText w:val="%1."/>
      <w:numFmt w:val="decimal"/>
      <w:start w:val="1"/>
    </w:lvl>
    <w:lvl w:ilvl="1">
      <w:lvlJc w:val="left"/>
      <w:lvlText w:val="%2)"/>
      <w:numFmt w:val="lowerLetter"/>
      <w:start w:val="1"/>
    </w:lvl>
  </w:abstractNum>
  <w:abstractNum w:abstractNumId="70">
    <w:nsid w:val="BF72B14"/>
    <w:multiLevelType w:val="hybridMultilevel"/>
    <w:lvl w:ilvl="0">
      <w:lvlJc w:val="left"/>
      <w:lvlText w:val="%1."/>
      <w:numFmt w:val="decimal"/>
      <w:start w:val="1"/>
    </w:lvl>
    <w:lvl w:ilvl="1">
      <w:lvlJc w:val="left"/>
      <w:lvlText w:val="%2)"/>
      <w:numFmt w:val="lowerLetter"/>
      <w:start w:val="1"/>
    </w:lvl>
  </w:abstractNum>
  <w:abstractNum w:abstractNumId="71">
    <w:nsid w:val="11447B73"/>
    <w:multiLevelType w:val="hybridMultilevel"/>
    <w:lvl w:ilvl="0">
      <w:lvlJc w:val="left"/>
      <w:lvlText w:val="%1."/>
      <w:numFmt w:val="decimal"/>
      <w:start w:val="1"/>
    </w:lvl>
    <w:lvl w:ilvl="1">
      <w:lvlJc w:val="left"/>
      <w:lvlText w:val="%2)"/>
      <w:numFmt w:val="lowerLetter"/>
      <w:start w:val="1"/>
    </w:lvl>
  </w:abstractNum>
  <w:abstractNum w:abstractNumId="72">
    <w:nsid w:val="42963E5A"/>
    <w:multiLevelType w:val="hybridMultilevel"/>
    <w:lvl w:ilvl="0">
      <w:lvlJc w:val="left"/>
      <w:lvlText w:val="%1."/>
      <w:numFmt w:val="decimal"/>
      <w:start w:val="1"/>
    </w:lvl>
    <w:lvl w:ilvl="1">
      <w:lvlJc w:val="left"/>
      <w:lvlText w:val="%2)"/>
      <w:numFmt w:val="lowerLetter"/>
      <w:start w:val="1"/>
    </w:lvl>
  </w:abstractNum>
  <w:abstractNum w:abstractNumId="73">
    <w:nsid w:val="A0382C5"/>
    <w:multiLevelType w:val="hybridMultilevel"/>
    <w:lvl w:ilvl="0">
      <w:lvlJc w:val="left"/>
      <w:lvlText w:val="%1."/>
      <w:numFmt w:val="decimal"/>
      <w:start w:val="1"/>
    </w:lvl>
    <w:lvl w:ilvl="1">
      <w:lvlJc w:val="left"/>
      <w:lvlText w:val="%2)"/>
      <w:numFmt w:val="lowerLetter"/>
      <w:start w:val="1"/>
    </w:lvl>
  </w:abstractNum>
  <w:abstractNum w:abstractNumId="74">
    <w:nsid w:val="8F2B15E"/>
    <w:multiLevelType w:val="hybridMultilevel"/>
    <w:lvl w:ilvl="0">
      <w:lvlJc w:val="left"/>
      <w:lvlText w:val="(%1)"/>
      <w:numFmt w:val="lowerRoman"/>
      <w:start w:val="1"/>
    </w:lvl>
  </w:abstractNum>
  <w:abstractNum w:abstractNumId="75">
    <w:nsid w:val="1A32234B"/>
    <w:multiLevelType w:val="hybridMultilevel"/>
    <w:lvl w:ilvl="0">
      <w:lvlJc w:val="left"/>
      <w:lvlText w:val="(%1)"/>
      <w:numFmt w:val="lowerRoman"/>
      <w:start w:val="1"/>
    </w:lvl>
  </w:abstractNum>
  <w:abstractNum w:abstractNumId="76">
    <w:nsid w:val="3B0FD379"/>
    <w:multiLevelType w:val="hybridMultilevel"/>
    <w:lvl w:ilvl="0">
      <w:lvlJc w:val="left"/>
      <w:lvlText w:val="(%1)"/>
      <w:numFmt w:val="lowerRoman"/>
      <w:start w:val="1"/>
    </w:lvl>
  </w:abstractNum>
  <w:abstractNum w:abstractNumId="77">
    <w:nsid w:val="68EB2F63"/>
    <w:multiLevelType w:val="hybridMultilevel"/>
    <w:lvl w:ilvl="0">
      <w:lvlJc w:val="left"/>
      <w:lvlText w:val="(%1)"/>
      <w:numFmt w:val="lowerRoman"/>
      <w:start w:val="1"/>
    </w:lvl>
  </w:abstractNum>
  <w:abstractNum w:abstractNumId="78">
    <w:nsid w:val="4962813B"/>
    <w:multiLevelType w:val="hybridMultilevel"/>
    <w:lvl w:ilvl="0">
      <w:lvlJc w:val="left"/>
      <w:lvlText w:val="(%1)"/>
      <w:numFmt w:val="lowerRoman"/>
      <w:start w:val="1"/>
    </w:lvl>
  </w:abstractNum>
  <w:abstractNum w:abstractNumId="79">
    <w:nsid w:val="60B6DF70"/>
    <w:multiLevelType w:val="hybridMultilevel"/>
    <w:lvl w:ilvl="0">
      <w:lvlJc w:val="left"/>
      <w:lvlText w:val="(%1)"/>
      <w:numFmt w:val="lowerRoman"/>
      <w:start w:val="1"/>
    </w:lvl>
  </w:abstractNum>
  <w:abstractNum w:abstractNumId="80">
    <w:nsid w:val="6A5EE64"/>
    <w:multiLevelType w:val="hybridMultilevel"/>
    <w:lvl w:ilvl="0">
      <w:lvlJc w:val="left"/>
      <w:lvlText w:val="(%1)"/>
      <w:numFmt w:val="lowerRoman"/>
      <w:start w:val="1"/>
    </w:lvl>
  </w:abstractNum>
  <w:abstractNum w:abstractNumId="81">
    <w:nsid w:val="1433062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2019-12-10T02:41:34Z</dcterms:created>
  <dcterms:modified xsi:type="dcterms:W3CDTF">2019-12-10T02:41:34Z</dcterms:modified>
</cp:coreProperties>
</file>